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01347" w:rsidRPr="00E12A81" w:rsidP="2DDF10C6" w14:paraId="3D99F753" w14:textId="77777777">
      <w:pPr>
        <w:pStyle w:val="NoSpacing"/>
        <w:spacing w:line="259" w:lineRule="auto"/>
        <w:jc w:val="center"/>
        <w:rPr>
          <w:rFonts w:ascii="Calibri" w:hAnsi="Calibri" w:cs="Calibri"/>
          <w:b/>
          <w:bCs/>
          <w:sz w:val="24"/>
          <w:szCs w:val="24"/>
        </w:rPr>
      </w:pPr>
      <w:r w:rsidRPr="2DDF10C6">
        <w:rPr>
          <w:rFonts w:ascii="Calibri" w:hAnsi="Calibri" w:cs="Calibri"/>
          <w:b/>
          <w:bCs/>
          <w:sz w:val="24"/>
          <w:szCs w:val="24"/>
        </w:rPr>
        <w:t>SUPPORTING STATEMENT</w:t>
      </w:r>
      <w:r w:rsidRPr="2DDF10C6" w:rsidR="007F2304">
        <w:rPr>
          <w:rFonts w:ascii="Calibri" w:hAnsi="Calibri" w:cs="Calibri"/>
          <w:b/>
          <w:bCs/>
          <w:sz w:val="24"/>
          <w:szCs w:val="24"/>
        </w:rPr>
        <w:t xml:space="preserve"> A</w:t>
      </w:r>
    </w:p>
    <w:p w:rsidR="00E12A81" w:rsidRPr="00E12A81" w:rsidP="00E12A81" w14:paraId="1AC24A25" w14:textId="77777777">
      <w:pPr>
        <w:pStyle w:val="NoSpacing"/>
        <w:jc w:val="center"/>
        <w:rPr>
          <w:rFonts w:ascii="Calibri" w:hAnsi="Calibri" w:cs="Calibri"/>
          <w:b/>
          <w:sz w:val="24"/>
        </w:rPr>
      </w:pPr>
      <w:r w:rsidRPr="00E12A81">
        <w:rPr>
          <w:rFonts w:ascii="Calibri" w:hAnsi="Calibri" w:cs="Calibri"/>
          <w:b/>
          <w:sz w:val="24"/>
        </w:rPr>
        <w:t>U.S. Department of Commerce</w:t>
      </w:r>
    </w:p>
    <w:p w:rsidR="00201347" w:rsidRPr="00E12A81" w:rsidP="00E12A81" w14:paraId="6D9F978C" w14:textId="77777777">
      <w:pPr>
        <w:pStyle w:val="NoSpacing"/>
        <w:jc w:val="center"/>
        <w:rPr>
          <w:rFonts w:ascii="Calibri" w:hAnsi="Calibri" w:cs="Calibri"/>
          <w:b/>
          <w:sz w:val="24"/>
        </w:rPr>
      </w:pPr>
      <w:r>
        <w:rPr>
          <w:rFonts w:ascii="Calibri" w:hAnsi="Calibri" w:cs="Calibri"/>
          <w:b/>
          <w:sz w:val="24"/>
        </w:rPr>
        <w:t>U.S. Census Bureau</w:t>
      </w:r>
    </w:p>
    <w:p w:rsidR="00E12A81" w:rsidRPr="00610D23" w:rsidP="00E12A81" w14:paraId="02DC0E54" w14:textId="65793178">
      <w:pPr>
        <w:pStyle w:val="NoSpacing"/>
        <w:jc w:val="center"/>
        <w:rPr>
          <w:rFonts w:ascii="Calibri" w:hAnsi="Calibri" w:cs="Calibri"/>
          <w:b/>
          <w:sz w:val="24"/>
        </w:rPr>
      </w:pPr>
      <w:r w:rsidRPr="00610D23">
        <w:rPr>
          <w:rFonts w:ascii="Calibri" w:hAnsi="Calibri" w:cs="Calibri"/>
          <w:b/>
          <w:sz w:val="24"/>
        </w:rPr>
        <w:t>Commodity Flow Survey a Component of the 2027 Economic Census</w:t>
      </w:r>
    </w:p>
    <w:p w:rsidR="00201347" w:rsidRPr="00E12A81" w:rsidP="00E12A81" w14:paraId="55C6B4DF" w14:textId="0137426A">
      <w:pPr>
        <w:pStyle w:val="NoSpacing"/>
        <w:jc w:val="center"/>
        <w:rPr>
          <w:rFonts w:ascii="Calibri" w:hAnsi="Calibri" w:cs="Calibri"/>
          <w:b/>
          <w:sz w:val="24"/>
        </w:rPr>
      </w:pPr>
      <w:r w:rsidRPr="00E12A81">
        <w:rPr>
          <w:rFonts w:ascii="Calibri" w:hAnsi="Calibri" w:cs="Calibri"/>
          <w:b/>
          <w:sz w:val="24"/>
        </w:rPr>
        <w:t xml:space="preserve">OMB Control No. </w:t>
      </w:r>
      <w:r w:rsidR="00E12A81">
        <w:rPr>
          <w:rFonts w:ascii="Calibri" w:hAnsi="Calibri" w:cs="Calibri"/>
          <w:b/>
          <w:sz w:val="24"/>
        </w:rPr>
        <w:t>0607</w:t>
      </w:r>
      <w:r w:rsidRPr="00E12A81">
        <w:rPr>
          <w:rFonts w:ascii="Calibri" w:hAnsi="Calibri" w:cs="Calibri"/>
          <w:b/>
          <w:sz w:val="24"/>
        </w:rPr>
        <w:t>-</w:t>
      </w:r>
      <w:r w:rsidRPr="00610D23" w:rsidR="00610D23">
        <w:rPr>
          <w:rFonts w:ascii="Calibri" w:hAnsi="Calibri" w:cs="Calibri"/>
          <w:b/>
          <w:sz w:val="24"/>
        </w:rPr>
        <w:t>0932</w:t>
      </w:r>
    </w:p>
    <w:p w:rsidR="00201347" w:rsidRPr="00124446" w14:paraId="672A6659" w14:textId="77777777">
      <w:pPr>
        <w:pStyle w:val="BodyText"/>
        <w:spacing w:before="1"/>
        <w:ind w:left="0"/>
        <w:rPr>
          <w:rFonts w:ascii="Calibri" w:hAnsi="Calibri" w:cs="Calibri"/>
          <w:b/>
          <w:sz w:val="31"/>
        </w:rPr>
      </w:pPr>
    </w:p>
    <w:p w:rsidR="00201347" w:rsidP="007F2304" w14:paraId="7CBFD60A" w14:textId="77777777">
      <w:pPr>
        <w:pStyle w:val="Heading1"/>
        <w:spacing w:before="199"/>
        <w:ind w:left="0"/>
        <w:rPr>
          <w:rFonts w:ascii="Calibri" w:hAnsi="Calibri" w:cs="Calibri"/>
        </w:rPr>
      </w:pPr>
      <w:r w:rsidRPr="00124446">
        <w:rPr>
          <w:rFonts w:ascii="Calibri" w:hAnsi="Calibri" w:cs="Calibri"/>
        </w:rPr>
        <w:t>Abstract</w:t>
      </w:r>
    </w:p>
    <w:p w:rsidR="00B90A43" w:rsidRPr="00124446" w:rsidP="007F2304" w14:paraId="2C0980DA" w14:textId="77777777">
      <w:pPr>
        <w:pStyle w:val="Heading1"/>
        <w:spacing w:before="199"/>
        <w:ind w:left="0"/>
        <w:rPr>
          <w:rFonts w:ascii="Calibri" w:hAnsi="Calibri" w:cs="Calibri"/>
        </w:rPr>
      </w:pPr>
    </w:p>
    <w:p w:rsidR="00B90A43" w:rsidRPr="001E1D3F" w:rsidP="00B90A43" w14:paraId="36E7BC0A" w14:textId="185B681E">
      <w:pPr>
        <w:ind w:left="400"/>
        <w:rPr>
          <w:rFonts w:asciiTheme="minorHAnsi" w:hAnsiTheme="minorHAnsi" w:cstheme="minorHAnsi"/>
          <w:sz w:val="24"/>
          <w:szCs w:val="24"/>
        </w:rPr>
      </w:pPr>
      <w:r w:rsidRPr="005918AD">
        <w:rPr>
          <w:rFonts w:ascii="Calibri" w:hAnsi="Calibri" w:cs="Calibri"/>
          <w:bCs/>
          <w:sz w:val="24"/>
        </w:rPr>
        <w:t xml:space="preserve">The </w:t>
      </w:r>
      <w:r>
        <w:rPr>
          <w:rFonts w:ascii="Calibri" w:hAnsi="Calibri" w:cs="Calibri"/>
          <w:bCs/>
          <w:sz w:val="24"/>
        </w:rPr>
        <w:t xml:space="preserve">U.S. </w:t>
      </w:r>
      <w:r w:rsidRPr="005918AD">
        <w:rPr>
          <w:rFonts w:ascii="Calibri" w:hAnsi="Calibri" w:cs="Calibri"/>
          <w:bCs/>
          <w:sz w:val="24"/>
        </w:rPr>
        <w:t>Census Bureau</w:t>
      </w:r>
      <w:r>
        <w:rPr>
          <w:rFonts w:ascii="Calibri" w:hAnsi="Calibri" w:cs="Calibri"/>
          <w:bCs/>
          <w:sz w:val="24"/>
        </w:rPr>
        <w:t xml:space="preserve">, in partnership with </w:t>
      </w:r>
      <w:r w:rsidRPr="000421DE">
        <w:rPr>
          <w:rFonts w:asciiTheme="minorHAnsi" w:hAnsiTheme="minorHAnsi" w:cstheme="minorHAnsi"/>
          <w:sz w:val="24"/>
          <w:szCs w:val="24"/>
        </w:rPr>
        <w:t>the Bureau of Transportation Statistics (BTS), Office of the Assistant Secretary for Research and Technology, U.S. Department of Transportation (DOT)</w:t>
      </w:r>
      <w:r>
        <w:rPr>
          <w:rFonts w:asciiTheme="minorHAnsi" w:hAnsiTheme="minorHAnsi" w:cstheme="minorHAnsi"/>
          <w:sz w:val="24"/>
          <w:szCs w:val="24"/>
        </w:rPr>
        <w:t xml:space="preserve">, </w:t>
      </w:r>
      <w:r w:rsidRPr="005918AD">
        <w:rPr>
          <w:rFonts w:ascii="Calibri" w:hAnsi="Calibri" w:cs="Calibri"/>
          <w:bCs/>
          <w:sz w:val="24"/>
        </w:rPr>
        <w:t xml:space="preserve">requests Office of Management and Budget (OMB) approval to </w:t>
      </w:r>
      <w:r w:rsidRPr="001E1D3F">
        <w:rPr>
          <w:rFonts w:asciiTheme="minorHAnsi" w:hAnsiTheme="minorHAnsi" w:cstheme="minorHAnsi"/>
          <w:sz w:val="24"/>
          <w:szCs w:val="24"/>
        </w:rPr>
        <w:t xml:space="preserve">conduct the 2027 Commodity Flow Survey (CFS), a component of the 2027 Economic Census, as it is the only comprehensive source of multi-modal, system-wide data on the volume and pattern of goods movement in the United States. </w:t>
      </w:r>
    </w:p>
    <w:p w:rsidR="007F2304" w:rsidRPr="00124446" w:rsidP="007F2304" w14:paraId="5DAB6C7B" w14:textId="1F9BCBD7">
      <w:pPr>
        <w:spacing w:before="144" w:line="259" w:lineRule="auto"/>
        <w:rPr>
          <w:rFonts w:ascii="Calibri" w:hAnsi="Calibri" w:cs="Calibri"/>
          <w:b/>
          <w:sz w:val="24"/>
        </w:rPr>
      </w:pPr>
    </w:p>
    <w:p w:rsidR="00201347" w:rsidRPr="00124446" w:rsidP="007F2304" w14:paraId="2D134F98" w14:textId="77777777">
      <w:pPr>
        <w:pStyle w:val="Heading1"/>
        <w:spacing w:before="124"/>
        <w:ind w:left="0"/>
        <w:rPr>
          <w:rFonts w:ascii="Calibri" w:hAnsi="Calibri" w:cs="Calibri"/>
        </w:rPr>
      </w:pPr>
      <w:r w:rsidRPr="00124446">
        <w:rPr>
          <w:rFonts w:ascii="Calibri" w:hAnsi="Calibri" w:cs="Calibri"/>
        </w:rPr>
        <w:t>Justification</w:t>
      </w:r>
    </w:p>
    <w:p w:rsidR="00201347" w:rsidRPr="00124446" w:rsidP="00844D2F" w14:paraId="4E9A3E84" w14:textId="77777777">
      <w:pPr>
        <w:pStyle w:val="ListParagraph"/>
        <w:numPr>
          <w:ilvl w:val="0"/>
          <w:numId w:val="7"/>
        </w:numPr>
        <w:tabs>
          <w:tab w:val="left" w:pos="669"/>
        </w:tabs>
        <w:spacing w:before="182" w:line="259" w:lineRule="auto"/>
        <w:ind w:left="360" w:hanging="360"/>
        <w:rPr>
          <w:rFonts w:ascii="Calibri" w:hAnsi="Calibri" w:cs="Calibri"/>
          <w:b/>
          <w:sz w:val="24"/>
        </w:rPr>
      </w:pPr>
      <w:r w:rsidRPr="00124446">
        <w:rPr>
          <w:rFonts w:ascii="Calibri" w:hAnsi="Calibri" w:cs="Calibri"/>
          <w:b/>
          <w:sz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610D23" w:rsidRPr="00B22F71" w:rsidP="00610D23" w14:paraId="12FE496F" w14:textId="77777777">
      <w:pPr>
        <w:ind w:left="1440"/>
        <w:rPr>
          <w:sz w:val="24"/>
          <w:szCs w:val="24"/>
        </w:rPr>
      </w:pPr>
    </w:p>
    <w:p w:rsidR="00610D23" w:rsidRPr="001E1D3F" w:rsidP="00610D23" w14:paraId="4053D6E7" w14:textId="1F7FBA6D">
      <w:pPr>
        <w:ind w:left="400"/>
        <w:rPr>
          <w:rFonts w:asciiTheme="minorHAnsi" w:hAnsiTheme="minorHAnsi" w:cstheme="minorHAnsi"/>
          <w:sz w:val="24"/>
          <w:szCs w:val="24"/>
        </w:rPr>
      </w:pPr>
      <w:r w:rsidRPr="001E1D3F">
        <w:rPr>
          <w:rFonts w:asciiTheme="minorHAnsi" w:hAnsiTheme="minorHAnsi" w:cstheme="minorHAnsi"/>
          <w:sz w:val="24"/>
          <w:szCs w:val="24"/>
        </w:rPr>
        <w:t xml:space="preserve">The </w:t>
      </w:r>
      <w:r w:rsidRPr="001E1D3F" w:rsidR="00B90A43">
        <w:rPr>
          <w:rFonts w:asciiTheme="minorHAnsi" w:hAnsiTheme="minorHAnsi" w:cstheme="minorHAnsi"/>
          <w:sz w:val="24"/>
          <w:szCs w:val="24"/>
        </w:rPr>
        <w:t>CFS</w:t>
      </w:r>
      <w:r w:rsidRPr="001E1D3F">
        <w:rPr>
          <w:rFonts w:asciiTheme="minorHAnsi" w:hAnsiTheme="minorHAnsi" w:cstheme="minorHAnsi"/>
          <w:sz w:val="24"/>
          <w:szCs w:val="24"/>
        </w:rPr>
        <w:t xml:space="preserve"> provides a crucial set of statistics on the value, weight, mode, and distance of commodities shipped by mining, manufacturing, wholesale, and selected retail and services establishments</w:t>
      </w:r>
      <w:r w:rsidRPr="001E1D3F" w:rsidR="00E910AC">
        <w:rPr>
          <w:rFonts w:asciiTheme="minorHAnsi" w:hAnsiTheme="minorHAnsi" w:cstheme="minorHAnsi"/>
          <w:sz w:val="24"/>
          <w:szCs w:val="24"/>
          <w:vertAlign w:val="superscript"/>
        </w:rPr>
        <w:t>1</w:t>
      </w:r>
      <w:r w:rsidRPr="001E1D3F">
        <w:rPr>
          <w:rFonts w:asciiTheme="minorHAnsi" w:hAnsiTheme="minorHAnsi" w:cstheme="minorHAnsi"/>
          <w:sz w:val="24"/>
          <w:szCs w:val="24"/>
        </w:rPr>
        <w:t>, as well as auxiliary establishments that support these industries. The Census Bureau will publish these shipment characteristics for the nation, census regions and divisions, states, and CFS defined geographic areas.</w:t>
      </w:r>
      <w:r w:rsidR="003F2C6F">
        <w:rPr>
          <w:rFonts w:asciiTheme="minorHAnsi" w:hAnsiTheme="minorHAnsi" w:cstheme="minorHAnsi"/>
          <w:sz w:val="24"/>
          <w:szCs w:val="24"/>
        </w:rPr>
        <w:t xml:space="preserve"> </w:t>
      </w:r>
      <w:r w:rsidRPr="001E1D3F">
        <w:rPr>
          <w:rFonts w:asciiTheme="minorHAnsi" w:hAnsiTheme="minorHAnsi" w:cstheme="minorHAnsi"/>
          <w:sz w:val="24"/>
          <w:szCs w:val="24"/>
        </w:rPr>
        <w:t xml:space="preserve">As with the 2022 Commodity Flow Survey, this survey also identifies export, hazardous material, and temperature-controlled shipments. </w:t>
      </w:r>
    </w:p>
    <w:p w:rsidR="00610D23" w:rsidRPr="001E1D3F" w:rsidP="00610D23" w14:paraId="6B6842DE" w14:textId="77777777">
      <w:pPr>
        <w:ind w:left="1440"/>
        <w:rPr>
          <w:rFonts w:asciiTheme="minorHAnsi" w:hAnsiTheme="minorHAnsi" w:cstheme="minorHAnsi"/>
          <w:sz w:val="24"/>
          <w:szCs w:val="24"/>
        </w:rPr>
      </w:pPr>
    </w:p>
    <w:p w:rsidR="00610D23" w:rsidRPr="001E1D3F" w:rsidP="00610D23" w14:paraId="19DA2E85" w14:textId="3FA8B414">
      <w:pPr>
        <w:ind w:left="400"/>
        <w:rPr>
          <w:rFonts w:asciiTheme="minorHAnsi" w:hAnsiTheme="minorHAnsi" w:cstheme="minorHAnsi"/>
          <w:sz w:val="24"/>
          <w:szCs w:val="24"/>
        </w:rPr>
      </w:pPr>
      <w:r w:rsidRPr="001E1D3F">
        <w:rPr>
          <w:rFonts w:asciiTheme="minorHAnsi" w:hAnsiTheme="minorHAnsi" w:cstheme="minorHAnsi"/>
          <w:sz w:val="24"/>
          <w:szCs w:val="24"/>
        </w:rPr>
        <w:t xml:space="preserve">BTS is mandated by Congress under Title 49 to collect economic data on transportation mode choice and goods movement. This information informs freight flows and is critical to understanding the use, performance, and condition of the nation’s transportation system, as well as informing transportation </w:t>
      </w:r>
      <w:r w:rsidR="003F2C6F">
        <w:rPr>
          <w:rFonts w:asciiTheme="minorHAnsi" w:hAnsiTheme="minorHAnsi" w:cstheme="minorHAnsi"/>
          <w:sz w:val="24"/>
          <w:szCs w:val="24"/>
        </w:rPr>
        <w:t xml:space="preserve">policy and </w:t>
      </w:r>
      <w:r w:rsidRPr="001E1D3F">
        <w:rPr>
          <w:rFonts w:asciiTheme="minorHAnsi" w:hAnsiTheme="minorHAnsi" w:cstheme="minorHAnsi"/>
          <w:sz w:val="24"/>
          <w:szCs w:val="24"/>
        </w:rPr>
        <w:t>investment</w:t>
      </w:r>
      <w:r w:rsidR="003F2C6F">
        <w:rPr>
          <w:rFonts w:asciiTheme="minorHAnsi" w:hAnsiTheme="minorHAnsi" w:cstheme="minorHAnsi"/>
          <w:sz w:val="24"/>
          <w:szCs w:val="24"/>
        </w:rPr>
        <w:t xml:space="preserve"> decision</w:t>
      </w:r>
      <w:r w:rsidRPr="001E1D3F">
        <w:rPr>
          <w:rFonts w:asciiTheme="minorHAnsi" w:hAnsiTheme="minorHAnsi" w:cstheme="minorHAnsi"/>
          <w:sz w:val="24"/>
          <w:szCs w:val="24"/>
        </w:rPr>
        <w:t>s.</w:t>
      </w:r>
      <w:r w:rsidR="0036166B">
        <w:rPr>
          <w:rFonts w:asciiTheme="minorHAnsi" w:hAnsiTheme="minorHAnsi" w:cstheme="minorHAnsi"/>
          <w:sz w:val="24"/>
          <w:szCs w:val="24"/>
        </w:rPr>
        <w:t xml:space="preserve"> </w:t>
      </w:r>
      <w:r w:rsidRPr="001E1D3F">
        <w:rPr>
          <w:rFonts w:asciiTheme="minorHAnsi" w:hAnsiTheme="minorHAnsi" w:cstheme="minorHAnsi"/>
          <w:sz w:val="24"/>
          <w:szCs w:val="24"/>
        </w:rPr>
        <w:t xml:space="preserve">Data on the movement of freight </w:t>
      </w:r>
      <w:r w:rsidRPr="001E1D3F">
        <w:rPr>
          <w:rFonts w:asciiTheme="minorHAnsi" w:hAnsiTheme="minorHAnsi" w:cstheme="minorHAnsi"/>
          <w:sz w:val="24"/>
          <w:szCs w:val="24"/>
        </w:rPr>
        <w:t>are</w:t>
      </w:r>
      <w:r w:rsidRPr="001E1D3F">
        <w:rPr>
          <w:rFonts w:asciiTheme="minorHAnsi" w:hAnsiTheme="minorHAnsi" w:cstheme="minorHAnsi"/>
          <w:sz w:val="24"/>
          <w:szCs w:val="24"/>
        </w:rPr>
        <w:t xml:space="preserve"> important for effective analyses of changes in regional and local economic development, safety issues, and environmental concerns. They also provide the private sector with valuable data needed for critical decision-making on a variety of issues including market trends, analysis, and segmentation. Each day, governments, businesses, and consumers make countless decisions about where to go, how to get there, what to ship and which transportation modes to use. Transportation constantly responds to external forces such as shifting markets, changing demographics, safety concerns, weather conditions, energy and environmental constraints, and national defense requirements. Good decisions require having the right information in the right form at the right time. </w:t>
      </w:r>
    </w:p>
    <w:p w:rsidR="00610D23" w:rsidRPr="001E1D3F" w:rsidP="00610D23" w14:paraId="62375F22" w14:textId="77777777">
      <w:pPr>
        <w:rPr>
          <w:rFonts w:asciiTheme="minorHAnsi" w:hAnsiTheme="minorHAnsi" w:cstheme="minorHAnsi"/>
          <w:sz w:val="24"/>
          <w:szCs w:val="24"/>
        </w:rPr>
      </w:pPr>
    </w:p>
    <w:p w:rsidR="00610D23" w:rsidRPr="001E1D3F" w:rsidP="00610D23" w14:paraId="01498BC0" w14:textId="77777777">
      <w:pPr>
        <w:ind w:left="400"/>
        <w:rPr>
          <w:rFonts w:asciiTheme="minorHAnsi" w:hAnsiTheme="minorHAnsi" w:cstheme="minorHAnsi"/>
          <w:sz w:val="24"/>
          <w:szCs w:val="24"/>
        </w:rPr>
      </w:pPr>
      <w:r w:rsidRPr="001E1D3F">
        <w:rPr>
          <w:rFonts w:asciiTheme="minorHAnsi" w:hAnsiTheme="minorHAnsi" w:cstheme="minorHAnsi"/>
          <w:sz w:val="24"/>
          <w:szCs w:val="24"/>
        </w:rPr>
        <w:t xml:space="preserve">The CFS provides critical data to federal, state and local government agencies to make a wide range of transportation investment decisions for developing and maintaining an efficient transportation infrastructure that supports economic growth and competitiveness. </w:t>
      </w:r>
    </w:p>
    <w:p w:rsidR="00610D23" w:rsidRPr="001E1D3F" w:rsidP="00610D23" w14:paraId="7D82E38B" w14:textId="77777777">
      <w:pPr>
        <w:ind w:left="1440"/>
        <w:rPr>
          <w:rFonts w:asciiTheme="minorHAnsi" w:hAnsiTheme="minorHAnsi" w:cstheme="minorHAnsi"/>
          <w:sz w:val="24"/>
          <w:szCs w:val="24"/>
        </w:rPr>
      </w:pPr>
    </w:p>
    <w:p w:rsidR="00610D23" w:rsidRPr="001E1D3F" w:rsidP="00610D23" w14:paraId="21603E71" w14:textId="77777777">
      <w:pPr>
        <w:ind w:left="400"/>
        <w:rPr>
          <w:rFonts w:asciiTheme="minorHAnsi" w:hAnsiTheme="minorHAnsi" w:cstheme="minorHAnsi"/>
          <w:sz w:val="24"/>
          <w:szCs w:val="24"/>
        </w:rPr>
      </w:pPr>
      <w:r w:rsidRPr="001E1D3F">
        <w:rPr>
          <w:rFonts w:asciiTheme="minorHAnsi" w:hAnsiTheme="minorHAnsi" w:cstheme="minorHAnsi"/>
          <w:sz w:val="24"/>
          <w:szCs w:val="24"/>
        </w:rPr>
        <w:t>Transportation planners require the periodic benchmarks provided by a continuing CFS to evaluate and respond to ongoing geographic shifts in production and distribution centers, as well as policies such as “just in time delivery.”</w:t>
      </w:r>
    </w:p>
    <w:p w:rsidR="00610D23" w:rsidRPr="001E1D3F" w:rsidP="00610D23" w14:paraId="04482622" w14:textId="77777777">
      <w:pPr>
        <w:rPr>
          <w:rFonts w:asciiTheme="minorHAnsi" w:hAnsiTheme="minorHAnsi" w:cstheme="minorHAnsi"/>
          <w:sz w:val="24"/>
          <w:szCs w:val="24"/>
        </w:rPr>
      </w:pPr>
    </w:p>
    <w:p w:rsidR="00610D23" w:rsidRPr="001E1D3F" w:rsidP="00610D23" w14:paraId="5EEB98DA" w14:textId="37FC186D">
      <w:pPr>
        <w:ind w:left="400"/>
        <w:rPr>
          <w:rFonts w:asciiTheme="minorHAnsi" w:hAnsiTheme="minorHAnsi" w:cstheme="minorHAnsi"/>
          <w:sz w:val="24"/>
          <w:szCs w:val="24"/>
        </w:rPr>
      </w:pPr>
      <w:r w:rsidRPr="001E1D3F">
        <w:rPr>
          <w:rFonts w:asciiTheme="minorHAnsi" w:hAnsiTheme="minorHAnsi" w:cstheme="minorHAnsi"/>
          <w:sz w:val="24"/>
          <w:szCs w:val="24"/>
        </w:rPr>
        <w:t>As part of the 202</w:t>
      </w:r>
      <w:r w:rsidRPr="001E1D3F" w:rsidR="008734CB">
        <w:rPr>
          <w:rFonts w:asciiTheme="minorHAnsi" w:hAnsiTheme="minorHAnsi" w:cstheme="minorHAnsi"/>
          <w:sz w:val="24"/>
          <w:szCs w:val="24"/>
        </w:rPr>
        <w:t>7</w:t>
      </w:r>
      <w:r w:rsidRPr="001E1D3F">
        <w:rPr>
          <w:rFonts w:asciiTheme="minorHAnsi" w:hAnsiTheme="minorHAnsi" w:cstheme="minorHAnsi"/>
          <w:sz w:val="24"/>
          <w:szCs w:val="24"/>
        </w:rPr>
        <w:t xml:space="preserve"> Economic Census, the CFS information collection is </w:t>
      </w:r>
      <w:r w:rsidRPr="001E1D3F" w:rsidR="00A52794">
        <w:rPr>
          <w:rFonts w:asciiTheme="minorHAnsi" w:hAnsiTheme="minorHAnsi" w:cstheme="minorHAnsi"/>
          <w:sz w:val="24"/>
          <w:szCs w:val="24"/>
        </w:rPr>
        <w:t>authorized</w:t>
      </w:r>
      <w:r w:rsidRPr="001E1D3F">
        <w:rPr>
          <w:rFonts w:asciiTheme="minorHAnsi" w:hAnsiTheme="minorHAnsi" w:cstheme="minorHAnsi"/>
          <w:sz w:val="24"/>
          <w:szCs w:val="24"/>
        </w:rPr>
        <w:t xml:space="preserve"> by law under Title 13, U.S.C., Sections 8(b), 131 and, 193. Title 13, U.S.C., Sections 224 and 225 require response. The BTS also has authority to collect these data based on its enabling legislation 49 U.S.C., Section 6302. Relevant excerpts from Title 13 U.S.C. and Title 49 U.S.C. are provided in Attachment C.</w:t>
      </w:r>
    </w:p>
    <w:p w:rsidR="00610D23" w:rsidRPr="001E1D3F" w:rsidP="00610D23" w14:paraId="0F53CD5F" w14:textId="77777777">
      <w:pPr>
        <w:ind w:left="7200" w:hanging="5760"/>
        <w:rPr>
          <w:rFonts w:asciiTheme="minorHAnsi" w:hAnsiTheme="minorHAnsi" w:cstheme="minorHAnsi"/>
          <w:sz w:val="24"/>
          <w:szCs w:val="24"/>
        </w:rPr>
      </w:pPr>
    </w:p>
    <w:p w:rsidR="007208A3" w:rsidRPr="001E1D3F" w:rsidP="00956166" w14:paraId="2A422A92" w14:textId="77777777">
      <w:pPr>
        <w:ind w:left="400"/>
        <w:rPr>
          <w:rFonts w:asciiTheme="minorHAnsi" w:hAnsiTheme="minorHAnsi" w:cstheme="minorHAnsi"/>
          <w:sz w:val="24"/>
          <w:szCs w:val="24"/>
        </w:rPr>
      </w:pPr>
      <w:r w:rsidRPr="001E1D3F">
        <w:rPr>
          <w:rFonts w:asciiTheme="minorHAnsi" w:hAnsiTheme="minorHAnsi" w:cstheme="minorHAnsi"/>
          <w:sz w:val="24"/>
          <w:szCs w:val="24"/>
        </w:rPr>
        <w:t>The 202</w:t>
      </w:r>
      <w:r w:rsidRPr="001E1D3F" w:rsidR="008734CB">
        <w:rPr>
          <w:rFonts w:asciiTheme="minorHAnsi" w:hAnsiTheme="minorHAnsi" w:cstheme="minorHAnsi"/>
          <w:sz w:val="24"/>
          <w:szCs w:val="24"/>
        </w:rPr>
        <w:t>7</w:t>
      </w:r>
      <w:r w:rsidRPr="001E1D3F">
        <w:rPr>
          <w:rFonts w:asciiTheme="minorHAnsi" w:hAnsiTheme="minorHAnsi" w:cstheme="minorHAnsi"/>
          <w:sz w:val="24"/>
          <w:szCs w:val="24"/>
        </w:rPr>
        <w:t xml:space="preserve"> CFS will be </w:t>
      </w:r>
      <w:r w:rsidRPr="001E1D3F" w:rsidR="00956166">
        <w:rPr>
          <w:rFonts w:asciiTheme="minorHAnsi" w:hAnsiTheme="minorHAnsi" w:cstheme="minorHAnsi"/>
          <w:sz w:val="24"/>
          <w:szCs w:val="24"/>
        </w:rPr>
        <w:t xml:space="preserve">split into 2 separate, but related surveys: the pre-screener survey and the main survey. </w:t>
      </w:r>
    </w:p>
    <w:p w:rsidR="007208A3" w:rsidRPr="001E1D3F" w:rsidP="1275CA90" w14:paraId="11CA5EF1" w14:textId="05ADA03F">
      <w:pPr>
        <w:pStyle w:val="ListParagraph"/>
        <w:numPr>
          <w:ilvl w:val="0"/>
          <w:numId w:val="21"/>
        </w:numPr>
        <w:rPr>
          <w:rFonts w:asciiTheme="minorAscii" w:hAnsiTheme="minorAscii" w:cstheme="minorAscii"/>
          <w:sz w:val="24"/>
          <w:szCs w:val="24"/>
        </w:rPr>
      </w:pPr>
      <w:r w:rsidRPr="260BE006">
        <w:rPr>
          <w:rFonts w:asciiTheme="minorAscii" w:hAnsiTheme="minorAscii" w:cstheme="minorAscii"/>
          <w:sz w:val="24"/>
          <w:szCs w:val="24"/>
        </w:rPr>
        <w:t xml:space="preserve">The pre-screener survey is the first survey and is an electronic reporting sample survey of approximately 45,000 business establishments in selected retail industries, as well as auxiliary establishments. The pre-screener survey is used to </w:t>
      </w:r>
      <w:r w:rsidRPr="260BE006">
        <w:rPr>
          <w:rFonts w:asciiTheme="minorAscii" w:hAnsiTheme="minorAscii" w:cstheme="minorAscii"/>
          <w:sz w:val="24"/>
          <w:szCs w:val="24"/>
        </w:rPr>
        <w:t>determine</w:t>
      </w:r>
      <w:r w:rsidRPr="260BE006">
        <w:rPr>
          <w:rFonts w:asciiTheme="minorAscii" w:hAnsiTheme="minorAscii" w:cstheme="minorAscii"/>
          <w:sz w:val="24"/>
          <w:szCs w:val="24"/>
        </w:rPr>
        <w:t xml:space="preserve"> if the establishment ships goods or not. If the </w:t>
      </w:r>
      <w:r w:rsidRPr="260BE006" w:rsidR="008A5488">
        <w:rPr>
          <w:rFonts w:asciiTheme="minorAscii" w:hAnsiTheme="minorAscii" w:cstheme="minorAscii"/>
          <w:sz w:val="24"/>
          <w:szCs w:val="24"/>
        </w:rPr>
        <w:t xml:space="preserve">respondent </w:t>
      </w:r>
      <w:r w:rsidRPr="260BE006" w:rsidR="008A5488">
        <w:rPr>
          <w:rFonts w:asciiTheme="minorAscii" w:hAnsiTheme="minorAscii" w:cstheme="minorAscii"/>
          <w:sz w:val="24"/>
          <w:szCs w:val="24"/>
        </w:rPr>
        <w:t>indicates</w:t>
      </w:r>
      <w:r w:rsidRPr="260BE006" w:rsidR="008A5488">
        <w:rPr>
          <w:rFonts w:asciiTheme="minorAscii" w:hAnsiTheme="minorAscii" w:cstheme="minorAscii"/>
          <w:sz w:val="24"/>
          <w:szCs w:val="24"/>
        </w:rPr>
        <w:t xml:space="preserve"> that no shipments are made from the establishment,</w:t>
      </w:r>
      <w:r w:rsidRPr="260BE006" w:rsidR="0E90AB8D">
        <w:rPr>
          <w:rFonts w:asciiTheme="minorAscii" w:hAnsiTheme="minorAscii" w:cstheme="minorAscii"/>
          <w:sz w:val="24"/>
          <w:szCs w:val="24"/>
        </w:rPr>
        <w:t>the business establishment</w:t>
      </w:r>
      <w:r w:rsidRPr="260BE006">
        <w:rPr>
          <w:rFonts w:asciiTheme="minorAscii" w:hAnsiTheme="minorAscii" w:cstheme="minorAscii"/>
          <w:sz w:val="24"/>
          <w:szCs w:val="24"/>
        </w:rPr>
        <w:t xml:space="preserve"> will be removed from the main survey. </w:t>
      </w:r>
    </w:p>
    <w:p w:rsidR="00610D23" w:rsidRPr="001E1D3F" w:rsidP="007208A3" w14:paraId="1CFA77C0" w14:textId="4584C6C5">
      <w:pPr>
        <w:pStyle w:val="ListParagraph"/>
        <w:numPr>
          <w:ilvl w:val="0"/>
          <w:numId w:val="21"/>
        </w:numPr>
        <w:rPr>
          <w:rFonts w:asciiTheme="minorHAnsi" w:hAnsiTheme="minorHAnsi" w:cstheme="minorHAnsi"/>
          <w:sz w:val="24"/>
          <w:szCs w:val="24"/>
        </w:rPr>
      </w:pPr>
      <w:r w:rsidRPr="001E1D3F">
        <w:rPr>
          <w:rFonts w:asciiTheme="minorHAnsi" w:hAnsiTheme="minorHAnsi" w:cstheme="minorHAnsi"/>
          <w:sz w:val="24"/>
          <w:szCs w:val="24"/>
        </w:rPr>
        <w:t xml:space="preserve">The main survey is </w:t>
      </w:r>
      <w:r w:rsidRPr="001E1D3F">
        <w:rPr>
          <w:rFonts w:asciiTheme="minorHAnsi" w:hAnsiTheme="minorHAnsi" w:cstheme="minorHAnsi"/>
          <w:sz w:val="24"/>
          <w:szCs w:val="24"/>
        </w:rPr>
        <w:t>an electronic reporting sample survey of approximately 1</w:t>
      </w:r>
      <w:r w:rsidRPr="001E1D3F" w:rsidR="008734CB">
        <w:rPr>
          <w:rFonts w:asciiTheme="minorHAnsi" w:hAnsiTheme="minorHAnsi" w:cstheme="minorHAnsi"/>
          <w:sz w:val="24"/>
          <w:szCs w:val="24"/>
        </w:rPr>
        <w:t>4</w:t>
      </w:r>
      <w:r w:rsidRPr="001E1D3F">
        <w:rPr>
          <w:rFonts w:asciiTheme="minorHAnsi" w:hAnsiTheme="minorHAnsi" w:cstheme="minorHAnsi"/>
          <w:sz w:val="24"/>
          <w:szCs w:val="24"/>
        </w:rPr>
        <w:t xml:space="preserve">0,000 business establishments in the mining, manufacturing, wholesale, and selected retail and services industries, as well as auxiliary establishments that support these industries. Copies of the survey materials and the summary of changes are presented in Attachments A and B. </w:t>
      </w:r>
    </w:p>
    <w:p w:rsidR="00610D23" w:rsidRPr="00337A91" w:rsidP="00610D23" w14:paraId="4FD0CA1B" w14:textId="77777777">
      <w:pPr>
        <w:rPr>
          <w:rFonts w:asciiTheme="minorHAnsi" w:hAnsiTheme="minorHAnsi" w:cstheme="minorHAnsi"/>
          <w:sz w:val="24"/>
          <w:szCs w:val="24"/>
        </w:rPr>
      </w:pPr>
      <w:r w:rsidRPr="00337A91">
        <w:rPr>
          <w:rFonts w:asciiTheme="minorHAnsi" w:hAnsiTheme="minorHAnsi" w:cstheme="minorHAnsi"/>
          <w:sz w:val="24"/>
          <w:szCs w:val="24"/>
        </w:rPr>
        <w:tab/>
      </w:r>
    </w:p>
    <w:p w:rsidR="00610D23" w:rsidRPr="00337A91" w:rsidP="00610D23" w14:paraId="17E640FB" w14:textId="231E07A8">
      <w:pPr>
        <w:ind w:left="360"/>
        <w:rPr>
          <w:rFonts w:asciiTheme="minorHAnsi" w:hAnsiTheme="minorHAnsi" w:cstheme="minorHAnsi"/>
          <w:sz w:val="24"/>
          <w:szCs w:val="24"/>
        </w:rPr>
      </w:pPr>
      <w:r w:rsidRPr="00337A91">
        <w:rPr>
          <w:rFonts w:asciiTheme="minorHAnsi" w:hAnsiTheme="minorHAnsi" w:cstheme="minorHAnsi"/>
          <w:sz w:val="24"/>
          <w:szCs w:val="24"/>
        </w:rPr>
        <w:t>The CFS is co-sponsored by BTS</w:t>
      </w:r>
      <w:r w:rsidRPr="00337A91" w:rsidR="004024F5">
        <w:rPr>
          <w:rFonts w:asciiTheme="minorHAnsi" w:hAnsiTheme="minorHAnsi" w:cstheme="minorHAnsi"/>
          <w:sz w:val="24"/>
          <w:szCs w:val="24"/>
        </w:rPr>
        <w:t xml:space="preserve"> and</w:t>
      </w:r>
      <w:r w:rsidRPr="00337A91">
        <w:rPr>
          <w:rFonts w:asciiTheme="minorHAnsi" w:hAnsiTheme="minorHAnsi" w:cstheme="minorHAnsi"/>
          <w:sz w:val="24"/>
          <w:szCs w:val="24"/>
        </w:rPr>
        <w:t xml:space="preserve"> the Census Bureau,</w:t>
      </w:r>
      <w:r w:rsidRPr="00337A91" w:rsidR="00995EE3">
        <w:rPr>
          <w:rFonts w:asciiTheme="minorHAnsi" w:hAnsiTheme="minorHAnsi" w:cstheme="minorHAnsi"/>
          <w:sz w:val="24"/>
          <w:szCs w:val="24"/>
        </w:rPr>
        <w:t xml:space="preserve"> </w:t>
      </w:r>
      <w:r w:rsidRPr="00337A91">
        <w:rPr>
          <w:rFonts w:asciiTheme="minorHAnsi" w:hAnsiTheme="minorHAnsi" w:cstheme="minorHAnsi"/>
          <w:sz w:val="24"/>
          <w:szCs w:val="24"/>
        </w:rPr>
        <w:t xml:space="preserve">with </w:t>
      </w:r>
      <w:r w:rsidRPr="00337A91" w:rsidR="00A20641">
        <w:rPr>
          <w:rFonts w:asciiTheme="minorHAnsi" w:hAnsiTheme="minorHAnsi" w:cstheme="minorHAnsi"/>
          <w:sz w:val="24"/>
          <w:szCs w:val="24"/>
        </w:rPr>
        <w:t>most of the</w:t>
      </w:r>
      <w:r w:rsidRPr="00337A91">
        <w:rPr>
          <w:rFonts w:asciiTheme="minorHAnsi" w:hAnsiTheme="minorHAnsi" w:cstheme="minorHAnsi"/>
          <w:sz w:val="24"/>
          <w:szCs w:val="24"/>
        </w:rPr>
        <w:t xml:space="preserve"> funding (</w:t>
      </w:r>
      <w:r w:rsidRPr="00337A91" w:rsidR="004024F5">
        <w:rPr>
          <w:rFonts w:asciiTheme="minorHAnsi" w:hAnsiTheme="minorHAnsi" w:cstheme="minorHAnsi"/>
          <w:sz w:val="24"/>
          <w:szCs w:val="24"/>
        </w:rPr>
        <w:t>80</w:t>
      </w:r>
      <w:r w:rsidRPr="00337A91">
        <w:rPr>
          <w:rFonts w:asciiTheme="minorHAnsi" w:hAnsiTheme="minorHAnsi" w:cstheme="minorHAnsi"/>
          <w:sz w:val="24"/>
          <w:szCs w:val="24"/>
        </w:rPr>
        <w:t xml:space="preserve"> percent) provided by BTS. In addition to </w:t>
      </w:r>
      <w:r w:rsidRPr="00337A91">
        <w:rPr>
          <w:rFonts w:asciiTheme="minorHAnsi" w:hAnsiTheme="minorHAnsi" w:cstheme="minorHAnsi"/>
          <w:sz w:val="24"/>
          <w:szCs w:val="24"/>
        </w:rPr>
        <w:t>their funding</w:t>
      </w:r>
      <w:r w:rsidRPr="00337A91">
        <w:rPr>
          <w:rFonts w:asciiTheme="minorHAnsi" w:hAnsiTheme="minorHAnsi" w:cstheme="minorHAnsi"/>
          <w:sz w:val="24"/>
          <w:szCs w:val="24"/>
        </w:rPr>
        <w:t xml:space="preserve"> support, BTS also provides additional technical and planning guidance in the development and implementation of the program. </w:t>
      </w:r>
    </w:p>
    <w:p w:rsidR="002A1D08" w:rsidRPr="00124446" w:rsidP="009B0DFB" w14:paraId="5A39BBE3" w14:textId="77777777">
      <w:pPr>
        <w:pStyle w:val="BodyText"/>
        <w:spacing w:before="159" w:line="259" w:lineRule="auto"/>
        <w:ind w:left="0" w:right="312"/>
        <w:rPr>
          <w:rFonts w:ascii="Calibri" w:hAnsi="Calibri" w:cs="Calibri"/>
          <w:b/>
        </w:rPr>
      </w:pPr>
    </w:p>
    <w:p w:rsidR="00F0731E" w:rsidRPr="009729B1" w:rsidP="00337A91" w14:paraId="2D9B1885" w14:textId="27B8D387">
      <w:pPr>
        <w:pStyle w:val="Heading1"/>
        <w:numPr>
          <w:ilvl w:val="0"/>
          <w:numId w:val="7"/>
        </w:numPr>
        <w:tabs>
          <w:tab w:val="left" w:pos="669"/>
        </w:tabs>
        <w:spacing w:before="197"/>
        <w:ind w:left="360" w:hanging="360"/>
      </w:pPr>
      <w:r w:rsidRPr="00124446">
        <w:rPr>
          <w:rFonts w:ascii="Calibri" w:hAnsi="Calibri" w:cs="Calibri"/>
        </w:rPr>
        <w:t>Indicate how, by whom, and for what purpose the information is to be used. Except for a new collection, indicate the actual use the agency has made of the information received from the current</w:t>
      </w:r>
      <w:r w:rsidRPr="00124446">
        <w:rPr>
          <w:rFonts w:ascii="Calibri" w:hAnsi="Calibri" w:cs="Calibri"/>
          <w:spacing w:val="-1"/>
        </w:rPr>
        <w:t xml:space="preserve"> </w:t>
      </w:r>
      <w:r w:rsidRPr="00124446">
        <w:rPr>
          <w:rFonts w:ascii="Calibri" w:hAnsi="Calibri" w:cs="Calibri"/>
        </w:rPr>
        <w:t>collection.</w:t>
      </w:r>
    </w:p>
    <w:p w:rsidR="00A00E40" w:rsidP="00337A91" w14:paraId="6232CE99" w14:textId="519D6BE8">
      <w:pPr>
        <w:spacing w:before="161"/>
        <w:ind w:left="400"/>
        <w:rPr>
          <w:rFonts w:asciiTheme="minorHAnsi" w:hAnsiTheme="minorHAnsi" w:cstheme="minorHAnsi"/>
          <w:sz w:val="24"/>
          <w:szCs w:val="24"/>
        </w:rPr>
      </w:pPr>
      <w:r w:rsidRPr="00337A91">
        <w:rPr>
          <w:rFonts w:asciiTheme="minorHAnsi" w:hAnsiTheme="minorHAnsi" w:cstheme="minorHAnsi"/>
          <w:sz w:val="24"/>
          <w:szCs w:val="24"/>
        </w:rPr>
        <w:t>The CFS is the primary source of national and state-level data on domestic freight shipments by businesses</w:t>
      </w:r>
      <w:r w:rsidR="008A5488">
        <w:rPr>
          <w:rFonts w:asciiTheme="minorHAnsi" w:hAnsiTheme="minorHAnsi" w:cstheme="minorHAnsi"/>
          <w:sz w:val="24"/>
          <w:szCs w:val="24"/>
        </w:rPr>
        <w:t xml:space="preserve"> located in the United States</w:t>
      </w:r>
      <w:r w:rsidRPr="001E1D3F">
        <w:rPr>
          <w:rFonts w:asciiTheme="minorHAnsi" w:hAnsiTheme="minorHAnsi" w:cstheme="minorHAnsi"/>
          <w:sz w:val="24"/>
          <w:szCs w:val="24"/>
        </w:rPr>
        <w:t xml:space="preserve">. As a shipper-based survey, the CFS collects information on how U.S. establishments transport raw materials and finished goods; the types of commodities shipped by mode of transportation; the value, weight, origin, and destinations of shipments (including exports). The CFS does not </w:t>
      </w:r>
      <w:r w:rsidR="003F2C6F">
        <w:rPr>
          <w:rFonts w:asciiTheme="minorHAnsi" w:hAnsiTheme="minorHAnsi" w:cstheme="minorHAnsi"/>
          <w:sz w:val="24"/>
          <w:szCs w:val="24"/>
        </w:rPr>
        <w:t xml:space="preserve">directly measure </w:t>
      </w:r>
      <w:r w:rsidRPr="001E1D3F">
        <w:rPr>
          <w:rFonts w:asciiTheme="minorHAnsi" w:hAnsiTheme="minorHAnsi" w:cstheme="minorHAnsi"/>
          <w:sz w:val="24"/>
          <w:szCs w:val="24"/>
        </w:rPr>
        <w:t xml:space="preserve">imports or shipments originating in any U.S. territories. Industry coverage </w:t>
      </w:r>
      <w:r w:rsidRPr="001E1D3F">
        <w:rPr>
          <w:rFonts w:asciiTheme="minorHAnsi" w:hAnsiTheme="minorHAnsi" w:cstheme="minorHAnsi"/>
          <w:sz w:val="24"/>
          <w:szCs w:val="24"/>
        </w:rPr>
        <w:t>includes:</w:t>
      </w:r>
      <w:r w:rsidRPr="001E1D3F">
        <w:rPr>
          <w:rFonts w:asciiTheme="minorHAnsi" w:hAnsiTheme="minorHAnsi" w:cstheme="minorHAnsi"/>
          <w:sz w:val="24"/>
          <w:szCs w:val="24"/>
        </w:rPr>
        <w:t xml:space="preserve"> Mining, Manufacturing, Wholesale Trade, </w:t>
      </w:r>
      <w:r w:rsidR="003C0A99">
        <w:rPr>
          <w:rFonts w:asciiTheme="minorHAnsi" w:hAnsiTheme="minorHAnsi" w:cstheme="minorHAnsi"/>
          <w:sz w:val="24"/>
          <w:szCs w:val="24"/>
        </w:rPr>
        <w:t>s</w:t>
      </w:r>
      <w:r w:rsidRPr="001E1D3F">
        <w:rPr>
          <w:rFonts w:asciiTheme="minorHAnsi" w:hAnsiTheme="minorHAnsi" w:cstheme="minorHAnsi"/>
          <w:sz w:val="24"/>
          <w:szCs w:val="24"/>
        </w:rPr>
        <w:t>elect</w:t>
      </w:r>
      <w:r w:rsidRPr="00A00E40">
        <w:rPr>
          <w:rFonts w:asciiTheme="minorHAnsi" w:hAnsiTheme="minorHAnsi" w:cstheme="minorHAnsi"/>
          <w:sz w:val="24"/>
          <w:szCs w:val="24"/>
        </w:rPr>
        <w:t xml:space="preserve"> Retail and Services, and some auxiliary establishments (e.g., warehouses) of in-scope, multi-unit, and retail companies.</w:t>
      </w:r>
    </w:p>
    <w:p w:rsidR="009F57DA" w:rsidP="00337A91" w14:paraId="5A21EBB6" w14:textId="18EEF52F">
      <w:pPr>
        <w:spacing w:before="161"/>
        <w:ind w:left="400"/>
        <w:rPr>
          <w:rFonts w:asciiTheme="minorHAnsi" w:hAnsiTheme="minorHAnsi" w:cstheme="minorHAnsi"/>
          <w:sz w:val="24"/>
          <w:szCs w:val="24"/>
        </w:rPr>
      </w:pPr>
      <w:r>
        <w:rPr>
          <w:rFonts w:asciiTheme="minorHAnsi" w:hAnsiTheme="minorHAnsi" w:cstheme="minorHAnsi"/>
          <w:sz w:val="24"/>
          <w:szCs w:val="24"/>
        </w:rPr>
        <w:t xml:space="preserve">For the survey partners, </w:t>
      </w:r>
      <w:r w:rsidRPr="009F57DA">
        <w:rPr>
          <w:rFonts w:asciiTheme="minorHAnsi" w:hAnsiTheme="minorHAnsi" w:cstheme="minorHAnsi"/>
          <w:sz w:val="24"/>
          <w:szCs w:val="24"/>
        </w:rPr>
        <w:t>CFS data are</w:t>
      </w:r>
      <w:r>
        <w:rPr>
          <w:rFonts w:asciiTheme="minorHAnsi" w:hAnsiTheme="minorHAnsi" w:cstheme="minorHAnsi"/>
          <w:sz w:val="24"/>
          <w:szCs w:val="24"/>
        </w:rPr>
        <w:t xml:space="preserve"> </w:t>
      </w:r>
      <w:r w:rsidRPr="009F57DA">
        <w:rPr>
          <w:rFonts w:asciiTheme="minorHAnsi" w:hAnsiTheme="minorHAnsi" w:cstheme="minorHAnsi"/>
          <w:sz w:val="24"/>
          <w:szCs w:val="24"/>
        </w:rPr>
        <w:t xml:space="preserve">the primary input into </w:t>
      </w:r>
      <w:r>
        <w:rPr>
          <w:rFonts w:asciiTheme="minorHAnsi" w:hAnsiTheme="minorHAnsi" w:cstheme="minorHAnsi"/>
          <w:sz w:val="24"/>
          <w:szCs w:val="24"/>
        </w:rPr>
        <w:t>BTS</w:t>
      </w:r>
      <w:r w:rsidRPr="009F57DA">
        <w:rPr>
          <w:rFonts w:asciiTheme="minorHAnsi" w:hAnsiTheme="minorHAnsi" w:cstheme="minorHAnsi"/>
          <w:sz w:val="24"/>
          <w:szCs w:val="24"/>
        </w:rPr>
        <w:t>’s Freight Analysis Framework (FAF), which provides the only publicly available, nationally comprehensive, origin-destination data for freight moving to, from and within the United States. Such data enables analysts to trace where goods move and how supply chains change over time. FAF captures modal share information (truck, rail, water, air, pipeline), allowing all sectors of the economy to assess dependencies across different commodities and freight transportation modes to evaluate modal flexibility.</w:t>
      </w:r>
      <w:r>
        <w:rPr>
          <w:rFonts w:asciiTheme="minorHAnsi" w:hAnsiTheme="minorHAnsi" w:cstheme="minorHAnsi"/>
          <w:sz w:val="24"/>
          <w:szCs w:val="24"/>
        </w:rPr>
        <w:t xml:space="preserve"> The U.S Census Bureau also gains valuable transportation information from the CFS to enhance the Economic Census data.</w:t>
      </w:r>
    </w:p>
    <w:p w:rsidR="00FC2E68" w:rsidRPr="001E1D3F" w:rsidP="00337A91" w14:paraId="7E7BF44D" w14:textId="10EFFFBE">
      <w:pPr>
        <w:spacing w:before="161"/>
        <w:ind w:left="400"/>
        <w:rPr>
          <w:rFonts w:asciiTheme="minorHAnsi" w:hAnsiTheme="minorHAnsi" w:cstheme="minorHAnsi"/>
          <w:b/>
          <w:color w:val="FF0000"/>
          <w:sz w:val="24"/>
        </w:rPr>
      </w:pPr>
      <w:r w:rsidRPr="001E1D3F">
        <w:rPr>
          <w:rFonts w:asciiTheme="minorHAnsi" w:hAnsiTheme="minorHAnsi" w:cstheme="minorHAnsi"/>
          <w:sz w:val="24"/>
          <w:szCs w:val="24"/>
        </w:rPr>
        <w:t>At the federal level, the data from the CFS are required by a variety of agencies to help accomplish their missions. Results from the CFS help promote economic development and provide for an efficient U.S. transportation system. The CFS allows for better informed infrastructure investment decisions and contributes to the development of policies promoting public safety and protecting the natural environment affected by transportation.</w:t>
      </w:r>
    </w:p>
    <w:p w:rsidR="00FC2E68" w:rsidRPr="001E1D3F" w:rsidP="00FC2E68" w14:paraId="745825B5" w14:textId="77777777">
      <w:pPr>
        <w:rPr>
          <w:rFonts w:asciiTheme="minorHAnsi" w:hAnsiTheme="minorHAnsi" w:cstheme="minorHAnsi"/>
          <w:sz w:val="24"/>
          <w:szCs w:val="24"/>
        </w:rPr>
      </w:pPr>
    </w:p>
    <w:p w:rsidR="00FC2E68" w:rsidRPr="001E1D3F" w:rsidP="00FC2E68" w14:paraId="74AB74C8" w14:textId="77777777">
      <w:pPr>
        <w:ind w:left="720" w:firstLine="720"/>
        <w:rPr>
          <w:rFonts w:asciiTheme="minorHAnsi" w:hAnsiTheme="minorHAnsi" w:cstheme="minorHAnsi"/>
          <w:sz w:val="24"/>
          <w:szCs w:val="24"/>
        </w:rPr>
      </w:pPr>
      <w:r w:rsidRPr="001E1D3F">
        <w:rPr>
          <w:rFonts w:asciiTheme="minorHAnsi" w:hAnsiTheme="minorHAnsi" w:cstheme="minorHAnsi"/>
          <w:sz w:val="24"/>
          <w:szCs w:val="24"/>
        </w:rPr>
        <w:t>Users and supporters of CFS data at the federal level include:</w:t>
      </w:r>
    </w:p>
    <w:p w:rsidR="00FC2E68" w:rsidRPr="001E1D3F" w:rsidP="00FC2E68" w14:paraId="70AC0960"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 xml:space="preserve">Federal Highway Administration </w:t>
      </w:r>
    </w:p>
    <w:p w:rsidR="00FC2E68" w:rsidRPr="001E1D3F" w:rsidP="00FC2E68" w14:paraId="12F0974C"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 xml:space="preserve">Federal Railroad Administration  </w:t>
      </w:r>
    </w:p>
    <w:p w:rsidR="00FC2E68" w:rsidRPr="001E1D3F" w:rsidP="00FC2E68" w14:paraId="32E8F5FC"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 xml:space="preserve">Maritime Administration </w:t>
      </w:r>
    </w:p>
    <w:p w:rsidR="00FC2E68" w:rsidRPr="001E1D3F" w:rsidP="00FC2E68" w14:paraId="2E3180F1"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 xml:space="preserve">Pipeline and Hazardous Materials Safety Administration </w:t>
      </w:r>
    </w:p>
    <w:p w:rsidR="00FC2E68" w:rsidRPr="001E1D3F" w:rsidP="00FC2E68" w14:paraId="3C2C6076"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 xml:space="preserve">Bureau of Transportation Statistics </w:t>
      </w:r>
    </w:p>
    <w:p w:rsidR="00FC2E68" w:rsidRPr="001E1D3F" w:rsidP="00FC2E68" w14:paraId="0D7D7094"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 xml:space="preserve">Bureau of Economic Analysis </w:t>
      </w:r>
    </w:p>
    <w:p w:rsidR="00FC2E68" w:rsidRPr="001E1D3F" w:rsidP="00FC2E68" w14:paraId="20548BD9"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Bureau of Labor Statistics</w:t>
      </w:r>
    </w:p>
    <w:p w:rsidR="00FC2E68" w:rsidRPr="001E1D3F" w:rsidP="00FC2E68" w14:paraId="6685D281"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Federal Emergency Management Administration</w:t>
      </w:r>
    </w:p>
    <w:p w:rsidR="00FC2E68" w:rsidRPr="001E1D3F" w:rsidP="00FC2E68" w14:paraId="36E9946D"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U.S. Army Corps of Engineers</w:t>
      </w:r>
    </w:p>
    <w:p w:rsidR="00FC2E68" w:rsidRPr="001E1D3F" w:rsidP="00FC2E68" w14:paraId="39EFF336"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Department of Energy</w:t>
      </w:r>
    </w:p>
    <w:p w:rsidR="00FC2E68" w:rsidRPr="001E1D3F" w:rsidP="00FC2E68" w14:paraId="7E537677" w14:textId="77777777">
      <w:pPr>
        <w:pStyle w:val="Level1"/>
        <w:numPr>
          <w:ilvl w:val="0"/>
          <w:numId w:val="16"/>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r w:rsidRPr="001E1D3F">
        <w:rPr>
          <w:rFonts w:asciiTheme="minorHAnsi" w:hAnsiTheme="minorHAnsi" w:cstheme="minorHAnsi"/>
        </w:rPr>
        <w:t>Environmental Protection Agency</w:t>
      </w:r>
    </w:p>
    <w:p w:rsidR="00CC1F8B" w:rsidRPr="00EC0059" w:rsidP="00CC1F8B" w14:paraId="74CEB627" w14:textId="77777777">
      <w:pPr>
        <w:pStyle w:val="Level1"/>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autoSpaceDN/>
        <w:adjustRightInd/>
        <w:rPr>
          <w:rFonts w:asciiTheme="minorHAnsi" w:hAnsiTheme="minorHAnsi" w:cstheme="minorHAnsi"/>
        </w:rPr>
      </w:pPr>
    </w:p>
    <w:p w:rsidR="00CC1F8B" w:rsidRPr="00EC0059" w:rsidP="00CC1F8B" w14:paraId="3F67686E" w14:textId="36A555D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00"/>
        <w:rPr>
          <w:rFonts w:asciiTheme="minorHAnsi" w:hAnsiTheme="minorHAnsi" w:cstheme="minorHAnsi"/>
          <w:sz w:val="24"/>
          <w:szCs w:val="24"/>
        </w:rPr>
      </w:pPr>
      <w:r w:rsidRPr="00EC0059">
        <w:rPr>
          <w:rFonts w:asciiTheme="minorHAnsi" w:hAnsiTheme="minorHAnsi" w:cstheme="minorHAnsi"/>
          <w:sz w:val="24"/>
          <w:szCs w:val="24"/>
        </w:rPr>
        <w:t xml:space="preserve">The Bureau of Economic Analysis (BEA) relies heavily on data from the CFS to prepare the industry economic accounts of the United States. The CFS is BEA’s primary source of data for distributing the cost of transportation across individual commodities. The regional accounts utilize the CFS for their prototype estimates of merchandise trade by state. BEA uses information from the CFS to produce estimates on the use of transportation services by commodity in the benchmark input-output accounts (I-O). The benchmark I-O accounts are used in-turn in the estimation of BEA’s national income and product accounts, annual industry accounts, and travel and tourism satellite accounts. These accounts are widely used by business, government, and researchers to analyze industry performance and the changing structure of the U.S. economy. CFS data are BEA’s primary </w:t>
      </w:r>
      <w:r w:rsidRPr="008642EC" w:rsidR="008642EC">
        <w:rPr>
          <w:rFonts w:asciiTheme="minorHAnsi" w:hAnsiTheme="minorHAnsi" w:cstheme="minorHAnsi"/>
          <w:sz w:val="24"/>
          <w:szCs w:val="24"/>
        </w:rPr>
        <w:t>input</w:t>
      </w:r>
      <w:r w:rsidRPr="00EC0059">
        <w:rPr>
          <w:rFonts w:asciiTheme="minorHAnsi" w:hAnsiTheme="minorHAnsi" w:cstheme="minorHAnsi"/>
          <w:sz w:val="24"/>
          <w:szCs w:val="24"/>
        </w:rPr>
        <w:t xml:space="preserve"> for estimating each private industry’s purchases of transportation services by mode of transport. Without </w:t>
      </w:r>
      <w:r w:rsidRPr="00EC0059">
        <w:rPr>
          <w:rFonts w:asciiTheme="minorHAnsi" w:hAnsiTheme="minorHAnsi" w:cstheme="minorHAnsi"/>
          <w:sz w:val="24"/>
          <w:szCs w:val="24"/>
        </w:rPr>
        <w:t>these</w:t>
      </w:r>
      <w:r w:rsidRPr="00EC0059">
        <w:rPr>
          <w:rFonts w:asciiTheme="minorHAnsi" w:hAnsiTheme="minorHAnsi" w:cstheme="minorHAnsi"/>
          <w:sz w:val="24"/>
          <w:szCs w:val="24"/>
        </w:rPr>
        <w:t xml:space="preserve"> data, the accuracy of BEA’s estimates of value added (i.e., contribution to GDP) for every private industry would be reduced. </w:t>
      </w:r>
    </w:p>
    <w:p w:rsidR="00CC1F8B" w:rsidRPr="00EC0059" w:rsidP="009729B1" w14:paraId="295D34F9" w14:textId="13FF9163">
      <w:pPr>
        <w:spacing w:before="161"/>
        <w:ind w:left="400"/>
        <w:rPr>
          <w:rFonts w:asciiTheme="minorHAnsi" w:hAnsiTheme="minorHAnsi" w:cstheme="minorHAnsi"/>
          <w:sz w:val="24"/>
          <w:szCs w:val="24"/>
        </w:rPr>
      </w:pPr>
      <w:r w:rsidRPr="00EC0059">
        <w:rPr>
          <w:rFonts w:asciiTheme="minorHAnsi" w:hAnsiTheme="minorHAnsi" w:cstheme="minorHAnsi"/>
          <w:sz w:val="24"/>
          <w:szCs w:val="24"/>
        </w:rPr>
        <w:t xml:space="preserve">BEA’s prototype merchandise trade estimates by state rely on </w:t>
      </w:r>
      <w:r w:rsidR="00EC0059">
        <w:rPr>
          <w:rFonts w:asciiTheme="minorHAnsi" w:hAnsiTheme="minorHAnsi" w:cstheme="minorHAnsi"/>
          <w:sz w:val="24"/>
          <w:szCs w:val="24"/>
        </w:rPr>
        <w:t xml:space="preserve">various years of </w:t>
      </w:r>
      <w:r w:rsidRPr="00EC0059">
        <w:rPr>
          <w:rFonts w:asciiTheme="minorHAnsi" w:hAnsiTheme="minorHAnsi" w:cstheme="minorHAnsi"/>
          <w:sz w:val="24"/>
          <w:szCs w:val="24"/>
        </w:rPr>
        <w:t>the CFS public</w:t>
      </w:r>
      <w:r w:rsidR="006F07C7">
        <w:rPr>
          <w:rFonts w:asciiTheme="minorHAnsi" w:hAnsiTheme="minorHAnsi" w:cstheme="minorHAnsi"/>
          <w:sz w:val="24"/>
          <w:szCs w:val="24"/>
        </w:rPr>
        <w:t>-</w:t>
      </w:r>
      <w:r w:rsidRPr="00EC0059">
        <w:rPr>
          <w:rFonts w:asciiTheme="minorHAnsi" w:hAnsiTheme="minorHAnsi" w:cstheme="minorHAnsi"/>
          <w:sz w:val="24"/>
          <w:szCs w:val="24"/>
        </w:rPr>
        <w:t>use files. These prototype estimates would suffer without the CFS public-use files</w:t>
      </w:r>
      <w:r w:rsidR="006F07C7">
        <w:rPr>
          <w:rFonts w:asciiTheme="minorHAnsi" w:hAnsiTheme="minorHAnsi" w:cstheme="minorHAnsi"/>
          <w:sz w:val="24"/>
          <w:szCs w:val="24"/>
        </w:rPr>
        <w:t>,</w:t>
      </w:r>
      <w:r w:rsidRPr="00EC0059">
        <w:rPr>
          <w:rFonts w:asciiTheme="minorHAnsi" w:hAnsiTheme="minorHAnsi" w:cstheme="minorHAnsi"/>
          <w:sz w:val="24"/>
          <w:szCs w:val="24"/>
        </w:rPr>
        <w:t xml:space="preserve"> leading to loss in quality and accuracy. Currently, BEA makes use of the origin, destination, export flag, commodity, </w:t>
      </w:r>
      <w:r w:rsidRPr="00EC0059">
        <w:rPr>
          <w:rFonts w:asciiTheme="minorHAnsi" w:hAnsiTheme="minorHAnsi" w:cstheme="minorHAnsi"/>
          <w:sz w:val="24"/>
          <w:szCs w:val="24"/>
        </w:rPr>
        <w:t xml:space="preserve">industry of shipper, weight factor, and shipment value from the CFS public </w:t>
      </w:r>
      <w:r w:rsidR="006F07C7">
        <w:rPr>
          <w:rFonts w:asciiTheme="minorHAnsi" w:hAnsiTheme="minorHAnsi" w:cstheme="minorHAnsi"/>
          <w:sz w:val="24"/>
          <w:szCs w:val="24"/>
        </w:rPr>
        <w:t>-</w:t>
      </w:r>
      <w:r w:rsidRPr="00EC0059">
        <w:rPr>
          <w:rFonts w:asciiTheme="minorHAnsi" w:hAnsiTheme="minorHAnsi" w:cstheme="minorHAnsi"/>
          <w:sz w:val="24"/>
          <w:szCs w:val="24"/>
        </w:rPr>
        <w:t>use files, and there are plans to use the mode information within the CFS public</w:t>
      </w:r>
      <w:r w:rsidR="006F07C7">
        <w:rPr>
          <w:rFonts w:asciiTheme="minorHAnsi" w:hAnsiTheme="minorHAnsi" w:cstheme="minorHAnsi"/>
          <w:sz w:val="24"/>
          <w:szCs w:val="24"/>
        </w:rPr>
        <w:t>-</w:t>
      </w:r>
      <w:r w:rsidRPr="00EC0059">
        <w:rPr>
          <w:rFonts w:asciiTheme="minorHAnsi" w:hAnsiTheme="minorHAnsi" w:cstheme="minorHAnsi"/>
          <w:sz w:val="24"/>
          <w:szCs w:val="24"/>
        </w:rPr>
        <w:t xml:space="preserve">use files in future estimates of service trade by state. It would also be extremely useful to BEA to have additional commodity </w:t>
      </w:r>
      <w:r w:rsidRPr="00EC0059">
        <w:rPr>
          <w:rFonts w:asciiTheme="minorHAnsi" w:hAnsiTheme="minorHAnsi" w:cstheme="minorHAnsi"/>
          <w:sz w:val="24"/>
          <w:szCs w:val="24"/>
        </w:rPr>
        <w:t>detail</w:t>
      </w:r>
      <w:r w:rsidRPr="00EC0059">
        <w:rPr>
          <w:rFonts w:asciiTheme="minorHAnsi" w:hAnsiTheme="minorHAnsi" w:cstheme="minorHAnsi"/>
          <w:sz w:val="24"/>
          <w:szCs w:val="24"/>
        </w:rPr>
        <w:t xml:space="preserve"> in future CFS public</w:t>
      </w:r>
      <w:r w:rsidR="006F07C7">
        <w:rPr>
          <w:rFonts w:asciiTheme="minorHAnsi" w:hAnsiTheme="minorHAnsi" w:cstheme="minorHAnsi"/>
          <w:sz w:val="24"/>
          <w:szCs w:val="24"/>
        </w:rPr>
        <w:t>-</w:t>
      </w:r>
      <w:r w:rsidRPr="00EC0059">
        <w:rPr>
          <w:rFonts w:asciiTheme="minorHAnsi" w:hAnsiTheme="minorHAnsi" w:cstheme="minorHAnsi"/>
          <w:sz w:val="24"/>
          <w:szCs w:val="24"/>
        </w:rPr>
        <w:t xml:space="preserve">use file releases, as this greatly improves the accuracy of the estimated merchandise trade by state estimates. The CFS is currently investigating options to publish additional commodity </w:t>
      </w:r>
      <w:r w:rsidRPr="00EC0059">
        <w:rPr>
          <w:rFonts w:asciiTheme="minorHAnsi" w:hAnsiTheme="minorHAnsi" w:cstheme="minorHAnsi"/>
          <w:sz w:val="24"/>
          <w:szCs w:val="24"/>
        </w:rPr>
        <w:t>detail</w:t>
      </w:r>
      <w:r w:rsidRPr="00EC0059">
        <w:rPr>
          <w:rFonts w:asciiTheme="minorHAnsi" w:hAnsiTheme="minorHAnsi" w:cstheme="minorHAnsi"/>
          <w:sz w:val="24"/>
          <w:szCs w:val="24"/>
        </w:rPr>
        <w:t xml:space="preserve"> either in the standard release or as a special tabulation.</w:t>
      </w:r>
    </w:p>
    <w:p w:rsidR="00CC1F8B" w:rsidRPr="00337A91" w:rsidP="009F57DA" w14:paraId="2181CDD2" w14:textId="253544B4">
      <w:pPr>
        <w:spacing w:before="161"/>
        <w:ind w:left="400"/>
        <w:rPr>
          <w:rFonts w:asciiTheme="minorHAnsi" w:hAnsiTheme="minorHAnsi" w:cstheme="minorHAnsi"/>
          <w:sz w:val="24"/>
          <w:szCs w:val="24"/>
        </w:rPr>
      </w:pPr>
      <w:r w:rsidRPr="002471DA">
        <w:rPr>
          <w:rFonts w:asciiTheme="minorHAnsi" w:hAnsiTheme="minorHAnsi" w:cstheme="minorHAnsi"/>
          <w:sz w:val="24"/>
          <w:szCs w:val="24"/>
        </w:rPr>
        <w:t xml:space="preserve">The United States Department of Agriculture (USDA) utilizes CFS data to analyze agricultural product shipment patterns by truck across the U.S., identify bottlenecks, and support research on supply chain resilience. </w:t>
      </w:r>
    </w:p>
    <w:p w:rsidR="00CC1F8B" w:rsidRPr="00337A91" w:rsidP="00CC1F8B" w14:paraId="31395681" w14:textId="659F0F27">
      <w:pPr>
        <w:spacing w:before="161"/>
        <w:ind w:left="400"/>
        <w:rPr>
          <w:rFonts w:asciiTheme="minorHAnsi" w:hAnsiTheme="minorHAnsi" w:cstheme="minorHAnsi"/>
          <w:sz w:val="24"/>
          <w:szCs w:val="24"/>
        </w:rPr>
      </w:pPr>
      <w:r w:rsidRPr="00337A91">
        <w:rPr>
          <w:rFonts w:asciiTheme="minorHAnsi" w:hAnsiTheme="minorHAnsi" w:cstheme="minorHAnsi"/>
          <w:sz w:val="24"/>
          <w:szCs w:val="24"/>
        </w:rPr>
        <w:t>Transportation planners and policy makers in special interest areas have also identified CFS data as critical to their decision making. For example, CFS data on the types and magnitude of hazardous materials shipped in various geographic regions are critical in evaluating and setting policies on the movement of hazardous materials.</w:t>
      </w:r>
    </w:p>
    <w:p w:rsidR="00FC2E68" w:rsidRPr="00337A91" w:rsidP="00CC1F8B" w14:paraId="61AA19F2" w14:textId="278997AF">
      <w:pPr>
        <w:spacing w:before="161"/>
        <w:ind w:left="400"/>
        <w:rPr>
          <w:rFonts w:asciiTheme="minorHAnsi" w:hAnsiTheme="minorHAnsi" w:cstheme="minorHAnsi"/>
          <w:sz w:val="24"/>
          <w:szCs w:val="24"/>
        </w:rPr>
      </w:pPr>
      <w:r w:rsidRPr="00337A91">
        <w:rPr>
          <w:rFonts w:asciiTheme="minorHAnsi" w:hAnsiTheme="minorHAnsi" w:cstheme="minorHAnsi"/>
          <w:sz w:val="24"/>
          <w:szCs w:val="24"/>
        </w:rPr>
        <w:t>CFS data are also crucial to transportation managers, analysts, and researchers in the private sector. These data are used to identify trends in shipping activities, strength of market segments, costs associated with shipping and existing and potential transportation related issues requiring additional resources. Over the past cycle, the following data uses were identified from email inquiries:</w:t>
      </w:r>
    </w:p>
    <w:p w:rsidR="00FC2E68" w:rsidRPr="00337A91" w:rsidP="00FC2E68" w14:paraId="55B2421D"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asciiTheme="minorHAnsi" w:hAnsiTheme="minorHAnsi" w:cstheme="minorHAnsi"/>
          <w:sz w:val="24"/>
          <w:szCs w:val="24"/>
        </w:rPr>
      </w:pPr>
    </w:p>
    <w:p w:rsidR="00C86ADB" w:rsidRPr="00337A91" w:rsidP="00C86ADB" w14:paraId="32C0C20A" w14:textId="7777777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before="0"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Assessing transportation data in and out of Lee County, FL for Hurricane Ian disaster recovery efforts</w:t>
      </w:r>
    </w:p>
    <w:p w:rsidR="00C86ADB" w:rsidRPr="00337A91" w:rsidP="00C86ADB" w14:paraId="27E0DA5E" w14:textId="7777777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Creating a bibliography for data from government sources relevant to the Baltimore bridge collapse</w:t>
      </w:r>
    </w:p>
    <w:p w:rsidR="00C86ADB" w:rsidRPr="00337A91" w:rsidP="00C86ADB" w14:paraId="78260EBA" w14:textId="7777777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Researching carbon stocks and annual material flowing in and out of California as part of climate change mitigation efforts</w:t>
      </w:r>
    </w:p>
    <w:p w:rsidR="00C86ADB" w:rsidRPr="00337A91" w:rsidP="00C86ADB" w14:paraId="670FF9D1" w14:textId="7777777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Generating interindustry interregional trade relationships for a multiregional input-output model of the U.S. by estimating states’ abilities to fulfill their own demands for goods produced by manufacturing and mining industries and examining state-to-state trade among wholesalers and other identified service firms (financial) more generally</w:t>
      </w:r>
    </w:p>
    <w:p w:rsidR="00C86ADB" w:rsidRPr="00337A91" w:rsidP="00C86ADB" w14:paraId="6AEFB7B1" w14:textId="7777777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Formalizing a supply chain disruption model for the US</w:t>
      </w:r>
    </w:p>
    <w:p w:rsidR="00C86ADB" w:rsidRPr="00337A91" w:rsidP="00C86ADB" w14:paraId="0966E94E" w14:textId="7777777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 xml:space="preserve">Modeling freight flows for making better state-level GDP estimates </w:t>
      </w:r>
    </w:p>
    <w:p w:rsidR="00C86ADB" w:rsidRPr="00337A91" w:rsidP="00C86ADB" w14:paraId="4C110D4F" w14:textId="7736E33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 xml:space="preserve">Examining </w:t>
      </w:r>
      <w:r w:rsidRPr="00337A91" w:rsidR="00C257E4">
        <w:rPr>
          <w:rFonts w:asciiTheme="minorHAnsi" w:hAnsiTheme="minorHAnsi" w:cstheme="minorHAnsi"/>
          <w:sz w:val="24"/>
          <w:szCs w:val="24"/>
        </w:rPr>
        <w:t>commodities</w:t>
      </w:r>
      <w:r w:rsidRPr="00337A91">
        <w:rPr>
          <w:rFonts w:asciiTheme="minorHAnsi" w:hAnsiTheme="minorHAnsi" w:cstheme="minorHAnsi"/>
          <w:sz w:val="24"/>
          <w:szCs w:val="24"/>
        </w:rPr>
        <w:t xml:space="preserve"> and regions to see where modal competition does and does not appear strong</w:t>
      </w:r>
    </w:p>
    <w:p w:rsidR="00C86ADB" w:rsidRPr="00337A91" w:rsidP="00C86ADB" w14:paraId="45385D7A" w14:textId="7777777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before="0"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Investigating a proposed merger among egg producers by analyzing how far eggs are transported in the market</w:t>
      </w:r>
    </w:p>
    <w:p w:rsidR="00C86ADB" w:rsidRPr="00337A91" w:rsidP="00C86ADB" w14:paraId="1E66D9A1" w14:textId="77777777">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before="0"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Researching trade frictions using 5-digit SCTG data prior to 2012</w:t>
      </w:r>
    </w:p>
    <w:p w:rsidR="00CC1F8B" w:rsidRPr="00337A91" w:rsidP="00C86ADB" w14:paraId="5E16252F" w14:textId="6AB7B3D4">
      <w:pPr>
        <w:pStyle w:val="ListParagraph"/>
        <w:widowControl/>
        <w:numPr>
          <w:ilvl w:val="0"/>
          <w:numId w:val="1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before="0" w:after="200" w:line="276" w:lineRule="auto"/>
        <w:contextualSpacing/>
        <w:rPr>
          <w:rFonts w:asciiTheme="minorHAnsi" w:hAnsiTheme="minorHAnsi" w:cstheme="minorHAnsi"/>
          <w:sz w:val="24"/>
          <w:szCs w:val="24"/>
        </w:rPr>
      </w:pPr>
      <w:r w:rsidRPr="00337A91">
        <w:rPr>
          <w:rFonts w:asciiTheme="minorHAnsi" w:hAnsiTheme="minorHAnsi" w:cstheme="minorHAnsi"/>
          <w:sz w:val="24"/>
          <w:szCs w:val="24"/>
        </w:rPr>
        <w:t>Researching the air cargo business within the state of Hawaii using volume of air shipments by commodity and shipment value/weight for inter-island transportation</w:t>
      </w:r>
    </w:p>
    <w:p w:rsidR="00CC1F8B" w:rsidRPr="00337A91" w:rsidP="00CC1F8B" w14:paraId="38EA4433" w14:textId="77777777">
      <w:pPr>
        <w:pStyle w:val="ListParagraph"/>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before="0" w:after="200" w:line="276" w:lineRule="auto"/>
        <w:ind w:left="1800" w:firstLine="0"/>
        <w:contextualSpacing/>
        <w:rPr>
          <w:rFonts w:asciiTheme="minorHAnsi" w:hAnsiTheme="minorHAnsi" w:cstheme="minorHAnsi"/>
          <w:sz w:val="24"/>
          <w:szCs w:val="24"/>
        </w:rPr>
      </w:pPr>
    </w:p>
    <w:p w:rsidR="00FC2E68" w:rsidRPr="00337A91" w:rsidP="009729B1" w14:paraId="7689D2A6" w14:textId="6AABD7E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spacing w:after="200" w:line="276" w:lineRule="auto"/>
        <w:ind w:left="720"/>
        <w:contextualSpacing/>
        <w:rPr>
          <w:rFonts w:asciiTheme="minorHAnsi" w:hAnsiTheme="minorHAnsi" w:cstheme="minorHAnsi"/>
          <w:sz w:val="24"/>
          <w:szCs w:val="24"/>
        </w:rPr>
      </w:pPr>
      <w:r w:rsidRPr="00337A91">
        <w:rPr>
          <w:rFonts w:asciiTheme="minorHAnsi" w:hAnsiTheme="minorHAnsi" w:cstheme="minorHAnsi"/>
          <w:sz w:val="24"/>
          <w:szCs w:val="24"/>
        </w:rPr>
        <w:t>The CFS has received support from a wide range of users expressing the need for the unique data produced by the survey.</w:t>
      </w:r>
    </w:p>
    <w:p w:rsidR="00B82768" w:rsidRPr="00B90A43" w:rsidP="00B90A43" w14:paraId="0D0B940D" w14:textId="77777777">
      <w:pPr>
        <w:tabs>
          <w:tab w:val="left" w:pos="669"/>
        </w:tabs>
        <w:spacing w:before="199"/>
        <w:rPr>
          <w:rFonts w:ascii="Calibri" w:hAnsi="Calibri" w:cs="Calibri"/>
          <w:sz w:val="24"/>
          <w:szCs w:val="24"/>
        </w:rPr>
      </w:pPr>
    </w:p>
    <w:p w:rsidR="00201347" w:rsidRPr="00124446" w:rsidP="00844D2F" w14:paraId="0D6FD0C8" w14:textId="77777777">
      <w:pPr>
        <w:pStyle w:val="ListParagraph"/>
        <w:numPr>
          <w:ilvl w:val="0"/>
          <w:numId w:val="7"/>
        </w:numPr>
        <w:tabs>
          <w:tab w:val="left" w:pos="669"/>
        </w:tabs>
        <w:spacing w:before="199"/>
        <w:ind w:left="360" w:hanging="360"/>
        <w:rPr>
          <w:rFonts w:ascii="Calibri" w:hAnsi="Calibri" w:cs="Calibri"/>
          <w:b/>
          <w:sz w:val="24"/>
        </w:rPr>
      </w:pPr>
      <w:r w:rsidRPr="00124446">
        <w:rPr>
          <w:rFonts w:ascii="Calibri" w:hAnsi="Calibri" w:cs="Calibri"/>
          <w:b/>
          <w:sz w:val="24"/>
        </w:rPr>
        <w:t xml:space="preserve">Describe whether, and to what extent, the collection of information involves the use of automated, electronic, mechanical, or other technological collection </w:t>
      </w:r>
      <w:r w:rsidRPr="00B82768">
        <w:rPr>
          <w:rFonts w:ascii="Calibri" w:hAnsi="Calibri" w:cs="Calibri"/>
          <w:b/>
          <w:sz w:val="24"/>
        </w:rPr>
        <w:t>techniques</w:t>
      </w:r>
      <w:r w:rsidRPr="00124446">
        <w:rPr>
          <w:rFonts w:ascii="Calibri" w:hAnsi="Calibri" w:cs="Calibri"/>
          <w:b/>
          <w:sz w:val="24"/>
        </w:rPr>
        <w:t xml:space="preserve"> or other forms of information technology, e.g. permitting electronic submission of responses, and the basis for the decision </w:t>
      </w:r>
      <w:r w:rsidRPr="00124446">
        <w:rPr>
          <w:rFonts w:ascii="Calibri" w:hAnsi="Calibri" w:cs="Calibri"/>
          <w:b/>
          <w:sz w:val="24"/>
        </w:rPr>
        <w:t>for adopting</w:t>
      </w:r>
      <w:r w:rsidRPr="00124446">
        <w:rPr>
          <w:rFonts w:ascii="Calibri" w:hAnsi="Calibri" w:cs="Calibri"/>
          <w:b/>
          <w:sz w:val="24"/>
        </w:rPr>
        <w:t xml:space="preserve"> this means of collection. Also, describe any consideration of using information technology to reduce</w:t>
      </w:r>
      <w:r w:rsidRPr="00124446">
        <w:rPr>
          <w:rFonts w:ascii="Calibri" w:hAnsi="Calibri" w:cs="Calibri"/>
          <w:b/>
          <w:spacing w:val="-6"/>
          <w:sz w:val="24"/>
        </w:rPr>
        <w:t xml:space="preserve"> </w:t>
      </w:r>
      <w:r w:rsidRPr="00124446">
        <w:rPr>
          <w:rFonts w:ascii="Calibri" w:hAnsi="Calibri" w:cs="Calibri"/>
          <w:b/>
          <w:sz w:val="24"/>
        </w:rPr>
        <w:t>burden.</w:t>
      </w:r>
    </w:p>
    <w:p w:rsidR="00F31D0F" w:rsidRPr="00337A91" w:rsidP="00F31D0F" w14:paraId="488890A4" w14:textId="2AE755A3">
      <w:pPr>
        <w:pStyle w:val="ListParagraph"/>
        <w:widowControl/>
        <w:autoSpaceDE/>
        <w:autoSpaceDN/>
        <w:spacing w:line="300" w:lineRule="atLeast"/>
        <w:ind w:left="400" w:firstLine="0"/>
        <w:rPr>
          <w:rFonts w:eastAsia="Times New Roman" w:asciiTheme="minorHAnsi" w:hAnsiTheme="minorHAnsi" w:cstheme="minorHAnsi"/>
          <w:sz w:val="24"/>
          <w:szCs w:val="24"/>
          <w:lang w:bidi="ar-SA"/>
        </w:rPr>
      </w:pPr>
      <w:r w:rsidRPr="00EC0059">
        <w:rPr>
          <w:rFonts w:eastAsia="Times New Roman" w:asciiTheme="minorHAnsi" w:hAnsiTheme="minorHAnsi" w:cstheme="minorHAnsi"/>
          <w:sz w:val="24"/>
          <w:szCs w:val="24"/>
          <w:lang w:bidi="ar-SA"/>
        </w:rPr>
        <w:t xml:space="preserve">For the 2027 Commodity Flow Survey (CFS), both the pre-screener and main surveys will be conducted online using </w:t>
      </w:r>
      <w:r w:rsidRPr="00DB028A" w:rsidR="00DB028A">
        <w:rPr>
          <w:rFonts w:eastAsia="Times New Roman" w:asciiTheme="minorHAnsi" w:hAnsiTheme="minorHAnsi" w:cstheme="minorHAnsi"/>
          <w:sz w:val="24"/>
          <w:szCs w:val="24"/>
          <w:lang w:bidi="ar-SA"/>
        </w:rPr>
        <w:t>Centurion, the Census Bureau’s secure online survey collection tool</w:t>
      </w:r>
      <w:r w:rsidRPr="00337A91">
        <w:rPr>
          <w:rFonts w:eastAsia="Times New Roman" w:asciiTheme="minorHAnsi" w:hAnsiTheme="minorHAnsi" w:cstheme="minorHAnsi"/>
          <w:sz w:val="24"/>
          <w:szCs w:val="24"/>
          <w:lang w:bidi="ar-SA"/>
        </w:rPr>
        <w:t>.</w:t>
      </w:r>
    </w:p>
    <w:p w:rsidR="001B032C" w:rsidRPr="00337A91" w:rsidP="001B032C" w14:paraId="0C300D70" w14:textId="77777777">
      <w:pPr>
        <w:pStyle w:val="ListParagraph"/>
        <w:widowControl/>
        <w:numPr>
          <w:ilvl w:val="0"/>
          <w:numId w:val="22"/>
        </w:numPr>
        <w:autoSpaceDE/>
        <w:autoSpaceDN/>
        <w:rPr>
          <w:rFonts w:eastAsia="Times New Roman" w:asciiTheme="minorHAnsi" w:hAnsiTheme="minorHAnsi" w:cstheme="minorHAnsi"/>
          <w:sz w:val="21"/>
          <w:szCs w:val="21"/>
          <w:lang w:bidi="ar-SA"/>
        </w:rPr>
      </w:pPr>
      <w:r w:rsidRPr="00337A91">
        <w:rPr>
          <w:rFonts w:eastAsia="Times New Roman" w:asciiTheme="minorHAnsi" w:hAnsiTheme="minorHAnsi" w:cstheme="minorHAnsi"/>
          <w:sz w:val="24"/>
          <w:szCs w:val="24"/>
          <w:lang w:bidi="ar-SA"/>
        </w:rPr>
        <w:t>Pre-screener Survey:</w:t>
      </w:r>
      <w:r w:rsidRPr="00337A91">
        <w:rPr>
          <w:rFonts w:eastAsia="Times New Roman" w:asciiTheme="minorHAnsi" w:hAnsiTheme="minorHAnsi" w:cstheme="minorHAnsi"/>
          <w:sz w:val="21"/>
          <w:szCs w:val="21"/>
          <w:lang w:bidi="ar-SA"/>
        </w:rPr>
        <w:t xml:space="preserve"> </w:t>
      </w:r>
    </w:p>
    <w:p w:rsidR="001B032C" w:rsidRPr="00EC0059" w:rsidP="260BE006" w14:paraId="448D25FA" w14:textId="1C6BBD0A">
      <w:pPr>
        <w:pStyle w:val="ListParagraph"/>
        <w:widowControl/>
        <w:numPr>
          <w:ilvl w:val="1"/>
          <w:numId w:val="22"/>
        </w:numPr>
        <w:autoSpaceDE/>
        <w:autoSpaceDN/>
        <w:rPr>
          <w:lang w:bidi="ar-SA"/>
        </w:rPr>
      </w:pPr>
      <w:r w:rsidRPr="260BE006">
        <w:rPr>
          <w:rFonts w:eastAsia="Times New Roman" w:asciiTheme="minorAscii" w:hAnsiTheme="minorAscii" w:cstheme="minorAscii"/>
          <w:sz w:val="24"/>
          <w:szCs w:val="24"/>
          <w:lang w:bidi="ar-SA"/>
        </w:rPr>
        <w:t xml:space="preserve">Respondents will access Centurion via login credentials provided in the survey invitation. They will report for one fixed </w:t>
      </w:r>
      <w:r w:rsidRPr="260BE006" w:rsidR="004951FD">
        <w:rPr>
          <w:rFonts w:eastAsia="Times New Roman" w:asciiTheme="minorAscii" w:hAnsiTheme="minorAscii" w:cstheme="minorAscii"/>
          <w:sz w:val="24"/>
          <w:szCs w:val="24"/>
          <w:lang w:bidi="ar-SA"/>
        </w:rPr>
        <w:t xml:space="preserve">time </w:t>
      </w:r>
      <w:r w:rsidRPr="260BE006">
        <w:rPr>
          <w:rFonts w:eastAsia="Times New Roman" w:asciiTheme="minorAscii" w:hAnsiTheme="minorAscii" w:cstheme="minorAscii"/>
          <w:sz w:val="24"/>
          <w:szCs w:val="24"/>
          <w:lang w:bidi="ar-SA"/>
        </w:rPr>
        <w:t>period</w:t>
      </w:r>
      <w:r w:rsidRPr="260BE006" w:rsidR="00E10133">
        <w:rPr>
          <w:rFonts w:eastAsia="Times New Roman" w:asciiTheme="minorAscii" w:hAnsiTheme="minorAscii" w:cstheme="minorAscii"/>
          <w:sz w:val="24"/>
          <w:szCs w:val="24"/>
          <w:lang w:bidi="ar-SA"/>
        </w:rPr>
        <w:t xml:space="preserve"> (</w:t>
      </w:r>
      <w:r w:rsidRPr="260BE006" w:rsidR="00DB028A">
        <w:rPr>
          <w:rFonts w:eastAsia="Times New Roman" w:asciiTheme="minorAscii" w:hAnsiTheme="minorAscii" w:cstheme="minorAscii"/>
          <w:sz w:val="24"/>
          <w:szCs w:val="24"/>
          <w:lang w:bidi="ar-SA"/>
        </w:rPr>
        <w:t xml:space="preserve">Quarter zero (i.e., </w:t>
      </w:r>
      <w:r w:rsidRPr="260BE006" w:rsidR="00E10133">
        <w:rPr>
          <w:rFonts w:eastAsia="Times New Roman" w:asciiTheme="minorAscii" w:hAnsiTheme="minorAscii" w:cstheme="minorAscii"/>
          <w:sz w:val="24"/>
          <w:szCs w:val="24"/>
          <w:lang w:bidi="ar-SA"/>
        </w:rPr>
        <w:t>Q0</w:t>
      </w:r>
      <w:r w:rsidRPr="260BE006" w:rsidR="00DB028A">
        <w:rPr>
          <w:rFonts w:eastAsia="Times New Roman" w:asciiTheme="minorAscii" w:hAnsiTheme="minorAscii" w:cstheme="minorAscii"/>
          <w:sz w:val="24"/>
          <w:szCs w:val="24"/>
          <w:lang w:bidi="ar-SA"/>
        </w:rPr>
        <w:t>)</w:t>
      </w:r>
      <w:r w:rsidRPr="260BE006" w:rsidR="00E10133">
        <w:rPr>
          <w:rFonts w:eastAsia="Times New Roman" w:asciiTheme="minorAscii" w:hAnsiTheme="minorAscii" w:cstheme="minorAscii"/>
          <w:sz w:val="24"/>
          <w:szCs w:val="24"/>
          <w:lang w:bidi="ar-SA"/>
        </w:rPr>
        <w:t>)</w:t>
      </w:r>
      <w:r w:rsidRPr="260BE006">
        <w:rPr>
          <w:rFonts w:eastAsia="Times New Roman" w:asciiTheme="minorAscii" w:hAnsiTheme="minorAscii" w:cstheme="minorAscii"/>
          <w:sz w:val="24"/>
          <w:szCs w:val="24"/>
          <w:lang w:bidi="ar-SA"/>
        </w:rPr>
        <w:t xml:space="preserve"> </w:t>
      </w:r>
      <w:r w:rsidRPr="260BE006">
        <w:rPr>
          <w:rFonts w:eastAsia="Times New Roman" w:asciiTheme="minorAscii" w:hAnsiTheme="minorAscii" w:cstheme="minorAscii"/>
          <w:sz w:val="24"/>
          <w:szCs w:val="24"/>
          <w:lang w:bidi="ar-SA"/>
        </w:rPr>
        <w:t xml:space="preserve">before the main survey </w:t>
      </w:r>
      <w:r w:rsidRPr="260BE006">
        <w:rPr>
          <w:rFonts w:eastAsia="Times New Roman" w:asciiTheme="minorAscii" w:hAnsiTheme="minorAscii" w:cstheme="minorAscii"/>
          <w:sz w:val="24"/>
          <w:szCs w:val="24"/>
          <w:lang w:bidi="ar-SA"/>
        </w:rPr>
        <w:t>begins.</w:t>
      </w:r>
    </w:p>
    <w:p w:rsidR="001B032C" w:rsidRPr="00EC0059" w:rsidP="004B28C7" w14:paraId="098F7E92" w14:textId="77777777">
      <w:pPr>
        <w:pStyle w:val="ListParagraph"/>
        <w:numPr>
          <w:ilvl w:val="0"/>
          <w:numId w:val="22"/>
        </w:numPr>
        <w:rPr>
          <w:rFonts w:asciiTheme="minorHAnsi" w:hAnsiTheme="minorHAnsi" w:cstheme="minorHAnsi"/>
          <w:b/>
          <w:sz w:val="24"/>
        </w:rPr>
      </w:pPr>
      <w:r w:rsidRPr="00EC0059">
        <w:rPr>
          <w:rFonts w:eastAsia="Times New Roman" w:asciiTheme="minorHAnsi" w:hAnsiTheme="minorHAnsi" w:cstheme="minorHAnsi"/>
          <w:sz w:val="24"/>
          <w:szCs w:val="24"/>
          <w:lang w:bidi="ar-SA"/>
        </w:rPr>
        <w:t xml:space="preserve">Main Survey: </w:t>
      </w:r>
    </w:p>
    <w:p w:rsidR="00DB028A" w:rsidRPr="00337A91" w:rsidP="001B032C" w14:paraId="761154C4" w14:textId="2C12EF6A">
      <w:pPr>
        <w:pStyle w:val="ListParagraph"/>
        <w:numPr>
          <w:ilvl w:val="1"/>
          <w:numId w:val="22"/>
        </w:numPr>
        <w:rPr>
          <w:rFonts w:asciiTheme="minorHAnsi" w:hAnsiTheme="minorHAnsi" w:cstheme="minorHAnsi"/>
          <w:b/>
          <w:sz w:val="24"/>
        </w:rPr>
      </w:pPr>
      <w:r w:rsidRPr="00337A91">
        <w:rPr>
          <w:rFonts w:eastAsia="Times New Roman" w:asciiTheme="minorHAnsi" w:hAnsiTheme="minorHAnsi" w:cstheme="minorHAnsi"/>
          <w:sz w:val="24"/>
          <w:szCs w:val="24"/>
          <w:lang w:bidi="ar-SA"/>
        </w:rPr>
        <w:t>Respondents will use the Census Bureau’s Respondent Portal to access Centurion</w:t>
      </w:r>
      <w:r w:rsidRPr="00337A91" w:rsidR="00E10133">
        <w:rPr>
          <w:rFonts w:eastAsia="Times New Roman" w:asciiTheme="minorHAnsi" w:hAnsiTheme="minorHAnsi" w:cstheme="minorHAnsi"/>
          <w:sz w:val="24"/>
          <w:szCs w:val="24"/>
          <w:lang w:bidi="ar-SA"/>
        </w:rPr>
        <w:t xml:space="preserve"> for this survey</w:t>
      </w:r>
      <w:r w:rsidRPr="00337A91">
        <w:rPr>
          <w:rFonts w:eastAsia="Times New Roman" w:asciiTheme="minorHAnsi" w:hAnsiTheme="minorHAnsi" w:cstheme="minorHAnsi"/>
          <w:sz w:val="24"/>
          <w:szCs w:val="24"/>
          <w:lang w:bidi="ar-SA"/>
        </w:rPr>
        <w:t xml:space="preserve">. </w:t>
      </w:r>
      <w:r w:rsidRPr="00DB028A">
        <w:rPr>
          <w:rFonts w:eastAsia="Times New Roman" w:asciiTheme="minorHAnsi" w:hAnsiTheme="minorHAnsi" w:cstheme="minorHAnsi"/>
          <w:sz w:val="24"/>
          <w:szCs w:val="24"/>
          <w:lang w:bidi="ar-SA"/>
        </w:rPr>
        <w:t xml:space="preserve">Centurion is designed to make the reporting process more flexible, secure, and convenient for respondents. The response-driven nature of the instrument also reduces respondent burden. Respondents can complete the entire survey in one session or work on the survey over several sessions. Centurion automatically saves the entered data when the user proceeds to the next screen, so the users can return later and pick up exactly where they previously left off. The data provided electronically by respondents are immediately available to the Census Bureau. The use of this system also reduces paper usage, as it eliminates paper forms in the initial and follow-up mailings. In </w:t>
      </w:r>
      <w:r w:rsidRPr="00DB028A" w:rsidR="00C257E4">
        <w:rPr>
          <w:rFonts w:eastAsia="Times New Roman" w:asciiTheme="minorHAnsi" w:hAnsiTheme="minorHAnsi" w:cstheme="minorHAnsi"/>
          <w:sz w:val="24"/>
          <w:szCs w:val="24"/>
          <w:lang w:bidi="ar-SA"/>
        </w:rPr>
        <w:t>rare situations</w:t>
      </w:r>
      <w:r w:rsidRPr="00DB028A">
        <w:rPr>
          <w:rFonts w:eastAsia="Times New Roman" w:asciiTheme="minorHAnsi" w:hAnsiTheme="minorHAnsi" w:cstheme="minorHAnsi"/>
          <w:sz w:val="24"/>
          <w:szCs w:val="24"/>
          <w:lang w:bidi="ar-SA"/>
        </w:rPr>
        <w:t xml:space="preserve"> where a respondent does not have access to the Internet, the data may be collected by telephone.</w:t>
      </w:r>
      <w:r>
        <w:rPr>
          <w:rFonts w:eastAsia="Times New Roman" w:asciiTheme="minorHAnsi" w:hAnsiTheme="minorHAnsi" w:cstheme="minorHAnsi"/>
          <w:sz w:val="24"/>
          <w:szCs w:val="24"/>
          <w:lang w:bidi="ar-SA"/>
        </w:rPr>
        <w:t xml:space="preserve"> </w:t>
      </w:r>
    </w:p>
    <w:p w:rsidR="004B28C7" w:rsidRPr="00625470" w:rsidP="001B032C" w14:paraId="7EAF948D" w14:textId="40F72044">
      <w:pPr>
        <w:pStyle w:val="ListParagraph"/>
        <w:numPr>
          <w:ilvl w:val="1"/>
          <w:numId w:val="22"/>
        </w:numPr>
        <w:rPr>
          <w:rFonts w:asciiTheme="minorHAnsi" w:hAnsiTheme="minorHAnsi" w:cstheme="minorHAnsi"/>
          <w:b/>
          <w:sz w:val="24"/>
        </w:rPr>
      </w:pPr>
      <w:r w:rsidRPr="00625470">
        <w:rPr>
          <w:rFonts w:asciiTheme="minorHAnsi" w:hAnsiTheme="minorHAnsi" w:cstheme="minorHAnsi"/>
          <w:sz w:val="24"/>
          <w:szCs w:val="24"/>
        </w:rPr>
        <w:t xml:space="preserve">The Respondent Portal is an online portal that allows respondents to report for </w:t>
      </w:r>
      <w:r w:rsidR="00DB028A">
        <w:rPr>
          <w:rFonts w:asciiTheme="minorHAnsi" w:hAnsiTheme="minorHAnsi" w:cstheme="minorHAnsi"/>
          <w:sz w:val="24"/>
          <w:szCs w:val="24"/>
        </w:rPr>
        <w:t>the</w:t>
      </w:r>
      <w:r w:rsidRPr="00625470" w:rsidR="00DB028A">
        <w:rPr>
          <w:rFonts w:asciiTheme="minorHAnsi" w:hAnsiTheme="minorHAnsi" w:cstheme="minorHAnsi"/>
          <w:sz w:val="24"/>
          <w:szCs w:val="24"/>
        </w:rPr>
        <w:t xml:space="preserve"> </w:t>
      </w:r>
      <w:r w:rsidRPr="00625470">
        <w:rPr>
          <w:rFonts w:asciiTheme="minorHAnsi" w:hAnsiTheme="minorHAnsi" w:cstheme="minorHAnsi"/>
          <w:sz w:val="24"/>
          <w:szCs w:val="24"/>
        </w:rPr>
        <w:t>Census Bureau surveys</w:t>
      </w:r>
      <w:r w:rsidR="00DB028A">
        <w:rPr>
          <w:rFonts w:asciiTheme="minorHAnsi" w:hAnsiTheme="minorHAnsi" w:cstheme="minorHAnsi"/>
          <w:sz w:val="24"/>
          <w:szCs w:val="24"/>
        </w:rPr>
        <w:t xml:space="preserve"> in which they’ve been selected</w:t>
      </w:r>
      <w:r w:rsidRPr="00625470">
        <w:rPr>
          <w:rFonts w:asciiTheme="minorHAnsi" w:hAnsiTheme="minorHAnsi" w:cstheme="minorHAnsi"/>
          <w:sz w:val="24"/>
          <w:szCs w:val="24"/>
        </w:rPr>
        <w:t>.</w:t>
      </w:r>
      <w:r w:rsidRPr="00625470" w:rsidR="001B032C">
        <w:rPr>
          <w:rFonts w:asciiTheme="minorHAnsi" w:hAnsiTheme="minorHAnsi" w:cstheme="minorHAnsi"/>
          <w:sz w:val="24"/>
          <w:szCs w:val="24"/>
        </w:rPr>
        <w:t xml:space="preserve"> </w:t>
      </w:r>
      <w:r w:rsidRPr="00625470">
        <w:rPr>
          <w:rFonts w:asciiTheme="minorHAnsi" w:hAnsiTheme="minorHAnsi" w:cstheme="minorHAnsi"/>
          <w:sz w:val="24"/>
          <w:szCs w:val="24"/>
        </w:rPr>
        <w:t>Respondents will be asked to set up an account on the Respondent Portal if they do not already have one from reporting on other surveys. If respondents already have an account, they can simply log in, enter the authentication code that will be provided in the survey invitation, and then access Centurion to begin reporting electronically. Through the Respondent Portal</w:t>
      </w:r>
      <w:r w:rsidR="00DB028A">
        <w:rPr>
          <w:rFonts w:asciiTheme="minorHAnsi" w:hAnsiTheme="minorHAnsi" w:cstheme="minorHAnsi"/>
          <w:sz w:val="24"/>
          <w:szCs w:val="24"/>
        </w:rPr>
        <w:t>,</w:t>
      </w:r>
      <w:r w:rsidRPr="00625470">
        <w:rPr>
          <w:rFonts w:asciiTheme="minorHAnsi" w:hAnsiTheme="minorHAnsi" w:cstheme="minorHAnsi"/>
          <w:sz w:val="24"/>
          <w:szCs w:val="24"/>
        </w:rPr>
        <w:t xml:space="preserve"> users will also be able to learn more about the survey, check their filing status or communicate with a Census Bureau representative through </w:t>
      </w:r>
      <w:r w:rsidR="00DB028A">
        <w:rPr>
          <w:rFonts w:asciiTheme="minorHAnsi" w:hAnsiTheme="minorHAnsi" w:cstheme="minorHAnsi"/>
          <w:sz w:val="24"/>
          <w:szCs w:val="24"/>
        </w:rPr>
        <w:t xml:space="preserve">secure </w:t>
      </w:r>
      <w:r w:rsidRPr="00625470">
        <w:rPr>
          <w:rFonts w:asciiTheme="minorHAnsi" w:hAnsiTheme="minorHAnsi" w:cstheme="minorHAnsi"/>
          <w:sz w:val="24"/>
          <w:szCs w:val="24"/>
        </w:rPr>
        <w:t xml:space="preserve">email. The Respondent portal ensures respondent correspondence is handled with complete security, safety, and confidentiality. </w:t>
      </w:r>
    </w:p>
    <w:p w:rsidR="008322D0" w:rsidRPr="00625470" w:rsidP="260BE006" w14:paraId="0EAA55FB" w14:textId="6816396C">
      <w:pPr>
        <w:pStyle w:val="ListParagraph"/>
        <w:widowControl/>
        <w:numPr>
          <w:ilvl w:val="1"/>
          <w:numId w:val="22"/>
        </w:numPr>
        <w:autoSpaceDE/>
        <w:autoSpaceDN/>
        <w:spacing w:line="300" w:lineRule="atLeast"/>
        <w:rPr>
          <w:lang w:bidi="ar-SA"/>
        </w:rPr>
      </w:pPr>
      <w:r w:rsidRPr="260BE006">
        <w:rPr>
          <w:rFonts w:asciiTheme="minorAscii" w:hAnsiTheme="minorAscii" w:cstheme="minorAscii"/>
          <w:sz w:val="24"/>
          <w:szCs w:val="24"/>
        </w:rPr>
        <w:t>R</w:t>
      </w:r>
      <w:r w:rsidRPr="260BE006" w:rsidR="00D53BE9">
        <w:rPr>
          <w:rFonts w:asciiTheme="minorAscii" w:hAnsiTheme="minorAscii" w:cstheme="minorAscii"/>
          <w:sz w:val="24"/>
          <w:szCs w:val="24"/>
        </w:rPr>
        <w:t xml:space="preserve">espondents </w:t>
      </w:r>
      <w:r w:rsidRPr="260BE006" w:rsidR="00470669">
        <w:rPr>
          <w:rFonts w:asciiTheme="minorAscii" w:hAnsiTheme="minorAscii" w:cstheme="minorAscii"/>
          <w:sz w:val="24"/>
          <w:szCs w:val="24"/>
        </w:rPr>
        <w:t xml:space="preserve">for the main survey </w:t>
      </w:r>
      <w:r w:rsidRPr="260BE006" w:rsidR="00D53BE9">
        <w:rPr>
          <w:rFonts w:asciiTheme="minorAscii" w:hAnsiTheme="minorAscii" w:cstheme="minorAscii"/>
          <w:sz w:val="24"/>
          <w:szCs w:val="24"/>
        </w:rPr>
        <w:t>will report online for all four quarters</w:t>
      </w:r>
      <w:r w:rsidRPr="260BE006" w:rsidR="00031757">
        <w:rPr>
          <w:rFonts w:asciiTheme="minorAscii" w:hAnsiTheme="minorAscii" w:cstheme="minorAscii"/>
          <w:sz w:val="24"/>
          <w:szCs w:val="24"/>
        </w:rPr>
        <w:t xml:space="preserve"> (Q1-Q4)</w:t>
      </w:r>
      <w:r w:rsidRPr="260BE006" w:rsidR="00D53BE9">
        <w:rPr>
          <w:rFonts w:asciiTheme="minorAscii" w:hAnsiTheme="minorAscii" w:cstheme="minorAscii"/>
          <w:sz w:val="24"/>
          <w:szCs w:val="24"/>
        </w:rPr>
        <w:t xml:space="preserve"> of 2027. Centurion will </w:t>
      </w:r>
      <w:r w:rsidRPr="260BE006" w:rsidR="00D53BE9">
        <w:rPr>
          <w:rFonts w:asciiTheme="minorAscii" w:hAnsiTheme="minorAscii" w:cstheme="minorAscii"/>
          <w:sz w:val="24"/>
          <w:szCs w:val="24"/>
        </w:rPr>
        <w:t>provide</w:t>
      </w:r>
      <w:r w:rsidRPr="260BE006" w:rsidR="00D53BE9">
        <w:rPr>
          <w:rFonts w:asciiTheme="minorAscii" w:hAnsiTheme="minorAscii" w:cstheme="minorAscii"/>
          <w:sz w:val="24"/>
          <w:szCs w:val="24"/>
        </w:rPr>
        <w:t xml:space="preserve"> the ability to access any/</w:t>
      </w:r>
      <w:r w:rsidRPr="260BE006" w:rsidR="00D53BE9">
        <w:rPr>
          <w:rFonts w:asciiTheme="minorAscii" w:hAnsiTheme="minorAscii" w:cstheme="minorAscii"/>
          <w:sz w:val="24"/>
          <w:szCs w:val="24"/>
        </w:rPr>
        <w:t>all of</w:t>
      </w:r>
      <w:r w:rsidRPr="260BE006" w:rsidR="00D53BE9">
        <w:rPr>
          <w:rFonts w:asciiTheme="minorAscii" w:hAnsiTheme="minorAscii" w:cstheme="minorAscii"/>
          <w:sz w:val="24"/>
          <w:szCs w:val="24"/>
        </w:rPr>
        <w:t xml:space="preserve"> the questionnaires for the four reporting periods</w:t>
      </w:r>
      <w:r w:rsidRPr="260BE006" w:rsidR="009C273E">
        <w:rPr>
          <w:rFonts w:asciiTheme="minorAscii" w:hAnsiTheme="minorAscii" w:cstheme="minorAscii"/>
          <w:sz w:val="24"/>
          <w:szCs w:val="24"/>
        </w:rPr>
        <w:t>;</w:t>
      </w:r>
      <w:r w:rsidRPr="260BE006" w:rsidR="00D53BE9">
        <w:rPr>
          <w:rFonts w:asciiTheme="minorAscii" w:hAnsiTheme="minorAscii" w:cstheme="minorAscii"/>
          <w:sz w:val="24"/>
          <w:szCs w:val="24"/>
        </w:rPr>
        <w:t xml:space="preserve"> and </w:t>
      </w:r>
      <w:r w:rsidRPr="260BE006" w:rsidR="00D53BE9">
        <w:rPr>
          <w:rFonts w:asciiTheme="minorAscii" w:hAnsiTheme="minorAscii" w:cstheme="minorAscii"/>
          <w:sz w:val="24"/>
          <w:szCs w:val="24"/>
        </w:rPr>
        <w:t>determine</w:t>
      </w:r>
      <w:r w:rsidRPr="260BE006" w:rsidR="00D53BE9">
        <w:rPr>
          <w:rFonts w:asciiTheme="minorAscii" w:hAnsiTheme="minorAscii" w:cstheme="minorAscii"/>
          <w:sz w:val="24"/>
          <w:szCs w:val="24"/>
        </w:rPr>
        <w:t xml:space="preserve"> if completed questionnaires were received. This online user interface will also </w:t>
      </w:r>
      <w:r w:rsidRPr="260BE006" w:rsidR="00D53BE9">
        <w:rPr>
          <w:rFonts w:asciiTheme="minorAscii" w:hAnsiTheme="minorAscii" w:cstheme="minorAscii"/>
          <w:sz w:val="24"/>
          <w:szCs w:val="24"/>
        </w:rPr>
        <w:t>assist</w:t>
      </w:r>
      <w:r w:rsidRPr="260BE006" w:rsidR="00D53BE9">
        <w:rPr>
          <w:rFonts w:asciiTheme="minorAscii" w:hAnsiTheme="minorAscii" w:cstheme="minorAscii"/>
          <w:sz w:val="24"/>
          <w:szCs w:val="24"/>
        </w:rPr>
        <w:t xml:space="preserve"> respondents in accurately completing the CFS questionnaire by </w:t>
      </w:r>
      <w:r w:rsidRPr="260BE006" w:rsidR="00D53BE9">
        <w:rPr>
          <w:rFonts w:asciiTheme="minorAscii" w:hAnsiTheme="minorAscii" w:cstheme="minorAscii"/>
          <w:sz w:val="24"/>
          <w:szCs w:val="24"/>
        </w:rPr>
        <w:t>utilizing</w:t>
      </w:r>
      <w:r w:rsidRPr="260BE006" w:rsidR="00D53BE9">
        <w:rPr>
          <w:rFonts w:asciiTheme="minorAscii" w:hAnsiTheme="minorAscii" w:cstheme="minorAscii"/>
          <w:sz w:val="24"/>
          <w:szCs w:val="24"/>
        </w:rPr>
        <w:t xml:space="preserve"> built-in consistency </w:t>
      </w:r>
      <w:r w:rsidRPr="260BE006" w:rsidR="00D53BE9">
        <w:rPr>
          <w:rFonts w:asciiTheme="minorAscii" w:hAnsiTheme="minorAscii" w:cstheme="minorAscii"/>
          <w:sz w:val="24"/>
          <w:szCs w:val="24"/>
        </w:rPr>
        <w:t>edits.</w:t>
      </w:r>
    </w:p>
    <w:p w:rsidR="00D53BE9" w:rsidRPr="00625470" w:rsidP="00B90A43" w14:paraId="5C69CB84" w14:textId="49F661E3">
      <w:pPr>
        <w:spacing w:before="161"/>
        <w:ind w:left="400"/>
        <w:rPr>
          <w:rFonts w:asciiTheme="minorHAnsi" w:hAnsiTheme="minorHAnsi" w:cstheme="minorHAnsi"/>
          <w:b/>
          <w:color w:val="FF0000"/>
          <w:sz w:val="24"/>
        </w:rPr>
      </w:pPr>
      <w:r w:rsidRPr="00625470">
        <w:rPr>
          <w:rFonts w:asciiTheme="minorHAnsi" w:hAnsiTheme="minorHAnsi" w:cstheme="minorHAnsi"/>
          <w:sz w:val="24"/>
          <w:szCs w:val="24"/>
        </w:rPr>
        <w:t xml:space="preserve">The CFS program will have a webpage dedicated to respondents that provides answers to frequently asked questions and additional information on the CFS. </w:t>
      </w:r>
    </w:p>
    <w:p w:rsidR="00B82768" w:rsidRPr="00625470" w:rsidP="004C6F21" w14:paraId="0E27B00A" w14:textId="77777777">
      <w:pPr>
        <w:spacing w:before="161"/>
        <w:ind w:left="400"/>
        <w:rPr>
          <w:rFonts w:asciiTheme="minorHAnsi" w:hAnsiTheme="minorHAnsi" w:cstheme="minorHAnsi"/>
          <w:b/>
          <w:color w:val="0070C0"/>
          <w:sz w:val="24"/>
        </w:rPr>
      </w:pPr>
    </w:p>
    <w:p w:rsidR="00201347" w:rsidRPr="004C6F21" w:rsidP="00844D2F" w14:paraId="606E298F" w14:textId="77777777">
      <w:pPr>
        <w:pStyle w:val="ListParagraph"/>
        <w:numPr>
          <w:ilvl w:val="0"/>
          <w:numId w:val="7"/>
        </w:numPr>
        <w:ind w:left="360" w:hanging="360"/>
        <w:rPr>
          <w:rFonts w:ascii="Calibri" w:hAnsi="Calibri" w:cs="Calibri"/>
          <w:b/>
          <w:sz w:val="24"/>
        </w:rPr>
      </w:pPr>
      <w:r w:rsidRPr="004C6F21">
        <w:rPr>
          <w:rFonts w:ascii="Calibri" w:hAnsi="Calibri" w:cs="Calibri"/>
          <w:b/>
          <w:sz w:val="24"/>
        </w:rPr>
        <w:t>Describe efforts to identify duplication. Show specifically why any similar information already available cannot be used or modified for use for the purposes described in Question</w:t>
      </w:r>
      <w:r w:rsidRPr="004C6F21">
        <w:rPr>
          <w:rFonts w:ascii="Calibri" w:hAnsi="Calibri" w:cs="Calibri"/>
          <w:b/>
          <w:spacing w:val="-42"/>
          <w:sz w:val="24"/>
        </w:rPr>
        <w:t xml:space="preserve"> </w:t>
      </w:r>
      <w:r w:rsidRPr="004C6F21">
        <w:rPr>
          <w:rFonts w:ascii="Calibri" w:hAnsi="Calibri" w:cs="Calibri"/>
          <w:b/>
          <w:sz w:val="24"/>
        </w:rPr>
        <w:t>2</w:t>
      </w:r>
      <w:r w:rsidR="003C66B9">
        <w:rPr>
          <w:rFonts w:ascii="Calibri" w:hAnsi="Calibri" w:cs="Calibri"/>
          <w:b/>
          <w:sz w:val="24"/>
        </w:rPr>
        <w:t>.</w:t>
      </w:r>
    </w:p>
    <w:p w:rsidR="00D53BE9" w:rsidP="00DB028A" w14:paraId="38A2266B" w14:textId="4778CDAD">
      <w:pPr>
        <w:spacing w:before="161"/>
        <w:ind w:left="400"/>
        <w:rPr>
          <w:rFonts w:ascii="Calibri" w:hAnsi="Calibri" w:cs="Calibri"/>
          <w:b/>
          <w:color w:val="FF0000"/>
          <w:sz w:val="24"/>
        </w:rPr>
      </w:pPr>
      <w:r w:rsidRPr="00625470">
        <w:rPr>
          <w:rFonts w:asciiTheme="minorHAnsi" w:hAnsiTheme="minorHAnsi" w:cstheme="minorHAnsi"/>
          <w:sz w:val="24"/>
          <w:szCs w:val="24"/>
        </w:rPr>
        <w:t xml:space="preserve">Through meetings and a series of data user conferences with the DOT, professional organizations, as well as transportation planners and data users, the Census Bureau determined that no information collections by Federal agencies, trade groups, or businesses duplicate the content, comprehensive coverage, detail level of transportation characteristics, geographic detail, and statistical reliability provided by the CFS. These features distinguish the ability of the CFS data to meet the requirements of its principal data users and make the </w:t>
      </w:r>
      <w:r w:rsidRPr="00625470" w:rsidR="008642EC">
        <w:rPr>
          <w:rFonts w:asciiTheme="minorHAnsi" w:hAnsiTheme="minorHAnsi" w:cstheme="minorHAnsi"/>
          <w:sz w:val="24"/>
          <w:szCs w:val="24"/>
        </w:rPr>
        <w:t>survey</w:t>
      </w:r>
      <w:r w:rsidR="00DB028A">
        <w:rPr>
          <w:rFonts w:asciiTheme="minorHAnsi" w:hAnsiTheme="minorHAnsi" w:cstheme="minorHAnsi"/>
          <w:sz w:val="24"/>
          <w:szCs w:val="24"/>
        </w:rPr>
        <w:t xml:space="preserve"> </w:t>
      </w:r>
      <w:r w:rsidRPr="00625470">
        <w:rPr>
          <w:rFonts w:asciiTheme="minorHAnsi" w:hAnsiTheme="minorHAnsi" w:cstheme="minorHAnsi"/>
          <w:sz w:val="24"/>
          <w:szCs w:val="24"/>
        </w:rPr>
        <w:t xml:space="preserve">uniquely suited to </w:t>
      </w:r>
      <w:r w:rsidRPr="00625470">
        <w:rPr>
          <w:rFonts w:asciiTheme="minorHAnsi" w:hAnsiTheme="minorHAnsi" w:cstheme="minorHAnsi"/>
          <w:sz w:val="24"/>
          <w:szCs w:val="24"/>
        </w:rPr>
        <w:t>provide</w:t>
      </w:r>
      <w:r w:rsidRPr="00625470">
        <w:rPr>
          <w:rFonts w:asciiTheme="minorHAnsi" w:hAnsiTheme="minorHAnsi" w:cstheme="minorHAnsi"/>
          <w:sz w:val="24"/>
          <w:szCs w:val="24"/>
        </w:rPr>
        <w:t xml:space="preserve"> these valuable transportation statistics.</w:t>
      </w:r>
    </w:p>
    <w:p w:rsidR="00B82768" w:rsidRPr="00124446" w:rsidP="00B82768" w14:paraId="60061E4C" w14:textId="77777777">
      <w:pPr>
        <w:pStyle w:val="BodyText"/>
        <w:rPr>
          <w:rFonts w:ascii="Calibri" w:hAnsi="Calibri" w:cs="Calibri"/>
        </w:rPr>
      </w:pPr>
    </w:p>
    <w:p w:rsidR="00201347" w:rsidRPr="00124446" w:rsidP="00060FAF" w14:paraId="6E07D74F" w14:textId="77777777">
      <w:pPr>
        <w:pStyle w:val="Heading1"/>
        <w:numPr>
          <w:ilvl w:val="0"/>
          <w:numId w:val="7"/>
        </w:numPr>
        <w:tabs>
          <w:tab w:val="left" w:pos="669"/>
        </w:tabs>
        <w:spacing w:before="123"/>
        <w:ind w:hanging="400"/>
        <w:rPr>
          <w:rFonts w:ascii="Calibri" w:hAnsi="Calibri" w:cs="Calibri"/>
        </w:rPr>
      </w:pPr>
      <w:r w:rsidRPr="00124446">
        <w:rPr>
          <w:rFonts w:ascii="Calibri" w:hAnsi="Calibri" w:cs="Calibri"/>
        </w:rPr>
        <w:t>If the collection of information impacts small businesses or other small entities, describe any methods used to minimize</w:t>
      </w:r>
      <w:r w:rsidRPr="00124446">
        <w:rPr>
          <w:rFonts w:ascii="Calibri" w:hAnsi="Calibri" w:cs="Calibri"/>
          <w:spacing w:val="-3"/>
        </w:rPr>
        <w:t xml:space="preserve"> </w:t>
      </w:r>
      <w:r w:rsidRPr="00124446">
        <w:rPr>
          <w:rFonts w:ascii="Calibri" w:hAnsi="Calibri" w:cs="Calibri"/>
        </w:rPr>
        <w:t>burden.</w:t>
      </w:r>
    </w:p>
    <w:p w:rsidR="001525BF" w:rsidRPr="00625470" w:rsidP="001525BF" w14:paraId="1CBDD5C3" w14:textId="2412AC19">
      <w:pPr>
        <w:spacing w:before="161"/>
        <w:ind w:left="400"/>
        <w:rPr>
          <w:rFonts w:asciiTheme="minorHAnsi" w:hAnsiTheme="minorHAnsi" w:cstheme="minorHAnsi"/>
          <w:b/>
          <w:color w:val="FF0000"/>
          <w:sz w:val="24"/>
        </w:rPr>
      </w:pPr>
      <w:r w:rsidRPr="00625470">
        <w:rPr>
          <w:rFonts w:asciiTheme="minorHAnsi" w:hAnsiTheme="minorHAnsi" w:cstheme="minorHAnsi"/>
          <w:sz w:val="24"/>
          <w:szCs w:val="24"/>
        </w:rPr>
        <w:t xml:space="preserve">Respondent feedback, data user needs, and burden research from the 2022 CFS were used to drive development and implementation of features and functionality, modernizing the 2027 CFS collection instrument to reduce burden. </w:t>
      </w:r>
    </w:p>
    <w:p w:rsidR="00CA01F0" w:rsidRPr="00625470" w:rsidP="003A1FF3" w14:paraId="013E0D74" w14:textId="616BF43E">
      <w:pPr>
        <w:spacing w:before="161"/>
        <w:ind w:left="400"/>
        <w:rPr>
          <w:rFonts w:asciiTheme="minorHAnsi" w:hAnsiTheme="minorHAnsi" w:cstheme="minorHAnsi"/>
          <w:sz w:val="24"/>
          <w:szCs w:val="24"/>
        </w:rPr>
      </w:pPr>
      <w:r w:rsidRPr="00625470">
        <w:rPr>
          <w:rFonts w:asciiTheme="minorHAnsi" w:hAnsiTheme="minorHAnsi" w:cstheme="minorHAnsi"/>
          <w:sz w:val="24"/>
          <w:szCs w:val="24"/>
        </w:rPr>
        <w:t>The Census Bureau has taken the following steps in the design of the</w:t>
      </w:r>
      <w:r w:rsidRPr="00625470">
        <w:rPr>
          <w:rFonts w:asciiTheme="minorHAnsi" w:hAnsiTheme="minorHAnsi" w:cstheme="minorHAnsi"/>
          <w:b/>
          <w:color w:val="FF0000"/>
          <w:sz w:val="24"/>
        </w:rPr>
        <w:t xml:space="preserve"> </w:t>
      </w:r>
      <w:r w:rsidRPr="00625470">
        <w:rPr>
          <w:rFonts w:asciiTheme="minorHAnsi" w:hAnsiTheme="minorHAnsi" w:cstheme="minorHAnsi"/>
          <w:sz w:val="24"/>
          <w:szCs w:val="24"/>
        </w:rPr>
        <w:t>2027 CFS to reduce reporting burden:</w:t>
      </w:r>
    </w:p>
    <w:p w:rsidR="00CA01F0" w:rsidRPr="00625470" w:rsidP="00880F3F" w14:paraId="68CC11B5" w14:textId="6837E19E">
      <w:pPr>
        <w:spacing w:before="161"/>
        <w:ind w:left="400"/>
        <w:rPr>
          <w:rFonts w:asciiTheme="minorHAnsi" w:hAnsiTheme="minorHAnsi" w:cstheme="minorHAnsi"/>
          <w:sz w:val="24"/>
          <w:szCs w:val="24"/>
          <w:u w:val="single"/>
        </w:rPr>
      </w:pPr>
      <w:r w:rsidRPr="00625470">
        <w:rPr>
          <w:rFonts w:asciiTheme="minorHAnsi" w:hAnsiTheme="minorHAnsi" w:cstheme="minorHAnsi"/>
          <w:sz w:val="24"/>
          <w:szCs w:val="24"/>
          <w:u w:val="single"/>
        </w:rPr>
        <w:t>Pre-Screener Survey</w:t>
      </w:r>
    </w:p>
    <w:p w:rsidR="003A1FF3" w:rsidRPr="00625470" w:rsidP="00E15FC6" w14:paraId="513F93E8" w14:textId="449B0ED4">
      <w:pPr>
        <w:spacing w:before="161"/>
        <w:ind w:left="400"/>
        <w:rPr>
          <w:rFonts w:asciiTheme="minorHAnsi" w:hAnsiTheme="minorHAnsi" w:cstheme="minorHAnsi"/>
          <w:sz w:val="24"/>
          <w:szCs w:val="24"/>
        </w:rPr>
      </w:pPr>
      <w:r w:rsidRPr="00625470">
        <w:rPr>
          <w:rFonts w:asciiTheme="minorHAnsi" w:hAnsiTheme="minorHAnsi" w:cstheme="minorHAnsi"/>
          <w:sz w:val="24"/>
          <w:szCs w:val="24"/>
        </w:rPr>
        <w:t>The 2027 CFS will incorporate a pre</w:t>
      </w:r>
      <w:r w:rsidRPr="00625470">
        <w:rPr>
          <w:rFonts w:asciiTheme="minorHAnsi" w:hAnsiTheme="minorHAnsi" w:cstheme="minorHAnsi"/>
          <w:sz w:val="24"/>
          <w:szCs w:val="24"/>
        </w:rPr>
        <w:noBreakHyphen/>
      </w:r>
      <w:r w:rsidRPr="00625470">
        <w:rPr>
          <w:rFonts w:asciiTheme="minorHAnsi" w:hAnsiTheme="minorHAnsi" w:cstheme="minorHAnsi"/>
          <w:sz w:val="24"/>
          <w:szCs w:val="24"/>
        </w:rPr>
        <w:t>screener survey designed to reduce respondent burden and improve the efficiency of the data collection process. The pre</w:t>
      </w:r>
      <w:r w:rsidRPr="00625470">
        <w:rPr>
          <w:rFonts w:asciiTheme="minorHAnsi" w:hAnsiTheme="minorHAnsi" w:cstheme="minorHAnsi"/>
          <w:sz w:val="24"/>
          <w:szCs w:val="24"/>
        </w:rPr>
        <w:noBreakHyphen/>
      </w:r>
      <w:r w:rsidRPr="00625470">
        <w:rPr>
          <w:rFonts w:asciiTheme="minorHAnsi" w:hAnsiTheme="minorHAnsi" w:cstheme="minorHAnsi"/>
          <w:sz w:val="24"/>
          <w:szCs w:val="24"/>
        </w:rPr>
        <w:t xml:space="preserve">screener serves as a short, targeted questionnaire that allows </w:t>
      </w:r>
      <w:r w:rsidRPr="00625470" w:rsidR="00BC3ECD">
        <w:rPr>
          <w:rFonts w:asciiTheme="minorHAnsi" w:hAnsiTheme="minorHAnsi" w:cstheme="minorHAnsi"/>
          <w:sz w:val="24"/>
          <w:szCs w:val="24"/>
        </w:rPr>
        <w:t xml:space="preserve">select </w:t>
      </w:r>
      <w:r w:rsidRPr="00625470">
        <w:rPr>
          <w:rFonts w:asciiTheme="minorHAnsi" w:hAnsiTheme="minorHAnsi" w:cstheme="minorHAnsi"/>
          <w:sz w:val="24"/>
          <w:szCs w:val="24"/>
        </w:rPr>
        <w:t xml:space="preserve">establishments to quickly confirm their eligibility before receiving the full </w:t>
      </w:r>
      <w:r w:rsidR="00E15FC6">
        <w:rPr>
          <w:rFonts w:asciiTheme="minorHAnsi" w:hAnsiTheme="minorHAnsi" w:cstheme="minorHAnsi"/>
          <w:sz w:val="24"/>
          <w:szCs w:val="24"/>
        </w:rPr>
        <w:t xml:space="preserve">set of </w:t>
      </w:r>
      <w:r w:rsidRPr="00625470">
        <w:rPr>
          <w:rFonts w:asciiTheme="minorHAnsi" w:hAnsiTheme="minorHAnsi" w:cstheme="minorHAnsi"/>
          <w:sz w:val="24"/>
          <w:szCs w:val="24"/>
        </w:rPr>
        <w:t xml:space="preserve">CFS </w:t>
      </w:r>
      <w:r w:rsidR="00E15FC6">
        <w:rPr>
          <w:rFonts w:asciiTheme="minorHAnsi" w:hAnsiTheme="minorHAnsi" w:cstheme="minorHAnsi"/>
          <w:sz w:val="24"/>
          <w:szCs w:val="24"/>
        </w:rPr>
        <w:t>questions</w:t>
      </w:r>
      <w:r w:rsidRPr="00625470">
        <w:rPr>
          <w:rFonts w:asciiTheme="minorHAnsi" w:hAnsiTheme="minorHAnsi" w:cstheme="minorHAnsi"/>
          <w:sz w:val="24"/>
          <w:szCs w:val="24"/>
        </w:rPr>
        <w:t>. By limiting detailed reporting only to establishments that are actively engaged in qualifying shipment activities, the pre</w:t>
      </w:r>
      <w:r w:rsidRPr="00625470">
        <w:rPr>
          <w:rFonts w:asciiTheme="minorHAnsi" w:hAnsiTheme="minorHAnsi" w:cstheme="minorHAnsi"/>
          <w:sz w:val="24"/>
          <w:szCs w:val="24"/>
        </w:rPr>
        <w:noBreakHyphen/>
      </w:r>
      <w:r w:rsidRPr="00625470">
        <w:rPr>
          <w:rFonts w:asciiTheme="minorHAnsi" w:hAnsiTheme="minorHAnsi" w:cstheme="minorHAnsi"/>
          <w:sz w:val="24"/>
          <w:szCs w:val="24"/>
        </w:rPr>
        <w:t>screener helps ensure that respondents spend less time reviewing instructions, navigating complex questions, and completing sections that are not applicable to their operations.</w:t>
      </w:r>
    </w:p>
    <w:p w:rsidR="00880F3F" w:rsidRPr="00625470" w:rsidP="00880F3F" w14:paraId="02C24ACE" w14:textId="77777777">
      <w:pPr>
        <w:spacing w:before="161"/>
        <w:ind w:left="400"/>
        <w:rPr>
          <w:rFonts w:asciiTheme="minorHAnsi" w:hAnsiTheme="minorHAnsi" w:cstheme="minorHAnsi"/>
          <w:b/>
          <w:color w:val="FF0000"/>
          <w:sz w:val="24"/>
        </w:rPr>
      </w:pPr>
      <w:r w:rsidRPr="00625470">
        <w:rPr>
          <w:rFonts w:asciiTheme="minorHAnsi" w:hAnsiTheme="minorHAnsi" w:cstheme="minorHAnsi"/>
          <w:sz w:val="24"/>
          <w:szCs w:val="24"/>
          <w:u w:val="single"/>
        </w:rPr>
        <w:t>Assistance on the CFS Internet site</w:t>
      </w:r>
    </w:p>
    <w:p w:rsidR="00DA7B2F" w:rsidRPr="00625470" w:rsidP="00E15FC6" w14:paraId="53978D98" w14:textId="1AE97FD0">
      <w:pPr>
        <w:spacing w:before="161"/>
        <w:ind w:left="400"/>
        <w:rPr>
          <w:rFonts w:asciiTheme="minorHAnsi" w:hAnsiTheme="minorHAnsi" w:cstheme="minorHAnsi"/>
          <w:b/>
          <w:color w:val="FF0000"/>
          <w:sz w:val="24"/>
        </w:rPr>
      </w:pPr>
      <w:r w:rsidRPr="00625470">
        <w:rPr>
          <w:rFonts w:asciiTheme="minorHAnsi" w:hAnsiTheme="minorHAnsi" w:cstheme="minorHAnsi"/>
          <w:sz w:val="24"/>
          <w:szCs w:val="24"/>
        </w:rPr>
        <w:t xml:space="preserve">For the 2027 CFS, the Census Bureau will assist respondents on the CFS Internet site, such as answers to frequently asked questions, guidance on quickly identifying hazardous material codes, references to collection materials, conversion charts for weights to pounds, and a contact page. </w:t>
      </w:r>
      <w:r w:rsidRPr="00625470">
        <w:rPr>
          <w:rFonts w:asciiTheme="minorHAnsi" w:hAnsiTheme="minorHAnsi" w:cstheme="minorHAnsi"/>
          <w:sz w:val="24"/>
          <w:szCs w:val="24"/>
        </w:rPr>
        <w:t xml:space="preserve">Respondents completing the survey through the Centurion site will not have to determine their shipment sample size or take-every number. The Centurion instrument will determine this information for them. </w:t>
      </w:r>
    </w:p>
    <w:p w:rsidR="00DA7B2F" w:rsidRPr="00625470" w:rsidP="00DA7B2F" w14:paraId="0CDD6C94" w14:textId="77777777">
      <w:pPr>
        <w:spacing w:before="161"/>
        <w:ind w:left="400"/>
        <w:rPr>
          <w:rFonts w:asciiTheme="minorHAnsi" w:hAnsiTheme="minorHAnsi" w:cstheme="minorHAnsi"/>
          <w:b/>
          <w:color w:val="FF0000"/>
          <w:sz w:val="24"/>
        </w:rPr>
      </w:pPr>
      <w:r w:rsidRPr="00625470">
        <w:rPr>
          <w:rFonts w:asciiTheme="minorHAnsi" w:hAnsiTheme="minorHAnsi" w:cstheme="minorHAnsi"/>
          <w:sz w:val="24"/>
          <w:szCs w:val="24"/>
          <w:u w:val="single"/>
        </w:rPr>
        <w:t>Consolidated Reporting</w:t>
      </w:r>
    </w:p>
    <w:p w:rsidR="00DA7B2F" w:rsidRPr="00625470" w:rsidP="00E15FC6" w14:paraId="78CF4530" w14:textId="342991A3">
      <w:pPr>
        <w:spacing w:before="161"/>
        <w:ind w:left="400"/>
        <w:rPr>
          <w:rFonts w:asciiTheme="minorHAnsi" w:hAnsiTheme="minorHAnsi" w:cstheme="minorHAnsi"/>
          <w:b/>
          <w:color w:val="FF0000"/>
          <w:sz w:val="24"/>
        </w:rPr>
      </w:pPr>
      <w:r w:rsidRPr="00625470">
        <w:rPr>
          <w:rFonts w:asciiTheme="minorHAnsi" w:hAnsiTheme="minorHAnsi" w:cstheme="minorHAnsi"/>
          <w:sz w:val="24"/>
          <w:szCs w:val="24"/>
        </w:rPr>
        <w:t xml:space="preserve">As needed, the Census Bureau will work with respondents to provide the ability for consolidated reporting, which allows one respondent to complete the survey for multiple establishments within the same company. This reduces burden by only requiring one log in and reduces the need to provide duplicate information for each establishment. </w:t>
      </w:r>
    </w:p>
    <w:p w:rsidR="00DA7B2F" w:rsidRPr="00625470" w:rsidP="00DA7B2F" w14:paraId="0E92C62B" w14:textId="77777777">
      <w:pPr>
        <w:spacing w:before="161"/>
        <w:ind w:left="400"/>
        <w:rPr>
          <w:rFonts w:asciiTheme="minorHAnsi" w:hAnsiTheme="minorHAnsi" w:cstheme="minorHAnsi"/>
          <w:b/>
          <w:color w:val="FF0000"/>
          <w:sz w:val="24"/>
        </w:rPr>
      </w:pPr>
      <w:r w:rsidRPr="00625470">
        <w:rPr>
          <w:rFonts w:asciiTheme="minorHAnsi" w:hAnsiTheme="minorHAnsi" w:cstheme="minorHAnsi"/>
          <w:sz w:val="24"/>
          <w:szCs w:val="24"/>
          <w:u w:val="single"/>
        </w:rPr>
        <w:t>Machine Learning for Standard Classification of Transported Goods (SCTG)</w:t>
      </w:r>
    </w:p>
    <w:p w:rsidR="00F328F2" w:rsidRPr="008642EC" w:rsidP="00E15FC6" w14:paraId="46FE7C41" w14:textId="1AA0F1B8">
      <w:pPr>
        <w:spacing w:before="161"/>
        <w:ind w:left="400"/>
        <w:rPr>
          <w:rFonts w:asciiTheme="minorHAnsi" w:hAnsiTheme="minorHAnsi" w:cstheme="minorHAnsi"/>
          <w:sz w:val="24"/>
          <w:szCs w:val="24"/>
        </w:rPr>
      </w:pPr>
      <w:r w:rsidRPr="00625470">
        <w:rPr>
          <w:rFonts w:asciiTheme="minorHAnsi" w:hAnsiTheme="minorHAnsi" w:cstheme="minorHAnsi"/>
          <w:sz w:val="24"/>
          <w:szCs w:val="24"/>
        </w:rPr>
        <w:t xml:space="preserve">The 2022 CFS utilized machine learning for the first time to </w:t>
      </w:r>
      <w:r w:rsidR="00E15FC6">
        <w:rPr>
          <w:rFonts w:asciiTheme="minorHAnsi" w:hAnsiTheme="minorHAnsi" w:cstheme="minorHAnsi"/>
          <w:sz w:val="24"/>
          <w:szCs w:val="24"/>
        </w:rPr>
        <w:t>assign standard</w:t>
      </w:r>
      <w:r w:rsidRPr="00625470">
        <w:rPr>
          <w:rFonts w:asciiTheme="minorHAnsi" w:hAnsiTheme="minorHAnsi" w:cstheme="minorHAnsi"/>
          <w:sz w:val="24"/>
          <w:szCs w:val="24"/>
        </w:rPr>
        <w:t xml:space="preserve"> product codes for most shipments for the CFS survey process. </w:t>
      </w:r>
      <w:r w:rsidRPr="00625470" w:rsidR="00880F3F">
        <w:rPr>
          <w:rFonts w:asciiTheme="minorHAnsi" w:hAnsiTheme="minorHAnsi" w:cstheme="minorHAnsi"/>
          <w:sz w:val="24"/>
          <w:szCs w:val="24"/>
        </w:rPr>
        <w:t>For 202</w:t>
      </w:r>
      <w:r w:rsidRPr="00625470" w:rsidR="00A276A6">
        <w:rPr>
          <w:rFonts w:asciiTheme="minorHAnsi" w:hAnsiTheme="minorHAnsi" w:cstheme="minorHAnsi"/>
          <w:sz w:val="24"/>
          <w:szCs w:val="24"/>
        </w:rPr>
        <w:t>7</w:t>
      </w:r>
      <w:r w:rsidRPr="00625470" w:rsidR="00880F3F">
        <w:rPr>
          <w:rFonts w:asciiTheme="minorHAnsi" w:hAnsiTheme="minorHAnsi" w:cstheme="minorHAnsi"/>
          <w:sz w:val="24"/>
          <w:szCs w:val="24"/>
        </w:rPr>
        <w:t xml:space="preserve">, the need for respondents to look up product codes is </w:t>
      </w:r>
      <w:r w:rsidRPr="00625470" w:rsidR="00C257E4">
        <w:rPr>
          <w:rFonts w:asciiTheme="minorHAnsi" w:hAnsiTheme="minorHAnsi" w:cstheme="minorHAnsi"/>
          <w:sz w:val="24"/>
          <w:szCs w:val="24"/>
        </w:rPr>
        <w:t>eliminated</w:t>
      </w:r>
      <w:r w:rsidRPr="00625470" w:rsidR="00880F3F">
        <w:rPr>
          <w:rFonts w:asciiTheme="minorHAnsi" w:hAnsiTheme="minorHAnsi" w:cstheme="minorHAnsi"/>
          <w:sz w:val="24"/>
          <w:szCs w:val="24"/>
        </w:rPr>
        <w:t xml:space="preserve"> using machine learning. Respondents can provide a plain English description of their product or commodity instead and a machine learning model, built into the collection instrument, will generate </w:t>
      </w:r>
      <w:r w:rsidR="00E15FC6">
        <w:rPr>
          <w:rFonts w:asciiTheme="minorHAnsi" w:hAnsiTheme="minorHAnsi" w:cstheme="minorHAnsi"/>
          <w:sz w:val="24"/>
          <w:szCs w:val="24"/>
        </w:rPr>
        <w:t>a commodity</w:t>
      </w:r>
      <w:r w:rsidRPr="00625470" w:rsidR="00880F3F">
        <w:rPr>
          <w:rFonts w:asciiTheme="minorHAnsi" w:hAnsiTheme="minorHAnsi" w:cstheme="minorHAnsi"/>
          <w:sz w:val="24"/>
          <w:szCs w:val="24"/>
        </w:rPr>
        <w:t xml:space="preserve"> code based on this description. If the machine learning model </w:t>
      </w:r>
      <w:r w:rsidR="00E15FC6">
        <w:rPr>
          <w:rFonts w:asciiTheme="minorHAnsi" w:hAnsiTheme="minorHAnsi" w:cstheme="minorHAnsi"/>
          <w:sz w:val="24"/>
          <w:szCs w:val="24"/>
        </w:rPr>
        <w:t>has difficulty</w:t>
      </w:r>
      <w:r w:rsidRPr="00625470" w:rsidR="00E15FC6">
        <w:rPr>
          <w:rFonts w:asciiTheme="minorHAnsi" w:hAnsiTheme="minorHAnsi" w:cstheme="minorHAnsi"/>
          <w:sz w:val="24"/>
          <w:szCs w:val="24"/>
        </w:rPr>
        <w:t xml:space="preserve"> </w:t>
      </w:r>
      <w:r w:rsidR="00E15FC6">
        <w:rPr>
          <w:rFonts w:asciiTheme="minorHAnsi" w:hAnsiTheme="minorHAnsi" w:cstheme="minorHAnsi"/>
          <w:sz w:val="24"/>
          <w:szCs w:val="24"/>
        </w:rPr>
        <w:t>identifying</w:t>
      </w:r>
      <w:r w:rsidRPr="00625470" w:rsidR="00880F3F">
        <w:rPr>
          <w:rFonts w:asciiTheme="minorHAnsi" w:hAnsiTheme="minorHAnsi" w:cstheme="minorHAnsi"/>
          <w:sz w:val="24"/>
          <w:szCs w:val="24"/>
        </w:rPr>
        <w:t xml:space="preserve"> the correct code, </w:t>
      </w:r>
      <w:r w:rsidRPr="00625470" w:rsidR="002A6B04">
        <w:rPr>
          <w:rFonts w:asciiTheme="minorHAnsi" w:hAnsiTheme="minorHAnsi" w:cstheme="minorHAnsi"/>
          <w:sz w:val="24"/>
          <w:szCs w:val="24"/>
        </w:rPr>
        <w:t xml:space="preserve">the respondent will only be prompted to clarify the description. As a change from the 2022 CFS, respondents will no longer be asked to select the best fit of commodity from a </w:t>
      </w:r>
      <w:r w:rsidRPr="00625470">
        <w:rPr>
          <w:rFonts w:asciiTheme="minorHAnsi" w:hAnsiTheme="minorHAnsi" w:cstheme="minorHAnsi"/>
          <w:sz w:val="24"/>
          <w:szCs w:val="24"/>
        </w:rPr>
        <w:t xml:space="preserve">generated </w:t>
      </w:r>
      <w:r w:rsidRPr="00625470" w:rsidR="002A6B04">
        <w:rPr>
          <w:rFonts w:asciiTheme="minorHAnsi" w:hAnsiTheme="minorHAnsi" w:cstheme="minorHAnsi"/>
          <w:sz w:val="24"/>
          <w:szCs w:val="24"/>
        </w:rPr>
        <w:t xml:space="preserve">top prediction’s picklist. </w:t>
      </w:r>
      <w:r w:rsidRPr="00625470" w:rsidR="00880F3F">
        <w:rPr>
          <w:rFonts w:asciiTheme="minorHAnsi" w:hAnsiTheme="minorHAnsi" w:cstheme="minorHAnsi"/>
          <w:sz w:val="24"/>
          <w:szCs w:val="24"/>
        </w:rPr>
        <w:t>Th</w:t>
      </w:r>
      <w:r w:rsidRPr="00625470" w:rsidR="002A6B04">
        <w:rPr>
          <w:rFonts w:asciiTheme="minorHAnsi" w:hAnsiTheme="minorHAnsi" w:cstheme="minorHAnsi"/>
          <w:sz w:val="24"/>
          <w:szCs w:val="24"/>
        </w:rPr>
        <w:t xml:space="preserve">e machine learning process </w:t>
      </w:r>
      <w:r w:rsidRPr="00625470" w:rsidR="00880F3F">
        <w:rPr>
          <w:rFonts w:asciiTheme="minorHAnsi" w:hAnsiTheme="minorHAnsi" w:cstheme="minorHAnsi"/>
          <w:sz w:val="24"/>
          <w:szCs w:val="24"/>
        </w:rPr>
        <w:t xml:space="preserve">will greatly lower the time required for classifying commodities, especially in cases where a company ships many different commodities. </w:t>
      </w:r>
    </w:p>
    <w:p w:rsidR="00F328F2" w:rsidRPr="00625470" w:rsidP="00DA7B2F" w14:paraId="6FD36DEA" w14:textId="5B296C39">
      <w:pPr>
        <w:spacing w:before="161"/>
        <w:ind w:left="400"/>
        <w:rPr>
          <w:rFonts w:asciiTheme="minorHAnsi" w:hAnsiTheme="minorHAnsi" w:cstheme="minorHAnsi"/>
          <w:sz w:val="24"/>
          <w:szCs w:val="24"/>
          <w:u w:val="single"/>
        </w:rPr>
      </w:pPr>
      <w:r w:rsidRPr="00625470">
        <w:rPr>
          <w:rFonts w:asciiTheme="minorHAnsi" w:hAnsiTheme="minorHAnsi" w:cstheme="minorHAnsi"/>
          <w:sz w:val="24"/>
          <w:szCs w:val="24"/>
          <w:u w:val="single"/>
        </w:rPr>
        <w:t>Weight Unit Conversion</w:t>
      </w:r>
    </w:p>
    <w:p w:rsidR="00DA7B2F" w:rsidRPr="00625470" w:rsidP="00625470" w14:paraId="6528802E" w14:textId="76D7B7F5">
      <w:pPr>
        <w:spacing w:before="161"/>
        <w:ind w:left="400"/>
        <w:rPr>
          <w:rFonts w:asciiTheme="minorHAnsi" w:hAnsiTheme="minorHAnsi" w:cstheme="minorHAnsi"/>
          <w:b/>
          <w:color w:val="FF0000"/>
          <w:sz w:val="24"/>
        </w:rPr>
      </w:pPr>
      <w:r w:rsidRPr="00625470">
        <w:rPr>
          <w:rFonts w:asciiTheme="minorHAnsi" w:hAnsiTheme="minorHAnsi" w:cstheme="minorHAnsi"/>
          <w:sz w:val="24"/>
          <w:szCs w:val="24"/>
        </w:rPr>
        <w:t xml:space="preserve">To further minimize respondent burden in the 2027 CFS, the reporting process for shipment weights </w:t>
      </w:r>
      <w:r w:rsidR="00E15FC6">
        <w:rPr>
          <w:rFonts w:asciiTheme="minorHAnsi" w:hAnsiTheme="minorHAnsi" w:cstheme="minorHAnsi"/>
          <w:sz w:val="24"/>
          <w:szCs w:val="24"/>
        </w:rPr>
        <w:t>will be</w:t>
      </w:r>
      <w:r w:rsidRPr="00625470">
        <w:rPr>
          <w:rFonts w:asciiTheme="minorHAnsi" w:hAnsiTheme="minorHAnsi" w:cstheme="minorHAnsi"/>
          <w:sz w:val="24"/>
          <w:szCs w:val="24"/>
        </w:rPr>
        <w:t xml:space="preserve"> improved. In the 2022 CFS, respondents were required to report shipment weights exclusively in pounds, which often necessitated manual conversion from other units and increased the complexity of survey completion. For the 2027 CFS, respondents will no longer be required to convert their shipment weights to pounds. Instead, they may select or write in the unit of measurement that best aligns with their business records. Available unit</w:t>
      </w:r>
      <w:r w:rsidRPr="00625470" w:rsidR="004951FD">
        <w:rPr>
          <w:rFonts w:asciiTheme="minorHAnsi" w:hAnsiTheme="minorHAnsi" w:cstheme="minorHAnsi"/>
          <w:sz w:val="24"/>
          <w:szCs w:val="24"/>
        </w:rPr>
        <w:t xml:space="preserve"> options</w:t>
      </w:r>
      <w:r w:rsidRPr="00625470">
        <w:rPr>
          <w:rFonts w:asciiTheme="minorHAnsi" w:hAnsiTheme="minorHAnsi" w:cstheme="minorHAnsi"/>
          <w:sz w:val="24"/>
          <w:szCs w:val="24"/>
        </w:rPr>
        <w:t xml:space="preserve"> </w:t>
      </w:r>
      <w:r w:rsidR="00E15FC6">
        <w:rPr>
          <w:rFonts w:asciiTheme="minorHAnsi" w:hAnsiTheme="minorHAnsi" w:cstheme="minorHAnsi"/>
          <w:sz w:val="24"/>
          <w:szCs w:val="24"/>
        </w:rPr>
        <w:t xml:space="preserve">will </w:t>
      </w:r>
      <w:r w:rsidRPr="00625470">
        <w:rPr>
          <w:rFonts w:asciiTheme="minorHAnsi" w:hAnsiTheme="minorHAnsi" w:cstheme="minorHAnsi"/>
          <w:sz w:val="24"/>
          <w:szCs w:val="24"/>
        </w:rPr>
        <w:t>include Pounds (</w:t>
      </w:r>
      <w:r w:rsidRPr="00625470">
        <w:rPr>
          <w:rFonts w:asciiTheme="minorHAnsi" w:hAnsiTheme="minorHAnsi" w:cstheme="minorHAnsi"/>
          <w:sz w:val="24"/>
          <w:szCs w:val="24"/>
        </w:rPr>
        <w:t>lbs</w:t>
      </w:r>
      <w:r w:rsidRPr="00625470">
        <w:rPr>
          <w:rFonts w:asciiTheme="minorHAnsi" w:hAnsiTheme="minorHAnsi" w:cstheme="minorHAnsi"/>
          <w:sz w:val="24"/>
          <w:szCs w:val="24"/>
        </w:rPr>
        <w:t xml:space="preserve">), Ounces (oz), Short tons (ton – 2,000 </w:t>
      </w:r>
      <w:r w:rsidRPr="00625470">
        <w:rPr>
          <w:rFonts w:asciiTheme="minorHAnsi" w:hAnsiTheme="minorHAnsi" w:cstheme="minorHAnsi"/>
          <w:sz w:val="24"/>
          <w:szCs w:val="24"/>
        </w:rPr>
        <w:t>lbs</w:t>
      </w:r>
      <w:r w:rsidRPr="00625470">
        <w:rPr>
          <w:rFonts w:asciiTheme="minorHAnsi" w:hAnsiTheme="minorHAnsi" w:cstheme="minorHAnsi"/>
          <w:sz w:val="24"/>
          <w:szCs w:val="24"/>
        </w:rPr>
        <w:t xml:space="preserve">), Kilograms (kg), Grams (g), Metric tons (t or </w:t>
      </w:r>
      <w:r w:rsidRPr="00625470">
        <w:rPr>
          <w:rFonts w:asciiTheme="minorHAnsi" w:hAnsiTheme="minorHAnsi" w:cstheme="minorHAnsi"/>
          <w:sz w:val="24"/>
          <w:szCs w:val="24"/>
        </w:rPr>
        <w:t>tonne</w:t>
      </w:r>
      <w:r w:rsidRPr="00625470">
        <w:rPr>
          <w:rFonts w:asciiTheme="minorHAnsi" w:hAnsiTheme="minorHAnsi" w:cstheme="minorHAnsi"/>
          <w:sz w:val="24"/>
          <w:szCs w:val="24"/>
        </w:rPr>
        <w:t>), Gallons (gal), Liters (L), Cubic feet (ft³), Cubic yards (yd³), Other, and Unknown. This change is designed to reduce the time and effort required to complete the survey, allowing respondents to report shipment weights in the units they already use and thereby improving both data quality and respondent experience.</w:t>
      </w:r>
    </w:p>
    <w:p w:rsidR="00DA7B2F" w:rsidRPr="00625470" w:rsidP="00DA7B2F" w14:paraId="53810865" w14:textId="77777777">
      <w:pPr>
        <w:spacing w:before="161"/>
        <w:ind w:left="400"/>
        <w:rPr>
          <w:rFonts w:asciiTheme="minorHAnsi" w:hAnsiTheme="minorHAnsi" w:cstheme="minorHAnsi"/>
          <w:b/>
          <w:color w:val="FF0000"/>
          <w:sz w:val="24"/>
        </w:rPr>
      </w:pPr>
      <w:r w:rsidRPr="00625470">
        <w:rPr>
          <w:rFonts w:asciiTheme="minorHAnsi" w:hAnsiTheme="minorHAnsi" w:cstheme="minorHAnsi"/>
          <w:sz w:val="24"/>
          <w:szCs w:val="24"/>
          <w:u w:val="single"/>
        </w:rPr>
        <w:t>Use of Estimates</w:t>
      </w:r>
    </w:p>
    <w:p w:rsidR="00DA7B2F" w:rsidRPr="00335045" w:rsidP="00E15FC6" w14:paraId="4CB1BDCA" w14:textId="3A5816E1">
      <w:pPr>
        <w:spacing w:before="161"/>
        <w:ind w:left="400"/>
        <w:rPr>
          <w:rFonts w:asciiTheme="minorHAnsi" w:hAnsiTheme="minorHAnsi" w:cstheme="minorHAnsi"/>
          <w:b/>
          <w:color w:val="FF0000"/>
          <w:sz w:val="24"/>
        </w:rPr>
      </w:pPr>
      <w:r>
        <w:rPr>
          <w:rFonts w:asciiTheme="minorHAnsi" w:hAnsiTheme="minorHAnsi" w:cstheme="minorHAnsi"/>
          <w:sz w:val="24"/>
          <w:szCs w:val="24"/>
        </w:rPr>
        <w:t>R</w:t>
      </w:r>
      <w:r w:rsidRPr="00625470" w:rsidR="00880F3F">
        <w:rPr>
          <w:rFonts w:asciiTheme="minorHAnsi" w:hAnsiTheme="minorHAnsi" w:cstheme="minorHAnsi"/>
          <w:sz w:val="24"/>
          <w:szCs w:val="24"/>
        </w:rPr>
        <w:t xml:space="preserve">espondents for the establishments selected </w:t>
      </w:r>
      <w:r>
        <w:rPr>
          <w:rFonts w:asciiTheme="minorHAnsi" w:hAnsiTheme="minorHAnsi" w:cstheme="minorHAnsi"/>
          <w:sz w:val="24"/>
          <w:szCs w:val="24"/>
        </w:rPr>
        <w:t xml:space="preserve">to report </w:t>
      </w:r>
      <w:r w:rsidRPr="00625470" w:rsidR="00880F3F">
        <w:rPr>
          <w:rFonts w:asciiTheme="minorHAnsi" w:hAnsiTheme="minorHAnsi" w:cstheme="minorHAnsi"/>
          <w:sz w:val="24"/>
          <w:szCs w:val="24"/>
        </w:rPr>
        <w:t>in the 202</w:t>
      </w:r>
      <w:r w:rsidRPr="00625470" w:rsidR="001525BF">
        <w:rPr>
          <w:rFonts w:asciiTheme="minorHAnsi" w:hAnsiTheme="minorHAnsi" w:cstheme="minorHAnsi"/>
          <w:sz w:val="24"/>
          <w:szCs w:val="24"/>
        </w:rPr>
        <w:t>7</w:t>
      </w:r>
      <w:r w:rsidRPr="00625470" w:rsidR="00880F3F">
        <w:rPr>
          <w:rFonts w:asciiTheme="minorHAnsi" w:hAnsiTheme="minorHAnsi" w:cstheme="minorHAnsi"/>
          <w:sz w:val="24"/>
          <w:szCs w:val="24"/>
        </w:rPr>
        <w:t xml:space="preserve"> CFS are not required to create or maintain data not readily available in their records. Instructions </w:t>
      </w:r>
      <w:r w:rsidRPr="00625470" w:rsidR="00A12333">
        <w:rPr>
          <w:rFonts w:asciiTheme="minorHAnsi" w:hAnsiTheme="minorHAnsi" w:cstheme="minorHAnsi"/>
          <w:sz w:val="24"/>
          <w:szCs w:val="24"/>
        </w:rPr>
        <w:t>within</w:t>
      </w:r>
      <w:r w:rsidRPr="00625470" w:rsidR="00880F3F">
        <w:rPr>
          <w:rFonts w:asciiTheme="minorHAnsi" w:hAnsiTheme="minorHAnsi" w:cstheme="minorHAnsi"/>
          <w:sz w:val="24"/>
          <w:szCs w:val="24"/>
        </w:rPr>
        <w:t xml:space="preserve"> the questionnaire indicate that prepared estimates are acceptable when book figures are unavailable. </w:t>
      </w:r>
    </w:p>
    <w:p w:rsidR="00DA7B2F" w:rsidRPr="00335045" w:rsidP="00DA7B2F" w14:paraId="484A070E" w14:textId="77777777">
      <w:pPr>
        <w:spacing w:before="161"/>
        <w:ind w:left="400"/>
        <w:rPr>
          <w:rFonts w:asciiTheme="minorHAnsi" w:hAnsiTheme="minorHAnsi" w:cstheme="minorHAnsi"/>
          <w:b/>
          <w:color w:val="FF0000"/>
          <w:sz w:val="24"/>
        </w:rPr>
      </w:pPr>
      <w:r w:rsidRPr="00335045">
        <w:rPr>
          <w:rFonts w:asciiTheme="minorHAnsi" w:hAnsiTheme="minorHAnsi" w:cstheme="minorHAnsi"/>
          <w:sz w:val="24"/>
          <w:szCs w:val="24"/>
          <w:u w:val="single"/>
        </w:rPr>
        <w:t>Option of Sampling</w:t>
      </w:r>
    </w:p>
    <w:p w:rsidR="00DA7B2F" w:rsidRPr="00335045" w:rsidP="00B377A4" w14:paraId="4626431F" w14:textId="7986C975">
      <w:pPr>
        <w:spacing w:before="161"/>
        <w:ind w:left="400"/>
        <w:rPr>
          <w:rFonts w:asciiTheme="minorHAnsi" w:hAnsiTheme="minorHAnsi" w:cstheme="minorHAnsi"/>
          <w:b/>
          <w:color w:val="FF0000"/>
          <w:sz w:val="24"/>
        </w:rPr>
      </w:pPr>
      <w:r w:rsidRPr="00335045">
        <w:rPr>
          <w:rFonts w:asciiTheme="minorHAnsi" w:hAnsiTheme="minorHAnsi" w:cstheme="minorHAnsi"/>
          <w:sz w:val="24"/>
          <w:szCs w:val="24"/>
        </w:rPr>
        <w:t xml:space="preserve">The stratified random sample design used for CFS is a design that uses the least number of sampling units required to produce estimates with the desired level of reliability, thus minimizing </w:t>
      </w:r>
      <w:r w:rsidRPr="00335045">
        <w:rPr>
          <w:rFonts w:asciiTheme="minorHAnsi" w:hAnsiTheme="minorHAnsi" w:cstheme="minorHAnsi"/>
          <w:sz w:val="24"/>
          <w:szCs w:val="24"/>
        </w:rPr>
        <w:t>respondent burden. Per research into 2017</w:t>
      </w:r>
      <w:r w:rsidRPr="00335045">
        <w:rPr>
          <w:rFonts w:asciiTheme="minorHAnsi" w:hAnsiTheme="minorHAnsi" w:cstheme="minorHAnsi"/>
          <w:sz w:val="24"/>
          <w:szCs w:val="24"/>
        </w:rPr>
        <w:t xml:space="preserve"> and 2022</w:t>
      </w:r>
      <w:r w:rsidRPr="00335045">
        <w:rPr>
          <w:rFonts w:asciiTheme="minorHAnsi" w:hAnsiTheme="minorHAnsi" w:cstheme="minorHAnsi"/>
          <w:sz w:val="24"/>
          <w:szCs w:val="24"/>
        </w:rPr>
        <w:t xml:space="preserve"> burden by response mode, and based on respondent feedback, sampling of shipments </w:t>
      </w:r>
      <w:r w:rsidR="00B377A4">
        <w:rPr>
          <w:rFonts w:asciiTheme="minorHAnsi" w:hAnsiTheme="minorHAnsi" w:cstheme="minorHAnsi"/>
          <w:sz w:val="24"/>
          <w:szCs w:val="24"/>
        </w:rPr>
        <w:t>may not save time for all responding businesses</w:t>
      </w:r>
      <w:r w:rsidRPr="00335045">
        <w:rPr>
          <w:rFonts w:asciiTheme="minorHAnsi" w:hAnsiTheme="minorHAnsi" w:cstheme="minorHAnsi"/>
          <w:sz w:val="24"/>
          <w:szCs w:val="24"/>
        </w:rPr>
        <w:t xml:space="preserve">. </w:t>
      </w:r>
      <w:r w:rsidRPr="00335045" w:rsidR="00A12333">
        <w:rPr>
          <w:rFonts w:asciiTheme="minorHAnsi" w:hAnsiTheme="minorHAnsi" w:cstheme="minorHAnsi"/>
          <w:sz w:val="24"/>
          <w:szCs w:val="24"/>
        </w:rPr>
        <w:t xml:space="preserve">Like the 2022 CFS, </w:t>
      </w:r>
      <w:r w:rsidRPr="00335045">
        <w:rPr>
          <w:rFonts w:asciiTheme="minorHAnsi" w:hAnsiTheme="minorHAnsi" w:cstheme="minorHAnsi"/>
          <w:sz w:val="24"/>
          <w:szCs w:val="24"/>
        </w:rPr>
        <w:t>202</w:t>
      </w:r>
      <w:r w:rsidRPr="00335045">
        <w:rPr>
          <w:rFonts w:asciiTheme="minorHAnsi" w:hAnsiTheme="minorHAnsi" w:cstheme="minorHAnsi"/>
          <w:sz w:val="24"/>
          <w:szCs w:val="24"/>
        </w:rPr>
        <w:t>7</w:t>
      </w:r>
      <w:r w:rsidRPr="00335045">
        <w:rPr>
          <w:rFonts w:asciiTheme="minorHAnsi" w:hAnsiTheme="minorHAnsi" w:cstheme="minorHAnsi"/>
          <w:sz w:val="24"/>
          <w:szCs w:val="24"/>
        </w:rPr>
        <w:t xml:space="preserve"> CFS</w:t>
      </w:r>
      <w:r w:rsidRPr="00335045" w:rsidR="00A12333">
        <w:rPr>
          <w:rFonts w:asciiTheme="minorHAnsi" w:hAnsiTheme="minorHAnsi" w:cstheme="minorHAnsi"/>
          <w:sz w:val="24"/>
          <w:szCs w:val="24"/>
        </w:rPr>
        <w:t xml:space="preserve"> </w:t>
      </w:r>
      <w:r w:rsidRPr="00335045">
        <w:rPr>
          <w:rFonts w:asciiTheme="minorHAnsi" w:hAnsiTheme="minorHAnsi" w:cstheme="minorHAnsi"/>
          <w:sz w:val="24"/>
          <w:szCs w:val="24"/>
        </w:rPr>
        <w:t xml:space="preserve">respondents </w:t>
      </w:r>
      <w:r w:rsidRPr="00335045" w:rsidR="00A12333">
        <w:rPr>
          <w:rFonts w:asciiTheme="minorHAnsi" w:hAnsiTheme="minorHAnsi" w:cstheme="minorHAnsi"/>
          <w:sz w:val="24"/>
          <w:szCs w:val="24"/>
        </w:rPr>
        <w:t>will</w:t>
      </w:r>
      <w:r w:rsidRPr="00335045">
        <w:rPr>
          <w:rFonts w:asciiTheme="minorHAnsi" w:hAnsiTheme="minorHAnsi" w:cstheme="minorHAnsi"/>
          <w:sz w:val="24"/>
          <w:szCs w:val="24"/>
        </w:rPr>
        <w:t xml:space="preserve"> have the option to provide all the</w:t>
      </w:r>
      <w:r w:rsidR="00B377A4">
        <w:rPr>
          <w:rFonts w:asciiTheme="minorHAnsi" w:hAnsiTheme="minorHAnsi" w:cstheme="minorHAnsi"/>
          <w:sz w:val="24"/>
          <w:szCs w:val="24"/>
        </w:rPr>
        <w:t xml:space="preserve">ir </w:t>
      </w:r>
      <w:r w:rsidRPr="00335045">
        <w:rPr>
          <w:rFonts w:asciiTheme="minorHAnsi" w:hAnsiTheme="minorHAnsi" w:cstheme="minorHAnsi"/>
          <w:sz w:val="24"/>
          <w:szCs w:val="24"/>
        </w:rPr>
        <w:t xml:space="preserve">shipment data </w:t>
      </w:r>
      <w:r w:rsidR="00B377A4">
        <w:rPr>
          <w:rFonts w:asciiTheme="minorHAnsi" w:hAnsiTheme="minorHAnsi" w:cstheme="minorHAnsi"/>
          <w:sz w:val="24"/>
          <w:szCs w:val="24"/>
        </w:rPr>
        <w:t>for the requested reporting period,</w:t>
      </w:r>
      <w:r w:rsidRPr="00335045" w:rsidR="00B377A4">
        <w:rPr>
          <w:rFonts w:asciiTheme="minorHAnsi" w:hAnsiTheme="minorHAnsi" w:cstheme="minorHAnsi"/>
          <w:sz w:val="24"/>
          <w:szCs w:val="24"/>
        </w:rPr>
        <w:t xml:space="preserve"> </w:t>
      </w:r>
      <w:r w:rsidRPr="00335045">
        <w:rPr>
          <w:rFonts w:asciiTheme="minorHAnsi" w:hAnsiTheme="minorHAnsi" w:cstheme="minorHAnsi"/>
          <w:sz w:val="24"/>
          <w:szCs w:val="24"/>
        </w:rPr>
        <w:t>if sampling their shipments will add an extra step and require more time and increase burden.</w:t>
      </w:r>
    </w:p>
    <w:p w:rsidR="00DA7B2F" w:rsidRPr="00335045" w:rsidP="00DA7B2F" w14:paraId="3AB7C41C" w14:textId="72770F3A">
      <w:pPr>
        <w:spacing w:before="161"/>
        <w:ind w:left="400"/>
        <w:rPr>
          <w:rFonts w:asciiTheme="minorHAnsi" w:hAnsiTheme="minorHAnsi" w:cstheme="minorHAnsi"/>
          <w:b/>
          <w:color w:val="FF0000"/>
          <w:sz w:val="24"/>
        </w:rPr>
      </w:pPr>
      <w:r w:rsidRPr="00335045">
        <w:rPr>
          <w:rFonts w:asciiTheme="minorHAnsi" w:hAnsiTheme="minorHAnsi" w:cstheme="minorHAnsi"/>
          <w:sz w:val="24"/>
          <w:szCs w:val="24"/>
          <w:u w:val="single"/>
        </w:rPr>
        <w:t xml:space="preserve">Removal of Supplemental </w:t>
      </w:r>
      <w:r w:rsidRPr="00335045" w:rsidR="00880F3F">
        <w:rPr>
          <w:rFonts w:asciiTheme="minorHAnsi" w:hAnsiTheme="minorHAnsi" w:cstheme="minorHAnsi"/>
          <w:sz w:val="24"/>
          <w:szCs w:val="24"/>
          <w:u w:val="single"/>
        </w:rPr>
        <w:t xml:space="preserve">CFS Hazmat </w:t>
      </w:r>
      <w:r w:rsidRPr="00335045">
        <w:rPr>
          <w:rFonts w:asciiTheme="minorHAnsi" w:hAnsiTheme="minorHAnsi" w:cstheme="minorHAnsi"/>
          <w:sz w:val="24"/>
          <w:szCs w:val="24"/>
          <w:u w:val="single"/>
        </w:rPr>
        <w:t>Questions</w:t>
      </w:r>
    </w:p>
    <w:p w:rsidR="00807ECC" w:rsidRPr="00335045" w:rsidP="00E25D3B" w14:paraId="4EB9E4C5" w14:textId="109C252A">
      <w:pPr>
        <w:spacing w:before="161"/>
        <w:ind w:left="400"/>
        <w:rPr>
          <w:rFonts w:asciiTheme="minorHAnsi" w:hAnsiTheme="minorHAnsi" w:cstheme="minorHAnsi"/>
          <w:sz w:val="24"/>
          <w:szCs w:val="24"/>
        </w:rPr>
      </w:pPr>
      <w:r w:rsidRPr="00335045">
        <w:rPr>
          <w:rFonts w:asciiTheme="minorHAnsi" w:hAnsiTheme="minorHAnsi" w:cstheme="minorHAnsi"/>
          <w:sz w:val="24"/>
          <w:szCs w:val="24"/>
        </w:rPr>
        <w:t>For the 2022 CFS, a</w:t>
      </w:r>
      <w:r w:rsidRPr="00335045" w:rsidR="00880F3F">
        <w:rPr>
          <w:rFonts w:asciiTheme="minorHAnsi" w:hAnsiTheme="minorHAnsi" w:cstheme="minorHAnsi"/>
          <w:sz w:val="24"/>
          <w:szCs w:val="24"/>
        </w:rPr>
        <w:t xml:space="preserve">t the request of the Pipeline and Hazardous Materials Safety Administration (PHMSA), supplemental survey questions </w:t>
      </w:r>
      <w:r w:rsidRPr="00335045">
        <w:rPr>
          <w:rFonts w:asciiTheme="minorHAnsi" w:hAnsiTheme="minorHAnsi" w:cstheme="minorHAnsi"/>
          <w:sz w:val="24"/>
          <w:szCs w:val="24"/>
        </w:rPr>
        <w:t>were</w:t>
      </w:r>
      <w:r w:rsidRPr="00335045" w:rsidR="00880F3F">
        <w:rPr>
          <w:rFonts w:asciiTheme="minorHAnsi" w:hAnsiTheme="minorHAnsi" w:cstheme="minorHAnsi"/>
          <w:sz w:val="24"/>
          <w:szCs w:val="24"/>
        </w:rPr>
        <w:t xml:space="preserve"> added to the first and fourth quarters. The supplemental questions collect</w:t>
      </w:r>
      <w:r w:rsidRPr="00335045">
        <w:rPr>
          <w:rFonts w:asciiTheme="minorHAnsi" w:hAnsiTheme="minorHAnsi" w:cstheme="minorHAnsi"/>
          <w:sz w:val="24"/>
          <w:szCs w:val="24"/>
        </w:rPr>
        <w:t>ed</w:t>
      </w:r>
      <w:r w:rsidRPr="00335045" w:rsidR="00880F3F">
        <w:rPr>
          <w:rFonts w:asciiTheme="minorHAnsi" w:hAnsiTheme="minorHAnsi" w:cstheme="minorHAnsi"/>
          <w:sz w:val="24"/>
          <w:szCs w:val="24"/>
        </w:rPr>
        <w:t xml:space="preserve"> data about the packaging types used to transport hazardous materials in 2021 and 2022.</w:t>
      </w:r>
      <w:r w:rsidRPr="00335045" w:rsidR="00FD4F28">
        <w:rPr>
          <w:rFonts w:asciiTheme="minorHAnsi" w:hAnsiTheme="minorHAnsi" w:cstheme="minorHAnsi"/>
          <w:sz w:val="24"/>
          <w:szCs w:val="24"/>
        </w:rPr>
        <w:t xml:space="preserve"> </w:t>
      </w:r>
      <w:r w:rsidR="00E25D3B">
        <w:rPr>
          <w:rFonts w:asciiTheme="minorHAnsi" w:hAnsiTheme="minorHAnsi" w:cstheme="minorHAnsi"/>
          <w:sz w:val="24"/>
          <w:szCs w:val="24"/>
        </w:rPr>
        <w:t>The</w:t>
      </w:r>
      <w:r w:rsidRPr="00335045" w:rsidR="00FD4F28">
        <w:rPr>
          <w:rFonts w:asciiTheme="minorHAnsi" w:hAnsiTheme="minorHAnsi" w:cstheme="minorHAnsi"/>
          <w:sz w:val="24"/>
          <w:szCs w:val="24"/>
        </w:rPr>
        <w:t xml:space="preserve"> 2027 CFS will no longer ask these supplemental packaging questions. This change will reduce the total number of sampled establishments by </w:t>
      </w:r>
      <w:r w:rsidRPr="00335045" w:rsidR="00A20641">
        <w:rPr>
          <w:rFonts w:asciiTheme="minorHAnsi" w:hAnsiTheme="minorHAnsi" w:cstheme="minorHAnsi"/>
          <w:sz w:val="24"/>
          <w:szCs w:val="24"/>
        </w:rPr>
        <w:t xml:space="preserve">more than </w:t>
      </w:r>
      <w:r w:rsidRPr="00335045" w:rsidR="00FD4F28">
        <w:rPr>
          <w:rFonts w:asciiTheme="minorHAnsi" w:hAnsiTheme="minorHAnsi" w:cstheme="minorHAnsi"/>
          <w:sz w:val="24"/>
          <w:szCs w:val="24"/>
        </w:rPr>
        <w:t>2</w:t>
      </w:r>
      <w:r w:rsidRPr="00335045" w:rsidR="00A20641">
        <w:rPr>
          <w:rFonts w:asciiTheme="minorHAnsi" w:hAnsiTheme="minorHAnsi" w:cstheme="minorHAnsi"/>
          <w:sz w:val="24"/>
          <w:szCs w:val="24"/>
        </w:rPr>
        <w:t>0</w:t>
      </w:r>
      <w:r w:rsidRPr="00335045" w:rsidR="00FD4F28">
        <w:rPr>
          <w:rFonts w:asciiTheme="minorHAnsi" w:hAnsiTheme="minorHAnsi" w:cstheme="minorHAnsi"/>
          <w:sz w:val="24"/>
          <w:szCs w:val="24"/>
        </w:rPr>
        <w:t xml:space="preserve"> thousand establishments, as well as reduce the burden hours associated with the packaging questions</w:t>
      </w:r>
      <w:r w:rsidR="00E25D3B">
        <w:rPr>
          <w:rFonts w:asciiTheme="minorHAnsi" w:hAnsiTheme="minorHAnsi" w:cstheme="minorHAnsi"/>
          <w:sz w:val="24"/>
          <w:szCs w:val="24"/>
        </w:rPr>
        <w:t xml:space="preserve"> for those establishments shipping hazardous materials</w:t>
      </w:r>
      <w:r w:rsidRPr="00335045" w:rsidR="00FD4F28">
        <w:rPr>
          <w:rFonts w:asciiTheme="minorHAnsi" w:hAnsiTheme="minorHAnsi" w:cstheme="minorHAnsi"/>
          <w:sz w:val="24"/>
          <w:szCs w:val="24"/>
        </w:rPr>
        <w:t xml:space="preserve">. </w:t>
      </w:r>
      <w:r w:rsidRPr="00335045" w:rsidR="00A20641">
        <w:rPr>
          <w:rFonts w:asciiTheme="minorHAnsi" w:hAnsiTheme="minorHAnsi" w:cstheme="minorHAnsi"/>
          <w:sz w:val="24"/>
          <w:szCs w:val="24"/>
        </w:rPr>
        <w:t xml:space="preserve">Respondents will continue to be asked to identify the </w:t>
      </w:r>
      <w:r w:rsidR="006315E8">
        <w:rPr>
          <w:rFonts w:asciiTheme="minorHAnsi" w:hAnsiTheme="minorHAnsi" w:cstheme="minorHAnsi"/>
          <w:sz w:val="24"/>
          <w:szCs w:val="24"/>
        </w:rPr>
        <w:t>United Nations/North American (</w:t>
      </w:r>
      <w:r w:rsidRPr="00335045" w:rsidR="00A20641">
        <w:rPr>
          <w:rFonts w:asciiTheme="minorHAnsi" w:hAnsiTheme="minorHAnsi" w:cstheme="minorHAnsi"/>
          <w:sz w:val="24"/>
          <w:szCs w:val="24"/>
        </w:rPr>
        <w:t>UN/NA</w:t>
      </w:r>
      <w:r w:rsidR="006315E8">
        <w:rPr>
          <w:rFonts w:asciiTheme="minorHAnsi" w:hAnsiTheme="minorHAnsi" w:cstheme="minorHAnsi"/>
          <w:sz w:val="24"/>
          <w:szCs w:val="24"/>
        </w:rPr>
        <w:t>)</w:t>
      </w:r>
      <w:r w:rsidRPr="00335045" w:rsidR="00A20641">
        <w:rPr>
          <w:rFonts w:asciiTheme="minorHAnsi" w:hAnsiTheme="minorHAnsi" w:cstheme="minorHAnsi"/>
          <w:sz w:val="24"/>
          <w:szCs w:val="24"/>
        </w:rPr>
        <w:t xml:space="preserve"> code for each </w:t>
      </w:r>
      <w:r w:rsidRPr="00335045" w:rsidR="0000082D">
        <w:rPr>
          <w:rFonts w:asciiTheme="minorHAnsi" w:hAnsiTheme="minorHAnsi" w:cstheme="minorHAnsi"/>
          <w:sz w:val="24"/>
          <w:szCs w:val="24"/>
        </w:rPr>
        <w:t xml:space="preserve">hazardous material </w:t>
      </w:r>
      <w:r w:rsidRPr="00335045" w:rsidR="00A20641">
        <w:rPr>
          <w:rFonts w:asciiTheme="minorHAnsi" w:hAnsiTheme="minorHAnsi" w:cstheme="minorHAnsi"/>
          <w:sz w:val="24"/>
          <w:szCs w:val="24"/>
        </w:rPr>
        <w:t>shipment.</w:t>
      </w:r>
    </w:p>
    <w:p w:rsidR="00807ECC" w:rsidRPr="00335045" w:rsidP="00807ECC" w14:paraId="1E014303" w14:textId="62AEE1A8">
      <w:pPr>
        <w:spacing w:before="161"/>
        <w:ind w:left="400"/>
        <w:rPr>
          <w:rFonts w:asciiTheme="minorHAnsi" w:hAnsiTheme="minorHAnsi" w:cstheme="minorHAnsi"/>
          <w:b/>
          <w:color w:val="FF0000"/>
          <w:sz w:val="24"/>
        </w:rPr>
      </w:pPr>
      <w:r w:rsidRPr="00335045">
        <w:rPr>
          <w:rFonts w:asciiTheme="minorHAnsi" w:hAnsiTheme="minorHAnsi" w:cstheme="minorHAnsi"/>
          <w:sz w:val="24"/>
          <w:szCs w:val="24"/>
          <w:u w:val="single"/>
        </w:rPr>
        <w:t xml:space="preserve">Criteria </w:t>
      </w:r>
      <w:r w:rsidRPr="00335045">
        <w:rPr>
          <w:rFonts w:asciiTheme="minorHAnsi" w:hAnsiTheme="minorHAnsi" w:cstheme="minorHAnsi"/>
          <w:sz w:val="24"/>
          <w:szCs w:val="24"/>
          <w:u w:val="single"/>
        </w:rPr>
        <w:t xml:space="preserve">for </w:t>
      </w:r>
      <w:r w:rsidRPr="00335045" w:rsidR="004E5129">
        <w:rPr>
          <w:rFonts w:asciiTheme="minorHAnsi" w:hAnsiTheme="minorHAnsi" w:cstheme="minorHAnsi"/>
          <w:sz w:val="24"/>
          <w:szCs w:val="24"/>
          <w:u w:val="single"/>
        </w:rPr>
        <w:t>Total Annual Value of Shipments</w:t>
      </w:r>
    </w:p>
    <w:p w:rsidR="00DA7B2F" w:rsidRPr="00335045" w:rsidP="001776B3" w14:paraId="5B03A6E4" w14:textId="628345F0">
      <w:pPr>
        <w:spacing w:before="161"/>
        <w:ind w:left="400"/>
        <w:rPr>
          <w:rFonts w:asciiTheme="minorHAnsi" w:hAnsiTheme="minorHAnsi" w:cstheme="minorHAnsi"/>
          <w:b/>
          <w:color w:val="FF0000"/>
          <w:sz w:val="24"/>
        </w:rPr>
      </w:pPr>
      <w:r w:rsidRPr="00335045">
        <w:rPr>
          <w:rFonts w:asciiTheme="minorHAnsi" w:hAnsiTheme="minorHAnsi" w:cstheme="minorHAnsi"/>
          <w:sz w:val="24"/>
          <w:szCs w:val="24"/>
        </w:rPr>
        <w:t>For the 2022 CFS, all respondents were asked for the 2021 Total Annual Value of Shipments for their establishments. From post-collection statistical research from the 2022 CFS, the information for this question was only needed for certain industries. For the 2027 CFS,</w:t>
      </w:r>
      <w:r w:rsidRPr="00335045" w:rsidR="004A6476">
        <w:rPr>
          <w:rFonts w:asciiTheme="minorHAnsi" w:hAnsiTheme="minorHAnsi" w:cstheme="minorHAnsi"/>
          <w:sz w:val="24"/>
          <w:szCs w:val="24"/>
        </w:rPr>
        <w:t xml:space="preserve"> selected retail and </w:t>
      </w:r>
      <w:r w:rsidRPr="00335045">
        <w:rPr>
          <w:rFonts w:asciiTheme="minorHAnsi" w:hAnsiTheme="minorHAnsi" w:cstheme="minorHAnsi"/>
          <w:sz w:val="24"/>
          <w:szCs w:val="24"/>
        </w:rPr>
        <w:t>auxiliary</w:t>
      </w:r>
      <w:r w:rsidRPr="00335045" w:rsidR="00A061F2">
        <w:rPr>
          <w:rFonts w:asciiTheme="minorHAnsi" w:hAnsiTheme="minorHAnsi" w:cstheme="minorHAnsi"/>
          <w:sz w:val="24"/>
          <w:szCs w:val="24"/>
        </w:rPr>
        <w:t>-</w:t>
      </w:r>
      <w:r w:rsidRPr="00335045" w:rsidR="004A6476">
        <w:rPr>
          <w:rFonts w:asciiTheme="minorHAnsi" w:hAnsiTheme="minorHAnsi" w:cstheme="minorHAnsi"/>
          <w:sz w:val="24"/>
          <w:szCs w:val="24"/>
        </w:rPr>
        <w:t xml:space="preserve">related </w:t>
      </w:r>
      <w:r w:rsidRPr="00335045">
        <w:rPr>
          <w:rFonts w:asciiTheme="minorHAnsi" w:hAnsiTheme="minorHAnsi" w:cstheme="minorHAnsi"/>
          <w:sz w:val="24"/>
          <w:szCs w:val="24"/>
        </w:rPr>
        <w:t xml:space="preserve">establishments will be asked </w:t>
      </w:r>
      <w:r w:rsidRPr="00335045" w:rsidR="00A061F2">
        <w:rPr>
          <w:rFonts w:asciiTheme="minorHAnsi" w:hAnsiTheme="minorHAnsi" w:cstheme="minorHAnsi"/>
          <w:sz w:val="24"/>
          <w:szCs w:val="24"/>
        </w:rPr>
        <w:t xml:space="preserve">to report </w:t>
      </w:r>
      <w:r w:rsidRPr="00335045">
        <w:rPr>
          <w:rFonts w:asciiTheme="minorHAnsi" w:hAnsiTheme="minorHAnsi" w:cstheme="minorHAnsi"/>
          <w:sz w:val="24"/>
          <w:szCs w:val="24"/>
        </w:rPr>
        <w:t>their 2026 Total Annual Value of Shipments</w:t>
      </w:r>
      <w:r w:rsidRPr="00335045" w:rsidR="00A061F2">
        <w:rPr>
          <w:rFonts w:asciiTheme="minorHAnsi" w:hAnsiTheme="minorHAnsi" w:cstheme="minorHAnsi"/>
          <w:sz w:val="24"/>
          <w:szCs w:val="24"/>
        </w:rPr>
        <w:t xml:space="preserve">. This approach </w:t>
      </w:r>
      <w:r w:rsidRPr="00335045">
        <w:rPr>
          <w:rFonts w:asciiTheme="minorHAnsi" w:hAnsiTheme="minorHAnsi" w:cstheme="minorHAnsi"/>
          <w:sz w:val="24"/>
          <w:szCs w:val="24"/>
        </w:rPr>
        <w:t xml:space="preserve">will reduce the burden </w:t>
      </w:r>
      <w:r w:rsidRPr="00335045" w:rsidR="00C257E4">
        <w:rPr>
          <w:rFonts w:asciiTheme="minorHAnsi" w:hAnsiTheme="minorHAnsi" w:cstheme="minorHAnsi"/>
          <w:sz w:val="24"/>
          <w:szCs w:val="24"/>
        </w:rPr>
        <w:t>on</w:t>
      </w:r>
      <w:r w:rsidRPr="00335045">
        <w:rPr>
          <w:rFonts w:asciiTheme="minorHAnsi" w:hAnsiTheme="minorHAnsi" w:cstheme="minorHAnsi"/>
          <w:sz w:val="24"/>
          <w:szCs w:val="24"/>
        </w:rPr>
        <w:t xml:space="preserve"> </w:t>
      </w:r>
      <w:r w:rsidRPr="00335045" w:rsidR="00A061F2">
        <w:rPr>
          <w:rFonts w:asciiTheme="minorHAnsi" w:hAnsiTheme="minorHAnsi" w:cstheme="minorHAnsi"/>
          <w:sz w:val="24"/>
          <w:szCs w:val="24"/>
        </w:rPr>
        <w:t>industries other than those retail and a</w:t>
      </w:r>
      <w:r w:rsidRPr="00335045">
        <w:rPr>
          <w:rFonts w:asciiTheme="minorHAnsi" w:hAnsiTheme="minorHAnsi" w:cstheme="minorHAnsi"/>
          <w:sz w:val="24"/>
          <w:szCs w:val="24"/>
        </w:rPr>
        <w:t>uxiliary</w:t>
      </w:r>
      <w:r w:rsidRPr="00335045" w:rsidR="00A061F2">
        <w:rPr>
          <w:rFonts w:asciiTheme="minorHAnsi" w:hAnsiTheme="minorHAnsi" w:cstheme="minorHAnsi"/>
          <w:sz w:val="24"/>
          <w:szCs w:val="24"/>
        </w:rPr>
        <w:t>-</w:t>
      </w:r>
      <w:r w:rsidRPr="00335045">
        <w:rPr>
          <w:rFonts w:asciiTheme="minorHAnsi" w:hAnsiTheme="minorHAnsi" w:cstheme="minorHAnsi"/>
          <w:sz w:val="24"/>
          <w:szCs w:val="24"/>
        </w:rPr>
        <w:t>related establishments.</w:t>
      </w:r>
    </w:p>
    <w:p w:rsidR="00DA7B2F" w:rsidRPr="00335045" w:rsidP="00DA7B2F" w14:paraId="2514A72C" w14:textId="77777777">
      <w:pPr>
        <w:spacing w:before="161"/>
        <w:ind w:left="400"/>
        <w:rPr>
          <w:rFonts w:asciiTheme="minorHAnsi" w:hAnsiTheme="minorHAnsi" w:cstheme="minorHAnsi"/>
          <w:b/>
          <w:color w:val="FF0000"/>
          <w:sz w:val="24"/>
        </w:rPr>
      </w:pPr>
      <w:r w:rsidRPr="00335045">
        <w:rPr>
          <w:rFonts w:asciiTheme="minorHAnsi" w:hAnsiTheme="minorHAnsi" w:cstheme="minorHAnsi"/>
          <w:sz w:val="24"/>
          <w:szCs w:val="24"/>
          <w:u w:val="single"/>
        </w:rPr>
        <w:t>Toll-free Telephone Number</w:t>
      </w:r>
    </w:p>
    <w:p w:rsidR="00880F3F" w:rsidP="00171186" w14:paraId="3F7F45F5" w14:textId="6B77CB8E">
      <w:pPr>
        <w:spacing w:before="161"/>
        <w:ind w:left="400"/>
        <w:rPr>
          <w:rFonts w:ascii="Calibri" w:hAnsi="Calibri" w:cs="Calibri"/>
          <w:b/>
          <w:color w:val="FF0000"/>
          <w:sz w:val="24"/>
        </w:rPr>
      </w:pPr>
      <w:r w:rsidRPr="00335045">
        <w:rPr>
          <w:rFonts w:asciiTheme="minorHAnsi" w:hAnsiTheme="minorHAnsi" w:cstheme="minorHAnsi"/>
          <w:sz w:val="24"/>
          <w:szCs w:val="24"/>
        </w:rPr>
        <w:t>A toll-free telephone number for respondents to use for questions or assistance will be available. In addition, the Census Bureau offers a platform to email securely via the E-Correspondence system for those respondents with a preference for communicating via e-mail.</w:t>
      </w:r>
    </w:p>
    <w:p w:rsidR="00B82768" w:rsidRPr="00124446" w14:paraId="44EAFD9C" w14:textId="77777777">
      <w:pPr>
        <w:pStyle w:val="BodyText"/>
        <w:spacing w:before="160"/>
        <w:ind w:right="580"/>
        <w:rPr>
          <w:rFonts w:ascii="Calibri" w:hAnsi="Calibri" w:cs="Calibri"/>
        </w:rPr>
      </w:pPr>
    </w:p>
    <w:p w:rsidR="00201347" w:rsidRPr="00124446" w:rsidP="00844D2F" w14:paraId="16040DF1" w14:textId="77777777">
      <w:pPr>
        <w:pStyle w:val="Heading1"/>
        <w:numPr>
          <w:ilvl w:val="0"/>
          <w:numId w:val="7"/>
        </w:numPr>
        <w:tabs>
          <w:tab w:val="left" w:pos="669"/>
        </w:tabs>
        <w:spacing w:before="116"/>
        <w:ind w:left="360" w:hanging="360"/>
        <w:rPr>
          <w:rFonts w:ascii="Calibri" w:hAnsi="Calibri" w:cs="Calibri"/>
        </w:rPr>
      </w:pPr>
      <w:r w:rsidRPr="00124446">
        <w:rPr>
          <w:rFonts w:ascii="Calibri" w:hAnsi="Calibri" w:cs="Calibri"/>
        </w:rPr>
        <w:t xml:space="preserve">Describe the </w:t>
      </w:r>
      <w:r w:rsidRPr="00124446">
        <w:rPr>
          <w:rFonts w:ascii="Calibri" w:hAnsi="Calibri" w:cs="Calibri"/>
        </w:rPr>
        <w:t>consequence</w:t>
      </w:r>
      <w:r w:rsidRPr="00124446">
        <w:rPr>
          <w:rFonts w:ascii="Calibri" w:hAnsi="Calibri" w:cs="Calibri"/>
        </w:rPr>
        <w:t xml:space="preserve"> </w:t>
      </w:r>
      <w:r w:rsidRPr="00124446">
        <w:rPr>
          <w:rFonts w:ascii="Calibri" w:hAnsi="Calibri" w:cs="Calibri"/>
        </w:rPr>
        <w:t>to</w:t>
      </w:r>
      <w:r w:rsidRPr="00124446">
        <w:rPr>
          <w:rFonts w:ascii="Calibri" w:hAnsi="Calibri" w:cs="Calibri"/>
        </w:rPr>
        <w:t xml:space="preserve"> Federal program or policy acti</w:t>
      </w:r>
      <w:r w:rsidR="00060FAF">
        <w:rPr>
          <w:rFonts w:ascii="Calibri" w:hAnsi="Calibri" w:cs="Calibri"/>
        </w:rPr>
        <w:t xml:space="preserve">vities if the collection is not </w:t>
      </w:r>
      <w:r w:rsidRPr="00124446">
        <w:rPr>
          <w:rFonts w:ascii="Calibri" w:hAnsi="Calibri" w:cs="Calibri"/>
        </w:rPr>
        <w:t>conducted or is conducted less frequently, as well as any technical or legal obstacles to reducing</w:t>
      </w:r>
      <w:r w:rsidRPr="00124446">
        <w:rPr>
          <w:rFonts w:ascii="Calibri" w:hAnsi="Calibri" w:cs="Calibri"/>
          <w:spacing w:val="-1"/>
        </w:rPr>
        <w:t xml:space="preserve"> </w:t>
      </w:r>
      <w:r w:rsidRPr="00124446">
        <w:rPr>
          <w:rFonts w:ascii="Calibri" w:hAnsi="Calibri" w:cs="Calibri"/>
        </w:rPr>
        <w:t>burden.</w:t>
      </w:r>
    </w:p>
    <w:p w:rsidR="00C02853" w:rsidRPr="00335045" w:rsidP="00C02853" w14:paraId="4A696F7B" w14:textId="0D5D3100">
      <w:pPr>
        <w:spacing w:before="161"/>
        <w:ind w:left="400"/>
        <w:rPr>
          <w:rFonts w:asciiTheme="minorHAnsi" w:hAnsiTheme="minorHAnsi" w:cstheme="minorHAnsi"/>
          <w:b/>
          <w:color w:val="FF0000"/>
          <w:sz w:val="24"/>
        </w:rPr>
      </w:pPr>
      <w:r w:rsidRPr="00335045">
        <w:rPr>
          <w:rFonts w:asciiTheme="minorHAnsi" w:hAnsiTheme="minorHAnsi" w:cstheme="minorHAnsi"/>
          <w:sz w:val="24"/>
          <w:szCs w:val="24"/>
        </w:rPr>
        <w:t xml:space="preserve">The survey is conducted at 5-year intervals as part of the Economic Census and </w:t>
      </w:r>
      <w:r w:rsidRPr="00335045" w:rsidR="00A20641">
        <w:rPr>
          <w:rFonts w:asciiTheme="minorHAnsi" w:hAnsiTheme="minorHAnsi" w:cstheme="minorHAnsi"/>
          <w:sz w:val="24"/>
          <w:szCs w:val="24"/>
        </w:rPr>
        <w:t>covers</w:t>
      </w:r>
      <w:r w:rsidRPr="00335045">
        <w:rPr>
          <w:rFonts w:asciiTheme="minorHAnsi" w:hAnsiTheme="minorHAnsi" w:cstheme="minorHAnsi"/>
          <w:sz w:val="24"/>
          <w:szCs w:val="24"/>
        </w:rPr>
        <w:t xml:space="preserve"> the same data year. Linking and integrating the 5-year program of commodities manufactured, mined, and traded (Economic Census) with how and where they are moved (CFS) will improve the utility of both data sets. In addition, Economic Census data are used in the process of producing the CFS estimates. </w:t>
      </w:r>
    </w:p>
    <w:p w:rsidR="00C02853" w:rsidRPr="00335045" w:rsidP="00C02853" w14:paraId="2489278D" w14:textId="2F48AFD6">
      <w:pPr>
        <w:spacing w:before="161"/>
        <w:ind w:left="400"/>
        <w:rPr>
          <w:rFonts w:asciiTheme="minorHAnsi" w:hAnsiTheme="minorHAnsi" w:cstheme="minorHAnsi"/>
          <w:b/>
          <w:color w:val="FF0000"/>
          <w:sz w:val="24"/>
        </w:rPr>
      </w:pPr>
      <w:r w:rsidRPr="00335045">
        <w:rPr>
          <w:rFonts w:asciiTheme="minorHAnsi" w:hAnsiTheme="minorHAnsi" w:cstheme="minorHAnsi"/>
          <w:sz w:val="24"/>
          <w:szCs w:val="24"/>
        </w:rPr>
        <w:t>If the data were collected less frequently, transportation policy makers and planners at the Federal, state, and local levels would lose significant utility from a critical source of transportation statistics</w:t>
      </w:r>
      <w:r w:rsidR="007E6CDA">
        <w:rPr>
          <w:rFonts w:asciiTheme="minorHAnsi" w:hAnsiTheme="minorHAnsi" w:cstheme="minorHAnsi"/>
          <w:sz w:val="24"/>
          <w:szCs w:val="24"/>
        </w:rPr>
        <w:t xml:space="preserve"> (see response to question 2 above)</w:t>
      </w:r>
      <w:r w:rsidRPr="00335045">
        <w:rPr>
          <w:rFonts w:asciiTheme="minorHAnsi" w:hAnsiTheme="minorHAnsi" w:cstheme="minorHAnsi"/>
          <w:sz w:val="24"/>
          <w:szCs w:val="24"/>
        </w:rPr>
        <w:t xml:space="preserve">. With transportation practices and trends changing at </w:t>
      </w:r>
      <w:r w:rsidRPr="00335045">
        <w:rPr>
          <w:rFonts w:asciiTheme="minorHAnsi" w:hAnsiTheme="minorHAnsi" w:cstheme="minorHAnsi"/>
          <w:sz w:val="24"/>
          <w:szCs w:val="24"/>
        </w:rPr>
        <w:t>an ever-increasing rate, less frequent collection of these data would severely restrict data users’ ability to accurately analyze and improve the transportation services, facilities, and infrastructure.</w:t>
      </w:r>
    </w:p>
    <w:p w:rsidR="00B82768" w:rsidRPr="00124446" w:rsidP="00335045" w14:paraId="4B94D5A5" w14:textId="77777777">
      <w:pPr>
        <w:pStyle w:val="BodyText"/>
        <w:spacing w:before="115"/>
        <w:ind w:left="0"/>
        <w:rPr>
          <w:rFonts w:ascii="Calibri" w:hAnsi="Calibri" w:cs="Calibri"/>
        </w:rPr>
      </w:pPr>
    </w:p>
    <w:p w:rsidR="00201347" w:rsidP="00844D2F" w14:paraId="74BEDF83" w14:textId="62D5613F">
      <w:pPr>
        <w:pStyle w:val="Heading1"/>
        <w:numPr>
          <w:ilvl w:val="0"/>
          <w:numId w:val="7"/>
        </w:numPr>
        <w:tabs>
          <w:tab w:val="left" w:pos="669"/>
        </w:tabs>
        <w:spacing w:before="122" w:line="259" w:lineRule="auto"/>
        <w:ind w:left="360" w:hanging="360"/>
        <w:rPr>
          <w:rFonts w:ascii="Calibri" w:hAnsi="Calibri" w:cs="Calibri"/>
        </w:rPr>
      </w:pPr>
      <w:r w:rsidRPr="00124446">
        <w:rPr>
          <w:rFonts w:ascii="Calibri" w:hAnsi="Calibri" w:cs="Calibri"/>
        </w:rPr>
        <w:t xml:space="preserve">Explain any special circumstances that would cause an information collection </w:t>
      </w:r>
      <w:r w:rsidR="007E6CDA">
        <w:rPr>
          <w:rFonts w:ascii="Calibri" w:hAnsi="Calibri" w:cs="Calibri"/>
        </w:rPr>
        <w:t>to be</w:t>
      </w:r>
      <w:r w:rsidRPr="00124446">
        <w:rPr>
          <w:rFonts w:ascii="Calibri" w:hAnsi="Calibri" w:cs="Calibri"/>
        </w:rPr>
        <w:t xml:space="preserve"> conducted in a</w:t>
      </w:r>
      <w:r w:rsidRPr="00124446">
        <w:rPr>
          <w:rFonts w:ascii="Calibri" w:hAnsi="Calibri" w:cs="Calibri"/>
          <w:spacing w:val="-2"/>
        </w:rPr>
        <w:t xml:space="preserve"> </w:t>
      </w:r>
      <w:r w:rsidRPr="00124446">
        <w:rPr>
          <w:rFonts w:ascii="Calibri" w:hAnsi="Calibri" w:cs="Calibri"/>
        </w:rPr>
        <w:t>manner:</w:t>
      </w:r>
    </w:p>
    <w:p w:rsidR="007E6CDA" w:rsidRPr="00602FCF" w:rsidP="007E6CDA" w14:paraId="2DB96A86" w14:textId="77777777">
      <w:pPr>
        <w:pStyle w:val="ListParagraph"/>
        <w:numPr>
          <w:ilvl w:val="0"/>
          <w:numId w:val="9"/>
        </w:numPr>
        <w:tabs>
          <w:tab w:val="left" w:pos="759"/>
          <w:tab w:val="left" w:pos="760"/>
        </w:tabs>
        <w:spacing w:before="160"/>
        <w:rPr>
          <w:rFonts w:ascii="Calibri" w:hAnsi="Calibri" w:cs="Calibri"/>
          <w:b/>
          <w:bCs/>
          <w:sz w:val="20"/>
        </w:rPr>
      </w:pPr>
      <w:r w:rsidRPr="00602FCF">
        <w:rPr>
          <w:rFonts w:ascii="Calibri" w:hAnsi="Calibri" w:cs="Calibri"/>
          <w:b/>
          <w:bCs/>
          <w:sz w:val="24"/>
        </w:rPr>
        <w:t>requiring respondents to report information to the agency more often than</w:t>
      </w:r>
      <w:r w:rsidRPr="00602FCF">
        <w:rPr>
          <w:rFonts w:ascii="Calibri" w:hAnsi="Calibri" w:cs="Calibri"/>
          <w:b/>
          <w:bCs/>
          <w:spacing w:val="-16"/>
          <w:sz w:val="24"/>
        </w:rPr>
        <w:t xml:space="preserve"> </w:t>
      </w:r>
      <w:r w:rsidRPr="00602FCF">
        <w:rPr>
          <w:rFonts w:ascii="Calibri" w:hAnsi="Calibri" w:cs="Calibri"/>
          <w:b/>
          <w:bCs/>
          <w:sz w:val="24"/>
        </w:rPr>
        <w:t>quarterly;</w:t>
      </w:r>
    </w:p>
    <w:p w:rsidR="007E6CDA" w:rsidRPr="00602FCF" w:rsidP="007E6CDA" w14:paraId="3D385CD0" w14:textId="77777777">
      <w:pPr>
        <w:pStyle w:val="ListParagraph"/>
        <w:numPr>
          <w:ilvl w:val="0"/>
          <w:numId w:val="9"/>
        </w:numPr>
        <w:tabs>
          <w:tab w:val="left" w:pos="759"/>
          <w:tab w:val="left" w:pos="760"/>
        </w:tabs>
        <w:rPr>
          <w:rFonts w:ascii="Calibri" w:hAnsi="Calibri" w:cs="Calibri"/>
          <w:b/>
          <w:bCs/>
          <w:sz w:val="20"/>
        </w:rPr>
      </w:pPr>
      <w:r w:rsidRPr="00602FCF">
        <w:rPr>
          <w:rFonts w:ascii="Calibri" w:hAnsi="Calibri" w:cs="Calibri"/>
          <w:b/>
          <w:bCs/>
          <w:sz w:val="24"/>
        </w:rPr>
        <w:t>requiring respondents to prepare a written response to a collection of information in fewer than 30 days after receipt of it;</w:t>
      </w:r>
    </w:p>
    <w:p w:rsidR="007E6CDA" w:rsidRPr="00602FCF" w:rsidP="007E6CDA" w14:paraId="364D7200" w14:textId="77777777">
      <w:pPr>
        <w:pStyle w:val="ListParagraph"/>
        <w:numPr>
          <w:ilvl w:val="0"/>
          <w:numId w:val="9"/>
        </w:numPr>
        <w:tabs>
          <w:tab w:val="left" w:pos="759"/>
          <w:tab w:val="left" w:pos="760"/>
        </w:tabs>
        <w:rPr>
          <w:rFonts w:ascii="Calibri" w:hAnsi="Calibri" w:cs="Calibri"/>
          <w:b/>
          <w:bCs/>
          <w:sz w:val="20"/>
        </w:rPr>
      </w:pPr>
      <w:r w:rsidRPr="00602FCF">
        <w:rPr>
          <w:rFonts w:ascii="Calibri" w:hAnsi="Calibri" w:cs="Calibri"/>
          <w:b/>
          <w:bCs/>
          <w:sz w:val="24"/>
        </w:rPr>
        <w:t>requiring respondents to submit more than an original and two copies of any</w:t>
      </w:r>
      <w:r w:rsidRPr="00602FCF">
        <w:rPr>
          <w:rFonts w:ascii="Calibri" w:hAnsi="Calibri" w:cs="Calibri"/>
          <w:b/>
          <w:bCs/>
          <w:spacing w:val="-16"/>
          <w:sz w:val="24"/>
        </w:rPr>
        <w:t xml:space="preserve"> </w:t>
      </w:r>
      <w:r w:rsidRPr="00602FCF">
        <w:rPr>
          <w:rFonts w:ascii="Calibri" w:hAnsi="Calibri" w:cs="Calibri"/>
          <w:b/>
          <w:bCs/>
          <w:sz w:val="24"/>
        </w:rPr>
        <w:t>document;</w:t>
      </w:r>
    </w:p>
    <w:p w:rsidR="007E6CDA" w:rsidRPr="00602FCF" w:rsidP="007E6CDA" w14:paraId="541B4D0E" w14:textId="77777777">
      <w:pPr>
        <w:pStyle w:val="ListParagraph"/>
        <w:numPr>
          <w:ilvl w:val="0"/>
          <w:numId w:val="9"/>
        </w:numPr>
        <w:tabs>
          <w:tab w:val="left" w:pos="759"/>
          <w:tab w:val="left" w:pos="760"/>
        </w:tabs>
        <w:spacing w:before="158"/>
        <w:rPr>
          <w:rFonts w:ascii="Calibri" w:hAnsi="Calibri" w:cs="Calibri"/>
          <w:b/>
          <w:bCs/>
          <w:sz w:val="20"/>
        </w:rPr>
      </w:pPr>
      <w:r w:rsidRPr="00602FCF">
        <w:rPr>
          <w:rFonts w:ascii="Calibri" w:hAnsi="Calibri" w:cs="Calibri"/>
          <w:b/>
          <w:bCs/>
          <w:sz w:val="24"/>
        </w:rPr>
        <w:t>requiring respondents to retain records, other than health, medical, government contract, grant-in-aid, or tax records for more than three</w:t>
      </w:r>
      <w:r w:rsidRPr="00602FCF">
        <w:rPr>
          <w:rFonts w:ascii="Calibri" w:hAnsi="Calibri" w:cs="Calibri"/>
          <w:b/>
          <w:bCs/>
          <w:spacing w:val="-4"/>
          <w:sz w:val="24"/>
        </w:rPr>
        <w:t xml:space="preserve"> </w:t>
      </w:r>
      <w:r w:rsidRPr="00602FCF">
        <w:rPr>
          <w:rFonts w:ascii="Calibri" w:hAnsi="Calibri" w:cs="Calibri"/>
          <w:b/>
          <w:bCs/>
          <w:sz w:val="24"/>
        </w:rPr>
        <w:t>years;</w:t>
      </w:r>
    </w:p>
    <w:p w:rsidR="007E6CDA" w:rsidRPr="00602FCF" w:rsidP="007E6CDA" w14:paraId="3667F0DF" w14:textId="77777777">
      <w:pPr>
        <w:pStyle w:val="ListParagraph"/>
        <w:numPr>
          <w:ilvl w:val="0"/>
          <w:numId w:val="9"/>
        </w:numPr>
        <w:tabs>
          <w:tab w:val="left" w:pos="759"/>
          <w:tab w:val="left" w:pos="760"/>
        </w:tabs>
        <w:rPr>
          <w:rFonts w:ascii="Calibri" w:hAnsi="Calibri" w:cs="Calibri"/>
          <w:b/>
          <w:bCs/>
          <w:sz w:val="20"/>
        </w:rPr>
      </w:pPr>
      <w:r w:rsidRPr="00602FCF">
        <w:rPr>
          <w:rFonts w:ascii="Calibri" w:hAnsi="Calibri" w:cs="Calibri"/>
          <w:b/>
          <w:bCs/>
          <w:sz w:val="24"/>
        </w:rPr>
        <w:t>in connection with a statistical survey, that is not designed to produce valid and reliable results that can be generalized to the universe of</w:t>
      </w:r>
      <w:r w:rsidRPr="00602FCF">
        <w:rPr>
          <w:rFonts w:ascii="Calibri" w:hAnsi="Calibri" w:cs="Calibri"/>
          <w:b/>
          <w:bCs/>
          <w:spacing w:val="-5"/>
          <w:sz w:val="24"/>
        </w:rPr>
        <w:t xml:space="preserve"> </w:t>
      </w:r>
      <w:r w:rsidRPr="00602FCF">
        <w:rPr>
          <w:rFonts w:ascii="Calibri" w:hAnsi="Calibri" w:cs="Calibri"/>
          <w:b/>
          <w:bCs/>
          <w:sz w:val="24"/>
        </w:rPr>
        <w:t>study;</w:t>
      </w:r>
    </w:p>
    <w:p w:rsidR="007E6CDA" w:rsidRPr="00602FCF" w:rsidP="007E6CDA" w14:paraId="4C906C3C" w14:textId="77777777">
      <w:pPr>
        <w:pStyle w:val="ListParagraph"/>
        <w:numPr>
          <w:ilvl w:val="0"/>
          <w:numId w:val="9"/>
        </w:numPr>
        <w:tabs>
          <w:tab w:val="left" w:pos="759"/>
          <w:tab w:val="left" w:pos="760"/>
        </w:tabs>
        <w:spacing w:before="159"/>
        <w:rPr>
          <w:rFonts w:ascii="Calibri" w:hAnsi="Calibri" w:cs="Calibri"/>
          <w:b/>
          <w:bCs/>
          <w:sz w:val="20"/>
        </w:rPr>
      </w:pPr>
      <w:r w:rsidRPr="00602FCF">
        <w:rPr>
          <w:rFonts w:ascii="Calibri" w:hAnsi="Calibri" w:cs="Calibri"/>
          <w:b/>
          <w:bCs/>
          <w:sz w:val="24"/>
        </w:rPr>
        <w:t>requiring the use of a statistical data classification that has not been reviewed and approved by OMB;</w:t>
      </w:r>
    </w:p>
    <w:p w:rsidR="007E6CDA" w:rsidRPr="00602FCF" w:rsidP="007E6CDA" w14:paraId="5B950FBD" w14:textId="77777777">
      <w:pPr>
        <w:pStyle w:val="ListParagraph"/>
        <w:numPr>
          <w:ilvl w:val="0"/>
          <w:numId w:val="9"/>
        </w:numPr>
        <w:tabs>
          <w:tab w:val="left" w:pos="759"/>
          <w:tab w:val="left" w:pos="760"/>
        </w:tabs>
        <w:rPr>
          <w:rFonts w:ascii="Calibri" w:hAnsi="Calibri" w:cs="Calibri"/>
          <w:b/>
          <w:bCs/>
          <w:sz w:val="20"/>
        </w:rPr>
      </w:pPr>
      <w:r w:rsidRPr="00602FCF">
        <w:rPr>
          <w:rFonts w:ascii="Calibri" w:hAnsi="Calibri" w:cs="Calibri"/>
          <w:b/>
          <w:bCs/>
          <w:sz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r w:rsidRPr="00602FCF">
        <w:rPr>
          <w:rFonts w:ascii="Calibri" w:hAnsi="Calibri" w:cs="Calibri"/>
          <w:b/>
          <w:bCs/>
          <w:spacing w:val="-6"/>
          <w:sz w:val="24"/>
        </w:rPr>
        <w:t xml:space="preserve"> </w:t>
      </w:r>
      <w:r w:rsidRPr="00602FCF">
        <w:rPr>
          <w:rFonts w:ascii="Calibri" w:hAnsi="Calibri" w:cs="Calibri"/>
          <w:b/>
          <w:bCs/>
          <w:sz w:val="24"/>
        </w:rPr>
        <w:t>or</w:t>
      </w:r>
    </w:p>
    <w:p w:rsidR="007E6CDA" w:rsidRPr="00335045" w:rsidP="00335045" w14:paraId="79017C16" w14:textId="0625B6DB">
      <w:pPr>
        <w:pStyle w:val="ListParagraph"/>
        <w:numPr>
          <w:ilvl w:val="0"/>
          <w:numId w:val="9"/>
        </w:numPr>
        <w:tabs>
          <w:tab w:val="left" w:pos="759"/>
          <w:tab w:val="left" w:pos="760"/>
        </w:tabs>
        <w:spacing w:before="160"/>
        <w:rPr>
          <w:rFonts w:ascii="Calibri" w:hAnsi="Calibri" w:cs="Calibri"/>
          <w:sz w:val="20"/>
        </w:rPr>
      </w:pPr>
      <w:r w:rsidRPr="00602FCF">
        <w:rPr>
          <w:rFonts w:ascii="Calibri" w:hAnsi="Calibri" w:cs="Calibri"/>
          <w:b/>
          <w:bCs/>
          <w:sz w:val="24"/>
        </w:rPr>
        <w:t xml:space="preserve">requiring respondents to submit proprietary trade </w:t>
      </w:r>
      <w:r w:rsidRPr="00602FCF">
        <w:rPr>
          <w:rFonts w:ascii="Calibri" w:hAnsi="Calibri" w:cs="Calibri"/>
          <w:b/>
          <w:bCs/>
          <w:sz w:val="24"/>
        </w:rPr>
        <w:t>secret</w:t>
      </w:r>
      <w:r w:rsidRPr="00602FCF">
        <w:rPr>
          <w:rFonts w:ascii="Calibri" w:hAnsi="Calibri" w:cs="Calibri"/>
          <w:b/>
          <w:bCs/>
          <w:sz w:val="24"/>
        </w:rPr>
        <w:t>, or other confidential information unless the agency can demonstrate that it has instituted procedures to protect the information's confidentiality to the extent permitted by</w:t>
      </w:r>
      <w:r w:rsidRPr="00602FCF">
        <w:rPr>
          <w:rFonts w:ascii="Calibri" w:hAnsi="Calibri" w:cs="Calibri"/>
          <w:b/>
          <w:bCs/>
          <w:spacing w:val="-3"/>
          <w:sz w:val="24"/>
        </w:rPr>
        <w:t xml:space="preserve"> </w:t>
      </w:r>
      <w:r w:rsidRPr="00602FCF">
        <w:rPr>
          <w:rFonts w:ascii="Calibri" w:hAnsi="Calibri" w:cs="Calibri"/>
          <w:b/>
          <w:bCs/>
          <w:sz w:val="24"/>
        </w:rPr>
        <w:t>law.</w:t>
      </w:r>
    </w:p>
    <w:p w:rsidR="00C02853" w:rsidRPr="00335045" w:rsidP="00335045" w14:paraId="3E3C07DA" w14:textId="463302C7">
      <w:pPr>
        <w:spacing w:before="161"/>
        <w:ind w:left="720"/>
        <w:rPr>
          <w:rFonts w:asciiTheme="minorHAnsi" w:hAnsiTheme="minorHAnsi" w:cstheme="minorHAnsi"/>
          <w:b/>
          <w:color w:val="FF0000"/>
          <w:sz w:val="24"/>
        </w:rPr>
      </w:pPr>
      <w:r w:rsidRPr="00335045">
        <w:rPr>
          <w:rFonts w:asciiTheme="minorHAnsi" w:hAnsiTheme="minorHAnsi" w:cstheme="minorHAnsi"/>
          <w:sz w:val="24"/>
          <w:szCs w:val="24"/>
        </w:rPr>
        <w:t xml:space="preserve">This information collection will be conducted in a manner consistent with </w:t>
      </w:r>
      <w:r w:rsidRPr="00335045" w:rsidR="007222E3">
        <w:rPr>
          <w:rFonts w:asciiTheme="minorHAnsi" w:hAnsiTheme="minorHAnsi" w:cstheme="minorHAnsi"/>
          <w:sz w:val="24"/>
          <w:szCs w:val="24"/>
        </w:rPr>
        <w:t xml:space="preserve">each of the </w:t>
      </w:r>
      <w:r w:rsidRPr="00335045">
        <w:rPr>
          <w:rFonts w:asciiTheme="minorHAnsi" w:hAnsiTheme="minorHAnsi" w:cstheme="minorHAnsi"/>
          <w:sz w:val="24"/>
          <w:szCs w:val="24"/>
        </w:rPr>
        <w:t xml:space="preserve">OMB guidelines </w:t>
      </w:r>
      <w:r w:rsidRPr="00335045" w:rsidR="007222E3">
        <w:rPr>
          <w:rFonts w:asciiTheme="minorHAnsi" w:hAnsiTheme="minorHAnsi" w:cstheme="minorHAnsi"/>
          <w:sz w:val="24"/>
          <w:szCs w:val="24"/>
        </w:rPr>
        <w:t xml:space="preserve">above </w:t>
      </w:r>
      <w:r w:rsidRPr="00335045">
        <w:rPr>
          <w:rFonts w:asciiTheme="minorHAnsi" w:hAnsiTheme="minorHAnsi" w:cstheme="minorHAnsi"/>
          <w:sz w:val="24"/>
          <w:szCs w:val="24"/>
        </w:rPr>
        <w:t xml:space="preserve">and there are no special circumstances. </w:t>
      </w:r>
    </w:p>
    <w:p w:rsidR="00060FAF" w:rsidRPr="00060FAF" w:rsidP="00586BEE" w14:paraId="3DEEC669" w14:textId="77777777">
      <w:pPr>
        <w:pStyle w:val="BodyText"/>
        <w:spacing w:before="80"/>
        <w:ind w:left="0" w:right="379"/>
        <w:rPr>
          <w:rFonts w:ascii="Calibri" w:hAnsi="Calibri" w:cs="Calibri"/>
        </w:rPr>
      </w:pPr>
    </w:p>
    <w:p w:rsidR="00201347" w:rsidRPr="00124446" w:rsidP="00844D2F" w14:paraId="011B0591" w14:textId="77777777">
      <w:pPr>
        <w:pStyle w:val="Heading1"/>
        <w:numPr>
          <w:ilvl w:val="0"/>
          <w:numId w:val="7"/>
        </w:numPr>
        <w:tabs>
          <w:tab w:val="left" w:pos="669"/>
        </w:tabs>
        <w:spacing w:before="125"/>
        <w:ind w:left="360" w:hanging="360"/>
        <w:rPr>
          <w:rFonts w:ascii="Calibri" w:hAnsi="Calibri" w:cs="Calibri"/>
        </w:rPr>
      </w:pPr>
      <w:r w:rsidRPr="00124446">
        <w:rPr>
          <w:rFonts w:ascii="Calibri" w:hAnsi="Calibri" w:cs="Calibri"/>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w:t>
      </w:r>
      <w:r w:rsidRPr="00124446">
        <w:rPr>
          <w:rFonts w:ascii="Calibri" w:hAnsi="Calibri" w:cs="Calibri"/>
          <w:spacing w:val="-17"/>
        </w:rPr>
        <w:t xml:space="preserve"> </w:t>
      </w:r>
      <w:r w:rsidRPr="00124446">
        <w:rPr>
          <w:rFonts w:ascii="Calibri" w:hAnsi="Calibri" w:cs="Calibri"/>
        </w:rPr>
        <w:t>burden.</w:t>
      </w:r>
    </w:p>
    <w:p w:rsidR="0056581F" w:rsidRPr="0056581F" w:rsidP="00060FAF" w14:paraId="2F54815D" w14:textId="77777777">
      <w:pPr>
        <w:pStyle w:val="BodyText"/>
        <w:spacing w:before="159"/>
        <w:rPr>
          <w:rFonts w:ascii="Calibri" w:hAnsi="Calibri" w:cs="Calibri"/>
          <w:b/>
          <w:bCs/>
        </w:rPr>
      </w:pPr>
      <w:r w:rsidRPr="0056581F">
        <w:rPr>
          <w:rFonts w:ascii="Calibri" w:hAnsi="Calibri" w:cs="Calibri"/>
          <w:b/>
          <w:bCs/>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5E094B" w:rsidRPr="005566B1" w:rsidP="00E861C2" w14:paraId="70332980" w14:textId="77777777">
      <w:pPr>
        <w:spacing w:before="161"/>
        <w:ind w:left="400"/>
        <w:rPr>
          <w:rFonts w:asciiTheme="minorHAnsi" w:hAnsiTheme="minorHAnsi" w:cstheme="minorHAnsi"/>
          <w:sz w:val="24"/>
          <w:szCs w:val="24"/>
        </w:rPr>
      </w:pPr>
      <w:r w:rsidRPr="005566B1">
        <w:rPr>
          <w:rFonts w:asciiTheme="minorHAnsi" w:hAnsiTheme="minorHAnsi" w:cstheme="minorHAnsi"/>
          <w:sz w:val="24"/>
          <w:szCs w:val="24"/>
        </w:rPr>
        <w:t xml:space="preserve">A </w:t>
      </w:r>
      <w:r w:rsidRPr="005566B1">
        <w:rPr>
          <w:rFonts w:asciiTheme="minorHAnsi" w:hAnsiTheme="minorHAnsi" w:cstheme="minorHAnsi"/>
          <w:sz w:val="24"/>
          <w:szCs w:val="24"/>
        </w:rPr>
        <w:t>presubmission</w:t>
      </w:r>
      <w:r w:rsidRPr="005566B1">
        <w:rPr>
          <w:rFonts w:asciiTheme="minorHAnsi" w:hAnsiTheme="minorHAnsi" w:cstheme="minorHAnsi"/>
          <w:sz w:val="24"/>
          <w:szCs w:val="24"/>
        </w:rPr>
        <w:t xml:space="preserve"> notice was published in the Federal Register May 20, 2026, on pages 29449 and 29450 with the title “Agency Information Collection Activities; Submission to the Office of </w:t>
      </w:r>
      <w:r w:rsidRPr="005566B1">
        <w:rPr>
          <w:rFonts w:asciiTheme="minorHAnsi" w:hAnsiTheme="minorHAnsi" w:cstheme="minorHAnsi"/>
          <w:sz w:val="24"/>
          <w:szCs w:val="24"/>
        </w:rPr>
        <w:t xml:space="preserve">Management and Budget (OMB) for Review and Approval; Comment Request; Commodity Flow Survey (CFS).” </w:t>
      </w:r>
    </w:p>
    <w:p w:rsidR="005E094B" w:rsidRPr="005566B1" w:rsidP="005E094B" w14:paraId="04D55D60" w14:textId="1B0723C6">
      <w:pPr>
        <w:spacing w:before="161"/>
        <w:ind w:left="400"/>
        <w:rPr>
          <w:rFonts w:asciiTheme="minorHAnsi" w:hAnsiTheme="minorHAnsi" w:cstheme="minorHAnsi"/>
          <w:sz w:val="24"/>
          <w:szCs w:val="24"/>
        </w:rPr>
      </w:pPr>
      <w:r w:rsidRPr="005566B1">
        <w:rPr>
          <w:rFonts w:asciiTheme="minorHAnsi" w:hAnsiTheme="minorHAnsi" w:cstheme="minorHAnsi"/>
          <w:sz w:val="24"/>
          <w:szCs w:val="24"/>
        </w:rPr>
        <w:t xml:space="preserve">During the 60-day public comment period, the Census Bureau received </w:t>
      </w:r>
      <w:r w:rsidRPr="005566B1" w:rsidR="009E510B">
        <w:rPr>
          <w:rFonts w:asciiTheme="minorHAnsi" w:hAnsiTheme="minorHAnsi" w:cstheme="minorHAnsi"/>
          <w:sz w:val="24"/>
          <w:szCs w:val="24"/>
        </w:rPr>
        <w:t xml:space="preserve">nine </w:t>
      </w:r>
      <w:r w:rsidRPr="005566B1">
        <w:rPr>
          <w:rFonts w:asciiTheme="minorHAnsi" w:hAnsiTheme="minorHAnsi" w:cstheme="minorHAnsi"/>
          <w:sz w:val="24"/>
          <w:szCs w:val="24"/>
        </w:rPr>
        <w:t>comments</w:t>
      </w:r>
      <w:r w:rsidRPr="005566B1" w:rsidR="009E510B">
        <w:rPr>
          <w:rFonts w:asciiTheme="minorHAnsi" w:hAnsiTheme="minorHAnsi" w:cstheme="minorHAnsi"/>
          <w:sz w:val="24"/>
          <w:szCs w:val="24"/>
        </w:rPr>
        <w:t>/</w:t>
      </w:r>
      <w:r w:rsidRPr="005566B1">
        <w:rPr>
          <w:rFonts w:asciiTheme="minorHAnsi" w:hAnsiTheme="minorHAnsi" w:cstheme="minorHAnsi"/>
          <w:sz w:val="24"/>
          <w:szCs w:val="24"/>
        </w:rPr>
        <w:t xml:space="preserve">letters of support from federal agencies, academia, and members of the public. A summary of each submission and the Census Bureau’s response is provided below. Copies of all comments with merit are included as </w:t>
      </w:r>
      <w:r w:rsidRPr="005566B1" w:rsidR="009E510B">
        <w:rPr>
          <w:rFonts w:asciiTheme="minorHAnsi" w:hAnsiTheme="minorHAnsi" w:cstheme="minorHAnsi"/>
          <w:sz w:val="24"/>
          <w:szCs w:val="24"/>
        </w:rPr>
        <w:t xml:space="preserve">Attachment D </w:t>
      </w:r>
      <w:r w:rsidRPr="005566B1">
        <w:rPr>
          <w:rFonts w:asciiTheme="minorHAnsi" w:hAnsiTheme="minorHAnsi" w:cstheme="minorHAnsi"/>
          <w:sz w:val="24"/>
          <w:szCs w:val="24"/>
        </w:rPr>
        <w:t>to this Supporting Statement. No direct responses were issued to commenters.</w:t>
      </w:r>
    </w:p>
    <w:p w:rsidR="005E094B" w:rsidRPr="005566B1" w:rsidP="005E094B" w14:paraId="3C0BBE74" w14:textId="77777777">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Federal Agencies</w:t>
      </w:r>
    </w:p>
    <w:p w:rsidR="009F6571" w:rsidRPr="005566B1" w:rsidP="009F6571" w14:paraId="5527CA5A" w14:textId="46204CB9">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Bureau of Economic Analysis (BEA)</w:t>
      </w:r>
      <w:r w:rsidRPr="005566B1">
        <w:rPr>
          <w:rFonts w:asciiTheme="minorHAnsi" w:hAnsiTheme="minorHAnsi" w:cstheme="minorHAnsi"/>
          <w:sz w:val="24"/>
          <w:szCs w:val="24"/>
        </w:rPr>
        <w:br/>
      </w:r>
      <w:r w:rsidRPr="005566B1">
        <w:rPr>
          <w:rFonts w:asciiTheme="minorHAnsi" w:hAnsiTheme="minorHAnsi" w:cstheme="minorHAnsi"/>
          <w:b/>
          <w:bCs/>
          <w:sz w:val="24"/>
          <w:szCs w:val="24"/>
        </w:rPr>
        <w:t>Summary:</w:t>
      </w:r>
      <w:r w:rsidRPr="005566B1">
        <w:rPr>
          <w:rFonts w:asciiTheme="minorHAnsi" w:hAnsiTheme="minorHAnsi" w:cstheme="minorHAnsi"/>
          <w:sz w:val="24"/>
          <w:szCs w:val="24"/>
        </w:rPr>
        <w:t xml:space="preserve"> BEA expressed strong support for the CFS, noting its importance for industry input</w:t>
      </w:r>
      <w:r w:rsidRPr="005566B1">
        <w:rPr>
          <w:rFonts w:asciiTheme="minorHAnsi" w:hAnsiTheme="minorHAnsi" w:cstheme="minorHAnsi"/>
          <w:sz w:val="24"/>
          <w:szCs w:val="24"/>
        </w:rPr>
        <w:noBreakHyphen/>
      </w:r>
      <w:r w:rsidRPr="005566B1">
        <w:rPr>
          <w:rFonts w:asciiTheme="minorHAnsi" w:hAnsiTheme="minorHAnsi" w:cstheme="minorHAnsi"/>
          <w:sz w:val="24"/>
          <w:szCs w:val="24"/>
        </w:rPr>
        <w:t>output accounts, national accounts, prototype merchandise trade by state, and future state</w:t>
      </w:r>
      <w:r w:rsidRPr="005566B1">
        <w:rPr>
          <w:rFonts w:asciiTheme="minorHAnsi" w:hAnsiTheme="minorHAnsi" w:cstheme="minorHAnsi"/>
          <w:sz w:val="24"/>
          <w:szCs w:val="24"/>
        </w:rPr>
        <w:noBreakHyphen/>
      </w:r>
      <w:r w:rsidRPr="005566B1">
        <w:rPr>
          <w:rFonts w:asciiTheme="minorHAnsi" w:hAnsiTheme="minorHAnsi" w:cstheme="minorHAnsi"/>
          <w:sz w:val="24"/>
          <w:szCs w:val="24"/>
        </w:rPr>
        <w:t>level GDP estimation. BEA recommended consideration of collecting freight charge information and requested notification of any form modifications.</w:t>
      </w:r>
      <w:r w:rsidRPr="005566B1">
        <w:rPr>
          <w:rFonts w:asciiTheme="minorHAnsi" w:hAnsiTheme="minorHAnsi" w:cstheme="minorHAnsi"/>
          <w:sz w:val="24"/>
          <w:szCs w:val="24"/>
        </w:rPr>
        <w:br/>
      </w:r>
      <w:r w:rsidRPr="005566B1">
        <w:rPr>
          <w:rFonts w:asciiTheme="minorHAnsi" w:hAnsiTheme="minorHAnsi" w:cstheme="minorHAnsi"/>
          <w:b/>
          <w:bCs/>
          <w:sz w:val="24"/>
          <w:szCs w:val="24"/>
        </w:rPr>
        <w:t>Census Bureau Response:</w:t>
      </w:r>
      <w:r w:rsidRPr="005566B1">
        <w:rPr>
          <w:rFonts w:asciiTheme="minorHAnsi" w:hAnsiTheme="minorHAnsi" w:cstheme="minorHAnsi"/>
          <w:sz w:val="24"/>
          <w:szCs w:val="24"/>
        </w:rPr>
        <w:t xml:space="preserve"> The Census Bureau values BEA’s extensive use of CFS data. Suggestions for expanding collection to include freight charges or commodity </w:t>
      </w:r>
      <w:r w:rsidRPr="005566B1">
        <w:rPr>
          <w:rFonts w:asciiTheme="minorHAnsi" w:hAnsiTheme="minorHAnsi" w:cstheme="minorHAnsi"/>
          <w:sz w:val="24"/>
          <w:szCs w:val="24"/>
        </w:rPr>
        <w:t>detail</w:t>
      </w:r>
      <w:r w:rsidRPr="005566B1">
        <w:rPr>
          <w:rFonts w:asciiTheme="minorHAnsi" w:hAnsiTheme="minorHAnsi" w:cstheme="minorHAnsi"/>
          <w:sz w:val="24"/>
          <w:szCs w:val="24"/>
        </w:rPr>
        <w:t xml:space="preserve"> will be evaluated for feasibility and respondent burden. BEA will be notified of relevant </w:t>
      </w:r>
      <w:r w:rsidR="007C7E6B">
        <w:rPr>
          <w:rFonts w:asciiTheme="minorHAnsi" w:hAnsiTheme="minorHAnsi" w:cstheme="minorHAnsi"/>
          <w:sz w:val="24"/>
          <w:szCs w:val="24"/>
        </w:rPr>
        <w:t>content</w:t>
      </w:r>
      <w:r w:rsidRPr="005566B1" w:rsidR="007C7E6B">
        <w:rPr>
          <w:rFonts w:asciiTheme="minorHAnsi" w:hAnsiTheme="minorHAnsi" w:cstheme="minorHAnsi"/>
          <w:sz w:val="24"/>
          <w:szCs w:val="24"/>
        </w:rPr>
        <w:t xml:space="preserve"> </w:t>
      </w:r>
      <w:r w:rsidRPr="005566B1">
        <w:rPr>
          <w:rFonts w:asciiTheme="minorHAnsi" w:hAnsiTheme="minorHAnsi" w:cstheme="minorHAnsi"/>
          <w:sz w:val="24"/>
          <w:szCs w:val="24"/>
        </w:rPr>
        <w:t xml:space="preserve">changes during the OMB review. </w:t>
      </w:r>
    </w:p>
    <w:p w:rsidR="00BF77B3" w:rsidRPr="005566B1" w:rsidP="00BF77B3" w14:paraId="64D21433" w14:textId="5B4A62D7">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U.S. Army Corps of Engineers (USACE)</w:t>
      </w:r>
      <w:r w:rsidRPr="005566B1">
        <w:rPr>
          <w:rFonts w:asciiTheme="minorHAnsi" w:hAnsiTheme="minorHAnsi" w:cstheme="minorHAnsi"/>
          <w:sz w:val="24"/>
          <w:szCs w:val="24"/>
        </w:rPr>
        <w:br/>
      </w:r>
      <w:r w:rsidRPr="005566B1">
        <w:rPr>
          <w:rFonts w:asciiTheme="minorHAnsi" w:hAnsiTheme="minorHAnsi" w:cstheme="minorHAnsi"/>
          <w:sz w:val="24"/>
          <w:szCs w:val="24"/>
        </w:rPr>
        <w:t>Summary: USACE expressed strong support for continued CFS data collection. The letter noted that CFS data are critical for understanding multimodal freight interactions, supply chain resiliency, freight</w:t>
      </w:r>
      <w:r w:rsidRPr="005566B1">
        <w:rPr>
          <w:rFonts w:asciiTheme="minorHAnsi" w:hAnsiTheme="minorHAnsi" w:cstheme="minorHAnsi"/>
          <w:sz w:val="24"/>
          <w:szCs w:val="24"/>
        </w:rPr>
        <w:noBreakHyphen/>
      </w:r>
      <w:r w:rsidRPr="005566B1">
        <w:rPr>
          <w:rFonts w:asciiTheme="minorHAnsi" w:hAnsiTheme="minorHAnsi" w:cstheme="minorHAnsi"/>
          <w:sz w:val="24"/>
          <w:szCs w:val="24"/>
        </w:rPr>
        <w:t xml:space="preserve">shed dynamics, and for informing federal navigation infrastructure investment decisions. </w:t>
      </w:r>
    </w:p>
    <w:p w:rsidR="00BF77B3" w:rsidRPr="005566B1" w:rsidP="00BF77B3" w14:paraId="6A5DCEBA" w14:textId="172C4926">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U.S. Department of Agriculture (USDA)</w:t>
      </w:r>
      <w:r w:rsidRPr="005566B1">
        <w:rPr>
          <w:rFonts w:asciiTheme="minorHAnsi" w:hAnsiTheme="minorHAnsi" w:cstheme="minorHAnsi"/>
          <w:sz w:val="24"/>
          <w:szCs w:val="24"/>
        </w:rPr>
        <w:br/>
      </w:r>
      <w:r w:rsidRPr="005566B1">
        <w:rPr>
          <w:rFonts w:asciiTheme="minorHAnsi" w:hAnsiTheme="minorHAnsi" w:cstheme="minorHAnsi"/>
          <w:sz w:val="24"/>
          <w:szCs w:val="24"/>
        </w:rPr>
        <w:t>Summary: USDA submitted a letter of support citing the CFS as essential for analyzing agricultural commodity flows, identifying bottlenecks, understanding refrigerated product movements, and assessing agricultural modal dependencies. USDA emphasized CFS’s role as a foundational input into the Freight Analysis Framework (FAF).</w:t>
      </w:r>
    </w:p>
    <w:p w:rsidR="00BF77B3" w:rsidRPr="005566B1" w:rsidP="00BF77B3" w14:paraId="2E4CA79D" w14:textId="77777777">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U.S. Energy Information Administration (EIA)</w:t>
      </w:r>
      <w:r w:rsidRPr="005566B1">
        <w:rPr>
          <w:rFonts w:asciiTheme="minorHAnsi" w:hAnsiTheme="minorHAnsi" w:cstheme="minorHAnsi"/>
          <w:sz w:val="24"/>
          <w:szCs w:val="24"/>
        </w:rPr>
        <w:br/>
      </w:r>
      <w:r w:rsidRPr="005566B1">
        <w:rPr>
          <w:rFonts w:asciiTheme="minorHAnsi" w:hAnsiTheme="minorHAnsi" w:cstheme="minorHAnsi"/>
          <w:b/>
          <w:bCs/>
          <w:sz w:val="24"/>
          <w:szCs w:val="24"/>
        </w:rPr>
        <w:t>Summary:</w:t>
      </w:r>
      <w:r w:rsidRPr="005566B1">
        <w:rPr>
          <w:rFonts w:asciiTheme="minorHAnsi" w:hAnsiTheme="minorHAnsi" w:cstheme="minorHAnsi"/>
          <w:sz w:val="24"/>
          <w:szCs w:val="24"/>
        </w:rPr>
        <w:t xml:space="preserve"> EIA provided a letter of support stating that CFS</w:t>
      </w:r>
      <w:r w:rsidRPr="005566B1">
        <w:rPr>
          <w:rFonts w:asciiTheme="minorHAnsi" w:hAnsiTheme="minorHAnsi" w:cstheme="minorHAnsi"/>
          <w:sz w:val="24"/>
          <w:szCs w:val="24"/>
        </w:rPr>
        <w:noBreakHyphen/>
      </w:r>
      <w:r w:rsidRPr="005566B1">
        <w:rPr>
          <w:rFonts w:asciiTheme="minorHAnsi" w:hAnsiTheme="minorHAnsi" w:cstheme="minorHAnsi"/>
          <w:sz w:val="24"/>
          <w:szCs w:val="24"/>
        </w:rPr>
        <w:t>derived FAF data are critical inputs to the Annual Energy Outlook, particularly for transportation demand modeling. The letter described how CFS data inform estimates of freight travel demand, ton</w:t>
      </w:r>
      <w:r w:rsidRPr="005566B1">
        <w:rPr>
          <w:rFonts w:asciiTheme="minorHAnsi" w:hAnsiTheme="minorHAnsi" w:cstheme="minorHAnsi"/>
          <w:sz w:val="24"/>
          <w:szCs w:val="24"/>
        </w:rPr>
        <w:noBreakHyphen/>
      </w:r>
      <w:r w:rsidRPr="005566B1">
        <w:rPr>
          <w:rFonts w:asciiTheme="minorHAnsi" w:hAnsiTheme="minorHAnsi" w:cstheme="minorHAnsi"/>
          <w:sz w:val="24"/>
          <w:szCs w:val="24"/>
        </w:rPr>
        <w:t>miles, mode</w:t>
      </w:r>
      <w:r w:rsidRPr="005566B1">
        <w:rPr>
          <w:rFonts w:asciiTheme="minorHAnsi" w:hAnsiTheme="minorHAnsi" w:cstheme="minorHAnsi"/>
          <w:sz w:val="24"/>
          <w:szCs w:val="24"/>
        </w:rPr>
        <w:noBreakHyphen/>
      </w:r>
      <w:r w:rsidRPr="005566B1">
        <w:rPr>
          <w:rFonts w:asciiTheme="minorHAnsi" w:hAnsiTheme="minorHAnsi" w:cstheme="minorHAnsi"/>
          <w:sz w:val="24"/>
          <w:szCs w:val="24"/>
        </w:rPr>
        <w:t>specific movement projections, and fuel consumption. EIA also asked to be kept informed of any proposed form modifications that may affect commodity or modal detail</w:t>
      </w:r>
    </w:p>
    <w:p w:rsidR="002A122A" w:rsidRPr="005566B1" w:rsidP="002A122A" w14:paraId="42B74669" w14:textId="4DDF5203">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Pipeline and Hazardous Materials Safety Administration (PHMSA)</w:t>
      </w:r>
      <w:r w:rsidRPr="005566B1">
        <w:rPr>
          <w:rFonts w:asciiTheme="minorHAnsi" w:hAnsiTheme="minorHAnsi" w:cstheme="minorHAnsi"/>
          <w:sz w:val="24"/>
          <w:szCs w:val="24"/>
        </w:rPr>
        <w:br/>
      </w:r>
      <w:r w:rsidRPr="005566B1">
        <w:rPr>
          <w:rFonts w:asciiTheme="minorHAnsi" w:hAnsiTheme="minorHAnsi" w:cstheme="minorHAnsi"/>
          <w:b/>
          <w:bCs/>
          <w:sz w:val="24"/>
          <w:szCs w:val="24"/>
        </w:rPr>
        <w:t>Summary</w:t>
      </w:r>
      <w:r w:rsidRPr="005566B1" w:rsidR="00BE1787">
        <w:rPr>
          <w:rFonts w:asciiTheme="minorHAnsi" w:hAnsiTheme="minorHAnsi" w:cstheme="minorHAnsi"/>
          <w:b/>
          <w:bCs/>
          <w:sz w:val="24"/>
          <w:szCs w:val="24"/>
        </w:rPr>
        <w:t>:</w:t>
      </w:r>
      <w:r w:rsidRPr="005566B1" w:rsidR="00BE1787">
        <w:rPr>
          <w:rFonts w:asciiTheme="minorHAnsi" w:hAnsiTheme="minorHAnsi" w:cstheme="minorHAnsi"/>
          <w:sz w:val="24"/>
          <w:szCs w:val="24"/>
        </w:rPr>
        <w:t xml:space="preserve"> The Pipeline and Hazardous Materials Safety Administration (PHMSA), U.S. Department of Transportation, </w:t>
      </w:r>
      <w:r w:rsidRPr="005566B1">
        <w:rPr>
          <w:rFonts w:asciiTheme="minorHAnsi" w:hAnsiTheme="minorHAnsi" w:cstheme="minorHAnsi"/>
          <w:sz w:val="24"/>
          <w:szCs w:val="24"/>
        </w:rPr>
        <w:t>endorses the continued collection of Commodity Flow Survey (CFS) data, emphasizing its essential role in risk assessment and regulatory decision-making for hazardous materials transportation. CFS data enables PHMSA to quantify shipments, prioritize safety actions, and identify cost savings, such as the $145 million in savings from recent placarding changes for some fuel shipments. PHMSA urges the ongoing collection and improvement of the CFS to support its safety mission.</w:t>
      </w:r>
    </w:p>
    <w:p w:rsidR="00BE1787" w:rsidRPr="005566B1" w:rsidP="005566B1" w14:paraId="4B17FF4A" w14:textId="6C796888">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Maritime Administration (MARAD)</w:t>
      </w:r>
      <w:r w:rsidRPr="005566B1">
        <w:rPr>
          <w:rFonts w:asciiTheme="minorHAnsi" w:hAnsiTheme="minorHAnsi" w:cstheme="minorHAnsi"/>
          <w:sz w:val="24"/>
          <w:szCs w:val="24"/>
        </w:rPr>
        <w:br/>
      </w:r>
      <w:r w:rsidRPr="005566B1">
        <w:rPr>
          <w:rFonts w:asciiTheme="minorHAnsi" w:hAnsiTheme="minorHAnsi" w:cstheme="minorHAnsi"/>
          <w:b/>
          <w:bCs/>
          <w:sz w:val="24"/>
          <w:szCs w:val="24"/>
        </w:rPr>
        <w:t>Summary:</w:t>
      </w:r>
      <w:r w:rsidRPr="005566B1">
        <w:rPr>
          <w:rFonts w:eastAsia="Times New Roman" w:asciiTheme="minorHAnsi" w:hAnsiTheme="minorHAnsi" w:cstheme="minorHAnsi"/>
          <w:sz w:val="21"/>
          <w:szCs w:val="21"/>
          <w:lang w:bidi="ar-SA"/>
        </w:rPr>
        <w:t xml:space="preserve"> </w:t>
      </w:r>
      <w:r w:rsidRPr="005566B1">
        <w:rPr>
          <w:rFonts w:asciiTheme="minorHAnsi" w:hAnsiTheme="minorHAnsi" w:cstheme="minorHAnsi"/>
          <w:sz w:val="24"/>
          <w:szCs w:val="24"/>
        </w:rPr>
        <w:t>The Department of Transportation’s Maritime Administration (MARAD) strongly supports the continued collection of Commodity Flow Survey (CFS) data by the U.S. Census Bureau. MARAD relies on CFS data for strategic planning, decision making, and as a foundation for modern analytical tools that require real-world validation and stakeholder feedback. The CFS provides the only nationally consistent dataset for multimodal domestic transportation, forming the basis for national freight analysis models such as the Freight Analysis Framework. MARAD also uses CFS data indirectly through benchmark input-output accounts for studies supporting the U.S. maritime industry. MARAD recommends conducting the survey more frequently to better capture rapid changes in transportation logistics.</w:t>
      </w:r>
      <w:r w:rsidRPr="005566B1" w:rsidR="00343F60">
        <w:rPr>
          <w:rFonts w:asciiTheme="minorHAnsi" w:hAnsiTheme="minorHAnsi" w:cstheme="minorHAnsi"/>
          <w:sz w:val="24"/>
          <w:szCs w:val="24"/>
        </w:rPr>
        <w:t xml:space="preserve"> </w:t>
      </w:r>
      <w:r w:rsidRPr="005566B1" w:rsidR="00343F60">
        <w:rPr>
          <w:rFonts w:asciiTheme="minorHAnsi" w:hAnsiTheme="minorHAnsi" w:cstheme="minorHAnsi"/>
          <w:sz w:val="24"/>
          <w:szCs w:val="24"/>
        </w:rPr>
        <w:br/>
      </w:r>
      <w:r w:rsidRPr="005566B1" w:rsidR="00343F60">
        <w:rPr>
          <w:rFonts w:asciiTheme="minorHAnsi" w:hAnsiTheme="minorHAnsi" w:cstheme="minorHAnsi"/>
          <w:b/>
          <w:bCs/>
          <w:sz w:val="24"/>
          <w:szCs w:val="24"/>
        </w:rPr>
        <w:t>Census Bureau Response:</w:t>
      </w:r>
      <w:r w:rsidRPr="005566B1" w:rsidR="00343F60">
        <w:rPr>
          <w:rFonts w:asciiTheme="minorHAnsi" w:hAnsiTheme="minorHAnsi" w:cstheme="minorHAnsi"/>
          <w:sz w:val="24"/>
          <w:szCs w:val="24"/>
        </w:rPr>
        <w:t xml:space="preserve"> The Census Bureau acknowledges and appreciates MARAD’s recommendation to conduct the CFS more frequently.</w:t>
      </w:r>
      <w:r w:rsidRPr="005566B1" w:rsidR="00B86C59">
        <w:rPr>
          <w:rFonts w:asciiTheme="minorHAnsi" w:hAnsiTheme="minorHAnsi" w:cstheme="minorHAnsi"/>
          <w:sz w:val="24"/>
          <w:szCs w:val="24"/>
        </w:rPr>
        <w:t xml:space="preserve"> While Census currently has no plans to conduct a more frequent CFS, any change in frequency would require careful evaluation of operational impacts, risk assessments, and sponsor collaboration to ensure data quality and continuity.</w:t>
      </w:r>
    </w:p>
    <w:p w:rsidR="00BF77B3" w:rsidRPr="005566B1" w:rsidP="00BF77B3" w14:paraId="62509D8F" w14:textId="13C508DB">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Academia</w:t>
      </w:r>
    </w:p>
    <w:p w:rsidR="009F6571" w:rsidRPr="005566B1" w:rsidP="007C7E6B" w14:paraId="2194605D" w14:textId="08AC189B">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George Washington University</w:t>
      </w:r>
      <w:r w:rsidRPr="005566B1">
        <w:rPr>
          <w:rFonts w:asciiTheme="minorHAnsi" w:hAnsiTheme="minorHAnsi" w:cstheme="minorHAnsi"/>
          <w:sz w:val="24"/>
          <w:szCs w:val="24"/>
        </w:rPr>
        <w:br/>
      </w:r>
      <w:r w:rsidRPr="005566B1">
        <w:rPr>
          <w:rFonts w:asciiTheme="minorHAnsi" w:hAnsiTheme="minorHAnsi" w:cstheme="minorHAnsi"/>
          <w:b/>
          <w:bCs/>
          <w:sz w:val="24"/>
          <w:szCs w:val="24"/>
        </w:rPr>
        <w:t>Summary:</w:t>
      </w:r>
      <w:r w:rsidRPr="005566B1">
        <w:rPr>
          <w:rFonts w:asciiTheme="minorHAnsi" w:hAnsiTheme="minorHAnsi" w:cstheme="minorHAnsi"/>
          <w:sz w:val="24"/>
          <w:szCs w:val="24"/>
        </w:rPr>
        <w:t xml:space="preserve"> A research professor submitted a letter supporting OMB clearance for the 2027 CFS, citing its importance for informed public and private decision</w:t>
      </w:r>
      <w:r w:rsidRPr="005566B1">
        <w:rPr>
          <w:rFonts w:asciiTheme="minorHAnsi" w:hAnsiTheme="minorHAnsi" w:cstheme="minorHAnsi"/>
          <w:sz w:val="24"/>
          <w:szCs w:val="24"/>
        </w:rPr>
        <w:noBreakHyphen/>
      </w:r>
      <w:r w:rsidRPr="005566B1">
        <w:rPr>
          <w:rFonts w:asciiTheme="minorHAnsi" w:hAnsiTheme="minorHAnsi" w:cstheme="minorHAnsi"/>
          <w:sz w:val="24"/>
          <w:szCs w:val="24"/>
        </w:rPr>
        <w:t>making and national economic competitiveness. The commenter recommended highlighting the CFS’s role in global value chain analysis and the BTS Freight Logistics Optimization Works (FLOW) project in Section 2 of the Supporting Statement.</w:t>
      </w:r>
      <w:r w:rsidRPr="005566B1">
        <w:rPr>
          <w:rFonts w:asciiTheme="minorHAnsi" w:hAnsiTheme="minorHAnsi" w:cstheme="minorHAnsi"/>
          <w:sz w:val="24"/>
          <w:szCs w:val="24"/>
        </w:rPr>
        <w:br/>
      </w:r>
      <w:r w:rsidRPr="005566B1">
        <w:rPr>
          <w:rFonts w:asciiTheme="minorHAnsi" w:hAnsiTheme="minorHAnsi" w:cstheme="minorHAnsi"/>
          <w:b/>
          <w:bCs/>
          <w:sz w:val="24"/>
          <w:szCs w:val="24"/>
        </w:rPr>
        <w:t>Census Bureau Response:</w:t>
      </w:r>
      <w:r w:rsidRPr="005566B1">
        <w:rPr>
          <w:rFonts w:asciiTheme="minorHAnsi" w:hAnsiTheme="minorHAnsi" w:cstheme="minorHAnsi"/>
          <w:sz w:val="24"/>
          <w:szCs w:val="24"/>
        </w:rPr>
        <w:t xml:space="preserve"> The Census Bureau will review the recommended additions to Section 2 to ensure CFS’s relevance to emerging economic research areas is appropriately reflected.</w:t>
      </w:r>
    </w:p>
    <w:p w:rsidR="00BF77B3" w:rsidRPr="005566B1" w:rsidP="00BF77B3" w14:paraId="6BAFF927" w14:textId="77777777">
      <w:pPr>
        <w:spacing w:before="161"/>
        <w:ind w:left="400"/>
        <w:rPr>
          <w:rFonts w:asciiTheme="minorHAnsi" w:hAnsiTheme="minorHAnsi" w:cstheme="minorHAnsi"/>
          <w:b/>
          <w:bCs/>
          <w:sz w:val="24"/>
          <w:szCs w:val="24"/>
        </w:rPr>
      </w:pPr>
      <w:r w:rsidRPr="005566B1">
        <w:rPr>
          <w:rFonts w:asciiTheme="minorHAnsi" w:hAnsiTheme="minorHAnsi" w:cstheme="minorHAnsi"/>
          <w:b/>
          <w:bCs/>
          <w:sz w:val="24"/>
          <w:szCs w:val="24"/>
        </w:rPr>
        <w:t>Public Commenters</w:t>
      </w:r>
    </w:p>
    <w:p w:rsidR="009F6571" w:rsidRPr="005566B1" w:rsidP="00BF77B3" w14:paraId="3BC51508" w14:textId="31A37CAF">
      <w:pPr>
        <w:spacing w:before="161"/>
        <w:ind w:left="400"/>
        <w:rPr>
          <w:rFonts w:asciiTheme="minorHAnsi" w:hAnsiTheme="minorHAnsi" w:cstheme="minorHAnsi"/>
          <w:b/>
          <w:bCs/>
          <w:sz w:val="24"/>
          <w:szCs w:val="24"/>
        </w:rPr>
      </w:pPr>
      <w:r w:rsidRPr="005566B1">
        <w:rPr>
          <w:rFonts w:asciiTheme="minorHAnsi" w:hAnsiTheme="minorHAnsi" w:cstheme="minorHAnsi"/>
          <w:b/>
          <w:bCs/>
          <w:sz w:val="24"/>
          <w:szCs w:val="24"/>
        </w:rPr>
        <w:t>Public Commenter #1</w:t>
      </w:r>
    </w:p>
    <w:p w:rsidR="009F6571" w:rsidRPr="005566B1" w:rsidP="00BF77B3" w14:paraId="2BE4ACE2" w14:textId="464E2508">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Summary:</w:t>
      </w:r>
      <w:r w:rsidRPr="005566B1">
        <w:rPr>
          <w:rFonts w:asciiTheme="minorHAnsi" w:hAnsiTheme="minorHAnsi" w:cstheme="minorHAnsi"/>
          <w:sz w:val="24"/>
          <w:szCs w:val="24"/>
        </w:rPr>
        <w:t xml:space="preserve"> A commenter recommended replacing the Standard Classification of Transported Goods (SCTG) with the North American Product Classification System (NAPCS) to improve harmonization with other Census Bureau programs, reduce complexity associated with multiple classification systems, and enhance integration with BEA accounts.</w:t>
      </w:r>
      <w:r w:rsidRPr="005566B1">
        <w:rPr>
          <w:rFonts w:asciiTheme="minorHAnsi" w:hAnsiTheme="minorHAnsi" w:cstheme="minorHAnsi"/>
          <w:sz w:val="24"/>
          <w:szCs w:val="24"/>
        </w:rPr>
        <w:br/>
      </w:r>
      <w:r w:rsidRPr="005566B1">
        <w:rPr>
          <w:rFonts w:asciiTheme="minorHAnsi" w:hAnsiTheme="minorHAnsi" w:cstheme="minorHAnsi"/>
          <w:b/>
          <w:bCs/>
          <w:sz w:val="24"/>
          <w:szCs w:val="24"/>
        </w:rPr>
        <w:t>Response:</w:t>
      </w:r>
      <w:r w:rsidRPr="005566B1">
        <w:rPr>
          <w:rFonts w:asciiTheme="minorHAnsi" w:hAnsiTheme="minorHAnsi" w:cstheme="minorHAnsi"/>
          <w:sz w:val="24"/>
          <w:szCs w:val="24"/>
        </w:rPr>
        <w:t xml:space="preserve"> The Census Bureau will evaluate potential paths toward adopting NAPCS or hybrid approaches in future CFS cycles. This evaluation will consider interoperability, respondent burden, operational requirements, and coordination with BTS, BEA, and Statistics Canada.</w:t>
      </w:r>
    </w:p>
    <w:p w:rsidR="00BF77B3" w:rsidRPr="005566B1" w:rsidP="00BF77B3" w14:paraId="58F64042" w14:textId="3182560E">
      <w:pPr>
        <w:spacing w:before="161"/>
        <w:ind w:left="400"/>
        <w:rPr>
          <w:rFonts w:asciiTheme="minorHAnsi" w:hAnsiTheme="minorHAnsi" w:cstheme="minorHAnsi"/>
          <w:b/>
          <w:bCs/>
          <w:sz w:val="24"/>
          <w:szCs w:val="24"/>
        </w:rPr>
      </w:pPr>
      <w:r w:rsidRPr="005566B1">
        <w:rPr>
          <w:rFonts w:asciiTheme="minorHAnsi" w:hAnsiTheme="minorHAnsi" w:cstheme="minorHAnsi"/>
          <w:b/>
          <w:bCs/>
          <w:sz w:val="24"/>
          <w:szCs w:val="24"/>
        </w:rPr>
        <w:t>Public Commenter #</w:t>
      </w:r>
      <w:r w:rsidRPr="005566B1" w:rsidR="009F6571">
        <w:rPr>
          <w:rFonts w:asciiTheme="minorHAnsi" w:hAnsiTheme="minorHAnsi" w:cstheme="minorHAnsi"/>
          <w:b/>
          <w:bCs/>
          <w:sz w:val="24"/>
          <w:szCs w:val="24"/>
        </w:rPr>
        <w:t>2</w:t>
      </w:r>
    </w:p>
    <w:p w:rsidR="00E861C2" w:rsidRPr="005566B1" w:rsidP="005566B1" w14:paraId="138AEF0A" w14:textId="4B6EA77C">
      <w:pPr>
        <w:spacing w:before="161"/>
        <w:ind w:left="400"/>
        <w:rPr>
          <w:rFonts w:asciiTheme="minorHAnsi" w:hAnsiTheme="minorHAnsi" w:cstheme="minorHAnsi"/>
          <w:sz w:val="24"/>
          <w:szCs w:val="24"/>
        </w:rPr>
      </w:pPr>
      <w:r w:rsidRPr="005566B1">
        <w:rPr>
          <w:rFonts w:asciiTheme="minorHAnsi" w:hAnsiTheme="minorHAnsi" w:cstheme="minorHAnsi"/>
          <w:b/>
          <w:bCs/>
          <w:sz w:val="24"/>
          <w:szCs w:val="24"/>
        </w:rPr>
        <w:t>Summary:</w:t>
      </w:r>
      <w:r w:rsidRPr="005566B1">
        <w:rPr>
          <w:rFonts w:asciiTheme="minorHAnsi" w:hAnsiTheme="minorHAnsi" w:cstheme="minorHAnsi"/>
          <w:sz w:val="24"/>
          <w:szCs w:val="24"/>
        </w:rPr>
        <w:t xml:space="preserve"> A commenter expressed concern regarding environmental impacts associated with home</w:t>
      </w:r>
      <w:r w:rsidRPr="005566B1">
        <w:rPr>
          <w:rFonts w:asciiTheme="minorHAnsi" w:hAnsiTheme="minorHAnsi" w:cstheme="minorHAnsi"/>
          <w:sz w:val="24"/>
          <w:szCs w:val="24"/>
        </w:rPr>
        <w:noBreakHyphen/>
      </w:r>
      <w:r w:rsidRPr="005566B1">
        <w:rPr>
          <w:rFonts w:asciiTheme="minorHAnsi" w:hAnsiTheme="minorHAnsi" w:cstheme="minorHAnsi"/>
          <w:sz w:val="24"/>
          <w:szCs w:val="24"/>
        </w:rPr>
        <w:t>delivery practices (e.g., Amazon, Walmart) compared with personal shopping trips. The commenter asked whether such impacts could be assessed using CFS data.</w:t>
      </w:r>
      <w:r w:rsidRPr="005566B1">
        <w:rPr>
          <w:rFonts w:asciiTheme="minorHAnsi" w:hAnsiTheme="minorHAnsi" w:cstheme="minorHAnsi"/>
          <w:sz w:val="24"/>
          <w:szCs w:val="24"/>
        </w:rPr>
        <w:br/>
      </w:r>
      <w:r w:rsidRPr="005566B1">
        <w:rPr>
          <w:rFonts w:asciiTheme="minorHAnsi" w:hAnsiTheme="minorHAnsi" w:cstheme="minorHAnsi"/>
          <w:b/>
          <w:bCs/>
          <w:sz w:val="24"/>
          <w:szCs w:val="24"/>
        </w:rPr>
        <w:t>Census Bureau Response:</w:t>
      </w:r>
      <w:r w:rsidRPr="005566B1">
        <w:rPr>
          <w:rFonts w:asciiTheme="minorHAnsi" w:hAnsiTheme="minorHAnsi" w:cstheme="minorHAnsi"/>
          <w:sz w:val="24"/>
          <w:szCs w:val="24"/>
        </w:rPr>
        <w:t xml:space="preserve"> The CFS collects data on commercial shipments and is not designed to evaluate the comparative environmental impacts of delivery systems. No methodological changes are warranted based on this comment.</w:t>
      </w:r>
    </w:p>
    <w:p w:rsidR="00B22334" w:rsidRPr="005566B1" w:rsidP="00B22334" w14:paraId="17CF6A54" w14:textId="3F4FC570">
      <w:pPr>
        <w:spacing w:before="161"/>
        <w:ind w:left="400"/>
        <w:rPr>
          <w:rFonts w:asciiTheme="minorHAnsi" w:hAnsiTheme="minorHAnsi" w:cstheme="minorHAnsi"/>
          <w:b/>
          <w:color w:val="FF0000"/>
          <w:sz w:val="24"/>
        </w:rPr>
      </w:pPr>
      <w:r w:rsidRPr="005566B1">
        <w:rPr>
          <w:rFonts w:asciiTheme="minorHAnsi" w:hAnsiTheme="minorHAnsi" w:cstheme="minorHAnsi"/>
          <w:sz w:val="24"/>
          <w:szCs w:val="24"/>
        </w:rPr>
        <w:t xml:space="preserve">The Census Bureau developed the methodology and questionnaire design for the 2027 CFS jointly with </w:t>
      </w:r>
      <w:r w:rsidRPr="005566B1" w:rsidR="00EF693C">
        <w:rPr>
          <w:rFonts w:asciiTheme="minorHAnsi" w:hAnsiTheme="minorHAnsi" w:cstheme="minorHAnsi"/>
          <w:sz w:val="24"/>
          <w:szCs w:val="24"/>
        </w:rPr>
        <w:t xml:space="preserve">the </w:t>
      </w:r>
      <w:r w:rsidRPr="005566B1">
        <w:rPr>
          <w:rFonts w:asciiTheme="minorHAnsi" w:hAnsiTheme="minorHAnsi" w:cstheme="minorHAnsi"/>
          <w:sz w:val="24"/>
          <w:szCs w:val="24"/>
        </w:rPr>
        <w:t>survey co-sponsor</w:t>
      </w:r>
      <w:r w:rsidR="007C7E6B">
        <w:rPr>
          <w:rFonts w:asciiTheme="minorHAnsi" w:hAnsiTheme="minorHAnsi" w:cstheme="minorHAnsi"/>
          <w:sz w:val="24"/>
          <w:szCs w:val="24"/>
        </w:rPr>
        <w:t>,</w:t>
      </w:r>
      <w:r w:rsidRPr="005566B1">
        <w:rPr>
          <w:rFonts w:asciiTheme="minorHAnsi" w:hAnsiTheme="minorHAnsi" w:cstheme="minorHAnsi"/>
          <w:sz w:val="24"/>
          <w:szCs w:val="24"/>
        </w:rPr>
        <w:t xml:space="preserve"> BTS. The technical documentation available on the CFS website provides further details and is continually </w:t>
      </w:r>
      <w:r w:rsidRPr="005566B1">
        <w:rPr>
          <w:rFonts w:asciiTheme="minorHAnsi" w:hAnsiTheme="minorHAnsi" w:cstheme="minorHAnsi"/>
          <w:sz w:val="24"/>
          <w:szCs w:val="24"/>
        </w:rPr>
        <w:t>updated each cycle</w:t>
      </w:r>
      <w:r w:rsidRPr="005566B1">
        <w:rPr>
          <w:rFonts w:asciiTheme="minorHAnsi" w:hAnsiTheme="minorHAnsi" w:cstheme="minorHAnsi"/>
          <w:sz w:val="24"/>
          <w:szCs w:val="24"/>
        </w:rPr>
        <w:t xml:space="preserve"> to capture changes. </w:t>
      </w:r>
    </w:p>
    <w:p w:rsidR="00B22334" w:rsidRPr="005566B1" w:rsidP="00B22334" w14:paraId="7DFD2315" w14:textId="68BFA174">
      <w:pPr>
        <w:spacing w:before="161"/>
        <w:ind w:left="400"/>
        <w:rPr>
          <w:rFonts w:asciiTheme="minorHAnsi" w:hAnsiTheme="minorHAnsi" w:cstheme="minorHAnsi"/>
          <w:b/>
          <w:color w:val="FF0000"/>
          <w:sz w:val="24"/>
        </w:rPr>
      </w:pPr>
      <w:r w:rsidRPr="005566B1">
        <w:rPr>
          <w:rFonts w:asciiTheme="minorHAnsi" w:hAnsiTheme="minorHAnsi" w:cstheme="minorHAnsi"/>
          <w:sz w:val="24"/>
          <w:szCs w:val="24"/>
        </w:rPr>
        <w:t xml:space="preserve">The contact at BTS </w:t>
      </w:r>
      <w:r w:rsidRPr="005566B1" w:rsidR="00F123AC">
        <w:rPr>
          <w:rFonts w:asciiTheme="minorHAnsi" w:hAnsiTheme="minorHAnsi" w:cstheme="minorHAnsi"/>
          <w:sz w:val="24"/>
          <w:szCs w:val="24"/>
        </w:rPr>
        <w:t>is</w:t>
      </w:r>
      <w:r w:rsidRPr="005566B1">
        <w:rPr>
          <w:rFonts w:asciiTheme="minorHAnsi" w:hAnsiTheme="minorHAnsi" w:cstheme="minorHAnsi"/>
          <w:sz w:val="24"/>
          <w:szCs w:val="24"/>
        </w:rPr>
        <w:t>:</w:t>
      </w:r>
    </w:p>
    <w:p w:rsidR="00B22334" w:rsidRPr="005566B1" w:rsidP="00B22334" w14:paraId="7337CF44" w14:textId="77777777">
      <w:pPr>
        <w:tabs>
          <w:tab w:val="left" w:pos="0"/>
          <w:tab w:val="left" w:pos="1440"/>
          <w:tab w:val="left" w:pos="2160"/>
          <w:tab w:val="left" w:pos="2880"/>
          <w:tab w:val="left" w:pos="3600"/>
          <w:tab w:val="left" w:pos="4320"/>
          <w:tab w:val="left" w:pos="5040"/>
          <w:tab w:val="left" w:pos="5760"/>
          <w:tab w:val="left" w:pos="6480"/>
          <w:tab w:val="left" w:pos="7200"/>
        </w:tabs>
        <w:ind w:left="1440"/>
        <w:rPr>
          <w:rFonts w:asciiTheme="minorHAnsi" w:hAnsiTheme="minorHAnsi" w:cstheme="minorHAnsi"/>
          <w:sz w:val="24"/>
          <w:szCs w:val="24"/>
        </w:rPr>
      </w:pPr>
    </w:p>
    <w:p w:rsidR="00B22334" w:rsidRPr="005566B1" w:rsidP="00B22334" w14:paraId="3F17609C" w14:textId="7BC02EF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sz w:val="24"/>
          <w:szCs w:val="24"/>
        </w:rPr>
      </w:pP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sidR="00EF693C">
        <w:rPr>
          <w:rFonts w:asciiTheme="minorHAnsi" w:hAnsiTheme="minorHAnsi" w:cstheme="minorHAnsi"/>
          <w:sz w:val="24"/>
          <w:szCs w:val="24"/>
        </w:rPr>
        <w:t>Stephanie Lawrence</w:t>
      </w:r>
      <w:r w:rsidRPr="005566B1">
        <w:rPr>
          <w:rFonts w:asciiTheme="minorHAnsi" w:hAnsiTheme="minorHAnsi" w:cstheme="minorHAnsi"/>
          <w:sz w:val="24"/>
          <w:szCs w:val="24"/>
        </w:rPr>
        <w:t xml:space="preserve"> </w:t>
      </w:r>
    </w:p>
    <w:p w:rsidR="00B22334" w:rsidRPr="005566B1" w:rsidP="00B22334" w14:paraId="7EE212B7" w14:textId="6A045D4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sz w:val="24"/>
          <w:szCs w:val="24"/>
        </w:rPr>
      </w:pP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 xml:space="preserve">Director for Office of </w:t>
      </w:r>
      <w:r w:rsidRPr="005566B1" w:rsidR="00EF693C">
        <w:rPr>
          <w:rFonts w:asciiTheme="minorHAnsi" w:hAnsiTheme="minorHAnsi" w:cstheme="minorHAnsi"/>
          <w:sz w:val="24"/>
          <w:szCs w:val="24"/>
        </w:rPr>
        <w:t>Statistical and Economic Analysis</w:t>
      </w:r>
    </w:p>
    <w:p w:rsidR="00B22334" w:rsidRPr="005566B1" w:rsidP="00B22334" w14:paraId="41F4F2B6" w14:textId="5B80A81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sz w:val="24"/>
          <w:szCs w:val="24"/>
        </w:rPr>
      </w:pP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Bureau of Transportation Statistics</w:t>
      </w:r>
    </w:p>
    <w:p w:rsidR="00B22334" w:rsidRPr="005566B1" w:rsidP="00B22334" w14:paraId="6D10103F" w14:textId="71BE0386">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sz w:val="24"/>
          <w:szCs w:val="24"/>
        </w:rPr>
      </w:pP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U.S. Department of Transportation</w:t>
      </w:r>
    </w:p>
    <w:p w:rsidR="00B22334" w:rsidRPr="005566B1" w:rsidP="00B22334" w14:paraId="1C4C42D1" w14:textId="219A253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sz w:val="24"/>
          <w:szCs w:val="24"/>
        </w:rPr>
      </w:pP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Washington, D.C.  20590</w:t>
      </w:r>
    </w:p>
    <w:p w:rsidR="00B22334" w:rsidRPr="005566B1" w:rsidP="00F31D0E" w14:paraId="56B6347C" w14:textId="7CFCCC6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sz w:val="24"/>
          <w:szCs w:val="24"/>
        </w:rPr>
      </w:pP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ab/>
      </w:r>
      <w:r w:rsidRPr="005566B1">
        <w:rPr>
          <w:rFonts w:asciiTheme="minorHAnsi" w:hAnsiTheme="minorHAnsi" w:cstheme="minorHAnsi"/>
          <w:sz w:val="24"/>
          <w:szCs w:val="24"/>
        </w:rPr>
        <w:t xml:space="preserve">Telephone: (202) </w:t>
      </w:r>
      <w:r w:rsidRPr="005566B1" w:rsidR="00EF693C">
        <w:rPr>
          <w:rFonts w:asciiTheme="minorHAnsi" w:hAnsiTheme="minorHAnsi" w:cstheme="minorHAnsi"/>
          <w:sz w:val="24"/>
          <w:szCs w:val="24"/>
        </w:rPr>
        <w:t>493-1376</w:t>
      </w:r>
    </w:p>
    <w:p w:rsidR="00060FAF" w:rsidRPr="005566B1" w14:paraId="3656B9AB" w14:textId="77777777">
      <w:pPr>
        <w:pStyle w:val="BodyText"/>
        <w:spacing w:before="159"/>
        <w:rPr>
          <w:rFonts w:asciiTheme="minorHAnsi" w:hAnsiTheme="minorHAnsi" w:cstheme="minorHAnsi"/>
        </w:rPr>
      </w:pPr>
    </w:p>
    <w:p w:rsidR="00201347" w:rsidRPr="00124446" w:rsidP="00844D2F" w14:paraId="66A4E15B" w14:textId="77777777">
      <w:pPr>
        <w:pStyle w:val="Heading1"/>
        <w:numPr>
          <w:ilvl w:val="0"/>
          <w:numId w:val="7"/>
        </w:numPr>
        <w:tabs>
          <w:tab w:val="left" w:pos="669"/>
        </w:tabs>
        <w:spacing w:before="161"/>
        <w:ind w:left="360" w:hanging="360"/>
        <w:rPr>
          <w:rFonts w:ascii="Calibri" w:hAnsi="Calibri" w:cs="Calibri"/>
        </w:rPr>
      </w:pPr>
      <w:r w:rsidRPr="00124446">
        <w:rPr>
          <w:rFonts w:ascii="Calibri" w:hAnsi="Calibri" w:cs="Calibri"/>
        </w:rPr>
        <w:t>Explain any decision to provide any paymen</w:t>
      </w:r>
      <w:r w:rsidR="00060FAF">
        <w:rPr>
          <w:rFonts w:ascii="Calibri" w:hAnsi="Calibri" w:cs="Calibri"/>
        </w:rPr>
        <w:t xml:space="preserve">t or gift to respondents, other </w:t>
      </w:r>
      <w:r w:rsidR="00EB723C">
        <w:rPr>
          <w:rFonts w:ascii="Calibri" w:hAnsi="Calibri" w:cs="Calibri"/>
        </w:rPr>
        <w:t>than remun</w:t>
      </w:r>
      <w:r w:rsidRPr="00124446">
        <w:rPr>
          <w:rFonts w:ascii="Calibri" w:hAnsi="Calibri" w:cs="Calibri"/>
        </w:rPr>
        <w:t>eration of contractors or</w:t>
      </w:r>
      <w:r w:rsidRPr="00124446">
        <w:rPr>
          <w:rFonts w:ascii="Calibri" w:hAnsi="Calibri" w:cs="Calibri"/>
          <w:spacing w:val="-2"/>
        </w:rPr>
        <w:t xml:space="preserve"> </w:t>
      </w:r>
      <w:r w:rsidRPr="00124446">
        <w:rPr>
          <w:rFonts w:ascii="Calibri" w:hAnsi="Calibri" w:cs="Calibri"/>
        </w:rPr>
        <w:t>grantees.</w:t>
      </w:r>
    </w:p>
    <w:p w:rsidR="008322D0" w:rsidRPr="005566B1" w:rsidP="00060FAF" w14:paraId="0B7FBC76" w14:textId="3E6DB4F0">
      <w:pPr>
        <w:spacing w:before="161"/>
        <w:ind w:left="400"/>
        <w:rPr>
          <w:rFonts w:asciiTheme="minorHAnsi" w:hAnsiTheme="minorHAnsi" w:cstheme="minorHAnsi"/>
          <w:b/>
          <w:color w:val="FF0000"/>
          <w:sz w:val="24"/>
        </w:rPr>
      </w:pPr>
      <w:r w:rsidRPr="005566B1">
        <w:rPr>
          <w:rFonts w:asciiTheme="minorHAnsi" w:hAnsiTheme="minorHAnsi" w:cstheme="minorHAnsi"/>
          <w:sz w:val="24"/>
          <w:szCs w:val="24"/>
        </w:rPr>
        <w:t>The Census Bureau does not pay respondents and does not provide them with gifts in any form to report requested information to the Commodity Flow Survey.</w:t>
      </w:r>
    </w:p>
    <w:p w:rsidR="00060FAF" w:rsidRPr="00060FAF" w:rsidP="00060FAF" w14:paraId="45FB0818" w14:textId="77777777">
      <w:pPr>
        <w:pStyle w:val="BodyText"/>
        <w:rPr>
          <w:rFonts w:ascii="Calibri" w:hAnsi="Calibri" w:cs="Calibri"/>
        </w:rPr>
      </w:pPr>
    </w:p>
    <w:p w:rsidR="00201347" w:rsidRPr="00124446" w:rsidP="00844D2F" w14:paraId="0C7002A8" w14:textId="77777777">
      <w:pPr>
        <w:pStyle w:val="Heading1"/>
        <w:numPr>
          <w:ilvl w:val="0"/>
          <w:numId w:val="7"/>
        </w:numPr>
        <w:tabs>
          <w:tab w:val="left" w:pos="804"/>
        </w:tabs>
        <w:spacing w:before="161"/>
        <w:ind w:left="360" w:hanging="360"/>
        <w:rPr>
          <w:rFonts w:ascii="Calibri" w:hAnsi="Calibri" w:cs="Calibri"/>
        </w:rPr>
      </w:pPr>
      <w:r w:rsidRPr="00124446">
        <w:rPr>
          <w:rFonts w:ascii="Calibri" w:hAnsi="Calibri" w:cs="Calibri"/>
        </w:rPr>
        <w:t xml:space="preserve">Describe any assurance of confidentiality provided to </w:t>
      </w:r>
      <w:r w:rsidR="00FF1A79">
        <w:rPr>
          <w:rFonts w:ascii="Calibri" w:hAnsi="Calibri" w:cs="Calibri"/>
        </w:rPr>
        <w:t xml:space="preserve">respondents and the basis </w:t>
      </w:r>
      <w:r w:rsidRPr="00124446">
        <w:rPr>
          <w:rFonts w:ascii="Calibri" w:hAnsi="Calibri" w:cs="Calibri"/>
        </w:rPr>
        <w:t xml:space="preserve">for the assurance in statute, regulation, or agency policy. If the collection requires a </w:t>
      </w:r>
      <w:r w:rsidRPr="00124446">
        <w:rPr>
          <w:rFonts w:ascii="Calibri" w:hAnsi="Calibri" w:cs="Calibri"/>
        </w:rPr>
        <w:t>systems</w:t>
      </w:r>
      <w:r w:rsidRPr="00124446">
        <w:rPr>
          <w:rFonts w:ascii="Calibri" w:hAnsi="Calibri" w:cs="Calibri"/>
        </w:rPr>
        <w:t xml:space="preserve"> of records notice (SORN) or privacy impact assessment (PIA), those should be cited and described</w:t>
      </w:r>
      <w:r w:rsidRPr="00124446">
        <w:rPr>
          <w:rFonts w:ascii="Calibri" w:hAnsi="Calibri" w:cs="Calibri"/>
          <w:spacing w:val="-1"/>
        </w:rPr>
        <w:t xml:space="preserve"> </w:t>
      </w:r>
      <w:r w:rsidRPr="00124446">
        <w:rPr>
          <w:rFonts w:ascii="Calibri" w:hAnsi="Calibri" w:cs="Calibri"/>
        </w:rPr>
        <w:t>here.</w:t>
      </w:r>
    </w:p>
    <w:p w:rsidR="008322D0" w:rsidRPr="005566B1" w:rsidP="008322D0" w14:paraId="4BA6B137" w14:textId="1D026C4E">
      <w:pPr>
        <w:spacing w:before="161"/>
        <w:ind w:left="400"/>
        <w:rPr>
          <w:rFonts w:asciiTheme="minorHAnsi" w:hAnsiTheme="minorHAnsi" w:cstheme="minorHAnsi"/>
          <w:b/>
          <w:color w:val="FF0000"/>
          <w:sz w:val="24"/>
        </w:rPr>
      </w:pPr>
      <w:r w:rsidRPr="005566B1">
        <w:rPr>
          <w:rFonts w:asciiTheme="minorHAnsi" w:hAnsiTheme="minorHAnsi" w:cstheme="minorHAnsi"/>
          <w:sz w:val="24"/>
          <w:szCs w:val="24"/>
        </w:rPr>
        <w:t xml:space="preserve">The 2027 CFS </w:t>
      </w:r>
      <w:r w:rsidR="007C7E6B">
        <w:rPr>
          <w:rFonts w:asciiTheme="minorHAnsi" w:hAnsiTheme="minorHAnsi" w:cstheme="minorHAnsi"/>
          <w:sz w:val="24"/>
          <w:szCs w:val="24"/>
        </w:rPr>
        <w:t>will mail</w:t>
      </w:r>
      <w:r w:rsidRPr="005566B1" w:rsidR="007C7E6B">
        <w:rPr>
          <w:rFonts w:asciiTheme="minorHAnsi" w:hAnsiTheme="minorHAnsi" w:cstheme="minorHAnsi"/>
          <w:sz w:val="24"/>
          <w:szCs w:val="24"/>
        </w:rPr>
        <w:t xml:space="preserve"> </w:t>
      </w:r>
      <w:r w:rsidRPr="005566B1">
        <w:rPr>
          <w:rFonts w:asciiTheme="minorHAnsi" w:hAnsiTheme="minorHAnsi" w:cstheme="minorHAnsi"/>
          <w:sz w:val="24"/>
          <w:szCs w:val="24"/>
        </w:rPr>
        <w:t xml:space="preserve">notification letters </w:t>
      </w:r>
      <w:r w:rsidR="007C7E6B">
        <w:rPr>
          <w:rFonts w:asciiTheme="minorHAnsi" w:hAnsiTheme="minorHAnsi" w:cstheme="minorHAnsi"/>
          <w:sz w:val="24"/>
          <w:szCs w:val="24"/>
        </w:rPr>
        <w:t>that</w:t>
      </w:r>
      <w:r w:rsidRPr="005566B1" w:rsidR="007C7E6B">
        <w:rPr>
          <w:rFonts w:asciiTheme="minorHAnsi" w:hAnsiTheme="minorHAnsi" w:cstheme="minorHAnsi"/>
          <w:sz w:val="24"/>
          <w:szCs w:val="24"/>
        </w:rPr>
        <w:t xml:space="preserve"> </w:t>
      </w:r>
      <w:r w:rsidRPr="005566B1">
        <w:rPr>
          <w:rFonts w:asciiTheme="minorHAnsi" w:hAnsiTheme="minorHAnsi" w:cstheme="minorHAnsi"/>
          <w:sz w:val="24"/>
          <w:szCs w:val="24"/>
        </w:rPr>
        <w:t xml:space="preserve">inform respondents what sections of </w:t>
      </w:r>
      <w:r w:rsidRPr="005566B1" w:rsidR="006C3AF0">
        <w:rPr>
          <w:rFonts w:asciiTheme="minorHAnsi" w:hAnsiTheme="minorHAnsi" w:cstheme="minorHAnsi"/>
          <w:sz w:val="24"/>
          <w:szCs w:val="24"/>
        </w:rPr>
        <w:t>Title 13</w:t>
      </w:r>
      <w:r w:rsidRPr="005566B1" w:rsidR="00D73320">
        <w:rPr>
          <w:rFonts w:asciiTheme="minorHAnsi" w:hAnsiTheme="minorHAnsi" w:cstheme="minorHAnsi"/>
          <w:sz w:val="24"/>
          <w:szCs w:val="24"/>
        </w:rPr>
        <w:t xml:space="preserve"> and Title 49</w:t>
      </w:r>
      <w:r w:rsidRPr="005566B1">
        <w:rPr>
          <w:rFonts w:asciiTheme="minorHAnsi" w:hAnsiTheme="minorHAnsi" w:cstheme="minorHAnsi"/>
          <w:sz w:val="24"/>
          <w:szCs w:val="24"/>
        </w:rPr>
        <w:t xml:space="preserve"> U.S.C. authorize the survey, require them to respond, and that their response</w:t>
      </w:r>
      <w:r w:rsidR="007C7E6B">
        <w:rPr>
          <w:rFonts w:asciiTheme="minorHAnsi" w:hAnsiTheme="minorHAnsi" w:cstheme="minorHAnsi"/>
          <w:sz w:val="24"/>
          <w:szCs w:val="24"/>
        </w:rPr>
        <w:t>s</w:t>
      </w:r>
      <w:r w:rsidRPr="005566B1">
        <w:rPr>
          <w:rFonts w:asciiTheme="minorHAnsi" w:hAnsiTheme="minorHAnsi" w:cstheme="minorHAnsi"/>
          <w:sz w:val="24"/>
          <w:szCs w:val="24"/>
        </w:rPr>
        <w:t xml:space="preserve"> will be kept confidential. </w:t>
      </w:r>
      <w:r w:rsidRPr="005566B1" w:rsidR="008B5221">
        <w:rPr>
          <w:rFonts w:asciiTheme="minorHAnsi" w:hAnsiTheme="minorHAnsi" w:cstheme="minorHAnsi"/>
          <w:sz w:val="24"/>
          <w:szCs w:val="24"/>
        </w:rPr>
        <w:t>These statements will also be displayed in the online survey instrumen</w:t>
      </w:r>
      <w:r w:rsidR="007C7E6B">
        <w:rPr>
          <w:rFonts w:asciiTheme="minorHAnsi" w:hAnsiTheme="minorHAnsi" w:cstheme="minorHAnsi"/>
          <w:sz w:val="24"/>
          <w:szCs w:val="24"/>
        </w:rPr>
        <w:t>t</w:t>
      </w:r>
      <w:r w:rsidRPr="005566B1" w:rsidR="008B5221">
        <w:rPr>
          <w:rFonts w:asciiTheme="minorHAnsi" w:hAnsiTheme="minorHAnsi" w:cstheme="minorHAnsi"/>
          <w:sz w:val="24"/>
          <w:szCs w:val="24"/>
        </w:rPr>
        <w:t>.</w:t>
      </w:r>
    </w:p>
    <w:p w:rsidR="008322D0" w:rsidRPr="005566B1" w:rsidP="008322D0" w14:paraId="0FF9BFD0" w14:textId="18960CDB">
      <w:pPr>
        <w:spacing w:before="161"/>
        <w:ind w:left="400"/>
        <w:rPr>
          <w:rFonts w:asciiTheme="minorHAnsi" w:hAnsiTheme="minorHAnsi" w:cstheme="minorHAnsi"/>
          <w:b/>
          <w:color w:val="FF0000"/>
          <w:sz w:val="24"/>
        </w:rPr>
      </w:pPr>
      <w:r w:rsidRPr="005566B1">
        <w:rPr>
          <w:rFonts w:asciiTheme="minorHAnsi" w:hAnsiTheme="minorHAnsi" w:cstheme="minorHAnsi"/>
          <w:sz w:val="24"/>
          <w:szCs w:val="24"/>
        </w:rPr>
        <w:t>The statutory basis for this assurance of confidentiality is Title 13 U.S.C., Section 9. All activities relating to the collection and use of the 202</w:t>
      </w:r>
      <w:r w:rsidRPr="005566B1" w:rsidR="00782FF7">
        <w:rPr>
          <w:rFonts w:asciiTheme="minorHAnsi" w:hAnsiTheme="minorHAnsi" w:cstheme="minorHAnsi"/>
          <w:sz w:val="24"/>
          <w:szCs w:val="24"/>
        </w:rPr>
        <w:t>7</w:t>
      </w:r>
      <w:r w:rsidRPr="005566B1">
        <w:rPr>
          <w:rFonts w:asciiTheme="minorHAnsi" w:hAnsiTheme="minorHAnsi" w:cstheme="minorHAnsi"/>
          <w:sz w:val="24"/>
          <w:szCs w:val="24"/>
        </w:rPr>
        <w:t xml:space="preserve"> CFS data satisfy requirements of this law.</w:t>
      </w:r>
    </w:p>
    <w:p w:rsidR="00060FAF" w:rsidRPr="00060FAF" w:rsidP="008642EC" w14:paraId="049F31CB" w14:textId="77777777">
      <w:pPr>
        <w:pStyle w:val="BodyText"/>
        <w:spacing w:before="158"/>
        <w:ind w:left="0"/>
        <w:rPr>
          <w:rFonts w:ascii="Calibri" w:hAnsi="Calibri" w:cs="Calibri"/>
        </w:rPr>
      </w:pPr>
    </w:p>
    <w:p w:rsidR="00201347" w:rsidRPr="00124446" w:rsidP="00844D2F" w14:paraId="06337390" w14:textId="77777777">
      <w:pPr>
        <w:pStyle w:val="Heading1"/>
        <w:numPr>
          <w:ilvl w:val="0"/>
          <w:numId w:val="7"/>
        </w:numPr>
        <w:tabs>
          <w:tab w:val="left" w:pos="804"/>
        </w:tabs>
        <w:spacing w:before="185"/>
        <w:ind w:left="360" w:hanging="400"/>
        <w:rPr>
          <w:rFonts w:ascii="Calibri" w:hAnsi="Calibri" w:cs="Calibri"/>
        </w:rPr>
      </w:pPr>
      <w:r w:rsidRPr="00124446">
        <w:rPr>
          <w:rFonts w:ascii="Calibri" w:hAnsi="Calibri" w:cs="Calibri"/>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sidRPr="00124446">
        <w:rPr>
          <w:rFonts w:ascii="Calibri" w:hAnsi="Calibri" w:cs="Calibri"/>
        </w:rPr>
        <w:t>persons</w:t>
      </w:r>
      <w:r w:rsidRPr="00124446">
        <w:rPr>
          <w:rFonts w:ascii="Calibri" w:hAnsi="Calibri" w:cs="Calibri"/>
        </w:rPr>
        <w:t xml:space="preserve"> from whom the information is requested, and any steps to be taken to obtain their consent.</w:t>
      </w:r>
    </w:p>
    <w:p w:rsidR="00321B3D" w:rsidRPr="008642EC" w:rsidP="00060FAF" w14:paraId="558C869E" w14:textId="5950C3A3">
      <w:pPr>
        <w:spacing w:before="161"/>
        <w:ind w:left="400"/>
        <w:rPr>
          <w:rFonts w:asciiTheme="minorHAnsi" w:hAnsiTheme="minorHAnsi" w:cstheme="minorHAnsi"/>
          <w:b/>
          <w:color w:val="FF0000"/>
          <w:sz w:val="24"/>
          <w:szCs w:val="24"/>
        </w:rPr>
      </w:pPr>
      <w:r w:rsidRPr="008642EC">
        <w:rPr>
          <w:rFonts w:asciiTheme="minorHAnsi" w:hAnsiTheme="minorHAnsi" w:cstheme="minorHAnsi"/>
          <w:bCs/>
          <w:sz w:val="24"/>
          <w:szCs w:val="24"/>
        </w:rPr>
        <w:t>The information collected is not of a sensitive nature and does not concern matters that are commonly considered private</w:t>
      </w:r>
      <w:r w:rsidRPr="008642EC">
        <w:rPr>
          <w:rFonts w:asciiTheme="minorHAnsi" w:hAnsiTheme="minorHAnsi" w:cstheme="minorHAnsi"/>
          <w:sz w:val="24"/>
          <w:szCs w:val="24"/>
        </w:rPr>
        <w:t>.</w:t>
      </w:r>
    </w:p>
    <w:p w:rsidR="007C7E6B" w:rsidRPr="00060FAF" w:rsidP="00E44E78" w14:paraId="097E3868" w14:textId="77777777">
      <w:pPr>
        <w:pStyle w:val="BodyText"/>
        <w:spacing w:before="80" w:line="259" w:lineRule="auto"/>
        <w:ind w:left="0" w:right="368"/>
        <w:rPr>
          <w:rFonts w:ascii="Calibri" w:hAnsi="Calibri" w:cs="Calibri"/>
        </w:rPr>
      </w:pPr>
    </w:p>
    <w:p w:rsidR="00201347" w:rsidRPr="00124446" w:rsidP="003B1309" w14:paraId="5B7A8C0D" w14:textId="77777777">
      <w:pPr>
        <w:pStyle w:val="Heading1"/>
        <w:numPr>
          <w:ilvl w:val="0"/>
          <w:numId w:val="7"/>
        </w:numPr>
        <w:tabs>
          <w:tab w:val="left" w:pos="540"/>
        </w:tabs>
        <w:spacing w:before="122"/>
        <w:ind w:left="360" w:hanging="360"/>
        <w:rPr>
          <w:rFonts w:ascii="Calibri" w:hAnsi="Calibri" w:cs="Calibri"/>
        </w:rPr>
      </w:pPr>
      <w:r w:rsidRPr="00124446">
        <w:rPr>
          <w:rFonts w:ascii="Calibri" w:hAnsi="Calibri" w:cs="Calibri"/>
        </w:rPr>
        <w:t>Provide estimates of the hour burden of the collection of</w:t>
      </w:r>
      <w:r w:rsidRPr="00124446">
        <w:rPr>
          <w:rFonts w:ascii="Calibri" w:hAnsi="Calibri" w:cs="Calibri"/>
          <w:spacing w:val="-10"/>
        </w:rPr>
        <w:t xml:space="preserve"> </w:t>
      </w:r>
      <w:r w:rsidRPr="00124446">
        <w:rPr>
          <w:rFonts w:ascii="Calibri" w:hAnsi="Calibri" w:cs="Calibri"/>
        </w:rPr>
        <w:t>information.</w:t>
      </w:r>
    </w:p>
    <w:p w:rsidR="00201347" w:rsidRPr="000311EF" w:rsidP="003B1309" w14:paraId="01A1C6D7" w14:textId="77777777">
      <w:pPr>
        <w:pStyle w:val="ListParagraph"/>
        <w:numPr>
          <w:ilvl w:val="0"/>
          <w:numId w:val="10"/>
        </w:numPr>
        <w:tabs>
          <w:tab w:val="left" w:pos="759"/>
          <w:tab w:val="left" w:pos="760"/>
        </w:tabs>
        <w:spacing w:before="140"/>
        <w:rPr>
          <w:rFonts w:ascii="Calibri" w:hAnsi="Calibri" w:cs="Calibri"/>
          <w:b/>
          <w:sz w:val="24"/>
        </w:rPr>
      </w:pPr>
      <w:r w:rsidRPr="000311EF">
        <w:rPr>
          <w:rFonts w:ascii="Calibri" w:hAnsi="Calibri" w:cs="Calibri"/>
          <w:b/>
          <w:sz w:val="24"/>
        </w:rPr>
        <w:t xml:space="preserve">Indicate the number of respondents, frequency of response, annual hour burden, and an </w:t>
      </w:r>
      <w:r w:rsidRPr="000311EF">
        <w:rPr>
          <w:rFonts w:ascii="Calibri" w:hAnsi="Calibri" w:cs="Calibri"/>
          <w:b/>
          <w:sz w:val="24"/>
        </w:rPr>
        <w:t>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w:t>
      </w:r>
      <w:r w:rsidRPr="000311EF">
        <w:rPr>
          <w:rFonts w:ascii="Calibri" w:hAnsi="Calibri" w:cs="Calibri"/>
          <w:b/>
          <w:spacing w:val="-2"/>
          <w:sz w:val="24"/>
        </w:rPr>
        <w:t xml:space="preserve"> </w:t>
      </w:r>
      <w:r w:rsidRPr="000311EF">
        <w:rPr>
          <w:rFonts w:ascii="Calibri" w:hAnsi="Calibri" w:cs="Calibri"/>
          <w:b/>
          <w:sz w:val="24"/>
        </w:rPr>
        <w:t>practices.</w:t>
      </w:r>
    </w:p>
    <w:p w:rsidR="00201347" w:rsidRPr="000311EF" w:rsidP="003B1309" w14:paraId="1B16A307" w14:textId="77777777">
      <w:pPr>
        <w:pStyle w:val="ListParagraph"/>
        <w:numPr>
          <w:ilvl w:val="0"/>
          <w:numId w:val="10"/>
        </w:numPr>
        <w:tabs>
          <w:tab w:val="left" w:pos="759"/>
          <w:tab w:val="left" w:pos="760"/>
        </w:tabs>
        <w:spacing w:before="128"/>
        <w:rPr>
          <w:rFonts w:ascii="Calibri" w:hAnsi="Calibri" w:cs="Calibri"/>
          <w:b/>
          <w:sz w:val="24"/>
        </w:rPr>
      </w:pPr>
      <w:r w:rsidRPr="000311EF">
        <w:rPr>
          <w:rFonts w:ascii="Calibri" w:hAnsi="Calibri" w:cs="Calibri"/>
          <w:b/>
          <w:sz w:val="24"/>
        </w:rPr>
        <w:t>If this request for approval covers more than one form, provide separate hour burden estimates for each form and aggregate the hour</w:t>
      </w:r>
      <w:r w:rsidRPr="000311EF">
        <w:rPr>
          <w:rFonts w:ascii="Calibri" w:hAnsi="Calibri" w:cs="Calibri"/>
          <w:b/>
          <w:spacing w:val="-3"/>
          <w:sz w:val="24"/>
        </w:rPr>
        <w:t xml:space="preserve"> </w:t>
      </w:r>
      <w:r w:rsidRPr="000311EF">
        <w:rPr>
          <w:rFonts w:ascii="Calibri" w:hAnsi="Calibri" w:cs="Calibri"/>
          <w:b/>
          <w:sz w:val="24"/>
        </w:rPr>
        <w:t>burdens.</w:t>
      </w:r>
    </w:p>
    <w:p w:rsidR="00201347" w:rsidRPr="000311EF" w:rsidP="003B1309" w14:paraId="6F1AF403" w14:textId="77777777">
      <w:pPr>
        <w:pStyle w:val="ListParagraph"/>
        <w:numPr>
          <w:ilvl w:val="0"/>
          <w:numId w:val="10"/>
        </w:numPr>
        <w:tabs>
          <w:tab w:val="left" w:pos="759"/>
          <w:tab w:val="left" w:pos="760"/>
        </w:tabs>
        <w:spacing w:before="131"/>
        <w:rPr>
          <w:rFonts w:ascii="Calibri" w:hAnsi="Calibri" w:cs="Calibri"/>
          <w:b/>
          <w:sz w:val="24"/>
        </w:rPr>
      </w:pPr>
      <w:r w:rsidRPr="000311EF">
        <w:rPr>
          <w:rFonts w:ascii="Calibri" w:hAnsi="Calibri" w:cs="Calibri"/>
          <w:b/>
          <w:sz w:val="24"/>
        </w:rPr>
        <w:t>Provide estimates of annualized cost to respondents for the hour burdens for collections of information, identifying and using appropriate wage rate categories. The cost of contracting out or paying outside parties for information collection activities should</w:t>
      </w:r>
      <w:r w:rsidRPr="000311EF">
        <w:rPr>
          <w:rFonts w:ascii="Calibri" w:hAnsi="Calibri" w:cs="Calibri"/>
          <w:b/>
          <w:spacing w:val="-49"/>
          <w:sz w:val="24"/>
        </w:rPr>
        <w:t xml:space="preserve"> </w:t>
      </w:r>
      <w:r w:rsidRPr="000311EF">
        <w:rPr>
          <w:rFonts w:ascii="Calibri" w:hAnsi="Calibri" w:cs="Calibri"/>
          <w:b/>
          <w:sz w:val="24"/>
        </w:rPr>
        <w:t>not be included here. Instead, this cost should be included under ‘Annual Cost to Federal Government’</w:t>
      </w:r>
      <w:r w:rsidR="002D0D06">
        <w:rPr>
          <w:rFonts w:ascii="Calibri" w:hAnsi="Calibri" w:cs="Calibri"/>
          <w:b/>
          <w:sz w:val="24"/>
        </w:rPr>
        <w:t xml:space="preserve"> (Item #14)</w:t>
      </w:r>
      <w:r w:rsidRPr="000311EF">
        <w:rPr>
          <w:rFonts w:ascii="Calibri" w:hAnsi="Calibri" w:cs="Calibri"/>
          <w:b/>
          <w:sz w:val="24"/>
        </w:rPr>
        <w:t>.</w:t>
      </w:r>
    </w:p>
    <w:p w:rsidR="00AD761D" w:rsidP="00290832" w14:paraId="7E7B8D45" w14:textId="77777777">
      <w:pPr>
        <w:spacing w:line="259" w:lineRule="auto"/>
        <w:ind w:left="399" w:right="359"/>
        <w:rPr>
          <w:sz w:val="24"/>
          <w:szCs w:val="24"/>
        </w:rPr>
      </w:pPr>
    </w:p>
    <w:p w:rsidR="00232B8A" w:rsidRPr="008642EC" w:rsidP="00523C74" w14:paraId="5DA284C1" w14:textId="368B3B07">
      <w:pPr>
        <w:spacing w:line="259" w:lineRule="auto"/>
        <w:ind w:left="399" w:right="359"/>
        <w:rPr>
          <w:rFonts w:asciiTheme="minorHAnsi" w:hAnsiTheme="minorHAnsi" w:cstheme="minorHAnsi"/>
          <w:sz w:val="24"/>
          <w:szCs w:val="24"/>
        </w:rPr>
      </w:pPr>
      <w:r w:rsidRPr="008642EC">
        <w:rPr>
          <w:rFonts w:asciiTheme="minorHAnsi" w:hAnsiTheme="minorHAnsi" w:cstheme="minorHAnsi"/>
          <w:sz w:val="24"/>
          <w:szCs w:val="24"/>
        </w:rPr>
        <w:t xml:space="preserve">The </w:t>
      </w:r>
      <w:r w:rsidRPr="008642EC" w:rsidR="00A47480">
        <w:rPr>
          <w:rFonts w:asciiTheme="minorHAnsi" w:hAnsiTheme="minorHAnsi" w:cstheme="minorHAnsi"/>
          <w:sz w:val="24"/>
          <w:szCs w:val="24"/>
        </w:rPr>
        <w:t>2027 CFS pre-screener survey</w:t>
      </w:r>
      <w:r w:rsidRPr="008642EC">
        <w:rPr>
          <w:rFonts w:asciiTheme="minorHAnsi" w:hAnsiTheme="minorHAnsi" w:cstheme="minorHAnsi"/>
          <w:sz w:val="24"/>
          <w:szCs w:val="24"/>
        </w:rPr>
        <w:t xml:space="preserve"> will </w:t>
      </w:r>
      <w:r w:rsidRPr="008642EC">
        <w:rPr>
          <w:rFonts w:asciiTheme="minorHAnsi" w:hAnsiTheme="minorHAnsi" w:cstheme="minorHAnsi"/>
          <w:sz w:val="24"/>
          <w:szCs w:val="24"/>
        </w:rPr>
        <w:t xml:space="preserve">request information from </w:t>
      </w:r>
      <w:r w:rsidRPr="008642EC">
        <w:rPr>
          <w:rFonts w:asciiTheme="minorHAnsi" w:hAnsiTheme="minorHAnsi" w:cstheme="minorHAnsi"/>
          <w:sz w:val="24"/>
          <w:szCs w:val="24"/>
        </w:rPr>
        <w:t xml:space="preserve">approximately 45,000 establishments prior to the main survey. We estimate that on average, each questionnaire will take approximately 5 minutes to complete. </w:t>
      </w:r>
    </w:p>
    <w:p w:rsidR="00232B8A" w:rsidRPr="008642EC" w:rsidP="00523C74" w14:paraId="6AA34EE0" w14:textId="77777777">
      <w:pPr>
        <w:spacing w:line="259" w:lineRule="auto"/>
        <w:ind w:left="399" w:right="359"/>
        <w:rPr>
          <w:rFonts w:asciiTheme="minorHAnsi" w:hAnsiTheme="minorHAnsi" w:cstheme="minorHAnsi"/>
          <w:sz w:val="24"/>
          <w:szCs w:val="24"/>
        </w:rPr>
      </w:pPr>
    </w:p>
    <w:p w:rsidR="0052702F" w:rsidRPr="008642EC" w:rsidP="00523C74" w14:paraId="38C023BC" w14:textId="0F3A7EB4">
      <w:pPr>
        <w:spacing w:line="259" w:lineRule="auto"/>
        <w:ind w:left="399" w:right="359"/>
        <w:rPr>
          <w:rFonts w:asciiTheme="minorHAnsi" w:hAnsiTheme="minorHAnsi" w:cstheme="minorHAnsi"/>
          <w:sz w:val="24"/>
          <w:szCs w:val="24"/>
        </w:rPr>
      </w:pPr>
      <w:r w:rsidRPr="008642EC">
        <w:rPr>
          <w:rFonts w:asciiTheme="minorHAnsi" w:hAnsiTheme="minorHAnsi" w:cstheme="minorHAnsi"/>
          <w:sz w:val="24"/>
          <w:szCs w:val="24"/>
        </w:rPr>
        <w:t xml:space="preserve">For the main </w:t>
      </w:r>
      <w:r w:rsidRPr="008642EC" w:rsidR="00232B8A">
        <w:rPr>
          <w:rFonts w:asciiTheme="minorHAnsi" w:hAnsiTheme="minorHAnsi" w:cstheme="minorHAnsi"/>
          <w:sz w:val="24"/>
          <w:szCs w:val="24"/>
        </w:rPr>
        <w:t xml:space="preserve">2027 CFS </w:t>
      </w:r>
      <w:r w:rsidRPr="008642EC">
        <w:rPr>
          <w:rFonts w:asciiTheme="minorHAnsi" w:hAnsiTheme="minorHAnsi" w:cstheme="minorHAnsi"/>
          <w:sz w:val="24"/>
          <w:szCs w:val="24"/>
        </w:rPr>
        <w:t>survey, t</w:t>
      </w:r>
      <w:r w:rsidRPr="008642EC" w:rsidR="00782FF7">
        <w:rPr>
          <w:rFonts w:asciiTheme="minorHAnsi" w:hAnsiTheme="minorHAnsi" w:cstheme="minorHAnsi"/>
          <w:sz w:val="24"/>
          <w:szCs w:val="24"/>
        </w:rPr>
        <w:t xml:space="preserve">he Census Bureau will </w:t>
      </w:r>
      <w:r w:rsidRPr="008642EC" w:rsidR="00232B8A">
        <w:rPr>
          <w:rFonts w:asciiTheme="minorHAnsi" w:hAnsiTheme="minorHAnsi" w:cstheme="minorHAnsi"/>
          <w:sz w:val="24"/>
          <w:szCs w:val="24"/>
        </w:rPr>
        <w:t xml:space="preserve">request information from </w:t>
      </w:r>
      <w:r w:rsidRPr="008642EC" w:rsidR="00782FF7">
        <w:rPr>
          <w:rFonts w:asciiTheme="minorHAnsi" w:hAnsiTheme="minorHAnsi" w:cstheme="minorHAnsi"/>
          <w:sz w:val="24"/>
          <w:szCs w:val="24"/>
        </w:rPr>
        <w:t>approximately 1</w:t>
      </w:r>
      <w:r w:rsidRPr="008642EC">
        <w:rPr>
          <w:rFonts w:asciiTheme="minorHAnsi" w:hAnsiTheme="minorHAnsi" w:cstheme="minorHAnsi"/>
          <w:sz w:val="24"/>
          <w:szCs w:val="24"/>
        </w:rPr>
        <w:t>4</w:t>
      </w:r>
      <w:r w:rsidRPr="008642EC" w:rsidR="00782FF7">
        <w:rPr>
          <w:rFonts w:asciiTheme="minorHAnsi" w:hAnsiTheme="minorHAnsi" w:cstheme="minorHAnsi"/>
          <w:sz w:val="24"/>
          <w:szCs w:val="24"/>
        </w:rPr>
        <w:t>0,000 establishments four times each</w:t>
      </w:r>
      <w:r w:rsidR="00433BA9">
        <w:rPr>
          <w:rFonts w:asciiTheme="minorHAnsi" w:hAnsiTheme="minorHAnsi" w:cstheme="minorHAnsi"/>
          <w:sz w:val="24"/>
          <w:szCs w:val="24"/>
        </w:rPr>
        <w:t xml:space="preserve"> during</w:t>
      </w:r>
      <w:r w:rsidRPr="008642EC" w:rsidR="00782FF7">
        <w:rPr>
          <w:rFonts w:asciiTheme="minorHAnsi" w:hAnsiTheme="minorHAnsi" w:cstheme="minorHAnsi"/>
          <w:sz w:val="24"/>
          <w:szCs w:val="24"/>
        </w:rPr>
        <w:t xml:space="preserve"> the 202</w:t>
      </w:r>
      <w:r w:rsidRPr="008642EC">
        <w:rPr>
          <w:rFonts w:asciiTheme="minorHAnsi" w:hAnsiTheme="minorHAnsi" w:cstheme="minorHAnsi"/>
          <w:sz w:val="24"/>
          <w:szCs w:val="24"/>
        </w:rPr>
        <w:t>7</w:t>
      </w:r>
      <w:r w:rsidR="002B24B7">
        <w:rPr>
          <w:rFonts w:asciiTheme="minorHAnsi" w:hAnsiTheme="minorHAnsi" w:cstheme="minorHAnsi"/>
          <w:sz w:val="24"/>
          <w:szCs w:val="24"/>
        </w:rPr>
        <w:t xml:space="preserve"> survey cycle</w:t>
      </w:r>
      <w:r w:rsidRPr="008642EC" w:rsidR="00782FF7">
        <w:rPr>
          <w:rFonts w:asciiTheme="minorHAnsi" w:hAnsiTheme="minorHAnsi" w:cstheme="minorHAnsi"/>
          <w:sz w:val="24"/>
          <w:szCs w:val="24"/>
        </w:rPr>
        <w:t xml:space="preserve">. We estimate that on average, each questionnaire will take approximately 1.5 hours to complete, or </w:t>
      </w:r>
      <w:r w:rsidRPr="008642EC" w:rsidR="00290832">
        <w:rPr>
          <w:rFonts w:asciiTheme="minorHAnsi" w:hAnsiTheme="minorHAnsi" w:cstheme="minorHAnsi"/>
          <w:sz w:val="24"/>
          <w:szCs w:val="24"/>
        </w:rPr>
        <w:t>about the same</w:t>
      </w:r>
      <w:r w:rsidRPr="008642EC" w:rsidR="00782FF7">
        <w:rPr>
          <w:rFonts w:asciiTheme="minorHAnsi" w:hAnsiTheme="minorHAnsi" w:cstheme="minorHAnsi"/>
          <w:sz w:val="24"/>
          <w:szCs w:val="24"/>
        </w:rPr>
        <w:t xml:space="preserve"> </w:t>
      </w:r>
      <w:r w:rsidRPr="008642EC" w:rsidR="00290832">
        <w:rPr>
          <w:rFonts w:asciiTheme="minorHAnsi" w:hAnsiTheme="minorHAnsi" w:cstheme="minorHAnsi"/>
          <w:sz w:val="24"/>
          <w:szCs w:val="24"/>
        </w:rPr>
        <w:t>as</w:t>
      </w:r>
      <w:r w:rsidRPr="008642EC" w:rsidR="00782FF7">
        <w:rPr>
          <w:rFonts w:asciiTheme="minorHAnsi" w:hAnsiTheme="minorHAnsi" w:cstheme="minorHAnsi"/>
          <w:sz w:val="24"/>
          <w:szCs w:val="24"/>
        </w:rPr>
        <w:t xml:space="preserve"> the median burden from the 20</w:t>
      </w:r>
      <w:r w:rsidRPr="008642EC" w:rsidR="00290832">
        <w:rPr>
          <w:rFonts w:asciiTheme="minorHAnsi" w:hAnsiTheme="minorHAnsi" w:cstheme="minorHAnsi"/>
          <w:sz w:val="24"/>
          <w:szCs w:val="24"/>
        </w:rPr>
        <w:t>22 CFS (Quarters 2 and 3)</w:t>
      </w:r>
      <w:r w:rsidRPr="008642EC" w:rsidR="00782FF7">
        <w:rPr>
          <w:rFonts w:asciiTheme="minorHAnsi" w:hAnsiTheme="minorHAnsi" w:cstheme="minorHAnsi"/>
          <w:sz w:val="24"/>
          <w:szCs w:val="24"/>
        </w:rPr>
        <w:t xml:space="preserve">. </w:t>
      </w:r>
      <w:r w:rsidRPr="008642EC" w:rsidR="00290832">
        <w:rPr>
          <w:rFonts w:asciiTheme="minorHAnsi" w:hAnsiTheme="minorHAnsi" w:cstheme="minorHAnsi"/>
          <w:sz w:val="24"/>
          <w:szCs w:val="24"/>
        </w:rPr>
        <w:t xml:space="preserve">FYI: Quarters 1 and 4 of the 2022 CFS included </w:t>
      </w:r>
      <w:r w:rsidRPr="008642EC" w:rsidR="00782FF7">
        <w:rPr>
          <w:rFonts w:asciiTheme="minorHAnsi" w:hAnsiTheme="minorHAnsi" w:cstheme="minorHAnsi"/>
          <w:sz w:val="24"/>
          <w:szCs w:val="24"/>
        </w:rPr>
        <w:t>an expanded hazmat</w:t>
      </w:r>
      <w:r w:rsidRPr="008642EC" w:rsidR="00290832">
        <w:rPr>
          <w:rFonts w:asciiTheme="minorHAnsi" w:hAnsiTheme="minorHAnsi" w:cstheme="minorHAnsi"/>
          <w:sz w:val="24"/>
          <w:szCs w:val="24"/>
        </w:rPr>
        <w:t xml:space="preserve"> supplement, which </w:t>
      </w:r>
      <w:r w:rsidRPr="008642EC" w:rsidR="00782FF7">
        <w:rPr>
          <w:rFonts w:asciiTheme="minorHAnsi" w:hAnsiTheme="minorHAnsi" w:cstheme="minorHAnsi"/>
          <w:sz w:val="24"/>
          <w:szCs w:val="24"/>
        </w:rPr>
        <w:t>t</w:t>
      </w:r>
      <w:r w:rsidRPr="008642EC" w:rsidR="00290832">
        <w:rPr>
          <w:rFonts w:asciiTheme="minorHAnsi" w:hAnsiTheme="minorHAnsi" w:cstheme="minorHAnsi"/>
          <w:sz w:val="24"/>
          <w:szCs w:val="24"/>
        </w:rPr>
        <w:t xml:space="preserve">ook an additional </w:t>
      </w:r>
      <w:r w:rsidRPr="008642EC" w:rsidR="00782FF7">
        <w:rPr>
          <w:rFonts w:asciiTheme="minorHAnsi" w:hAnsiTheme="minorHAnsi" w:cstheme="minorHAnsi"/>
          <w:sz w:val="24"/>
          <w:szCs w:val="24"/>
        </w:rPr>
        <w:t>1 hour to complete.</w:t>
      </w:r>
      <w:r w:rsidRPr="00EC0059" w:rsidR="00EC0059">
        <w:rPr>
          <w:rFonts w:asciiTheme="minorHAnsi" w:hAnsiTheme="minorHAnsi" w:cstheme="minorHAnsi"/>
          <w:sz w:val="24"/>
          <w:szCs w:val="24"/>
        </w:rPr>
        <w:t xml:space="preserve"> </w:t>
      </w:r>
      <w:r w:rsidR="00EC0059">
        <w:rPr>
          <w:rFonts w:asciiTheme="minorHAnsi" w:hAnsiTheme="minorHAnsi" w:cstheme="minorHAnsi"/>
          <w:sz w:val="24"/>
          <w:szCs w:val="24"/>
        </w:rPr>
        <w:t>Based on the removal of the PHMSA supplemental questions (outlined on page 8), an hour of response burden was removed.</w:t>
      </w:r>
      <w:r w:rsidRPr="008642EC" w:rsidR="00782FF7">
        <w:rPr>
          <w:rFonts w:asciiTheme="minorHAnsi" w:hAnsiTheme="minorHAnsi" w:cstheme="minorHAnsi"/>
          <w:sz w:val="24"/>
          <w:szCs w:val="24"/>
        </w:rPr>
        <w:t xml:space="preserve"> Th</w:t>
      </w:r>
      <w:r w:rsidRPr="008642EC" w:rsidR="00290832">
        <w:rPr>
          <w:rFonts w:asciiTheme="minorHAnsi" w:hAnsiTheme="minorHAnsi" w:cstheme="minorHAnsi"/>
          <w:sz w:val="24"/>
          <w:szCs w:val="24"/>
        </w:rPr>
        <w:t>e 2027</w:t>
      </w:r>
      <w:r w:rsidRPr="008642EC" w:rsidR="00782FF7">
        <w:rPr>
          <w:rFonts w:asciiTheme="minorHAnsi" w:hAnsiTheme="minorHAnsi" w:cstheme="minorHAnsi"/>
          <w:sz w:val="24"/>
          <w:szCs w:val="24"/>
        </w:rPr>
        <w:t xml:space="preserve"> estimate is based on previous CFS burden estimates using the questionnaire’s “time to complete” responses. The table below breaks down the burden estimates that contribute to the total annual response burden of </w:t>
      </w:r>
      <w:r w:rsidRPr="008642EC" w:rsidR="005145D1">
        <w:rPr>
          <w:rFonts w:asciiTheme="minorHAnsi" w:hAnsiTheme="minorHAnsi" w:cstheme="minorHAnsi"/>
          <w:sz w:val="24"/>
          <w:szCs w:val="24"/>
        </w:rPr>
        <w:t xml:space="preserve">843,750 </w:t>
      </w:r>
      <w:r w:rsidRPr="008642EC" w:rsidR="00782FF7">
        <w:rPr>
          <w:rFonts w:asciiTheme="minorHAnsi" w:hAnsiTheme="minorHAnsi" w:cstheme="minorHAnsi"/>
          <w:sz w:val="24"/>
          <w:szCs w:val="24"/>
        </w:rPr>
        <w:t>hours. This total annual response burden estimate is</w:t>
      </w:r>
      <w:r w:rsidRPr="008642EC">
        <w:rPr>
          <w:rFonts w:asciiTheme="minorHAnsi" w:hAnsiTheme="minorHAnsi" w:cstheme="minorHAnsi"/>
          <w:sz w:val="24"/>
          <w:szCs w:val="24"/>
        </w:rPr>
        <w:t xml:space="preserve"> </w:t>
      </w:r>
      <w:r w:rsidRPr="008642EC" w:rsidR="000D130F">
        <w:rPr>
          <w:rFonts w:asciiTheme="minorHAnsi" w:hAnsiTheme="minorHAnsi" w:cstheme="minorHAnsi"/>
          <w:sz w:val="24"/>
          <w:szCs w:val="24"/>
        </w:rPr>
        <w:t>slightly more than</w:t>
      </w:r>
      <w:r w:rsidRPr="008642EC" w:rsidR="00782FF7">
        <w:rPr>
          <w:rFonts w:asciiTheme="minorHAnsi" w:hAnsiTheme="minorHAnsi" w:cstheme="minorHAnsi"/>
          <w:sz w:val="24"/>
          <w:szCs w:val="24"/>
        </w:rPr>
        <w:t xml:space="preserve"> the </w:t>
      </w:r>
      <w:r w:rsidRPr="008642EC">
        <w:rPr>
          <w:rFonts w:asciiTheme="minorHAnsi" w:hAnsiTheme="minorHAnsi" w:cstheme="minorHAnsi"/>
          <w:sz w:val="24"/>
          <w:szCs w:val="24"/>
        </w:rPr>
        <w:t>840</w:t>
      </w:r>
      <w:r w:rsidRPr="008642EC" w:rsidR="00782FF7">
        <w:rPr>
          <w:rFonts w:asciiTheme="minorHAnsi" w:hAnsiTheme="minorHAnsi" w:cstheme="minorHAnsi"/>
          <w:sz w:val="24"/>
          <w:szCs w:val="24"/>
        </w:rPr>
        <w:t xml:space="preserve">,000 hours provided in the </w:t>
      </w:r>
      <w:r w:rsidRPr="008642EC" w:rsidR="00782FF7">
        <w:rPr>
          <w:rFonts w:asciiTheme="minorHAnsi" w:hAnsiTheme="minorHAnsi" w:cstheme="minorHAnsi"/>
          <w:sz w:val="24"/>
          <w:szCs w:val="24"/>
        </w:rPr>
        <w:t>presubmission</w:t>
      </w:r>
      <w:r w:rsidRPr="008642EC" w:rsidR="00782FF7">
        <w:rPr>
          <w:rFonts w:asciiTheme="minorHAnsi" w:hAnsiTheme="minorHAnsi" w:cstheme="minorHAnsi"/>
          <w:sz w:val="24"/>
          <w:szCs w:val="24"/>
        </w:rPr>
        <w:t xml:space="preserve"> notice</w:t>
      </w:r>
      <w:r w:rsidRPr="008642EC" w:rsidR="0030064C">
        <w:rPr>
          <w:rFonts w:asciiTheme="minorHAnsi" w:hAnsiTheme="minorHAnsi" w:cstheme="minorHAnsi"/>
          <w:sz w:val="24"/>
          <w:szCs w:val="24"/>
        </w:rPr>
        <w:t xml:space="preserve"> published May 20, 2026</w:t>
      </w:r>
      <w:r w:rsidRPr="008642EC" w:rsidR="00232B8A">
        <w:rPr>
          <w:rFonts w:asciiTheme="minorHAnsi" w:hAnsiTheme="minorHAnsi" w:cstheme="minorHAnsi"/>
          <w:sz w:val="24"/>
          <w:szCs w:val="24"/>
        </w:rPr>
        <w:t>,</w:t>
      </w:r>
      <w:r w:rsidRPr="008642EC" w:rsidR="0030064C">
        <w:rPr>
          <w:rFonts w:asciiTheme="minorHAnsi" w:hAnsiTheme="minorHAnsi" w:cstheme="minorHAnsi"/>
          <w:sz w:val="24"/>
          <w:szCs w:val="24"/>
        </w:rPr>
        <w:t xml:space="preserve"> due to the inclusion of the screener survey</w:t>
      </w:r>
      <w:r w:rsidRPr="008642EC" w:rsidR="009B0351">
        <w:rPr>
          <w:rFonts w:asciiTheme="minorHAnsi" w:hAnsiTheme="minorHAnsi" w:cstheme="minorHAnsi"/>
          <w:sz w:val="24"/>
          <w:szCs w:val="24"/>
        </w:rPr>
        <w:t>.</w:t>
      </w:r>
      <w:r w:rsidRPr="008642EC" w:rsidR="00782FF7">
        <w:rPr>
          <w:rFonts w:asciiTheme="minorHAnsi" w:hAnsiTheme="minorHAnsi" w:cstheme="minorHAnsi"/>
          <w:sz w:val="24"/>
          <w:szCs w:val="24"/>
        </w:rPr>
        <w:t xml:space="preserve"> </w:t>
      </w:r>
    </w:p>
    <w:p w:rsidR="0052702F" w:rsidRPr="008642EC" w:rsidP="0052702F" w14:paraId="16954D9F" w14:textId="77777777">
      <w:pPr>
        <w:spacing w:line="259" w:lineRule="auto"/>
        <w:ind w:left="399" w:right="359" w:firstLine="50"/>
        <w:rPr>
          <w:rFonts w:asciiTheme="minorHAnsi" w:hAnsiTheme="minorHAnsi" w:cstheme="minorHAnsi"/>
          <w:b/>
          <w:color w:val="FF0000"/>
          <w:sz w:val="24"/>
        </w:rPr>
      </w:pPr>
    </w:p>
    <w:p w:rsidR="00782FF7" w:rsidRPr="008642EC" w:rsidP="00EB2F1A" w14:paraId="7E2ED785" w14:textId="205E4CA7">
      <w:pPr>
        <w:spacing w:line="259" w:lineRule="auto"/>
        <w:ind w:left="399" w:right="359"/>
        <w:rPr>
          <w:rFonts w:asciiTheme="minorHAnsi" w:hAnsiTheme="minorHAnsi" w:cstheme="minorHAnsi"/>
          <w:sz w:val="24"/>
          <w:szCs w:val="24"/>
        </w:rPr>
      </w:pPr>
      <w:r w:rsidRPr="008642EC">
        <w:rPr>
          <w:rFonts w:asciiTheme="minorHAnsi" w:hAnsiTheme="minorHAnsi" w:cstheme="minorHAnsi"/>
          <w:sz w:val="24"/>
          <w:szCs w:val="24"/>
        </w:rPr>
        <w:t xml:space="preserve">The estimated total annual response burden provided represents the maximum burden and uses the total sample size, which includes </w:t>
      </w:r>
      <w:r w:rsidRPr="008642EC" w:rsidR="00C257E4">
        <w:rPr>
          <w:rFonts w:asciiTheme="minorHAnsi" w:hAnsiTheme="minorHAnsi" w:cstheme="minorHAnsi"/>
          <w:sz w:val="24"/>
          <w:szCs w:val="24"/>
        </w:rPr>
        <w:t>several</w:t>
      </w:r>
      <w:r w:rsidRPr="008642EC" w:rsidR="00232B8A">
        <w:rPr>
          <w:rFonts w:asciiTheme="minorHAnsi" w:hAnsiTheme="minorHAnsi" w:cstheme="minorHAnsi"/>
          <w:sz w:val="24"/>
          <w:szCs w:val="24"/>
        </w:rPr>
        <w:t xml:space="preserve"> </w:t>
      </w:r>
      <w:r w:rsidRPr="008642EC">
        <w:rPr>
          <w:rFonts w:asciiTheme="minorHAnsi" w:hAnsiTheme="minorHAnsi" w:cstheme="minorHAnsi"/>
          <w:sz w:val="24"/>
          <w:szCs w:val="24"/>
        </w:rPr>
        <w:t>non-shippers that are out of scope to the CFS</w:t>
      </w:r>
      <w:r w:rsidRPr="008642EC" w:rsidR="00232B8A">
        <w:rPr>
          <w:rFonts w:asciiTheme="minorHAnsi" w:hAnsiTheme="minorHAnsi" w:cstheme="minorHAnsi"/>
          <w:sz w:val="24"/>
          <w:szCs w:val="24"/>
        </w:rPr>
        <w:t>, but for which we don’t have sufficient information to remove from the sample prior to collection</w:t>
      </w:r>
      <w:r w:rsidRPr="008642EC">
        <w:rPr>
          <w:rFonts w:asciiTheme="minorHAnsi" w:hAnsiTheme="minorHAnsi" w:cstheme="minorHAnsi"/>
          <w:sz w:val="24"/>
          <w:szCs w:val="24"/>
        </w:rPr>
        <w:t xml:space="preserve">. </w:t>
      </w:r>
    </w:p>
    <w:p w:rsidR="00232B8A" w:rsidP="00EB2F1A" w14:paraId="4E58C3C2" w14:textId="77777777">
      <w:pPr>
        <w:spacing w:line="259" w:lineRule="auto"/>
        <w:ind w:left="399" w:right="359"/>
        <w:rPr>
          <w:sz w:val="24"/>
          <w:szCs w:val="24"/>
        </w:rPr>
      </w:pPr>
    </w:p>
    <w:p w:rsidR="00EB2F1A" w:rsidP="00EB2F1A" w14:paraId="146E7DD2" w14:textId="77777777">
      <w:pPr>
        <w:spacing w:line="259" w:lineRule="auto"/>
        <w:ind w:left="399" w:right="359"/>
        <w:rPr>
          <w:sz w:val="24"/>
          <w:szCs w:val="24"/>
        </w:rPr>
      </w:pPr>
    </w:p>
    <w:tbl>
      <w:tblPr>
        <w:tblW w:w="9727" w:type="dxa"/>
        <w:tblInd w:w="3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351"/>
        <w:gridCol w:w="1800"/>
        <w:gridCol w:w="1620"/>
        <w:gridCol w:w="1626"/>
        <w:gridCol w:w="1697"/>
        <w:gridCol w:w="1633"/>
      </w:tblGrid>
      <w:tr w14:paraId="1F212B72" w14:textId="77777777" w:rsidTr="008642EC">
        <w:tblPrEx>
          <w:tblW w:w="9727" w:type="dxa"/>
          <w:tblInd w:w="3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cantSplit/>
          <w:trHeight w:val="1074"/>
        </w:trPr>
        <w:tc>
          <w:tcPr>
            <w:tcW w:w="1351" w:type="dxa"/>
            <w:shd w:val="clear" w:color="auto" w:fill="BDD7EE"/>
          </w:tcPr>
          <w:p w:rsidR="003E75E8" w:rsidRPr="00124446" w14:paraId="232D1CDB" w14:textId="77777777">
            <w:pPr>
              <w:pStyle w:val="TableParagraph"/>
              <w:spacing w:before="133"/>
              <w:ind w:left="124" w:right="104"/>
              <w:jc w:val="center"/>
              <w:rPr>
                <w:rFonts w:ascii="Calibri" w:hAnsi="Calibri" w:cs="Calibri"/>
                <w:b/>
              </w:rPr>
            </w:pPr>
            <w:r w:rsidRPr="00124446">
              <w:rPr>
                <w:rFonts w:ascii="Calibri" w:hAnsi="Calibri" w:cs="Calibri"/>
                <w:b/>
              </w:rPr>
              <w:t>Information Collection Instrument</w:t>
            </w:r>
          </w:p>
        </w:tc>
        <w:tc>
          <w:tcPr>
            <w:tcW w:w="1800" w:type="dxa"/>
            <w:shd w:val="clear" w:color="auto" w:fill="BDD7EE"/>
          </w:tcPr>
          <w:p w:rsidR="003E75E8" w:rsidRPr="00124446" w14:paraId="11EFD872" w14:textId="77777777">
            <w:pPr>
              <w:pStyle w:val="TableParagraph"/>
              <w:spacing w:before="133"/>
              <w:ind w:left="122" w:right="109" w:hanging="1"/>
              <w:jc w:val="center"/>
              <w:rPr>
                <w:rFonts w:ascii="Calibri" w:hAnsi="Calibri" w:cs="Calibri"/>
                <w:b/>
              </w:rPr>
            </w:pPr>
            <w:r w:rsidRPr="00124446">
              <w:rPr>
                <w:rFonts w:ascii="Calibri" w:hAnsi="Calibri" w:cs="Calibri"/>
                <w:b/>
              </w:rPr>
              <w:t xml:space="preserve"># </w:t>
            </w:r>
            <w:r w:rsidRPr="00124446">
              <w:rPr>
                <w:rFonts w:ascii="Calibri" w:hAnsi="Calibri" w:cs="Calibri"/>
                <w:b/>
              </w:rPr>
              <w:t>of  Respondents</w:t>
            </w:r>
            <w:r w:rsidRPr="00124446">
              <w:rPr>
                <w:rFonts w:ascii="Calibri" w:hAnsi="Calibri" w:cs="Calibri"/>
                <w:b/>
              </w:rPr>
              <w:t xml:space="preserve"> (a)</w:t>
            </w:r>
          </w:p>
        </w:tc>
        <w:tc>
          <w:tcPr>
            <w:tcW w:w="1620" w:type="dxa"/>
            <w:shd w:val="clear" w:color="auto" w:fill="BDD7EE"/>
          </w:tcPr>
          <w:p w:rsidR="003E75E8" w:rsidRPr="00124446" w14:paraId="394F4A42" w14:textId="77777777">
            <w:pPr>
              <w:pStyle w:val="TableParagraph"/>
              <w:ind w:left="256" w:right="242" w:firstLine="26"/>
              <w:jc w:val="both"/>
              <w:rPr>
                <w:rFonts w:ascii="Calibri" w:hAnsi="Calibri" w:cs="Calibri"/>
                <w:b/>
              </w:rPr>
            </w:pPr>
            <w:r w:rsidRPr="00124446">
              <w:rPr>
                <w:rFonts w:ascii="Calibri" w:hAnsi="Calibri" w:cs="Calibri"/>
                <w:b/>
              </w:rPr>
              <w:t xml:space="preserve">Annual </w:t>
            </w:r>
            <w:r w:rsidRPr="00124446">
              <w:rPr>
                <w:rFonts w:ascii="Calibri" w:hAnsi="Calibri" w:cs="Calibri"/>
                <w:b/>
              </w:rPr>
              <w:t># of Responses</w:t>
            </w:r>
            <w:r w:rsidRPr="00124446">
              <w:rPr>
                <w:rFonts w:ascii="Calibri" w:hAnsi="Calibri" w:cs="Calibri"/>
                <w:b/>
              </w:rPr>
              <w:t>/ Respondent</w:t>
            </w:r>
          </w:p>
          <w:p w:rsidR="003E75E8" w:rsidRPr="00124446" w14:paraId="31E08C56" w14:textId="77777777">
            <w:pPr>
              <w:pStyle w:val="TableParagraph"/>
              <w:spacing w:line="249" w:lineRule="exact"/>
              <w:ind w:left="658" w:right="645"/>
              <w:jc w:val="center"/>
              <w:rPr>
                <w:rFonts w:ascii="Calibri" w:hAnsi="Calibri" w:cs="Calibri"/>
                <w:b/>
              </w:rPr>
            </w:pPr>
            <w:r w:rsidRPr="00124446">
              <w:rPr>
                <w:rFonts w:ascii="Calibri" w:hAnsi="Calibri" w:cs="Calibri"/>
                <w:b/>
              </w:rPr>
              <w:t>(b)</w:t>
            </w:r>
          </w:p>
        </w:tc>
        <w:tc>
          <w:tcPr>
            <w:tcW w:w="1626" w:type="dxa"/>
            <w:shd w:val="clear" w:color="auto" w:fill="BDD7EE"/>
          </w:tcPr>
          <w:p w:rsidR="003E75E8" w:rsidRPr="00124446" w14:paraId="0E74883A" w14:textId="77777777">
            <w:pPr>
              <w:pStyle w:val="TableParagraph"/>
              <w:ind w:left="234" w:right="218" w:firstLine="48"/>
              <w:jc w:val="center"/>
              <w:rPr>
                <w:rFonts w:ascii="Calibri" w:hAnsi="Calibri" w:cs="Calibri"/>
                <w:b/>
              </w:rPr>
            </w:pPr>
            <w:r w:rsidRPr="00124446">
              <w:rPr>
                <w:rFonts w:ascii="Calibri" w:hAnsi="Calibri" w:cs="Calibri"/>
                <w:b/>
              </w:rPr>
              <w:t>Total # of Annual Responses</w:t>
            </w:r>
          </w:p>
          <w:p w:rsidR="003E75E8" w:rsidRPr="00124446" w14:paraId="279AC967" w14:textId="77777777">
            <w:pPr>
              <w:pStyle w:val="TableParagraph"/>
              <w:spacing w:line="249" w:lineRule="exact"/>
              <w:ind w:left="146"/>
              <w:rPr>
                <w:rFonts w:ascii="Calibri" w:hAnsi="Calibri" w:cs="Calibri"/>
                <w:b/>
              </w:rPr>
            </w:pPr>
            <w:r w:rsidRPr="00124446">
              <w:rPr>
                <w:rFonts w:ascii="Calibri" w:hAnsi="Calibri" w:cs="Calibri"/>
                <w:b/>
              </w:rPr>
              <w:t>(c) = (a) x (b)</w:t>
            </w:r>
          </w:p>
        </w:tc>
        <w:tc>
          <w:tcPr>
            <w:tcW w:w="1697" w:type="dxa"/>
            <w:shd w:val="clear" w:color="auto" w:fill="BDD7EE"/>
          </w:tcPr>
          <w:p w:rsidR="003E75E8" w:rsidRPr="00124446" w14:paraId="782D2DF6" w14:textId="77777777">
            <w:pPr>
              <w:pStyle w:val="TableParagraph"/>
              <w:spacing w:before="133"/>
              <w:ind w:left="170" w:right="155"/>
              <w:jc w:val="center"/>
              <w:rPr>
                <w:rFonts w:ascii="Calibri" w:hAnsi="Calibri" w:cs="Calibri"/>
                <w:b/>
              </w:rPr>
            </w:pPr>
            <w:r w:rsidRPr="00124446">
              <w:rPr>
                <w:rFonts w:ascii="Calibri" w:hAnsi="Calibri" w:cs="Calibri"/>
                <w:b/>
              </w:rPr>
              <w:t>Burden Hours/ Response (d)</w:t>
            </w:r>
          </w:p>
        </w:tc>
        <w:tc>
          <w:tcPr>
            <w:tcW w:w="1633" w:type="dxa"/>
            <w:shd w:val="clear" w:color="auto" w:fill="BDD7EE"/>
          </w:tcPr>
          <w:p w:rsidR="003E75E8" w:rsidRPr="00124446" w14:paraId="78492362" w14:textId="77777777">
            <w:pPr>
              <w:pStyle w:val="TableParagraph"/>
              <w:ind w:left="134" w:right="115"/>
              <w:jc w:val="center"/>
              <w:rPr>
                <w:rFonts w:ascii="Calibri" w:hAnsi="Calibri" w:cs="Calibri"/>
                <w:b/>
              </w:rPr>
            </w:pPr>
            <w:r w:rsidRPr="00124446">
              <w:rPr>
                <w:rFonts w:ascii="Calibri" w:hAnsi="Calibri" w:cs="Calibri"/>
                <w:b/>
              </w:rPr>
              <w:t>Total Annual Burden Hours</w:t>
            </w:r>
          </w:p>
          <w:p w:rsidR="003E75E8" w:rsidRPr="00124446" w14:paraId="28DF71E5" w14:textId="77777777">
            <w:pPr>
              <w:pStyle w:val="TableParagraph"/>
              <w:spacing w:line="249" w:lineRule="exact"/>
              <w:ind w:left="148"/>
              <w:rPr>
                <w:rFonts w:ascii="Calibri" w:hAnsi="Calibri" w:cs="Calibri"/>
                <w:b/>
              </w:rPr>
            </w:pPr>
            <w:r w:rsidRPr="00124446">
              <w:rPr>
                <w:rFonts w:ascii="Calibri" w:hAnsi="Calibri" w:cs="Calibri"/>
                <w:b/>
              </w:rPr>
              <w:t>(e) = (c) x (d)</w:t>
            </w:r>
          </w:p>
        </w:tc>
      </w:tr>
      <w:tr w14:paraId="2338D244" w14:textId="77777777" w:rsidTr="008642EC">
        <w:tblPrEx>
          <w:tblW w:w="9727" w:type="dxa"/>
          <w:tblInd w:w="319" w:type="dxa"/>
          <w:tblLayout w:type="fixed"/>
          <w:tblCellMar>
            <w:left w:w="0" w:type="dxa"/>
            <w:right w:w="0" w:type="dxa"/>
          </w:tblCellMar>
          <w:tblLook w:val="01E0"/>
        </w:tblPrEx>
        <w:trPr>
          <w:cantSplit/>
          <w:trHeight w:val="289"/>
        </w:trPr>
        <w:tc>
          <w:tcPr>
            <w:tcW w:w="1351" w:type="dxa"/>
            <w:tcBorders>
              <w:bottom w:val="single" w:sz="4" w:space="0" w:color="000000"/>
              <w:right w:val="single" w:sz="4" w:space="0" w:color="000000"/>
            </w:tcBorders>
          </w:tcPr>
          <w:p w:rsidR="00523C74" w:rsidP="00523C74" w14:paraId="623E0CF3" w14:textId="031CD173">
            <w:pPr>
              <w:pStyle w:val="TableParagraph"/>
              <w:spacing w:line="267" w:lineRule="exact"/>
              <w:rPr>
                <w:rFonts w:ascii="Calibri" w:hAnsi="Calibri" w:cs="Calibri"/>
              </w:rPr>
            </w:pPr>
            <w:r>
              <w:rPr>
                <w:rFonts w:ascii="Calibri" w:hAnsi="Calibri" w:cs="Calibri"/>
              </w:rPr>
              <w:t xml:space="preserve">     Quarter 0</w:t>
            </w:r>
          </w:p>
        </w:tc>
        <w:tc>
          <w:tcPr>
            <w:tcW w:w="1800" w:type="dxa"/>
            <w:tcBorders>
              <w:left w:val="single" w:sz="4" w:space="0" w:color="000000"/>
              <w:bottom w:val="single" w:sz="4" w:space="0" w:color="000000"/>
              <w:right w:val="single" w:sz="4" w:space="0" w:color="000000"/>
            </w:tcBorders>
          </w:tcPr>
          <w:p w:rsidR="00523C74" w:rsidP="00523C74" w14:paraId="0183C330" w14:textId="682C2FEF">
            <w:pPr>
              <w:pStyle w:val="TableParagraph"/>
              <w:spacing w:line="267" w:lineRule="exact"/>
              <w:ind w:left="449" w:right="435"/>
              <w:jc w:val="center"/>
              <w:rPr>
                <w:rFonts w:ascii="Calibri" w:hAnsi="Calibri" w:cs="Calibri"/>
              </w:rPr>
            </w:pPr>
            <w:r>
              <w:rPr>
                <w:rFonts w:ascii="Calibri" w:hAnsi="Calibri" w:cs="Calibri"/>
              </w:rPr>
              <w:t>45,000</w:t>
            </w:r>
          </w:p>
        </w:tc>
        <w:tc>
          <w:tcPr>
            <w:tcW w:w="1620" w:type="dxa"/>
            <w:tcBorders>
              <w:left w:val="single" w:sz="4" w:space="0" w:color="000000"/>
              <w:bottom w:val="single" w:sz="4" w:space="0" w:color="000000"/>
              <w:right w:val="single" w:sz="4" w:space="0" w:color="000000"/>
            </w:tcBorders>
          </w:tcPr>
          <w:p w:rsidR="00523C74" w:rsidRPr="00124446" w:rsidP="00523C74" w14:paraId="36E3B40C" w14:textId="3389BE7D">
            <w:pPr>
              <w:pStyle w:val="TableParagraph"/>
              <w:spacing w:line="267" w:lineRule="exact"/>
              <w:ind w:left="756"/>
              <w:rPr>
                <w:rFonts w:ascii="Calibri" w:hAnsi="Calibri" w:cs="Calibri"/>
              </w:rPr>
            </w:pPr>
            <w:r w:rsidRPr="00124446">
              <w:rPr>
                <w:rFonts w:ascii="Calibri" w:hAnsi="Calibri" w:cs="Calibri"/>
              </w:rPr>
              <w:t>1</w:t>
            </w:r>
          </w:p>
        </w:tc>
        <w:tc>
          <w:tcPr>
            <w:tcW w:w="1626" w:type="dxa"/>
            <w:tcBorders>
              <w:left w:val="single" w:sz="4" w:space="0" w:color="000000"/>
              <w:bottom w:val="single" w:sz="4" w:space="0" w:color="000000"/>
              <w:right w:val="single" w:sz="4" w:space="0" w:color="000000"/>
            </w:tcBorders>
          </w:tcPr>
          <w:p w:rsidR="00523C74" w:rsidP="00523C74" w14:paraId="587EFF42" w14:textId="25F53EDA">
            <w:pPr>
              <w:pStyle w:val="TableParagraph"/>
              <w:spacing w:line="267" w:lineRule="exact"/>
              <w:ind w:left="449" w:right="435"/>
              <w:jc w:val="center"/>
              <w:rPr>
                <w:rFonts w:ascii="Calibri" w:hAnsi="Calibri" w:cs="Calibri"/>
              </w:rPr>
            </w:pPr>
            <w:r>
              <w:rPr>
                <w:rFonts w:ascii="Calibri" w:hAnsi="Calibri" w:cs="Calibri"/>
              </w:rPr>
              <w:t>45,000</w:t>
            </w:r>
          </w:p>
        </w:tc>
        <w:tc>
          <w:tcPr>
            <w:tcW w:w="1697" w:type="dxa"/>
            <w:tcBorders>
              <w:left w:val="single" w:sz="4" w:space="0" w:color="000000"/>
              <w:bottom w:val="single" w:sz="4" w:space="0" w:color="000000"/>
              <w:right w:val="single" w:sz="4" w:space="0" w:color="000000"/>
            </w:tcBorders>
          </w:tcPr>
          <w:p w:rsidR="00523C74" w:rsidP="00523C74" w14:paraId="1B13768C" w14:textId="4D46A971">
            <w:pPr>
              <w:pStyle w:val="TableParagraph"/>
              <w:spacing w:line="267" w:lineRule="exact"/>
              <w:ind w:right="521"/>
              <w:rPr>
                <w:rFonts w:ascii="Calibri" w:hAnsi="Calibri" w:cs="Calibri"/>
              </w:rPr>
            </w:pPr>
            <w:r>
              <w:rPr>
                <w:rFonts w:ascii="Calibri" w:hAnsi="Calibri" w:cs="Calibri"/>
              </w:rPr>
              <w:t xml:space="preserve">        </w:t>
            </w:r>
            <w:r w:rsidR="005145D1">
              <w:rPr>
                <w:rFonts w:ascii="Calibri" w:hAnsi="Calibri" w:cs="Calibri"/>
              </w:rPr>
              <w:t xml:space="preserve">  </w:t>
            </w:r>
            <w:r>
              <w:rPr>
                <w:rFonts w:ascii="Calibri" w:hAnsi="Calibri" w:cs="Calibri"/>
              </w:rPr>
              <w:t xml:space="preserve"> </w:t>
            </w:r>
            <w:r w:rsidR="005145D1">
              <w:rPr>
                <w:rFonts w:ascii="Calibri" w:hAnsi="Calibri" w:cs="Calibri"/>
              </w:rPr>
              <w:t>5 min</w:t>
            </w:r>
          </w:p>
        </w:tc>
        <w:tc>
          <w:tcPr>
            <w:tcW w:w="1633" w:type="dxa"/>
            <w:tcBorders>
              <w:left w:val="single" w:sz="4" w:space="0" w:color="000000"/>
              <w:bottom w:val="single" w:sz="4" w:space="0" w:color="000000"/>
              <w:right w:val="single" w:sz="4" w:space="0" w:color="000000"/>
            </w:tcBorders>
          </w:tcPr>
          <w:p w:rsidR="00523C74" w:rsidP="00523C74" w14:paraId="54B79E18" w14:textId="47C350AE">
            <w:pPr>
              <w:pStyle w:val="TableParagraph"/>
              <w:spacing w:line="267" w:lineRule="exact"/>
              <w:ind w:left="449" w:right="433"/>
              <w:jc w:val="center"/>
              <w:rPr>
                <w:rFonts w:ascii="Calibri" w:hAnsi="Calibri" w:cs="Calibri"/>
              </w:rPr>
            </w:pPr>
            <w:r>
              <w:rPr>
                <w:rFonts w:ascii="Calibri" w:hAnsi="Calibri" w:cs="Calibri"/>
              </w:rPr>
              <w:t>3,</w:t>
            </w:r>
            <w:r w:rsidR="005145D1">
              <w:rPr>
                <w:rFonts w:ascii="Calibri" w:hAnsi="Calibri" w:cs="Calibri"/>
              </w:rPr>
              <w:t>750</w:t>
            </w:r>
          </w:p>
        </w:tc>
      </w:tr>
      <w:tr w14:paraId="7F06F36B" w14:textId="77777777" w:rsidTr="008642EC">
        <w:tblPrEx>
          <w:tblW w:w="9727" w:type="dxa"/>
          <w:tblInd w:w="319" w:type="dxa"/>
          <w:tblLayout w:type="fixed"/>
          <w:tblCellMar>
            <w:left w:w="0" w:type="dxa"/>
            <w:right w:w="0" w:type="dxa"/>
          </w:tblCellMar>
          <w:tblLook w:val="01E0"/>
        </w:tblPrEx>
        <w:trPr>
          <w:cantSplit/>
          <w:trHeight w:val="289"/>
        </w:trPr>
        <w:tc>
          <w:tcPr>
            <w:tcW w:w="1351" w:type="dxa"/>
            <w:tcBorders>
              <w:bottom w:val="single" w:sz="4" w:space="0" w:color="000000"/>
              <w:right w:val="single" w:sz="4" w:space="0" w:color="000000"/>
            </w:tcBorders>
          </w:tcPr>
          <w:p w:rsidR="00523C74" w:rsidRPr="00124446" w:rsidP="00523C74" w14:paraId="568C724E" w14:textId="326C4167">
            <w:pPr>
              <w:pStyle w:val="TableParagraph"/>
              <w:spacing w:line="267" w:lineRule="exact"/>
              <w:rPr>
                <w:rFonts w:ascii="Calibri" w:hAnsi="Calibri" w:cs="Calibri"/>
              </w:rPr>
            </w:pPr>
            <w:r>
              <w:rPr>
                <w:rFonts w:ascii="Calibri" w:hAnsi="Calibri" w:cs="Calibri"/>
              </w:rPr>
              <w:t xml:space="preserve">     Quarter 1</w:t>
            </w:r>
          </w:p>
        </w:tc>
        <w:tc>
          <w:tcPr>
            <w:tcW w:w="1800" w:type="dxa"/>
            <w:tcBorders>
              <w:left w:val="single" w:sz="4" w:space="0" w:color="000000"/>
              <w:bottom w:val="single" w:sz="4" w:space="0" w:color="000000"/>
              <w:right w:val="single" w:sz="4" w:space="0" w:color="000000"/>
            </w:tcBorders>
          </w:tcPr>
          <w:p w:rsidR="00523C74" w:rsidRPr="00124446" w:rsidP="00523C74" w14:paraId="4A1CF1B1" w14:textId="1E7FF2E2">
            <w:pPr>
              <w:pStyle w:val="TableParagraph"/>
              <w:spacing w:line="267" w:lineRule="exact"/>
              <w:ind w:left="449" w:right="435"/>
              <w:jc w:val="center"/>
              <w:rPr>
                <w:rFonts w:ascii="Calibri" w:hAnsi="Calibri" w:cs="Calibri"/>
              </w:rPr>
            </w:pPr>
            <w:r>
              <w:rPr>
                <w:rFonts w:ascii="Calibri" w:hAnsi="Calibri" w:cs="Calibri"/>
              </w:rPr>
              <w:t>140,000</w:t>
            </w:r>
          </w:p>
        </w:tc>
        <w:tc>
          <w:tcPr>
            <w:tcW w:w="1620" w:type="dxa"/>
            <w:tcBorders>
              <w:left w:val="single" w:sz="4" w:space="0" w:color="000000"/>
              <w:bottom w:val="single" w:sz="4" w:space="0" w:color="000000"/>
              <w:right w:val="single" w:sz="4" w:space="0" w:color="000000"/>
            </w:tcBorders>
          </w:tcPr>
          <w:p w:rsidR="00523C74" w:rsidRPr="00124446" w:rsidP="00523C74" w14:paraId="5370EF3D" w14:textId="77777777">
            <w:pPr>
              <w:pStyle w:val="TableParagraph"/>
              <w:spacing w:line="267" w:lineRule="exact"/>
              <w:ind w:left="756"/>
              <w:rPr>
                <w:rFonts w:ascii="Calibri" w:hAnsi="Calibri" w:cs="Calibri"/>
              </w:rPr>
            </w:pPr>
            <w:r w:rsidRPr="00124446">
              <w:rPr>
                <w:rFonts w:ascii="Calibri" w:hAnsi="Calibri" w:cs="Calibri"/>
              </w:rPr>
              <w:t>1</w:t>
            </w:r>
          </w:p>
        </w:tc>
        <w:tc>
          <w:tcPr>
            <w:tcW w:w="1626" w:type="dxa"/>
            <w:tcBorders>
              <w:left w:val="single" w:sz="4" w:space="0" w:color="000000"/>
              <w:bottom w:val="single" w:sz="4" w:space="0" w:color="000000"/>
              <w:right w:val="single" w:sz="4" w:space="0" w:color="000000"/>
            </w:tcBorders>
          </w:tcPr>
          <w:p w:rsidR="00523C74" w:rsidRPr="00124446" w:rsidP="00523C74" w14:paraId="2E96CC21" w14:textId="33342B15">
            <w:pPr>
              <w:pStyle w:val="TableParagraph"/>
              <w:spacing w:line="267" w:lineRule="exact"/>
              <w:ind w:left="449" w:right="435"/>
              <w:jc w:val="center"/>
              <w:rPr>
                <w:rFonts w:ascii="Calibri" w:hAnsi="Calibri" w:cs="Calibri"/>
              </w:rPr>
            </w:pPr>
            <w:r>
              <w:rPr>
                <w:rFonts w:ascii="Calibri" w:hAnsi="Calibri" w:cs="Calibri"/>
              </w:rPr>
              <w:t>140,000</w:t>
            </w:r>
          </w:p>
        </w:tc>
        <w:tc>
          <w:tcPr>
            <w:tcW w:w="1697" w:type="dxa"/>
            <w:tcBorders>
              <w:left w:val="single" w:sz="4" w:space="0" w:color="000000"/>
              <w:bottom w:val="single" w:sz="4" w:space="0" w:color="000000"/>
              <w:right w:val="single" w:sz="4" w:space="0" w:color="000000"/>
            </w:tcBorders>
          </w:tcPr>
          <w:p w:rsidR="00523C74" w:rsidRPr="00124446" w:rsidP="00523C74" w14:paraId="6A21E713" w14:textId="09F2E9E8">
            <w:pPr>
              <w:pStyle w:val="TableParagraph"/>
              <w:spacing w:line="267" w:lineRule="exact"/>
              <w:ind w:left="538" w:right="521"/>
              <w:jc w:val="center"/>
              <w:rPr>
                <w:rFonts w:ascii="Calibri" w:hAnsi="Calibri" w:cs="Calibri"/>
              </w:rPr>
            </w:pPr>
            <w:r>
              <w:rPr>
                <w:rFonts w:ascii="Calibri" w:hAnsi="Calibri" w:cs="Calibri"/>
              </w:rPr>
              <w:t xml:space="preserve">1.5 </w:t>
            </w:r>
            <w:r>
              <w:rPr>
                <w:rFonts w:ascii="Calibri" w:hAnsi="Calibri" w:cs="Calibri"/>
              </w:rPr>
              <w:t>hrs</w:t>
            </w:r>
          </w:p>
        </w:tc>
        <w:tc>
          <w:tcPr>
            <w:tcW w:w="1633" w:type="dxa"/>
            <w:tcBorders>
              <w:left w:val="single" w:sz="4" w:space="0" w:color="000000"/>
              <w:bottom w:val="single" w:sz="4" w:space="0" w:color="000000"/>
              <w:right w:val="single" w:sz="4" w:space="0" w:color="000000"/>
            </w:tcBorders>
          </w:tcPr>
          <w:p w:rsidR="00523C74" w:rsidRPr="00124446" w:rsidP="00523C74" w14:paraId="31AAC2FB" w14:textId="1B734222">
            <w:pPr>
              <w:pStyle w:val="TableParagraph"/>
              <w:spacing w:line="267" w:lineRule="exact"/>
              <w:ind w:left="449" w:right="433"/>
              <w:jc w:val="center"/>
              <w:rPr>
                <w:rFonts w:ascii="Calibri" w:hAnsi="Calibri" w:cs="Calibri"/>
              </w:rPr>
            </w:pPr>
            <w:r>
              <w:rPr>
                <w:rFonts w:ascii="Calibri" w:hAnsi="Calibri" w:cs="Calibri"/>
              </w:rPr>
              <w:t>210,000</w:t>
            </w:r>
          </w:p>
        </w:tc>
      </w:tr>
      <w:tr w14:paraId="40E631A5" w14:textId="77777777" w:rsidTr="008642EC">
        <w:tblPrEx>
          <w:tblW w:w="9727" w:type="dxa"/>
          <w:tblInd w:w="319" w:type="dxa"/>
          <w:tblLayout w:type="fixed"/>
          <w:tblCellMar>
            <w:left w:w="0" w:type="dxa"/>
            <w:right w:w="0" w:type="dxa"/>
          </w:tblCellMar>
          <w:tblLook w:val="01E0"/>
        </w:tblPrEx>
        <w:trPr>
          <w:cantSplit/>
          <w:trHeight w:val="290"/>
        </w:trPr>
        <w:tc>
          <w:tcPr>
            <w:tcW w:w="1351" w:type="dxa"/>
            <w:tcBorders>
              <w:top w:val="single" w:sz="4" w:space="0" w:color="000000"/>
              <w:bottom w:val="single" w:sz="4" w:space="0" w:color="000000"/>
              <w:right w:val="single" w:sz="4" w:space="0" w:color="000000"/>
            </w:tcBorders>
          </w:tcPr>
          <w:p w:rsidR="00523C74" w:rsidRPr="00124446" w:rsidP="00523C74" w14:paraId="48B540B7" w14:textId="4AFAAA4F">
            <w:pPr>
              <w:pStyle w:val="TableParagraph"/>
              <w:spacing w:line="268" w:lineRule="exact"/>
              <w:ind w:left="12"/>
              <w:jc w:val="center"/>
              <w:rPr>
                <w:rFonts w:ascii="Calibri" w:hAnsi="Calibri" w:cs="Calibri"/>
              </w:rPr>
            </w:pPr>
            <w:r>
              <w:rPr>
                <w:rFonts w:ascii="Calibri" w:hAnsi="Calibri" w:cs="Calibri"/>
              </w:rPr>
              <w:t>Quarter 2</w:t>
            </w:r>
          </w:p>
        </w:tc>
        <w:tc>
          <w:tcPr>
            <w:tcW w:w="1800" w:type="dxa"/>
            <w:tcBorders>
              <w:top w:val="single" w:sz="4" w:space="0" w:color="000000"/>
              <w:left w:val="single" w:sz="4" w:space="0" w:color="000000"/>
              <w:bottom w:val="single" w:sz="4" w:space="0" w:color="000000"/>
              <w:right w:val="single" w:sz="4" w:space="0" w:color="000000"/>
            </w:tcBorders>
          </w:tcPr>
          <w:p w:rsidR="00523C74" w:rsidRPr="00124446" w:rsidP="00523C74" w14:paraId="171E66F3" w14:textId="5B60FF3D">
            <w:pPr>
              <w:pStyle w:val="TableParagraph"/>
              <w:spacing w:line="268" w:lineRule="exact"/>
              <w:ind w:left="449" w:right="435"/>
              <w:jc w:val="center"/>
              <w:rPr>
                <w:rFonts w:ascii="Calibri" w:hAnsi="Calibri" w:cs="Calibri"/>
              </w:rPr>
            </w:pPr>
            <w:r>
              <w:rPr>
                <w:rFonts w:ascii="Calibri" w:hAnsi="Calibri" w:cs="Calibri"/>
              </w:rPr>
              <w:t>140,000</w:t>
            </w:r>
          </w:p>
        </w:tc>
        <w:tc>
          <w:tcPr>
            <w:tcW w:w="1620" w:type="dxa"/>
            <w:tcBorders>
              <w:top w:val="single" w:sz="4" w:space="0" w:color="000000"/>
              <w:left w:val="single" w:sz="4" w:space="0" w:color="000000"/>
              <w:bottom w:val="single" w:sz="4" w:space="0" w:color="000000"/>
              <w:right w:val="single" w:sz="4" w:space="0" w:color="000000"/>
            </w:tcBorders>
          </w:tcPr>
          <w:p w:rsidR="00523C74" w:rsidRPr="00124446" w:rsidP="00523C74" w14:paraId="04603E57" w14:textId="77777777">
            <w:pPr>
              <w:pStyle w:val="TableParagraph"/>
              <w:spacing w:line="268" w:lineRule="exact"/>
              <w:ind w:left="756"/>
              <w:rPr>
                <w:rFonts w:ascii="Calibri" w:hAnsi="Calibri" w:cs="Calibri"/>
              </w:rPr>
            </w:pPr>
            <w:r w:rsidRPr="00124446">
              <w:rPr>
                <w:rFonts w:ascii="Calibri" w:hAnsi="Calibri" w:cs="Calibri"/>
              </w:rPr>
              <w:t>1</w:t>
            </w:r>
          </w:p>
        </w:tc>
        <w:tc>
          <w:tcPr>
            <w:tcW w:w="1626" w:type="dxa"/>
            <w:tcBorders>
              <w:top w:val="single" w:sz="4" w:space="0" w:color="000000"/>
              <w:left w:val="single" w:sz="4" w:space="0" w:color="000000"/>
              <w:bottom w:val="single" w:sz="4" w:space="0" w:color="000000"/>
              <w:right w:val="single" w:sz="4" w:space="0" w:color="000000"/>
            </w:tcBorders>
          </w:tcPr>
          <w:p w:rsidR="00523C74" w:rsidRPr="00124446" w:rsidP="00523C74" w14:paraId="7B443CB6" w14:textId="12EDA339">
            <w:pPr>
              <w:pStyle w:val="TableParagraph"/>
              <w:spacing w:line="268" w:lineRule="exact"/>
              <w:ind w:left="449" w:right="435"/>
              <w:jc w:val="center"/>
              <w:rPr>
                <w:rFonts w:ascii="Calibri" w:hAnsi="Calibri" w:cs="Calibri"/>
              </w:rPr>
            </w:pPr>
            <w:r>
              <w:rPr>
                <w:rFonts w:ascii="Calibri" w:hAnsi="Calibri" w:cs="Calibri"/>
              </w:rPr>
              <w:t>140,000</w:t>
            </w:r>
          </w:p>
        </w:tc>
        <w:tc>
          <w:tcPr>
            <w:tcW w:w="1697" w:type="dxa"/>
            <w:tcBorders>
              <w:top w:val="single" w:sz="4" w:space="0" w:color="000000"/>
              <w:left w:val="single" w:sz="4" w:space="0" w:color="000000"/>
              <w:bottom w:val="single" w:sz="4" w:space="0" w:color="000000"/>
              <w:right w:val="single" w:sz="4" w:space="0" w:color="000000"/>
            </w:tcBorders>
          </w:tcPr>
          <w:p w:rsidR="00523C74" w:rsidRPr="00124446" w:rsidP="00523C74" w14:paraId="03D9F94C" w14:textId="272216BB">
            <w:pPr>
              <w:pStyle w:val="TableParagraph"/>
              <w:spacing w:line="268" w:lineRule="exact"/>
              <w:ind w:left="538" w:right="521"/>
              <w:jc w:val="center"/>
              <w:rPr>
                <w:rFonts w:ascii="Calibri" w:hAnsi="Calibri" w:cs="Calibri"/>
              </w:rPr>
            </w:pPr>
            <w:r>
              <w:rPr>
                <w:rFonts w:ascii="Calibri" w:hAnsi="Calibri" w:cs="Calibri"/>
              </w:rPr>
              <w:t xml:space="preserve">1.5 </w:t>
            </w:r>
            <w:r>
              <w:rPr>
                <w:rFonts w:ascii="Calibri" w:hAnsi="Calibri" w:cs="Calibri"/>
              </w:rPr>
              <w:t>hrs</w:t>
            </w:r>
          </w:p>
        </w:tc>
        <w:tc>
          <w:tcPr>
            <w:tcW w:w="1633" w:type="dxa"/>
            <w:tcBorders>
              <w:top w:val="single" w:sz="4" w:space="0" w:color="000000"/>
              <w:left w:val="single" w:sz="4" w:space="0" w:color="000000"/>
              <w:bottom w:val="single" w:sz="4" w:space="0" w:color="000000"/>
              <w:right w:val="single" w:sz="4" w:space="0" w:color="000000"/>
            </w:tcBorders>
          </w:tcPr>
          <w:p w:rsidR="00523C74" w:rsidRPr="00124446" w:rsidP="00523C74" w14:paraId="5C3D90BB" w14:textId="69D50893">
            <w:pPr>
              <w:pStyle w:val="TableParagraph"/>
              <w:spacing w:line="268" w:lineRule="exact"/>
              <w:ind w:left="449" w:right="433"/>
              <w:rPr>
                <w:rFonts w:ascii="Calibri" w:hAnsi="Calibri" w:cs="Calibri"/>
              </w:rPr>
            </w:pPr>
            <w:r>
              <w:rPr>
                <w:rFonts w:ascii="Calibri" w:hAnsi="Calibri" w:cs="Calibri"/>
              </w:rPr>
              <w:t>210,000</w:t>
            </w:r>
          </w:p>
        </w:tc>
      </w:tr>
      <w:tr w14:paraId="6E0650E4" w14:textId="77777777" w:rsidTr="008642EC">
        <w:tblPrEx>
          <w:tblW w:w="9727" w:type="dxa"/>
          <w:tblInd w:w="319" w:type="dxa"/>
          <w:tblLayout w:type="fixed"/>
          <w:tblCellMar>
            <w:left w:w="0" w:type="dxa"/>
            <w:right w:w="0" w:type="dxa"/>
          </w:tblCellMar>
          <w:tblLook w:val="01E0"/>
        </w:tblPrEx>
        <w:trPr>
          <w:cantSplit/>
          <w:trHeight w:val="290"/>
        </w:trPr>
        <w:tc>
          <w:tcPr>
            <w:tcW w:w="1351" w:type="dxa"/>
            <w:tcBorders>
              <w:top w:val="single" w:sz="4" w:space="0" w:color="000000"/>
              <w:bottom w:val="single" w:sz="4" w:space="0" w:color="000000"/>
              <w:right w:val="single" w:sz="4" w:space="0" w:color="000000"/>
            </w:tcBorders>
          </w:tcPr>
          <w:p w:rsidR="00523C74" w:rsidRPr="00124446" w:rsidP="00523C74" w14:paraId="5A0B6D5E" w14:textId="4EEA8539">
            <w:pPr>
              <w:pStyle w:val="TableParagraph"/>
              <w:spacing w:line="268" w:lineRule="exact"/>
              <w:ind w:left="9"/>
              <w:jc w:val="center"/>
              <w:rPr>
                <w:rFonts w:ascii="Calibri" w:hAnsi="Calibri" w:cs="Calibri"/>
              </w:rPr>
            </w:pPr>
            <w:r>
              <w:rPr>
                <w:rFonts w:ascii="Calibri" w:hAnsi="Calibri" w:cs="Calibri"/>
              </w:rPr>
              <w:t>Quarter 3</w:t>
            </w:r>
          </w:p>
        </w:tc>
        <w:tc>
          <w:tcPr>
            <w:tcW w:w="1800" w:type="dxa"/>
            <w:tcBorders>
              <w:top w:val="single" w:sz="4" w:space="0" w:color="000000"/>
              <w:left w:val="single" w:sz="4" w:space="0" w:color="000000"/>
              <w:bottom w:val="single" w:sz="4" w:space="0" w:color="000000"/>
              <w:right w:val="single" w:sz="4" w:space="0" w:color="000000"/>
            </w:tcBorders>
          </w:tcPr>
          <w:p w:rsidR="00523C74" w:rsidRPr="00124446" w:rsidP="00523C74" w14:paraId="6AA4AF89" w14:textId="548D9320">
            <w:pPr>
              <w:pStyle w:val="TableParagraph"/>
              <w:spacing w:line="268" w:lineRule="exact"/>
              <w:ind w:left="449" w:right="435"/>
              <w:jc w:val="center"/>
              <w:rPr>
                <w:rFonts w:ascii="Calibri" w:hAnsi="Calibri" w:cs="Calibri"/>
              </w:rPr>
            </w:pPr>
            <w:r>
              <w:rPr>
                <w:rFonts w:ascii="Calibri" w:hAnsi="Calibri" w:cs="Calibri"/>
              </w:rPr>
              <w:t>140,000</w:t>
            </w:r>
          </w:p>
        </w:tc>
        <w:tc>
          <w:tcPr>
            <w:tcW w:w="1620" w:type="dxa"/>
            <w:tcBorders>
              <w:top w:val="single" w:sz="4" w:space="0" w:color="000000"/>
              <w:left w:val="single" w:sz="4" w:space="0" w:color="000000"/>
              <w:bottom w:val="single" w:sz="4" w:space="0" w:color="000000"/>
              <w:right w:val="single" w:sz="4" w:space="0" w:color="000000"/>
            </w:tcBorders>
          </w:tcPr>
          <w:p w:rsidR="00523C74" w:rsidRPr="00124446" w:rsidP="00523C74" w14:paraId="4AEF0192" w14:textId="005DF14C">
            <w:pPr>
              <w:pStyle w:val="TableParagraph"/>
              <w:spacing w:line="268" w:lineRule="exact"/>
              <w:ind w:left="756"/>
              <w:rPr>
                <w:rFonts w:ascii="Calibri" w:hAnsi="Calibri" w:cs="Calibri"/>
              </w:rPr>
            </w:pPr>
            <w:r>
              <w:rPr>
                <w:rFonts w:ascii="Calibri" w:hAnsi="Calibri" w:cs="Calibri"/>
              </w:rPr>
              <w:t>1</w:t>
            </w:r>
          </w:p>
        </w:tc>
        <w:tc>
          <w:tcPr>
            <w:tcW w:w="1626" w:type="dxa"/>
            <w:tcBorders>
              <w:top w:val="single" w:sz="4" w:space="0" w:color="000000"/>
              <w:left w:val="single" w:sz="4" w:space="0" w:color="000000"/>
              <w:bottom w:val="single" w:sz="4" w:space="0" w:color="000000"/>
              <w:right w:val="single" w:sz="4" w:space="0" w:color="000000"/>
            </w:tcBorders>
          </w:tcPr>
          <w:p w:rsidR="00523C74" w:rsidRPr="00124446" w:rsidP="00523C74" w14:paraId="4E1C1FF8" w14:textId="08071616">
            <w:pPr>
              <w:pStyle w:val="TableParagraph"/>
              <w:spacing w:line="268" w:lineRule="exact"/>
              <w:ind w:left="449" w:right="437"/>
              <w:jc w:val="center"/>
              <w:rPr>
                <w:rFonts w:ascii="Calibri" w:hAnsi="Calibri" w:cs="Calibri"/>
              </w:rPr>
            </w:pPr>
            <w:r>
              <w:rPr>
                <w:rFonts w:ascii="Calibri" w:hAnsi="Calibri" w:cs="Calibri"/>
              </w:rPr>
              <w:t>140,000</w:t>
            </w:r>
          </w:p>
        </w:tc>
        <w:tc>
          <w:tcPr>
            <w:tcW w:w="1697" w:type="dxa"/>
            <w:tcBorders>
              <w:top w:val="single" w:sz="4" w:space="0" w:color="000000"/>
              <w:left w:val="single" w:sz="4" w:space="0" w:color="000000"/>
              <w:bottom w:val="single" w:sz="4" w:space="0" w:color="000000"/>
              <w:right w:val="single" w:sz="4" w:space="0" w:color="000000"/>
            </w:tcBorders>
          </w:tcPr>
          <w:p w:rsidR="00523C74" w:rsidRPr="00124446" w:rsidP="00523C74" w14:paraId="28035672" w14:textId="53677CEB">
            <w:pPr>
              <w:pStyle w:val="TableParagraph"/>
              <w:spacing w:line="268" w:lineRule="exact"/>
              <w:ind w:left="538" w:right="521"/>
              <w:jc w:val="center"/>
              <w:rPr>
                <w:rFonts w:ascii="Calibri" w:hAnsi="Calibri" w:cs="Calibri"/>
              </w:rPr>
            </w:pPr>
            <w:r>
              <w:rPr>
                <w:rFonts w:ascii="Calibri" w:hAnsi="Calibri" w:cs="Calibri"/>
              </w:rPr>
              <w:t xml:space="preserve">1.5 </w:t>
            </w:r>
            <w:r>
              <w:rPr>
                <w:rFonts w:ascii="Calibri" w:hAnsi="Calibri" w:cs="Calibri"/>
              </w:rPr>
              <w:t>hrs</w:t>
            </w:r>
          </w:p>
        </w:tc>
        <w:tc>
          <w:tcPr>
            <w:tcW w:w="1633" w:type="dxa"/>
            <w:tcBorders>
              <w:top w:val="single" w:sz="4" w:space="0" w:color="000000"/>
              <w:left w:val="single" w:sz="4" w:space="0" w:color="000000"/>
              <w:bottom w:val="single" w:sz="4" w:space="0" w:color="000000"/>
              <w:right w:val="single" w:sz="4" w:space="0" w:color="000000"/>
            </w:tcBorders>
          </w:tcPr>
          <w:p w:rsidR="00523C74" w:rsidRPr="00124446" w:rsidP="00523C74" w14:paraId="231815BA" w14:textId="339EB60D">
            <w:pPr>
              <w:pStyle w:val="TableParagraph"/>
              <w:spacing w:line="268" w:lineRule="exact"/>
              <w:ind w:left="20"/>
              <w:rPr>
                <w:rFonts w:ascii="Calibri" w:hAnsi="Calibri" w:cs="Calibri"/>
              </w:rPr>
            </w:pPr>
            <w:r>
              <w:rPr>
                <w:rFonts w:ascii="Calibri" w:hAnsi="Calibri" w:cs="Calibri"/>
              </w:rPr>
              <w:t xml:space="preserve">         210,000</w:t>
            </w:r>
          </w:p>
        </w:tc>
      </w:tr>
      <w:tr w14:paraId="08966281" w14:textId="77777777" w:rsidTr="008642EC">
        <w:tblPrEx>
          <w:tblW w:w="9727" w:type="dxa"/>
          <w:tblInd w:w="319" w:type="dxa"/>
          <w:tblLayout w:type="fixed"/>
          <w:tblCellMar>
            <w:left w:w="0" w:type="dxa"/>
            <w:right w:w="0" w:type="dxa"/>
          </w:tblCellMar>
          <w:tblLook w:val="01E0"/>
        </w:tblPrEx>
        <w:trPr>
          <w:cantSplit/>
          <w:trHeight w:val="290"/>
        </w:trPr>
        <w:tc>
          <w:tcPr>
            <w:tcW w:w="1351" w:type="dxa"/>
            <w:tcBorders>
              <w:top w:val="single" w:sz="4" w:space="0" w:color="000000"/>
              <w:bottom w:val="single" w:sz="4" w:space="0" w:color="000000"/>
              <w:right w:val="single" w:sz="4" w:space="0" w:color="000000"/>
            </w:tcBorders>
          </w:tcPr>
          <w:p w:rsidR="00523C74" w:rsidP="00523C74" w14:paraId="5B2A2071" w14:textId="41C7FC60">
            <w:pPr>
              <w:pStyle w:val="TableParagraph"/>
              <w:spacing w:line="268" w:lineRule="exact"/>
              <w:ind w:left="9"/>
              <w:jc w:val="center"/>
              <w:rPr>
                <w:rFonts w:ascii="Calibri" w:hAnsi="Calibri" w:cs="Calibri"/>
              </w:rPr>
            </w:pPr>
            <w:r>
              <w:rPr>
                <w:rFonts w:ascii="Calibri" w:hAnsi="Calibri" w:cs="Calibri"/>
              </w:rPr>
              <w:t>Quarter 4</w:t>
            </w:r>
          </w:p>
        </w:tc>
        <w:tc>
          <w:tcPr>
            <w:tcW w:w="1800" w:type="dxa"/>
            <w:tcBorders>
              <w:top w:val="single" w:sz="4" w:space="0" w:color="000000"/>
              <w:left w:val="single" w:sz="4" w:space="0" w:color="000000"/>
              <w:bottom w:val="single" w:sz="4" w:space="0" w:color="000000"/>
              <w:right w:val="single" w:sz="4" w:space="0" w:color="000000"/>
            </w:tcBorders>
          </w:tcPr>
          <w:p w:rsidR="00523C74" w:rsidRPr="00124446" w:rsidP="00523C74" w14:paraId="6D8C2E32" w14:textId="56521096">
            <w:pPr>
              <w:pStyle w:val="TableParagraph"/>
              <w:spacing w:line="268" w:lineRule="exact"/>
              <w:ind w:left="449" w:right="435"/>
              <w:jc w:val="center"/>
              <w:rPr>
                <w:rFonts w:ascii="Calibri" w:hAnsi="Calibri" w:cs="Calibri"/>
              </w:rPr>
            </w:pPr>
            <w:r>
              <w:rPr>
                <w:rFonts w:ascii="Calibri" w:hAnsi="Calibri" w:cs="Calibri"/>
              </w:rPr>
              <w:t>140,000</w:t>
            </w:r>
          </w:p>
        </w:tc>
        <w:tc>
          <w:tcPr>
            <w:tcW w:w="1620" w:type="dxa"/>
            <w:tcBorders>
              <w:top w:val="single" w:sz="4" w:space="0" w:color="000000"/>
              <w:left w:val="single" w:sz="4" w:space="0" w:color="000000"/>
              <w:bottom w:val="single" w:sz="4" w:space="0" w:color="000000"/>
              <w:right w:val="single" w:sz="4" w:space="0" w:color="000000"/>
            </w:tcBorders>
          </w:tcPr>
          <w:p w:rsidR="00523C74" w:rsidRPr="00124446" w:rsidP="00523C74" w14:paraId="35D5362A" w14:textId="2EFEAD14">
            <w:pPr>
              <w:pStyle w:val="TableParagraph"/>
              <w:spacing w:line="268" w:lineRule="exact"/>
              <w:ind w:left="756"/>
              <w:rPr>
                <w:rFonts w:ascii="Calibri" w:hAnsi="Calibri" w:cs="Calibri"/>
              </w:rPr>
            </w:pPr>
            <w:r>
              <w:rPr>
                <w:rFonts w:ascii="Calibri" w:hAnsi="Calibri" w:cs="Calibri"/>
              </w:rPr>
              <w:t>1</w:t>
            </w:r>
          </w:p>
        </w:tc>
        <w:tc>
          <w:tcPr>
            <w:tcW w:w="1626" w:type="dxa"/>
            <w:tcBorders>
              <w:top w:val="single" w:sz="4" w:space="0" w:color="000000"/>
              <w:left w:val="single" w:sz="4" w:space="0" w:color="000000"/>
              <w:bottom w:val="single" w:sz="4" w:space="0" w:color="000000"/>
              <w:right w:val="single" w:sz="4" w:space="0" w:color="000000"/>
            </w:tcBorders>
          </w:tcPr>
          <w:p w:rsidR="00523C74" w:rsidRPr="00124446" w:rsidP="00523C74" w14:paraId="4F8BC8CA" w14:textId="4202535B">
            <w:pPr>
              <w:pStyle w:val="TableParagraph"/>
              <w:spacing w:line="268" w:lineRule="exact"/>
              <w:ind w:left="449" w:right="437"/>
              <w:jc w:val="center"/>
              <w:rPr>
                <w:rFonts w:ascii="Calibri" w:hAnsi="Calibri" w:cs="Calibri"/>
              </w:rPr>
            </w:pPr>
            <w:r>
              <w:rPr>
                <w:rFonts w:ascii="Calibri" w:hAnsi="Calibri" w:cs="Calibri"/>
              </w:rPr>
              <w:t>140,000</w:t>
            </w:r>
          </w:p>
        </w:tc>
        <w:tc>
          <w:tcPr>
            <w:tcW w:w="1697" w:type="dxa"/>
            <w:tcBorders>
              <w:top w:val="single" w:sz="4" w:space="0" w:color="000000"/>
              <w:left w:val="single" w:sz="4" w:space="0" w:color="000000"/>
              <w:bottom w:val="single" w:sz="4" w:space="0" w:color="000000"/>
              <w:right w:val="single" w:sz="4" w:space="0" w:color="000000"/>
            </w:tcBorders>
          </w:tcPr>
          <w:p w:rsidR="00523C74" w:rsidRPr="00124446" w:rsidP="00523C74" w14:paraId="40A2DDED" w14:textId="0578AB4F">
            <w:pPr>
              <w:pStyle w:val="TableParagraph"/>
              <w:spacing w:line="268" w:lineRule="exact"/>
              <w:ind w:left="538" w:right="521"/>
              <w:jc w:val="center"/>
              <w:rPr>
                <w:rFonts w:ascii="Calibri" w:hAnsi="Calibri" w:cs="Calibri"/>
              </w:rPr>
            </w:pPr>
            <w:r>
              <w:rPr>
                <w:rFonts w:ascii="Calibri" w:hAnsi="Calibri" w:cs="Calibri"/>
              </w:rPr>
              <w:t xml:space="preserve">1.5 </w:t>
            </w:r>
            <w:r>
              <w:rPr>
                <w:rFonts w:ascii="Calibri" w:hAnsi="Calibri" w:cs="Calibri"/>
              </w:rPr>
              <w:t>hrs</w:t>
            </w:r>
          </w:p>
        </w:tc>
        <w:tc>
          <w:tcPr>
            <w:tcW w:w="1633" w:type="dxa"/>
            <w:tcBorders>
              <w:top w:val="single" w:sz="4" w:space="0" w:color="000000"/>
              <w:left w:val="single" w:sz="4" w:space="0" w:color="000000"/>
              <w:bottom w:val="single" w:sz="4" w:space="0" w:color="000000"/>
              <w:right w:val="single" w:sz="4" w:space="0" w:color="000000"/>
            </w:tcBorders>
          </w:tcPr>
          <w:p w:rsidR="00523C74" w:rsidRPr="00124446" w:rsidP="00523C74" w14:paraId="4328A031" w14:textId="561C62A2">
            <w:pPr>
              <w:pStyle w:val="TableParagraph"/>
              <w:spacing w:line="268" w:lineRule="exact"/>
              <w:ind w:left="20"/>
              <w:jc w:val="center"/>
              <w:rPr>
                <w:rFonts w:ascii="Calibri" w:hAnsi="Calibri" w:cs="Calibri"/>
              </w:rPr>
            </w:pPr>
            <w:r>
              <w:rPr>
                <w:rFonts w:ascii="Calibri" w:hAnsi="Calibri" w:cs="Calibri"/>
              </w:rPr>
              <w:t>210,000</w:t>
            </w:r>
          </w:p>
        </w:tc>
      </w:tr>
      <w:tr w14:paraId="06D1F84B" w14:textId="77777777" w:rsidTr="008642EC">
        <w:tblPrEx>
          <w:tblW w:w="9727" w:type="dxa"/>
          <w:tblInd w:w="319" w:type="dxa"/>
          <w:tblLayout w:type="fixed"/>
          <w:tblCellMar>
            <w:left w:w="0" w:type="dxa"/>
            <w:right w:w="0" w:type="dxa"/>
          </w:tblCellMar>
          <w:tblLook w:val="01E0"/>
        </w:tblPrEx>
        <w:trPr>
          <w:cantSplit/>
          <w:trHeight w:val="289"/>
        </w:trPr>
        <w:tc>
          <w:tcPr>
            <w:tcW w:w="1351" w:type="dxa"/>
            <w:tcBorders>
              <w:top w:val="single" w:sz="4" w:space="0" w:color="000000"/>
              <w:bottom w:val="single" w:sz="4" w:space="0" w:color="000000"/>
              <w:right w:val="single" w:sz="4" w:space="0" w:color="000000"/>
            </w:tcBorders>
          </w:tcPr>
          <w:p w:rsidR="00523C74" w:rsidRPr="00124446" w:rsidP="00523C74" w14:paraId="035A303F" w14:textId="77777777">
            <w:pPr>
              <w:pStyle w:val="TableParagraph"/>
              <w:spacing w:line="268" w:lineRule="exact"/>
              <w:ind w:left="100" w:right="89"/>
              <w:jc w:val="center"/>
              <w:rPr>
                <w:rFonts w:ascii="Calibri" w:hAnsi="Calibri" w:cs="Calibri"/>
                <w:b/>
              </w:rPr>
            </w:pPr>
            <w:r w:rsidRPr="00124446">
              <w:rPr>
                <w:rFonts w:ascii="Calibri" w:hAnsi="Calibri" w:cs="Calibri"/>
                <w:b/>
              </w:rPr>
              <w:t>Totals</w:t>
            </w:r>
          </w:p>
        </w:tc>
        <w:tc>
          <w:tcPr>
            <w:tcW w:w="1800" w:type="dxa"/>
            <w:tcBorders>
              <w:top w:val="single" w:sz="4" w:space="0" w:color="000000"/>
              <w:left w:val="single" w:sz="4" w:space="0" w:color="000000"/>
              <w:bottom w:val="single" w:sz="4" w:space="0" w:color="000000"/>
              <w:right w:val="single" w:sz="4" w:space="0" w:color="000000"/>
            </w:tcBorders>
          </w:tcPr>
          <w:p w:rsidR="00523C74" w:rsidRPr="00124446" w:rsidP="00523C74" w14:paraId="40A11DC5" w14:textId="77777777">
            <w:pPr>
              <w:pStyle w:val="TableParagraph"/>
              <w:rPr>
                <w:rFonts w:ascii="Calibri" w:hAnsi="Calibri" w:cs="Calibri"/>
                <w:sz w:val="20"/>
              </w:rPr>
            </w:pPr>
          </w:p>
        </w:tc>
        <w:tc>
          <w:tcPr>
            <w:tcW w:w="1620" w:type="dxa"/>
            <w:tcBorders>
              <w:top w:val="single" w:sz="4" w:space="0" w:color="000000"/>
              <w:left w:val="single" w:sz="4" w:space="0" w:color="000000"/>
              <w:bottom w:val="single" w:sz="4" w:space="0" w:color="000000"/>
              <w:right w:val="single" w:sz="4" w:space="0" w:color="000000"/>
            </w:tcBorders>
          </w:tcPr>
          <w:p w:rsidR="00523C74" w:rsidRPr="00124446" w:rsidP="00523C74" w14:paraId="7FFFEF72" w14:textId="77777777">
            <w:pPr>
              <w:pStyle w:val="TableParagraph"/>
              <w:rPr>
                <w:rFonts w:ascii="Calibri" w:hAnsi="Calibri" w:cs="Calibri"/>
                <w:sz w:val="20"/>
              </w:rPr>
            </w:pPr>
          </w:p>
        </w:tc>
        <w:tc>
          <w:tcPr>
            <w:tcW w:w="1626" w:type="dxa"/>
            <w:tcBorders>
              <w:top w:val="single" w:sz="4" w:space="0" w:color="000000"/>
              <w:left w:val="single" w:sz="4" w:space="0" w:color="000000"/>
              <w:bottom w:val="single" w:sz="4" w:space="0" w:color="000000"/>
              <w:right w:val="single" w:sz="4" w:space="0" w:color="000000"/>
            </w:tcBorders>
          </w:tcPr>
          <w:p w:rsidR="00523C74" w:rsidRPr="00124446" w:rsidP="00523C74" w14:paraId="1891E34D" w14:textId="5AE7D60A">
            <w:pPr>
              <w:pStyle w:val="TableParagraph"/>
              <w:spacing w:line="268" w:lineRule="exact"/>
              <w:ind w:left="449" w:right="437"/>
              <w:jc w:val="center"/>
              <w:rPr>
                <w:rFonts w:ascii="Calibri" w:hAnsi="Calibri" w:cs="Calibri"/>
                <w:b/>
              </w:rPr>
            </w:pPr>
            <w:r>
              <w:rPr>
                <w:rFonts w:ascii="Calibri" w:hAnsi="Calibri" w:cs="Calibri"/>
                <w:b/>
              </w:rPr>
              <w:t>605,000</w:t>
            </w:r>
          </w:p>
        </w:tc>
        <w:tc>
          <w:tcPr>
            <w:tcW w:w="1697" w:type="dxa"/>
            <w:tcBorders>
              <w:top w:val="single" w:sz="4" w:space="0" w:color="000000"/>
              <w:left w:val="single" w:sz="4" w:space="0" w:color="000000"/>
              <w:bottom w:val="single" w:sz="4" w:space="0" w:color="000000"/>
              <w:right w:val="single" w:sz="4" w:space="0" w:color="000000"/>
            </w:tcBorders>
          </w:tcPr>
          <w:p w:rsidR="00523C74" w:rsidRPr="00124446" w:rsidP="00523C74" w14:paraId="2FC9B041" w14:textId="77777777">
            <w:pPr>
              <w:pStyle w:val="TableParagraph"/>
              <w:rPr>
                <w:rFonts w:ascii="Calibri" w:hAnsi="Calibri" w:cs="Calibri"/>
                <w:sz w:val="20"/>
              </w:rPr>
            </w:pPr>
          </w:p>
        </w:tc>
        <w:tc>
          <w:tcPr>
            <w:tcW w:w="1633" w:type="dxa"/>
            <w:tcBorders>
              <w:top w:val="single" w:sz="4" w:space="0" w:color="000000"/>
              <w:left w:val="single" w:sz="4" w:space="0" w:color="000000"/>
              <w:bottom w:val="single" w:sz="4" w:space="0" w:color="000000"/>
              <w:right w:val="single" w:sz="4" w:space="0" w:color="000000"/>
            </w:tcBorders>
          </w:tcPr>
          <w:p w:rsidR="00523C74" w:rsidRPr="00124446" w:rsidP="00523C74" w14:paraId="677B78B0" w14:textId="35520160">
            <w:pPr>
              <w:pStyle w:val="TableParagraph"/>
              <w:spacing w:line="268" w:lineRule="exact"/>
              <w:ind w:left="449" w:right="433"/>
              <w:jc w:val="center"/>
              <w:rPr>
                <w:rFonts w:ascii="Calibri" w:hAnsi="Calibri" w:cs="Calibri"/>
                <w:b/>
              </w:rPr>
            </w:pPr>
            <w:r>
              <w:rPr>
                <w:rFonts w:ascii="Calibri" w:hAnsi="Calibri" w:cs="Calibri"/>
                <w:b/>
              </w:rPr>
              <w:t>843,</w:t>
            </w:r>
            <w:r w:rsidR="005145D1">
              <w:rPr>
                <w:rFonts w:ascii="Calibri" w:hAnsi="Calibri" w:cs="Calibri"/>
                <w:b/>
              </w:rPr>
              <w:t>750</w:t>
            </w:r>
          </w:p>
        </w:tc>
      </w:tr>
    </w:tbl>
    <w:p w:rsidR="00AD761D" w:rsidP="00EB2F1A" w14:paraId="02413DC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color w:val="FF0000"/>
          <w:sz w:val="24"/>
        </w:rPr>
      </w:pPr>
    </w:p>
    <w:p w:rsidR="00AD761D" w:rsidRPr="008642EC" w:rsidP="008642EC" w14:paraId="0936BFD3" w14:textId="5FC93E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Theme="minorHAnsi" w:hAnsiTheme="minorHAnsi" w:cstheme="minorHAnsi"/>
          <w:sz w:val="24"/>
          <w:szCs w:val="24"/>
        </w:rPr>
      </w:pPr>
      <w:r w:rsidRPr="008642EC">
        <w:rPr>
          <w:rFonts w:asciiTheme="minorHAnsi" w:hAnsiTheme="minorHAnsi" w:cstheme="minorHAnsi"/>
          <w:sz w:val="24"/>
          <w:szCs w:val="24"/>
        </w:rPr>
        <w:t>We estimate the cost to respondents to be $</w:t>
      </w:r>
      <w:r w:rsidRPr="008642EC" w:rsidR="00290832">
        <w:rPr>
          <w:rFonts w:asciiTheme="minorHAnsi" w:hAnsiTheme="minorHAnsi" w:cstheme="minorHAnsi"/>
          <w:sz w:val="24"/>
          <w:szCs w:val="24"/>
        </w:rPr>
        <w:t>2</w:t>
      </w:r>
      <w:r w:rsidRPr="008642EC" w:rsidR="009F383A">
        <w:rPr>
          <w:rFonts w:asciiTheme="minorHAnsi" w:hAnsiTheme="minorHAnsi" w:cstheme="minorHAnsi"/>
          <w:sz w:val="24"/>
          <w:szCs w:val="24"/>
        </w:rPr>
        <w:t>7</w:t>
      </w:r>
      <w:r w:rsidRPr="008642EC" w:rsidR="00290832">
        <w:rPr>
          <w:rFonts w:asciiTheme="minorHAnsi" w:hAnsiTheme="minorHAnsi" w:cstheme="minorHAnsi"/>
          <w:sz w:val="24"/>
          <w:szCs w:val="24"/>
        </w:rPr>
        <w:t>,</w:t>
      </w:r>
      <w:r w:rsidRPr="008642EC" w:rsidR="009F383A">
        <w:rPr>
          <w:rFonts w:asciiTheme="minorHAnsi" w:hAnsiTheme="minorHAnsi" w:cstheme="minorHAnsi"/>
          <w:sz w:val="24"/>
          <w:szCs w:val="24"/>
        </w:rPr>
        <w:t>11</w:t>
      </w:r>
      <w:r w:rsidRPr="008642EC" w:rsidR="005145D1">
        <w:rPr>
          <w:rFonts w:asciiTheme="minorHAnsi" w:hAnsiTheme="minorHAnsi" w:cstheme="minorHAnsi"/>
          <w:sz w:val="24"/>
          <w:szCs w:val="24"/>
        </w:rPr>
        <w:t>8,125</w:t>
      </w:r>
      <w:r w:rsidRPr="008642EC">
        <w:rPr>
          <w:rFonts w:asciiTheme="minorHAnsi" w:hAnsiTheme="minorHAnsi" w:cstheme="minorHAnsi"/>
          <w:sz w:val="24"/>
          <w:szCs w:val="24"/>
        </w:rPr>
        <w:t xml:space="preserve">. This is based on the response </w:t>
      </w:r>
    </w:p>
    <w:p w:rsidR="00782FF7" w:rsidRPr="008642EC" w:rsidP="008642EC" w14:paraId="3357469A" w14:textId="01F99B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Theme="minorHAnsi" w:hAnsiTheme="minorHAnsi" w:cstheme="minorHAnsi"/>
          <w:sz w:val="24"/>
          <w:szCs w:val="24"/>
        </w:rPr>
      </w:pPr>
      <w:r w:rsidRPr="008642EC">
        <w:rPr>
          <w:rFonts w:asciiTheme="minorHAnsi" w:hAnsiTheme="minorHAnsi" w:cstheme="minorHAnsi"/>
          <w:sz w:val="24"/>
          <w:szCs w:val="24"/>
        </w:rPr>
        <w:t xml:space="preserve">burden estimate of </w:t>
      </w:r>
      <w:r w:rsidRPr="008642EC" w:rsidR="00290832">
        <w:rPr>
          <w:rFonts w:asciiTheme="minorHAnsi" w:hAnsiTheme="minorHAnsi" w:cstheme="minorHAnsi"/>
          <w:sz w:val="24"/>
          <w:szCs w:val="24"/>
        </w:rPr>
        <w:t>84</w:t>
      </w:r>
      <w:r w:rsidRPr="008642EC" w:rsidR="009F383A">
        <w:rPr>
          <w:rFonts w:asciiTheme="minorHAnsi" w:hAnsiTheme="minorHAnsi" w:cstheme="minorHAnsi"/>
          <w:sz w:val="24"/>
          <w:szCs w:val="24"/>
        </w:rPr>
        <w:t>3</w:t>
      </w:r>
      <w:r w:rsidRPr="008642EC">
        <w:rPr>
          <w:rFonts w:asciiTheme="minorHAnsi" w:hAnsiTheme="minorHAnsi" w:cstheme="minorHAnsi"/>
          <w:sz w:val="24"/>
          <w:szCs w:val="24"/>
        </w:rPr>
        <w:t>,</w:t>
      </w:r>
      <w:r w:rsidRPr="008642EC" w:rsidR="005145D1">
        <w:rPr>
          <w:rFonts w:asciiTheme="minorHAnsi" w:hAnsiTheme="minorHAnsi" w:cstheme="minorHAnsi"/>
          <w:sz w:val="24"/>
          <w:szCs w:val="24"/>
        </w:rPr>
        <w:t>75</w:t>
      </w:r>
      <w:r w:rsidRPr="008642EC">
        <w:rPr>
          <w:rFonts w:asciiTheme="minorHAnsi" w:hAnsiTheme="minorHAnsi" w:cstheme="minorHAnsi"/>
          <w:sz w:val="24"/>
          <w:szCs w:val="24"/>
        </w:rPr>
        <w:t>0 hours and the mean hourly wage of $</w:t>
      </w:r>
      <w:r w:rsidRPr="008642EC" w:rsidR="00290832">
        <w:rPr>
          <w:rFonts w:asciiTheme="minorHAnsi" w:hAnsiTheme="minorHAnsi" w:cstheme="minorHAnsi"/>
          <w:sz w:val="24"/>
          <w:szCs w:val="24"/>
        </w:rPr>
        <w:t>32.14</w:t>
      </w:r>
      <w:r w:rsidRPr="008642EC">
        <w:rPr>
          <w:rFonts w:asciiTheme="minorHAnsi" w:hAnsiTheme="minorHAnsi" w:cstheme="minorHAnsi"/>
          <w:sz w:val="24"/>
          <w:szCs w:val="24"/>
        </w:rPr>
        <w:t>. [The wage figure is an estimate, based on Metropolitan Statistical Areas data from the Bureau of Labor Statistics:  Occupational Employment and Wages, May 202</w:t>
      </w:r>
      <w:r w:rsidRPr="008642EC" w:rsidR="00290832">
        <w:rPr>
          <w:rFonts w:asciiTheme="minorHAnsi" w:hAnsiTheme="minorHAnsi" w:cstheme="minorHAnsi"/>
          <w:sz w:val="24"/>
          <w:szCs w:val="24"/>
        </w:rPr>
        <w:t>5</w:t>
      </w:r>
      <w:r w:rsidRPr="008642EC">
        <w:rPr>
          <w:rFonts w:asciiTheme="minorHAnsi" w:hAnsiTheme="minorHAnsi" w:cstheme="minorHAnsi"/>
          <w:sz w:val="24"/>
          <w:szCs w:val="24"/>
        </w:rPr>
        <w:t>; First-Line Supervisors</w:t>
      </w:r>
      <w:r w:rsidRPr="008642EC" w:rsidR="00290832">
        <w:rPr>
          <w:rFonts w:asciiTheme="minorHAnsi" w:hAnsiTheme="minorHAnsi" w:cstheme="minorHAnsi"/>
          <w:sz w:val="24"/>
          <w:szCs w:val="24"/>
        </w:rPr>
        <w:t xml:space="preserve"> </w:t>
      </w:r>
      <w:r w:rsidRPr="008642EC">
        <w:rPr>
          <w:rFonts w:asciiTheme="minorHAnsi" w:hAnsiTheme="minorHAnsi" w:cstheme="minorHAnsi"/>
          <w:sz w:val="24"/>
          <w:szCs w:val="24"/>
        </w:rPr>
        <w:t xml:space="preserve">of </w:t>
      </w:r>
      <w:r w:rsidRPr="008642EC" w:rsidR="00290832">
        <w:rPr>
          <w:rFonts w:asciiTheme="minorHAnsi" w:hAnsiTheme="minorHAnsi" w:cstheme="minorHAnsi"/>
          <w:sz w:val="24"/>
          <w:szCs w:val="24"/>
        </w:rPr>
        <w:t>T</w:t>
      </w:r>
      <w:r w:rsidRPr="008642EC">
        <w:rPr>
          <w:rFonts w:asciiTheme="minorHAnsi" w:hAnsiTheme="minorHAnsi" w:cstheme="minorHAnsi"/>
          <w:sz w:val="24"/>
          <w:szCs w:val="24"/>
        </w:rPr>
        <w:t>ransportation and Material</w:t>
      </w:r>
      <w:r w:rsidRPr="008642EC" w:rsidR="00290832">
        <w:rPr>
          <w:rFonts w:asciiTheme="minorHAnsi" w:hAnsiTheme="minorHAnsi" w:cstheme="minorHAnsi"/>
          <w:sz w:val="24"/>
          <w:szCs w:val="24"/>
        </w:rPr>
        <w:t xml:space="preserve"> </w:t>
      </w:r>
      <w:r w:rsidRPr="008642EC">
        <w:rPr>
          <w:rFonts w:asciiTheme="minorHAnsi" w:hAnsiTheme="minorHAnsi" w:cstheme="minorHAnsi"/>
          <w:sz w:val="24"/>
          <w:szCs w:val="24"/>
        </w:rPr>
        <w:t xml:space="preserve">Moving Machine </w:t>
      </w:r>
      <w:r w:rsidRPr="008642EC" w:rsidR="00290832">
        <w:rPr>
          <w:rFonts w:asciiTheme="minorHAnsi" w:hAnsiTheme="minorHAnsi" w:cstheme="minorHAnsi"/>
          <w:sz w:val="24"/>
          <w:szCs w:val="24"/>
        </w:rPr>
        <w:t xml:space="preserve">Workers, Except Aircraft Cargo Handling </w:t>
      </w:r>
      <w:r w:rsidRPr="008642EC">
        <w:rPr>
          <w:rFonts w:asciiTheme="minorHAnsi" w:hAnsiTheme="minorHAnsi" w:cstheme="minorHAnsi"/>
          <w:sz w:val="24"/>
          <w:szCs w:val="24"/>
        </w:rPr>
        <w:t xml:space="preserve">taken from </w:t>
      </w:r>
      <w:hyperlink r:id="rId7" w:history="1">
        <w:r w:rsidRPr="008642EC">
          <w:rPr>
            <w:rStyle w:val="Hyperlink"/>
            <w:rFonts w:asciiTheme="minorHAnsi" w:hAnsiTheme="minorHAnsi" w:cstheme="minorHAnsi"/>
            <w:sz w:val="24"/>
            <w:szCs w:val="24"/>
          </w:rPr>
          <w:t>https://www.bls.gov/oes/current/oes531047.htm</w:t>
        </w:r>
      </w:hyperlink>
      <w:r w:rsidRPr="008642EC">
        <w:rPr>
          <w:rFonts w:asciiTheme="minorHAnsi" w:hAnsiTheme="minorHAnsi" w:cstheme="minorHAnsi"/>
          <w:sz w:val="24"/>
          <w:szCs w:val="24"/>
        </w:rPr>
        <w:t>]</w:t>
      </w:r>
    </w:p>
    <w:p w:rsidR="00782FF7" w:rsidP="00A93D97" w14:paraId="67F0DB81" w14:textId="77777777">
      <w:pPr>
        <w:spacing w:line="259" w:lineRule="auto"/>
        <w:ind w:left="399" w:right="359" w:firstLine="50"/>
        <w:rPr>
          <w:rFonts w:ascii="Calibri" w:hAnsi="Calibri" w:cs="Calibri"/>
          <w:b/>
          <w:color w:val="FF0000"/>
          <w:sz w:val="24"/>
        </w:rPr>
      </w:pPr>
    </w:p>
    <w:p w:rsidR="00A82C0C" w:rsidP="00A93D97" w14:paraId="1FC39945" w14:textId="77777777">
      <w:pPr>
        <w:spacing w:line="259" w:lineRule="auto"/>
        <w:ind w:left="399" w:right="359" w:firstLine="50"/>
        <w:rPr>
          <w:rFonts w:ascii="Calibri" w:hAnsi="Calibri" w:cs="Calibri"/>
        </w:rPr>
      </w:pPr>
    </w:p>
    <w:p w:rsidR="00201347" w:rsidRPr="00A82C0C" w:rsidP="00A82C0C" w14:paraId="3F30C93F" w14:textId="77777777">
      <w:pPr>
        <w:pStyle w:val="ListParagraph"/>
        <w:numPr>
          <w:ilvl w:val="0"/>
          <w:numId w:val="7"/>
        </w:numPr>
        <w:spacing w:line="259" w:lineRule="auto"/>
        <w:ind w:left="360" w:hanging="360"/>
        <w:rPr>
          <w:rFonts w:ascii="Calibri" w:hAnsi="Calibri" w:cs="Calibri"/>
          <w:b/>
          <w:sz w:val="24"/>
          <w:szCs w:val="24"/>
        </w:rPr>
      </w:pPr>
      <w:r w:rsidRPr="00A82C0C">
        <w:rPr>
          <w:rFonts w:ascii="Calibri" w:hAnsi="Calibri" w:cs="Calibri"/>
          <w:b/>
          <w:sz w:val="24"/>
          <w:szCs w:val="24"/>
        </w:rPr>
        <w:t>Provide an estimate for the total annual cost burden to respondents or record</w:t>
      </w:r>
      <w:r w:rsidRPr="00A82C0C">
        <w:rPr>
          <w:rFonts w:ascii="Calibri" w:hAnsi="Calibri" w:cs="Calibri"/>
          <w:b/>
          <w:spacing w:val="-44"/>
          <w:sz w:val="24"/>
          <w:szCs w:val="24"/>
        </w:rPr>
        <w:t xml:space="preserve"> </w:t>
      </w:r>
      <w:r w:rsidRPr="00A82C0C">
        <w:rPr>
          <w:rFonts w:ascii="Calibri" w:hAnsi="Calibri" w:cs="Calibri"/>
          <w:b/>
          <w:sz w:val="24"/>
          <w:szCs w:val="24"/>
        </w:rPr>
        <w:t>keepers resulting from the collection of information. (Do not include the cost of any hour burden already reflected on the burden worksheet).</w:t>
      </w:r>
    </w:p>
    <w:p w:rsidR="00305813" w:rsidP="00623A7B" w14:paraId="6BF8FCF7" w14:textId="77777777">
      <w:pPr>
        <w:spacing w:line="259" w:lineRule="auto"/>
        <w:ind w:left="399" w:right="359" w:firstLine="50"/>
        <w:rPr>
          <w:sz w:val="24"/>
          <w:szCs w:val="24"/>
        </w:rPr>
      </w:pPr>
    </w:p>
    <w:p w:rsidR="00623A7B" w:rsidRPr="00BF3764" w:rsidP="00BF3764" w14:paraId="276590FF" w14:textId="76695399">
      <w:pPr>
        <w:spacing w:line="259" w:lineRule="auto"/>
        <w:ind w:left="399" w:right="359"/>
        <w:rPr>
          <w:rFonts w:asciiTheme="minorHAnsi" w:hAnsiTheme="minorHAnsi" w:cstheme="minorHAnsi"/>
          <w:b/>
          <w:color w:val="FF0000"/>
          <w:sz w:val="24"/>
          <w:szCs w:val="24"/>
        </w:rPr>
      </w:pPr>
      <w:r w:rsidRPr="00BF3764">
        <w:rPr>
          <w:rFonts w:asciiTheme="minorHAnsi" w:hAnsiTheme="minorHAnsi" w:cstheme="minorHAnsi"/>
          <w:sz w:val="24"/>
          <w:szCs w:val="24"/>
        </w:rPr>
        <w:t xml:space="preserve">The Census Bureau does not expect respondents to incur any costs other than that of their time to respond. The information requested is of the type and scope normally carried in company records and no special hardware or accounting software or system is necessary to provide answers to this information collection. Therefore, </w:t>
      </w:r>
      <w:r w:rsidR="00B305DC">
        <w:rPr>
          <w:rFonts w:asciiTheme="minorHAnsi" w:hAnsiTheme="minorHAnsi" w:cstheme="minorHAnsi"/>
          <w:sz w:val="24"/>
          <w:szCs w:val="24"/>
        </w:rPr>
        <w:t xml:space="preserve">respondents are </w:t>
      </w:r>
      <w:r w:rsidRPr="00BF3764">
        <w:rPr>
          <w:rFonts w:asciiTheme="minorHAnsi" w:hAnsiTheme="minorHAnsi" w:cstheme="minorHAnsi"/>
          <w:sz w:val="24"/>
          <w:szCs w:val="24"/>
        </w:rPr>
        <w:t>not expected to incur any capital and start-up costs or system maintenance costs in responding. Furthermore, purchasing of outside accounting or information collection services, if performed by the respondent, is part of usual and customary business practices and not specifically required for this information collection.</w:t>
      </w:r>
    </w:p>
    <w:p w:rsidR="00061D50" w:rsidRPr="00061D50" w14:paraId="637805D2" w14:textId="77777777">
      <w:pPr>
        <w:ind w:left="400"/>
        <w:rPr>
          <w:rFonts w:ascii="Calibri" w:hAnsi="Calibri" w:cs="Calibri"/>
          <w:b/>
        </w:rPr>
      </w:pPr>
    </w:p>
    <w:p w:rsidR="00201347" w:rsidRPr="00124446" w14:paraId="463F29E8" w14:textId="77777777">
      <w:pPr>
        <w:pStyle w:val="BodyText"/>
        <w:spacing w:before="7"/>
        <w:ind w:left="0"/>
        <w:rPr>
          <w:rFonts w:ascii="Calibri" w:hAnsi="Calibri" w:cs="Calibri"/>
          <w:b/>
          <w:sz w:val="16"/>
        </w:rPr>
      </w:pPr>
    </w:p>
    <w:p w:rsidR="007222E3" w:rsidP="007222E3" w14:paraId="0FF712A1" w14:textId="77777777">
      <w:pPr>
        <w:pStyle w:val="Heading1"/>
        <w:numPr>
          <w:ilvl w:val="0"/>
          <w:numId w:val="7"/>
        </w:numPr>
        <w:tabs>
          <w:tab w:val="left" w:pos="804"/>
        </w:tabs>
        <w:spacing w:before="0"/>
        <w:ind w:left="360" w:hanging="360"/>
        <w:rPr>
          <w:rFonts w:ascii="Calibri" w:hAnsi="Calibri" w:cs="Calibri"/>
        </w:rPr>
      </w:pPr>
      <w:r w:rsidRPr="00124446">
        <w:rPr>
          <w:rFonts w:ascii="Calibri" w:hAnsi="Calibri" w:cs="Calibri"/>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124446">
        <w:rPr>
          <w:rFonts w:ascii="Calibri" w:hAnsi="Calibri" w:cs="Calibri"/>
        </w:rPr>
        <w:t>expense</w:t>
      </w:r>
      <w:r w:rsidRPr="00124446">
        <w:rPr>
          <w:rFonts w:ascii="Calibri" w:hAnsi="Calibri" w:cs="Calibri"/>
        </w:rPr>
        <w:t xml:space="preserve"> that would not have been incurred without this collection of</w:t>
      </w:r>
      <w:r w:rsidRPr="00124446">
        <w:rPr>
          <w:rFonts w:ascii="Calibri" w:hAnsi="Calibri" w:cs="Calibri"/>
          <w:spacing w:val="-24"/>
        </w:rPr>
        <w:t xml:space="preserve"> </w:t>
      </w:r>
      <w:r w:rsidRPr="00124446">
        <w:rPr>
          <w:rFonts w:ascii="Calibri" w:hAnsi="Calibri" w:cs="Calibri"/>
        </w:rPr>
        <w:t>information.</w:t>
      </w:r>
    </w:p>
    <w:p w:rsidR="007222E3" w:rsidP="007222E3" w14:paraId="5242217B" w14:textId="77777777">
      <w:pPr>
        <w:pStyle w:val="Heading1"/>
        <w:tabs>
          <w:tab w:val="left" w:pos="804"/>
        </w:tabs>
        <w:spacing w:before="0"/>
        <w:ind w:left="360"/>
        <w:rPr>
          <w:rFonts w:ascii="Calibri" w:hAnsi="Calibri" w:cs="Calibri"/>
        </w:rPr>
      </w:pPr>
    </w:p>
    <w:p w:rsidR="00321B3D" w:rsidRPr="00BF3764" w:rsidP="007222E3" w14:paraId="6904B871" w14:textId="7DEBB56B">
      <w:pPr>
        <w:pStyle w:val="Heading1"/>
        <w:tabs>
          <w:tab w:val="left" w:pos="804"/>
        </w:tabs>
        <w:spacing w:before="0"/>
        <w:ind w:left="360"/>
        <w:rPr>
          <w:rFonts w:asciiTheme="minorHAnsi" w:hAnsiTheme="minorHAnsi" w:cstheme="minorHAnsi"/>
        </w:rPr>
      </w:pPr>
      <w:r w:rsidRPr="00BF3764">
        <w:rPr>
          <w:rFonts w:asciiTheme="minorHAnsi" w:hAnsiTheme="minorHAnsi" w:cstheme="minorHAnsi"/>
          <w:b w:val="0"/>
          <w:bCs w:val="0"/>
          <w:color w:val="000000"/>
        </w:rPr>
        <w:t>The cost to the government for the 202</w:t>
      </w:r>
      <w:r w:rsidRPr="00BF3764" w:rsidR="00305813">
        <w:rPr>
          <w:rFonts w:asciiTheme="minorHAnsi" w:hAnsiTheme="minorHAnsi" w:cstheme="minorHAnsi"/>
          <w:b w:val="0"/>
          <w:bCs w:val="0"/>
          <w:color w:val="000000"/>
        </w:rPr>
        <w:t>7</w:t>
      </w:r>
      <w:r w:rsidRPr="00BF3764">
        <w:rPr>
          <w:rFonts w:asciiTheme="minorHAnsi" w:hAnsiTheme="minorHAnsi" w:cstheme="minorHAnsi"/>
          <w:b w:val="0"/>
          <w:bCs w:val="0"/>
          <w:color w:val="000000"/>
        </w:rPr>
        <w:t xml:space="preserve"> CFS is estimated at </w:t>
      </w:r>
      <w:r w:rsidRPr="00BF3764">
        <w:rPr>
          <w:rFonts w:asciiTheme="minorHAnsi" w:hAnsiTheme="minorHAnsi" w:cstheme="minorHAnsi"/>
          <w:b w:val="0"/>
          <w:bCs w:val="0"/>
        </w:rPr>
        <w:t>$2</w:t>
      </w:r>
      <w:r w:rsidRPr="00BF3764" w:rsidR="009B5310">
        <w:rPr>
          <w:rFonts w:asciiTheme="minorHAnsi" w:hAnsiTheme="minorHAnsi" w:cstheme="minorHAnsi"/>
          <w:b w:val="0"/>
          <w:bCs w:val="0"/>
        </w:rPr>
        <w:t>2.5</w:t>
      </w:r>
      <w:r w:rsidRPr="00BF3764">
        <w:rPr>
          <w:rFonts w:asciiTheme="minorHAnsi" w:hAnsiTheme="minorHAnsi" w:cstheme="minorHAnsi"/>
          <w:b w:val="0"/>
          <w:bCs w:val="0"/>
        </w:rPr>
        <w:t xml:space="preserve"> million </w:t>
      </w:r>
      <w:r w:rsidRPr="00BF3764">
        <w:rPr>
          <w:rFonts w:asciiTheme="minorHAnsi" w:hAnsiTheme="minorHAnsi" w:cstheme="minorHAnsi"/>
          <w:b w:val="0"/>
          <w:bCs w:val="0"/>
          <w:color w:val="000000"/>
        </w:rPr>
        <w:t xml:space="preserve">over a 5-year period. </w:t>
      </w:r>
      <w:r w:rsidRPr="00BF3764">
        <w:rPr>
          <w:rFonts w:asciiTheme="minorHAnsi" w:hAnsiTheme="minorHAnsi" w:cstheme="minorHAnsi"/>
          <w:b w:val="0"/>
          <w:bCs w:val="0"/>
        </w:rPr>
        <w:t xml:space="preserve">BTS will incur approximately </w:t>
      </w:r>
      <w:r w:rsidRPr="00BF3764" w:rsidR="00305813">
        <w:rPr>
          <w:rFonts w:asciiTheme="minorHAnsi" w:hAnsiTheme="minorHAnsi" w:cstheme="minorHAnsi"/>
          <w:b w:val="0"/>
          <w:bCs w:val="0"/>
        </w:rPr>
        <w:t>80</w:t>
      </w:r>
      <w:r w:rsidRPr="00BF3764">
        <w:rPr>
          <w:rFonts w:asciiTheme="minorHAnsi" w:hAnsiTheme="minorHAnsi" w:cstheme="minorHAnsi"/>
          <w:b w:val="0"/>
          <w:bCs w:val="0"/>
          <w:color w:val="FF0000"/>
        </w:rPr>
        <w:t xml:space="preserve"> </w:t>
      </w:r>
      <w:r w:rsidRPr="00BF3764">
        <w:rPr>
          <w:rFonts w:asciiTheme="minorHAnsi" w:hAnsiTheme="minorHAnsi" w:cstheme="minorHAnsi"/>
          <w:b w:val="0"/>
          <w:bCs w:val="0"/>
        </w:rPr>
        <w:t xml:space="preserve">percent of the cost, and the Census Bureau will incur approximately </w:t>
      </w:r>
      <w:r w:rsidRPr="00BF3764" w:rsidR="00305813">
        <w:rPr>
          <w:rFonts w:asciiTheme="minorHAnsi" w:hAnsiTheme="minorHAnsi" w:cstheme="minorHAnsi"/>
          <w:b w:val="0"/>
          <w:bCs w:val="0"/>
        </w:rPr>
        <w:t>20</w:t>
      </w:r>
      <w:r w:rsidRPr="00BF3764">
        <w:rPr>
          <w:rFonts w:asciiTheme="minorHAnsi" w:hAnsiTheme="minorHAnsi" w:cstheme="minorHAnsi"/>
          <w:b w:val="0"/>
          <w:bCs w:val="0"/>
        </w:rPr>
        <w:t xml:space="preserve"> percent of the cost. </w:t>
      </w:r>
      <w:r w:rsidRPr="00D5370F" w:rsidR="00D5370F">
        <w:rPr>
          <w:rFonts w:asciiTheme="minorHAnsi" w:hAnsiTheme="minorHAnsi" w:cstheme="minorHAnsi"/>
          <w:b w:val="0"/>
          <w:bCs w:val="0"/>
        </w:rPr>
        <w:t xml:space="preserve">This includes expenses for sample design, data collection (including nonresponse follow-up), data capture and processing, data review and editing, publication, equipment, overhead, and support staff. </w:t>
      </w:r>
    </w:p>
    <w:p w:rsidR="00061D50" w:rsidRPr="00BF3764" w:rsidP="00BF3764" w14:paraId="0B4020A7" w14:textId="77777777">
      <w:pPr>
        <w:tabs>
          <w:tab w:val="left" w:pos="804"/>
        </w:tabs>
        <w:spacing w:before="199"/>
        <w:rPr>
          <w:rFonts w:ascii="Calibri" w:hAnsi="Calibri" w:cs="Calibri"/>
          <w:b/>
          <w:sz w:val="24"/>
        </w:rPr>
      </w:pPr>
    </w:p>
    <w:p w:rsidR="00201347" w:rsidP="00061D50" w14:paraId="33D48EDE" w14:textId="77777777">
      <w:pPr>
        <w:pStyle w:val="ListParagraph"/>
        <w:numPr>
          <w:ilvl w:val="0"/>
          <w:numId w:val="7"/>
        </w:numPr>
        <w:tabs>
          <w:tab w:val="left" w:pos="720"/>
        </w:tabs>
        <w:spacing w:before="199"/>
        <w:ind w:left="360" w:hanging="360"/>
        <w:rPr>
          <w:rFonts w:ascii="Calibri" w:hAnsi="Calibri" w:cs="Calibri"/>
          <w:b/>
          <w:sz w:val="24"/>
        </w:rPr>
      </w:pPr>
      <w:r w:rsidRPr="00124446">
        <w:rPr>
          <w:rFonts w:ascii="Calibri" w:hAnsi="Calibri" w:cs="Calibri"/>
          <w:b/>
          <w:sz w:val="24"/>
        </w:rPr>
        <w:t>Explain the reasons for any program changes or adjustments reported in</w:t>
      </w:r>
      <w:r w:rsidRPr="00124446">
        <w:rPr>
          <w:rFonts w:ascii="Calibri" w:hAnsi="Calibri" w:cs="Calibri"/>
          <w:b/>
          <w:spacing w:val="-11"/>
          <w:sz w:val="24"/>
        </w:rPr>
        <w:t xml:space="preserve"> </w:t>
      </w:r>
      <w:r w:rsidRPr="00124446">
        <w:rPr>
          <w:rFonts w:ascii="Calibri" w:hAnsi="Calibri" w:cs="Calibri"/>
          <w:b/>
          <w:sz w:val="24"/>
        </w:rPr>
        <w:t>ROCIS.</w:t>
      </w:r>
    </w:p>
    <w:p w:rsidR="00AD761D" w:rsidRPr="00124446" w:rsidP="00AD761D" w14:paraId="52DF8365" w14:textId="77777777">
      <w:pPr>
        <w:pStyle w:val="ListParagraph"/>
        <w:tabs>
          <w:tab w:val="left" w:pos="720"/>
        </w:tabs>
        <w:spacing w:before="199"/>
        <w:ind w:left="360" w:firstLine="0"/>
        <w:rPr>
          <w:rFonts w:ascii="Calibri" w:hAnsi="Calibri" w:cs="Calibri"/>
          <w:b/>
          <w:sz w:val="24"/>
        </w:rPr>
      </w:pPr>
    </w:p>
    <w:p w:rsidR="00DB20D8" w:rsidRPr="00BF3764" w:rsidP="260BE006" w14:paraId="00B2721F" w14:textId="6E59565D">
      <w:pPr>
        <w:suppressLineNumbers w:val="0"/>
        <w:bidi w:val="0"/>
        <w:spacing w:before="0" w:beforeAutospacing="0" w:after="0" w:afterAutospacing="0" w:line="259" w:lineRule="auto"/>
        <w:ind w:left="399" w:right="359"/>
        <w:jc w:val="left"/>
        <w:rPr>
          <w:rFonts w:asciiTheme="minorAscii" w:hAnsiTheme="minorAscii" w:cstheme="minorAscii"/>
          <w:sz w:val="24"/>
          <w:szCs w:val="24"/>
        </w:rPr>
      </w:pPr>
      <w:r w:rsidRPr="260BE006">
        <w:rPr>
          <w:rFonts w:asciiTheme="minorAscii" w:hAnsiTheme="minorAscii" w:cstheme="minorAscii"/>
          <w:sz w:val="24"/>
          <w:szCs w:val="24"/>
        </w:rPr>
        <w:t xml:space="preserve">The 2027 CFS will </w:t>
      </w:r>
      <w:r w:rsidRPr="260BE006" w:rsidR="00B215DA">
        <w:rPr>
          <w:rFonts w:asciiTheme="minorAscii" w:hAnsiTheme="minorAscii" w:cstheme="minorAscii"/>
          <w:sz w:val="24"/>
          <w:szCs w:val="24"/>
        </w:rPr>
        <w:t xml:space="preserve">include a pre-screener survey, in addition to the main survey. The main survey will </w:t>
      </w:r>
      <w:r w:rsidRPr="260BE006">
        <w:rPr>
          <w:rFonts w:asciiTheme="minorAscii" w:hAnsiTheme="minorAscii" w:cstheme="minorAscii"/>
          <w:sz w:val="24"/>
          <w:szCs w:val="24"/>
        </w:rPr>
        <w:t xml:space="preserve">no longer include the supplemental questions on hazardous material packaging that were in the 2022 CFS. </w:t>
      </w:r>
      <w:r w:rsidRPr="260BE006">
        <w:rPr>
          <w:rFonts w:asciiTheme="minorAscii" w:hAnsiTheme="minorAscii" w:cstheme="minorAscii"/>
          <w:sz w:val="24"/>
          <w:szCs w:val="24"/>
        </w:rPr>
        <w:t xml:space="preserve">This change will reduce the total number of sampled establishments </w:t>
      </w:r>
      <w:r w:rsidRPr="260BE006" w:rsidR="00B215DA">
        <w:rPr>
          <w:rFonts w:asciiTheme="minorAscii" w:hAnsiTheme="minorAscii" w:cstheme="minorAscii"/>
          <w:sz w:val="24"/>
          <w:szCs w:val="24"/>
        </w:rPr>
        <w:t xml:space="preserve">in the main survey </w:t>
      </w:r>
      <w:r w:rsidRPr="260BE006">
        <w:rPr>
          <w:rFonts w:asciiTheme="minorAscii" w:hAnsiTheme="minorAscii" w:cstheme="minorAscii"/>
          <w:sz w:val="24"/>
          <w:szCs w:val="24"/>
        </w:rPr>
        <w:t>from 165,000 in 2022 to 140,000 in 2027. It will also reduce the estimated burden hours for each respondent in the first and fourth quarters from 2.5 hours in 2022 to 1.5 hours in 2027. The changes mentioned above will decrease the total annual burden hours from 1,280,000 in 2022 to 84</w:t>
      </w:r>
      <w:r w:rsidRPr="260BE006" w:rsidR="00B215DA">
        <w:rPr>
          <w:rFonts w:asciiTheme="minorAscii" w:hAnsiTheme="minorAscii" w:cstheme="minorAscii"/>
          <w:sz w:val="24"/>
          <w:szCs w:val="24"/>
        </w:rPr>
        <w:t>3,</w:t>
      </w:r>
      <w:r w:rsidRPr="260BE006" w:rsidR="129B360A">
        <w:rPr>
          <w:rFonts w:asciiTheme="minorAscii" w:hAnsiTheme="minorAscii" w:cstheme="minorAscii"/>
          <w:sz w:val="24"/>
          <w:szCs w:val="24"/>
        </w:rPr>
        <w:t>750</w:t>
      </w:r>
      <w:r w:rsidRPr="260BE006">
        <w:rPr>
          <w:rFonts w:asciiTheme="minorAscii" w:hAnsiTheme="minorAscii" w:cstheme="minorAscii"/>
          <w:sz w:val="24"/>
          <w:szCs w:val="24"/>
        </w:rPr>
        <w:t xml:space="preserve"> in 2027.</w:t>
      </w:r>
    </w:p>
    <w:p w:rsidR="00061D50" w:rsidRPr="00AD761D" w:rsidP="00AD761D" w14:paraId="13CB595B" w14:textId="77777777">
      <w:pPr>
        <w:tabs>
          <w:tab w:val="left" w:pos="804"/>
        </w:tabs>
        <w:spacing w:before="123"/>
        <w:ind w:right="429"/>
        <w:rPr>
          <w:rFonts w:ascii="Calibri" w:hAnsi="Calibri" w:cs="Calibri"/>
          <w:b/>
          <w:sz w:val="24"/>
        </w:rPr>
      </w:pPr>
    </w:p>
    <w:p w:rsidR="00201347" w:rsidRPr="00124446" w:rsidP="00972981" w14:paraId="6B0C3B9C" w14:textId="77777777">
      <w:pPr>
        <w:pStyle w:val="ListParagraph"/>
        <w:numPr>
          <w:ilvl w:val="0"/>
          <w:numId w:val="7"/>
        </w:numPr>
        <w:tabs>
          <w:tab w:val="left" w:pos="804"/>
        </w:tabs>
        <w:spacing w:before="123"/>
        <w:ind w:left="360" w:hanging="360"/>
        <w:rPr>
          <w:rFonts w:ascii="Calibri" w:hAnsi="Calibri" w:cs="Calibri"/>
          <w:b/>
          <w:sz w:val="24"/>
        </w:rPr>
      </w:pPr>
      <w:r w:rsidRPr="00124446">
        <w:rPr>
          <w:rFonts w:ascii="Calibri" w:hAnsi="Calibri" w:cs="Calibri"/>
          <w:b/>
          <w:sz w:val="24"/>
        </w:rPr>
        <w:t>For collections of information whose results will</w:t>
      </w:r>
      <w:r w:rsidR="008D6D12">
        <w:rPr>
          <w:rFonts w:ascii="Calibri" w:hAnsi="Calibri" w:cs="Calibri"/>
          <w:b/>
          <w:sz w:val="24"/>
        </w:rPr>
        <w:t xml:space="preserve"> be published, outline plans for </w:t>
      </w:r>
      <w:r w:rsidRPr="00124446">
        <w:rPr>
          <w:rFonts w:ascii="Calibri" w:hAnsi="Calibri" w:cs="Calibri"/>
          <w:b/>
          <w:sz w:val="24"/>
        </w:rPr>
        <w:t>tabulation and publication. Address any complex analytical techniques that will be used. Provide the time schedule for the entire project, including beginning and ending dates of the collection of information, completion of report, publication dates, and other</w:t>
      </w:r>
      <w:r w:rsidRPr="00124446">
        <w:rPr>
          <w:rFonts w:ascii="Calibri" w:hAnsi="Calibri" w:cs="Calibri"/>
          <w:b/>
          <w:spacing w:val="-9"/>
          <w:sz w:val="24"/>
        </w:rPr>
        <w:t xml:space="preserve"> </w:t>
      </w:r>
      <w:r w:rsidRPr="00124446">
        <w:rPr>
          <w:rFonts w:ascii="Calibri" w:hAnsi="Calibri" w:cs="Calibri"/>
          <w:b/>
          <w:sz w:val="24"/>
        </w:rPr>
        <w:t>actions.</w:t>
      </w:r>
    </w:p>
    <w:p w:rsidR="00AD761D" w:rsidP="00EE6650" w14:paraId="430E9633" w14:textId="77777777">
      <w:pPr>
        <w:spacing w:line="259" w:lineRule="auto"/>
        <w:ind w:left="360" w:right="359"/>
        <w:rPr>
          <w:color w:val="000000" w:themeColor="text1"/>
          <w:sz w:val="24"/>
          <w:szCs w:val="24"/>
        </w:rPr>
      </w:pPr>
    </w:p>
    <w:p w:rsidR="00EE6650" w:rsidRPr="00BF3764" w:rsidP="00EE6650" w14:paraId="7B0D67ED" w14:textId="6CA6F487">
      <w:pPr>
        <w:spacing w:line="259" w:lineRule="auto"/>
        <w:ind w:left="360" w:right="359"/>
        <w:rPr>
          <w:rFonts w:asciiTheme="minorHAnsi" w:hAnsiTheme="minorHAnsi" w:cstheme="minorHAnsi"/>
          <w:b/>
          <w:color w:val="FF0000"/>
          <w:sz w:val="24"/>
        </w:rPr>
      </w:pPr>
      <w:r w:rsidRPr="00BF3764">
        <w:rPr>
          <w:rFonts w:asciiTheme="minorHAnsi" w:hAnsiTheme="minorHAnsi" w:cstheme="minorHAnsi"/>
          <w:color w:val="000000" w:themeColor="text1"/>
          <w:sz w:val="24"/>
          <w:szCs w:val="24"/>
        </w:rPr>
        <w:t xml:space="preserve">The Census Bureau will </w:t>
      </w:r>
      <w:r w:rsidRPr="00BF3764" w:rsidR="002924B8">
        <w:rPr>
          <w:rFonts w:asciiTheme="minorHAnsi" w:hAnsiTheme="minorHAnsi" w:cstheme="minorHAnsi"/>
          <w:color w:val="000000" w:themeColor="text1"/>
          <w:sz w:val="24"/>
          <w:szCs w:val="24"/>
        </w:rPr>
        <w:t>mail</w:t>
      </w:r>
      <w:r w:rsidRPr="00BF3764">
        <w:rPr>
          <w:rFonts w:asciiTheme="minorHAnsi" w:hAnsiTheme="minorHAnsi" w:cstheme="minorHAnsi"/>
          <w:color w:val="000000" w:themeColor="text1"/>
          <w:sz w:val="24"/>
          <w:szCs w:val="24"/>
        </w:rPr>
        <w:t xml:space="preserve"> </w:t>
      </w:r>
      <w:r w:rsidRPr="00BF3764" w:rsidR="000D130F">
        <w:rPr>
          <w:rFonts w:asciiTheme="minorHAnsi" w:hAnsiTheme="minorHAnsi" w:cstheme="minorHAnsi"/>
          <w:color w:val="000000" w:themeColor="text1"/>
          <w:sz w:val="24"/>
          <w:szCs w:val="24"/>
        </w:rPr>
        <w:t xml:space="preserve">the pre-screener survey </w:t>
      </w:r>
      <w:r w:rsidRPr="00BF3764" w:rsidR="002924B8">
        <w:rPr>
          <w:rFonts w:asciiTheme="minorHAnsi" w:hAnsiTheme="minorHAnsi" w:cstheme="minorHAnsi"/>
          <w:color w:val="000000" w:themeColor="text1"/>
          <w:sz w:val="24"/>
          <w:szCs w:val="24"/>
        </w:rPr>
        <w:t xml:space="preserve">letters </w:t>
      </w:r>
      <w:r w:rsidRPr="00BF3764" w:rsidR="000D130F">
        <w:rPr>
          <w:rFonts w:asciiTheme="minorHAnsi" w:hAnsiTheme="minorHAnsi" w:cstheme="minorHAnsi"/>
          <w:color w:val="000000" w:themeColor="text1"/>
          <w:sz w:val="24"/>
          <w:szCs w:val="24"/>
        </w:rPr>
        <w:t>in January 2027</w:t>
      </w:r>
      <w:r w:rsidRPr="00BF3764">
        <w:rPr>
          <w:rFonts w:asciiTheme="minorHAnsi" w:hAnsiTheme="minorHAnsi" w:cstheme="minorHAnsi"/>
          <w:color w:val="000000" w:themeColor="text1"/>
          <w:sz w:val="24"/>
          <w:szCs w:val="24"/>
        </w:rPr>
        <w:t xml:space="preserve"> </w:t>
      </w:r>
      <w:r w:rsidRPr="00BF3764" w:rsidR="002924B8">
        <w:rPr>
          <w:rFonts w:asciiTheme="minorHAnsi" w:hAnsiTheme="minorHAnsi" w:cstheme="minorHAnsi"/>
          <w:color w:val="000000" w:themeColor="text1"/>
          <w:sz w:val="24"/>
          <w:szCs w:val="24"/>
        </w:rPr>
        <w:t xml:space="preserve">and finish collection for that survey in February 2027. Mailing for the main survey letters will begin </w:t>
      </w:r>
      <w:r w:rsidRPr="00BF3764">
        <w:rPr>
          <w:rFonts w:asciiTheme="minorHAnsi" w:hAnsiTheme="minorHAnsi" w:cstheme="minorHAnsi"/>
          <w:color w:val="000000" w:themeColor="text1"/>
          <w:sz w:val="24"/>
          <w:szCs w:val="24"/>
        </w:rPr>
        <w:t xml:space="preserve">in March 2027 and collection and follow up activities </w:t>
      </w:r>
      <w:r w:rsidR="00E42F74">
        <w:rPr>
          <w:rFonts w:asciiTheme="minorHAnsi" w:hAnsiTheme="minorHAnsi" w:cstheme="minorHAnsi"/>
          <w:color w:val="000000" w:themeColor="text1"/>
          <w:sz w:val="24"/>
          <w:szCs w:val="24"/>
        </w:rPr>
        <w:t xml:space="preserve">will continue </w:t>
      </w:r>
      <w:r w:rsidRPr="00BF3764">
        <w:rPr>
          <w:rFonts w:asciiTheme="minorHAnsi" w:hAnsiTheme="minorHAnsi" w:cstheme="minorHAnsi"/>
          <w:color w:val="000000" w:themeColor="text1"/>
          <w:sz w:val="24"/>
          <w:szCs w:val="24"/>
        </w:rPr>
        <w:t xml:space="preserve">through May 2028. </w:t>
      </w:r>
      <w:r w:rsidRPr="00BF3764" w:rsidR="00DD2C38">
        <w:rPr>
          <w:rFonts w:asciiTheme="minorHAnsi" w:hAnsiTheme="minorHAnsi" w:cstheme="minorHAnsi"/>
          <w:color w:val="000000" w:themeColor="text1"/>
          <w:sz w:val="24"/>
          <w:szCs w:val="24"/>
        </w:rPr>
        <w:t>We plan to make estimates and create tables very similar to 2022</w:t>
      </w:r>
      <w:r w:rsidR="00E42F74">
        <w:rPr>
          <w:rFonts w:asciiTheme="minorHAnsi" w:hAnsiTheme="minorHAnsi" w:cstheme="minorHAnsi"/>
          <w:color w:val="000000" w:themeColor="text1"/>
          <w:sz w:val="24"/>
          <w:szCs w:val="24"/>
        </w:rPr>
        <w:t xml:space="preserve"> CFS data products</w:t>
      </w:r>
      <w:r w:rsidRPr="00BF3764" w:rsidR="00DD2C38">
        <w:rPr>
          <w:rFonts w:asciiTheme="minorHAnsi" w:hAnsiTheme="minorHAnsi" w:cstheme="minorHAnsi"/>
          <w:color w:val="000000" w:themeColor="text1"/>
          <w:sz w:val="24"/>
          <w:szCs w:val="24"/>
        </w:rPr>
        <w:t xml:space="preserve"> with the goal of publishing as much usable data as possible for the </w:t>
      </w:r>
      <w:r w:rsidRPr="00BF3764" w:rsidR="00DD2C38">
        <w:rPr>
          <w:rFonts w:asciiTheme="minorHAnsi" w:hAnsiTheme="minorHAnsi" w:cstheme="minorHAnsi"/>
          <w:color w:val="000000" w:themeColor="text1"/>
          <w:sz w:val="24"/>
          <w:szCs w:val="24"/>
        </w:rPr>
        <w:t>general public</w:t>
      </w:r>
      <w:r w:rsidRPr="00BF3764" w:rsidR="00DD2C38">
        <w:rPr>
          <w:rFonts w:asciiTheme="minorHAnsi" w:hAnsiTheme="minorHAnsi" w:cstheme="minorHAnsi"/>
          <w:color w:val="000000" w:themeColor="text1"/>
          <w:sz w:val="24"/>
          <w:szCs w:val="24"/>
        </w:rPr>
        <w:t xml:space="preserve">. </w:t>
      </w:r>
      <w:r w:rsidRPr="00BF3764">
        <w:rPr>
          <w:rFonts w:asciiTheme="minorHAnsi" w:hAnsiTheme="minorHAnsi" w:cstheme="minorHAnsi"/>
          <w:color w:val="000000" w:themeColor="text1"/>
          <w:sz w:val="24"/>
          <w:szCs w:val="24"/>
        </w:rPr>
        <w:t>A general timetable for major activities is listed below:</w:t>
      </w:r>
    </w:p>
    <w:p w:rsidR="00EE6650" w:rsidRPr="00BF3764" w:rsidP="00EE6650" w14:paraId="4C58F033" w14:textId="77777777">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p>
    <w:tbl>
      <w:tblPr>
        <w:tblW w:w="0" w:type="auto"/>
        <w:tblInd w:w="1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1" w:type="dxa"/>
          <w:right w:w="101" w:type="dxa"/>
        </w:tblCellMar>
        <w:tblLook w:val="0000"/>
      </w:tblPr>
      <w:tblGrid>
        <w:gridCol w:w="4230"/>
        <w:gridCol w:w="1710"/>
        <w:gridCol w:w="1800"/>
      </w:tblGrid>
      <w:tr w14:paraId="582E1031" w14:textId="77777777">
        <w:tblPrEx>
          <w:tblW w:w="0" w:type="auto"/>
          <w:tblInd w:w="1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0B03AD2C" w14:textId="77777777">
            <w:pPr>
              <w:pStyle w:val="QuickFormat1"/>
              <w:tabs>
                <w:tab w:val="center" w:pos="2014"/>
              </w:tabs>
              <w:rPr>
                <w:rFonts w:asciiTheme="minorHAnsi" w:hAnsiTheme="minorHAnsi" w:cstheme="minorHAnsi"/>
                <w:szCs w:val="24"/>
              </w:rPr>
            </w:pPr>
            <w:r w:rsidRPr="00BF3764">
              <w:rPr>
                <w:rFonts w:asciiTheme="minorHAnsi" w:hAnsiTheme="minorHAnsi" w:cstheme="minorHAnsi"/>
                <w:szCs w:val="24"/>
              </w:rPr>
              <w:tab/>
            </w:r>
            <w:r w:rsidRPr="00BF3764">
              <w:rPr>
                <w:rFonts w:asciiTheme="minorHAnsi" w:hAnsiTheme="minorHAnsi" w:cstheme="minorHAnsi"/>
                <w:szCs w:val="24"/>
              </w:rPr>
              <w:t>Activity</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27171FE4" w14:textId="77777777">
            <w:pPr>
              <w:tabs>
                <w:tab w:val="center" w:pos="754"/>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ab/>
            </w:r>
            <w:r w:rsidRPr="00BF3764">
              <w:rPr>
                <w:rFonts w:asciiTheme="minorHAnsi" w:hAnsiTheme="minorHAnsi" w:cstheme="minorHAnsi"/>
                <w:color w:val="000000"/>
                <w:sz w:val="24"/>
                <w:szCs w:val="24"/>
              </w:rPr>
              <w:t>Start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3D2F3C6E" w14:textId="77777777">
            <w:pPr>
              <w:tabs>
                <w:tab w:val="center" w:pos="799"/>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ab/>
            </w:r>
            <w:r w:rsidRPr="00BF3764">
              <w:rPr>
                <w:rFonts w:asciiTheme="minorHAnsi" w:hAnsiTheme="minorHAnsi" w:cstheme="minorHAnsi"/>
                <w:color w:val="000000"/>
                <w:sz w:val="24"/>
                <w:szCs w:val="24"/>
              </w:rPr>
              <w:t>Finish</w:t>
            </w:r>
          </w:p>
        </w:tc>
      </w:tr>
      <w:tr w14:paraId="70176E16" w14:textId="77777777">
        <w:tblPrEx>
          <w:tblW w:w="0" w:type="auto"/>
          <w:tblInd w:w="1740" w:type="dxa"/>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7A30058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themeColor="text1"/>
                <w:sz w:val="24"/>
                <w:szCs w:val="24"/>
              </w:rPr>
              <w:t>Select Sample</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1F513B87" w14:textId="47132759">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Dec 202</w:t>
            </w:r>
            <w:r w:rsidRPr="00BF3764" w:rsidR="008F278E">
              <w:rPr>
                <w:rFonts w:asciiTheme="minorHAnsi" w:hAnsiTheme="minorHAnsi" w:cstheme="minorHAnsi"/>
                <w:color w:val="000000"/>
                <w:sz w:val="24"/>
                <w:szCs w:val="24"/>
              </w:rPr>
              <w:t>6</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0A656D1B" w14:textId="6379E2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themeColor="text1"/>
                <w:sz w:val="24"/>
                <w:szCs w:val="24"/>
              </w:rPr>
              <w:t>Dec 202</w:t>
            </w:r>
            <w:r w:rsidRPr="00BF3764" w:rsidR="008F278E">
              <w:rPr>
                <w:rFonts w:asciiTheme="minorHAnsi" w:hAnsiTheme="minorHAnsi" w:cstheme="minorHAnsi"/>
                <w:color w:val="000000" w:themeColor="text1"/>
                <w:sz w:val="24"/>
                <w:szCs w:val="24"/>
              </w:rPr>
              <w:t>6</w:t>
            </w:r>
          </w:p>
        </w:tc>
      </w:tr>
      <w:tr w14:paraId="022E2F20" w14:textId="77777777">
        <w:tblPrEx>
          <w:tblW w:w="0" w:type="auto"/>
          <w:tblInd w:w="1740" w:type="dxa"/>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0D130F" w:rsidRPr="00BF3764" w14:paraId="583D8231" w14:textId="6F475BA7">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Mail Pre-Screener Survey Letters</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0D130F" w:rsidRPr="00BF3764" w14:paraId="4AB86891" w14:textId="4159D185">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Jan 2027</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0D130F" w:rsidRPr="00BF3764" w14:paraId="1F90698E" w14:textId="306B21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themeColor="text1"/>
                <w:sz w:val="24"/>
                <w:szCs w:val="24"/>
              </w:rPr>
            </w:pPr>
            <w:r w:rsidRPr="00BF3764">
              <w:rPr>
                <w:rFonts w:asciiTheme="minorHAnsi" w:hAnsiTheme="minorHAnsi" w:cstheme="minorHAnsi"/>
                <w:color w:val="000000" w:themeColor="text1"/>
                <w:sz w:val="24"/>
                <w:szCs w:val="24"/>
              </w:rPr>
              <w:t>Jan 2027</w:t>
            </w:r>
          </w:p>
        </w:tc>
      </w:tr>
      <w:tr w14:paraId="0C6C0778" w14:textId="77777777">
        <w:tblPrEx>
          <w:tblW w:w="0" w:type="auto"/>
          <w:tblInd w:w="1740" w:type="dxa"/>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2924B8" w:rsidRPr="00BF3764" w14:paraId="26BC301C" w14:textId="77471EB2">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Pre-screener Follow Up</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2924B8" w:rsidRPr="00BF3764" w14:paraId="1C8E7C8A" w14:textId="3E1383FC">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Jan 2027</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2924B8" w:rsidRPr="00BF3764" w14:paraId="214C6FDC" w14:textId="75E0F5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themeColor="text1"/>
                <w:sz w:val="24"/>
                <w:szCs w:val="24"/>
              </w:rPr>
            </w:pPr>
            <w:r w:rsidRPr="00BF3764">
              <w:rPr>
                <w:rFonts w:asciiTheme="minorHAnsi" w:hAnsiTheme="minorHAnsi" w:cstheme="minorHAnsi"/>
                <w:color w:val="000000" w:themeColor="text1"/>
                <w:sz w:val="24"/>
                <w:szCs w:val="24"/>
              </w:rPr>
              <w:t>Feb 2027</w:t>
            </w:r>
          </w:p>
        </w:tc>
      </w:tr>
      <w:tr w14:paraId="04A3FB91" w14:textId="77777777">
        <w:tblPrEx>
          <w:tblW w:w="0" w:type="auto"/>
          <w:tblInd w:w="1740" w:type="dxa"/>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4DE7348F" w14:textId="7702C3E2">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 xml:space="preserve">Mail </w:t>
            </w:r>
            <w:r w:rsidRPr="00BF3764" w:rsidR="000D130F">
              <w:rPr>
                <w:rFonts w:asciiTheme="minorHAnsi" w:hAnsiTheme="minorHAnsi" w:cstheme="minorHAnsi"/>
                <w:color w:val="000000"/>
                <w:sz w:val="24"/>
                <w:szCs w:val="24"/>
              </w:rPr>
              <w:t xml:space="preserve">Main </w:t>
            </w:r>
            <w:r w:rsidRPr="00BF3764">
              <w:rPr>
                <w:rFonts w:asciiTheme="minorHAnsi" w:hAnsiTheme="minorHAnsi" w:cstheme="minorHAnsi"/>
                <w:color w:val="000000"/>
                <w:sz w:val="24"/>
                <w:szCs w:val="24"/>
              </w:rPr>
              <w:t>Survey Letters</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39D82173" w14:textId="2C7BF541">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 xml:space="preserve">Mar 2027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338807E7" w14:textId="2974C8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themeColor="text1"/>
                <w:sz w:val="24"/>
                <w:szCs w:val="24"/>
              </w:rPr>
              <w:t>Feb</w:t>
            </w:r>
            <w:r w:rsidRPr="00BF3764">
              <w:rPr>
                <w:rFonts w:asciiTheme="minorHAnsi" w:hAnsiTheme="minorHAnsi" w:cstheme="minorHAnsi"/>
                <w:color w:val="000000" w:themeColor="text1"/>
                <w:sz w:val="24"/>
                <w:szCs w:val="24"/>
              </w:rPr>
              <w:t xml:space="preserve"> 202</w:t>
            </w:r>
            <w:r w:rsidRPr="00BF3764">
              <w:rPr>
                <w:rFonts w:asciiTheme="minorHAnsi" w:hAnsiTheme="minorHAnsi" w:cstheme="minorHAnsi"/>
                <w:color w:val="000000" w:themeColor="text1"/>
                <w:sz w:val="24"/>
                <w:szCs w:val="24"/>
              </w:rPr>
              <w:t>8</w:t>
            </w:r>
          </w:p>
        </w:tc>
      </w:tr>
      <w:tr w14:paraId="5445D9A8" w14:textId="77777777">
        <w:tblPrEx>
          <w:tblW w:w="0" w:type="auto"/>
          <w:tblInd w:w="1740" w:type="dxa"/>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21F6AA91" w14:textId="77777777">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Non-response Follow up</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0EFA3BB2" w14:textId="218937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themeColor="text1"/>
                <w:sz w:val="24"/>
                <w:szCs w:val="24"/>
              </w:rPr>
              <w:t>May 2027</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30D0C5ED" w14:textId="746B2B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themeColor="text1"/>
                <w:sz w:val="24"/>
                <w:szCs w:val="24"/>
              </w:rPr>
              <w:t>May 2028</w:t>
            </w:r>
          </w:p>
        </w:tc>
      </w:tr>
      <w:tr w14:paraId="0C2003D8" w14:textId="77777777">
        <w:tblPrEx>
          <w:tblW w:w="0" w:type="auto"/>
          <w:tblInd w:w="1740" w:type="dxa"/>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16BBE397" w14:textId="77777777">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Check-in, Editing, Problem Resolution</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4116DE5D" w14:textId="18DA1767">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sz w:val="24"/>
                <w:szCs w:val="24"/>
              </w:rPr>
            </w:pPr>
            <w:r w:rsidRPr="00BF3764">
              <w:rPr>
                <w:rFonts w:asciiTheme="minorHAnsi" w:hAnsiTheme="minorHAnsi" w:cstheme="minorHAnsi"/>
                <w:sz w:val="24"/>
                <w:szCs w:val="24"/>
              </w:rPr>
              <w:t>Apr 202</w:t>
            </w:r>
            <w:r w:rsidRPr="00BF3764" w:rsidR="001525BF">
              <w:rPr>
                <w:rFonts w:asciiTheme="minorHAnsi" w:hAnsiTheme="minorHAnsi" w:cstheme="minorHAnsi"/>
                <w:sz w:val="24"/>
                <w:szCs w:val="24"/>
              </w:rPr>
              <w:t>7</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255D6CB4" w14:textId="52B2D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sz w:val="24"/>
                <w:szCs w:val="24"/>
              </w:rPr>
            </w:pPr>
            <w:r w:rsidRPr="00BF3764">
              <w:rPr>
                <w:rFonts w:asciiTheme="minorHAnsi" w:hAnsiTheme="minorHAnsi" w:cstheme="minorHAnsi"/>
                <w:sz w:val="24"/>
                <w:szCs w:val="24"/>
              </w:rPr>
              <w:t>Jul 202</w:t>
            </w:r>
            <w:r w:rsidRPr="00BF3764" w:rsidR="001525BF">
              <w:rPr>
                <w:rFonts w:asciiTheme="minorHAnsi" w:hAnsiTheme="minorHAnsi" w:cstheme="minorHAnsi"/>
                <w:sz w:val="24"/>
                <w:szCs w:val="24"/>
              </w:rPr>
              <w:t>8</w:t>
            </w:r>
          </w:p>
        </w:tc>
      </w:tr>
      <w:tr w14:paraId="0A019AC8" w14:textId="77777777">
        <w:tblPrEx>
          <w:tblW w:w="0" w:type="auto"/>
          <w:tblInd w:w="1740" w:type="dxa"/>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43402FC3" w14:textId="77777777">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Data Estimation &amp; Analysis</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107531D2" w14:textId="15FE64C8">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sz w:val="24"/>
                <w:szCs w:val="24"/>
              </w:rPr>
            </w:pPr>
            <w:r w:rsidRPr="00BF3764">
              <w:rPr>
                <w:rFonts w:asciiTheme="minorHAnsi" w:hAnsiTheme="minorHAnsi" w:cstheme="minorHAnsi"/>
                <w:sz w:val="24"/>
                <w:szCs w:val="24"/>
              </w:rPr>
              <w:t>Jul 202</w:t>
            </w:r>
            <w:r w:rsidRPr="00BF3764" w:rsidR="001525BF">
              <w:rPr>
                <w:rFonts w:asciiTheme="minorHAnsi" w:hAnsiTheme="minorHAnsi" w:cstheme="minorHAnsi"/>
                <w:sz w:val="24"/>
                <w:szCs w:val="24"/>
              </w:rPr>
              <w:t>8</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7B0500EE" w14:textId="080330DB">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sz w:val="24"/>
                <w:szCs w:val="24"/>
              </w:rPr>
            </w:pPr>
            <w:r w:rsidRPr="00BF3764">
              <w:rPr>
                <w:rFonts w:asciiTheme="minorHAnsi" w:hAnsiTheme="minorHAnsi" w:cstheme="minorHAnsi"/>
                <w:sz w:val="24"/>
                <w:szCs w:val="24"/>
              </w:rPr>
              <w:t>Apr 20</w:t>
            </w:r>
            <w:r w:rsidRPr="00BF3764" w:rsidR="001525BF">
              <w:rPr>
                <w:rFonts w:asciiTheme="minorHAnsi" w:hAnsiTheme="minorHAnsi" w:cstheme="minorHAnsi"/>
                <w:sz w:val="24"/>
                <w:szCs w:val="24"/>
              </w:rPr>
              <w:t>30</w:t>
            </w:r>
          </w:p>
        </w:tc>
      </w:tr>
      <w:tr w14:paraId="17BABF35" w14:textId="77777777">
        <w:tblPrEx>
          <w:tblW w:w="0" w:type="auto"/>
          <w:tblInd w:w="1740" w:type="dxa"/>
          <w:tblLayout w:type="fixed"/>
          <w:tblCellMar>
            <w:left w:w="101" w:type="dxa"/>
            <w:right w:w="101" w:type="dxa"/>
          </w:tblCellMar>
          <w:tblLook w:val="0000"/>
        </w:tblPrEx>
        <w:trPr>
          <w:cantSplit/>
        </w:trPr>
        <w:tc>
          <w:tcPr>
            <w:tcW w:w="4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7A9BA8EB" w14:textId="7B462047">
            <w:pPr>
              <w:tabs>
                <w:tab w:val="center" w:pos="2014"/>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 xml:space="preserve">Publication </w:t>
            </w:r>
            <w:r w:rsidRPr="00BF3764" w:rsidR="0083485E">
              <w:rPr>
                <w:rFonts w:asciiTheme="minorHAnsi" w:hAnsiTheme="minorHAnsi" w:cstheme="minorHAnsi"/>
                <w:color w:val="000000"/>
                <w:sz w:val="24"/>
                <w:szCs w:val="24"/>
              </w:rPr>
              <w:t>Release -</w:t>
            </w:r>
            <w:r w:rsidRPr="00BF3764">
              <w:rPr>
                <w:rFonts w:asciiTheme="minorHAnsi" w:hAnsiTheme="minorHAnsi" w:cstheme="minorHAnsi"/>
                <w:color w:val="000000"/>
                <w:sz w:val="24"/>
                <w:szCs w:val="24"/>
              </w:rPr>
              <w:t xml:space="preserve"> Final </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40AC3D67" w14:textId="25288CEB">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May 2030</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20" w:type="dxa"/>
              <w:left w:w="120" w:type="dxa"/>
              <w:bottom w:w="58" w:type="dxa"/>
              <w:right w:w="120" w:type="dxa"/>
            </w:tcMar>
          </w:tcPr>
          <w:p w:rsidR="00EE6650" w:rsidRPr="00BF3764" w14:paraId="2ABC5FFA" w14:textId="185DCBF1">
            <w:pPr>
              <w:tabs>
                <w:tab w:val="left" w:pos="-1123"/>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color w:val="000000"/>
                <w:sz w:val="24"/>
                <w:szCs w:val="24"/>
              </w:rPr>
            </w:pPr>
            <w:r w:rsidRPr="00BF3764">
              <w:rPr>
                <w:rFonts w:asciiTheme="minorHAnsi" w:hAnsiTheme="minorHAnsi" w:cstheme="minorHAnsi"/>
                <w:color w:val="000000"/>
                <w:sz w:val="24"/>
                <w:szCs w:val="24"/>
              </w:rPr>
              <w:t>May 2030</w:t>
            </w:r>
          </w:p>
        </w:tc>
      </w:tr>
    </w:tbl>
    <w:p w:rsidR="00EE6650" w:rsidRPr="00BF3764" w:rsidP="00972981" w14:paraId="513BB7F7" w14:textId="77777777">
      <w:pPr>
        <w:spacing w:line="259" w:lineRule="auto"/>
        <w:ind w:left="360" w:right="359"/>
        <w:rPr>
          <w:rFonts w:asciiTheme="minorHAnsi" w:hAnsiTheme="minorHAnsi" w:cstheme="minorHAnsi"/>
          <w:b/>
          <w:color w:val="FF0000"/>
          <w:sz w:val="24"/>
        </w:rPr>
      </w:pPr>
    </w:p>
    <w:p w:rsidR="00972981" w:rsidRPr="00972981" w:rsidP="00972981" w14:paraId="6D9C8D39" w14:textId="77777777">
      <w:pPr>
        <w:pStyle w:val="BodyText"/>
        <w:spacing w:before="160"/>
        <w:rPr>
          <w:rFonts w:ascii="Calibri" w:hAnsi="Calibri" w:cs="Calibri"/>
          <w:color w:val="0070C0"/>
        </w:rPr>
      </w:pPr>
    </w:p>
    <w:p w:rsidR="00201347" w:rsidRPr="00124446" w:rsidP="00220406" w14:paraId="18D08025" w14:textId="77777777">
      <w:pPr>
        <w:pStyle w:val="Heading1"/>
        <w:numPr>
          <w:ilvl w:val="0"/>
          <w:numId w:val="7"/>
        </w:numPr>
        <w:tabs>
          <w:tab w:val="left" w:pos="804"/>
        </w:tabs>
        <w:spacing w:before="116"/>
        <w:ind w:left="360" w:right="509" w:hanging="360"/>
        <w:rPr>
          <w:rFonts w:ascii="Calibri" w:hAnsi="Calibri" w:cs="Calibri"/>
        </w:rPr>
      </w:pPr>
      <w:r w:rsidRPr="00124446">
        <w:rPr>
          <w:rFonts w:ascii="Calibri" w:hAnsi="Calibri" w:cs="Calibri"/>
        </w:rPr>
        <w:t>If seeking approval to not display the expiration date for OMB approval of the</w:t>
      </w:r>
      <w:r w:rsidRPr="00124446">
        <w:rPr>
          <w:rFonts w:ascii="Calibri" w:hAnsi="Calibri" w:cs="Calibri"/>
          <w:spacing w:val="-44"/>
        </w:rPr>
        <w:t xml:space="preserve"> </w:t>
      </w:r>
      <w:r w:rsidRPr="00124446">
        <w:rPr>
          <w:rFonts w:ascii="Calibri" w:hAnsi="Calibri" w:cs="Calibri"/>
        </w:rPr>
        <w:t>information collection, explain the reasons that display would be</w:t>
      </w:r>
      <w:r w:rsidRPr="00124446">
        <w:rPr>
          <w:rFonts w:ascii="Calibri" w:hAnsi="Calibri" w:cs="Calibri"/>
          <w:spacing w:val="-7"/>
        </w:rPr>
        <w:t xml:space="preserve"> </w:t>
      </w:r>
      <w:r w:rsidRPr="00124446">
        <w:rPr>
          <w:rFonts w:ascii="Calibri" w:hAnsi="Calibri" w:cs="Calibri"/>
        </w:rPr>
        <w:t>inappropriate.</w:t>
      </w:r>
    </w:p>
    <w:p w:rsidR="00BD42E1" w:rsidP="00220406" w14:paraId="183B8836" w14:textId="77777777">
      <w:pPr>
        <w:spacing w:line="259" w:lineRule="auto"/>
        <w:ind w:left="360" w:right="359"/>
        <w:rPr>
          <w:rFonts w:ascii="Calibri" w:hAnsi="Calibri" w:cs="Calibri"/>
          <w:b/>
          <w:color w:val="FF0000"/>
          <w:sz w:val="24"/>
        </w:rPr>
      </w:pPr>
    </w:p>
    <w:p w:rsidR="002D11C1" w:rsidRPr="002D11C1" w:rsidP="00220406" w14:paraId="3385BF64" w14:textId="04BE3381">
      <w:pPr>
        <w:spacing w:line="259" w:lineRule="auto"/>
        <w:ind w:left="360" w:right="359"/>
        <w:rPr>
          <w:rFonts w:ascii="Calibri" w:hAnsi="Calibri" w:cs="Calibri"/>
          <w:b/>
          <w:iCs/>
          <w:sz w:val="24"/>
        </w:rPr>
      </w:pPr>
      <w:r w:rsidRPr="002D11C1">
        <w:rPr>
          <w:rFonts w:ascii="Calibri" w:hAnsi="Calibri" w:cs="Calibri"/>
          <w:iCs/>
          <w:sz w:val="24"/>
        </w:rPr>
        <w:t xml:space="preserve">The agency plans to display the expiration date for OMB approval of the information collection on all </w:t>
      </w:r>
      <w:r w:rsidR="00E42F74">
        <w:rPr>
          <w:rFonts w:ascii="Calibri" w:hAnsi="Calibri" w:cs="Calibri"/>
          <w:iCs/>
          <w:sz w:val="24"/>
        </w:rPr>
        <w:t xml:space="preserve">survey </w:t>
      </w:r>
      <w:r w:rsidRPr="002D11C1">
        <w:rPr>
          <w:rFonts w:ascii="Calibri" w:hAnsi="Calibri" w:cs="Calibri"/>
          <w:iCs/>
          <w:sz w:val="24"/>
        </w:rPr>
        <w:t>instruments.</w:t>
      </w:r>
    </w:p>
    <w:p w:rsidR="00220406" w:rsidRPr="00220406" w14:paraId="675E05EE" w14:textId="77777777">
      <w:pPr>
        <w:spacing w:before="161"/>
        <w:ind w:left="400" w:right="402"/>
        <w:rPr>
          <w:rFonts w:ascii="Calibri" w:hAnsi="Calibri" w:cs="Calibri"/>
          <w:sz w:val="24"/>
        </w:rPr>
      </w:pPr>
    </w:p>
    <w:p w:rsidR="00D53BE9" w:rsidRPr="00BD42E1" w:rsidP="00BD42E1" w14:paraId="7CE4F9B5" w14:textId="12D5A3CF">
      <w:pPr>
        <w:pStyle w:val="Heading1"/>
        <w:numPr>
          <w:ilvl w:val="0"/>
          <w:numId w:val="7"/>
        </w:numPr>
        <w:tabs>
          <w:tab w:val="left" w:pos="720"/>
        </w:tabs>
        <w:spacing w:line="259" w:lineRule="auto"/>
        <w:ind w:left="360" w:hanging="360"/>
        <w:rPr>
          <w:rFonts w:ascii="Calibri" w:hAnsi="Calibri" w:cs="Calibri"/>
        </w:rPr>
      </w:pPr>
      <w:r w:rsidRPr="00124446">
        <w:rPr>
          <w:rFonts w:ascii="Calibri" w:hAnsi="Calibri" w:cs="Calibri"/>
        </w:rPr>
        <w:t xml:space="preserve">Explain each exception to the certification statement identified in “Certification </w:t>
      </w:r>
      <w:r w:rsidRPr="00124446">
        <w:rPr>
          <w:rFonts w:ascii="Calibri" w:hAnsi="Calibri" w:cs="Calibri"/>
          <w:spacing w:val="-2"/>
        </w:rPr>
        <w:t xml:space="preserve">for </w:t>
      </w:r>
      <w:r w:rsidRPr="00124446">
        <w:rPr>
          <w:rFonts w:ascii="Calibri" w:hAnsi="Calibri" w:cs="Calibri"/>
        </w:rPr>
        <w:t>Paperwork Reduction Act</w:t>
      </w:r>
      <w:r w:rsidRPr="00124446">
        <w:rPr>
          <w:rFonts w:ascii="Calibri" w:hAnsi="Calibri" w:cs="Calibri"/>
          <w:spacing w:val="-1"/>
        </w:rPr>
        <w:t xml:space="preserve"> </w:t>
      </w:r>
      <w:r w:rsidRPr="00124446">
        <w:rPr>
          <w:rFonts w:ascii="Calibri" w:hAnsi="Calibri" w:cs="Calibri"/>
        </w:rPr>
        <w:t>Submissions."</w:t>
      </w:r>
    </w:p>
    <w:p w:rsidR="00E910AC" w:rsidP="00E910AC" w14:paraId="4735F372" w14:textId="580705F8">
      <w:pPr>
        <w:spacing w:before="221" w:line="259" w:lineRule="auto"/>
        <w:ind w:left="400" w:right="477"/>
        <w:rPr>
          <w:bCs/>
          <w:iCs/>
        </w:rPr>
      </w:pPr>
      <w:r w:rsidRPr="002D11C1">
        <w:rPr>
          <w:rFonts w:ascii="Calibri" w:hAnsi="Calibri" w:cs="Calibri"/>
          <w:bCs/>
          <w:iCs/>
          <w:sz w:val="24"/>
        </w:rPr>
        <w:t xml:space="preserve">The agency certifies compliance with </w:t>
      </w:r>
      <w:hyperlink r:id="rId8">
        <w:r w:rsidRPr="002D11C1">
          <w:rPr>
            <w:rFonts w:ascii="Calibri" w:hAnsi="Calibri" w:cs="Calibri"/>
            <w:bCs/>
            <w:iCs/>
            <w:sz w:val="24"/>
            <w:u w:val="thick" w:color="0563C1"/>
          </w:rPr>
          <w:t>5 CFR 1320.9</w:t>
        </w:r>
        <w:r w:rsidRPr="002D11C1">
          <w:rPr>
            <w:rFonts w:ascii="Calibri" w:hAnsi="Calibri" w:cs="Calibri"/>
            <w:bCs/>
            <w:iCs/>
            <w:sz w:val="24"/>
          </w:rPr>
          <w:t xml:space="preserve"> </w:t>
        </w:r>
      </w:hyperlink>
      <w:r w:rsidRPr="002D11C1">
        <w:rPr>
          <w:rFonts w:ascii="Calibri" w:hAnsi="Calibri" w:cs="Calibri"/>
          <w:bCs/>
          <w:iCs/>
          <w:sz w:val="24"/>
        </w:rPr>
        <w:t xml:space="preserve">and the related provisions of </w:t>
      </w:r>
      <w:hyperlink r:id="rId9">
        <w:r w:rsidRPr="002D11C1">
          <w:rPr>
            <w:rFonts w:ascii="Calibri" w:hAnsi="Calibri" w:cs="Calibri"/>
            <w:bCs/>
            <w:iCs/>
            <w:sz w:val="24"/>
            <w:u w:val="thick" w:color="0563C1"/>
          </w:rPr>
          <w:t>5 CFR</w:t>
        </w:r>
      </w:hyperlink>
      <w:r w:rsidRPr="002D11C1">
        <w:rPr>
          <w:rFonts w:ascii="Calibri" w:hAnsi="Calibri" w:cs="Calibri"/>
          <w:bCs/>
          <w:iCs/>
          <w:sz w:val="24"/>
        </w:rPr>
        <w:t xml:space="preserve"> </w:t>
      </w:r>
      <w:hyperlink r:id="rId9">
        <w:r w:rsidRPr="002D11C1">
          <w:rPr>
            <w:rFonts w:ascii="Calibri" w:hAnsi="Calibri" w:cs="Calibri"/>
            <w:bCs/>
            <w:iCs/>
            <w:sz w:val="24"/>
            <w:u w:val="thick" w:color="0563C1"/>
          </w:rPr>
          <w:t>1320.8(b)(3)</w:t>
        </w:r>
      </w:hyperlink>
      <w:r w:rsidRPr="002D11C1" w:rsidR="002D11C1">
        <w:rPr>
          <w:bCs/>
          <w:iCs/>
        </w:rPr>
        <w:t>.</w:t>
      </w:r>
      <w:r w:rsidR="00E42F74">
        <w:rPr>
          <w:bCs/>
          <w:iCs/>
        </w:rPr>
        <w:t xml:space="preserve">  </w:t>
      </w:r>
      <w:r w:rsidRPr="00F10374" w:rsidR="00E42F74">
        <w:rPr>
          <w:rFonts w:asciiTheme="minorHAnsi" w:hAnsiTheme="minorHAnsi" w:cstheme="minorHAnsi"/>
          <w:bCs/>
          <w:iCs/>
          <w:sz w:val="24"/>
          <w:szCs w:val="24"/>
        </w:rPr>
        <w:t>There are no exceptions to the certification.</w:t>
      </w:r>
    </w:p>
    <w:p w:rsidR="00E910AC" w:rsidP="00E910AC" w14:paraId="005F4862" w14:textId="77777777">
      <w:pPr>
        <w:spacing w:before="221" w:line="259" w:lineRule="auto"/>
        <w:ind w:left="400" w:right="477"/>
        <w:rPr>
          <w:bCs/>
          <w:iCs/>
        </w:rPr>
      </w:pPr>
    </w:p>
    <w:p w:rsidR="00E910AC" w:rsidRPr="003C7B84" w:rsidP="003C7B84" w14:paraId="7BB80DBA" w14:textId="4E9C3E5B">
      <w:pPr>
        <w:pStyle w:val="ListParagraph"/>
        <w:numPr>
          <w:ilvl w:val="0"/>
          <w:numId w:val="20"/>
        </w:numPr>
        <w:spacing w:before="221" w:line="259" w:lineRule="auto"/>
        <w:ind w:right="477"/>
        <w:rPr>
          <w:rFonts w:ascii="Calibri" w:hAnsi="Calibri" w:cs="Calibri"/>
          <w:bCs/>
          <w:iCs/>
        </w:rPr>
      </w:pPr>
      <w:r w:rsidRPr="003C7B84">
        <w:rPr>
          <w:rFonts w:ascii="Calibri" w:hAnsi="Calibri" w:cs="Calibri"/>
          <w:bCs/>
          <w:iCs/>
        </w:rPr>
        <w:t>All references to ‘establishment’ in th</w:t>
      </w:r>
      <w:r w:rsidRPr="003C7B84" w:rsidR="00706BDC">
        <w:rPr>
          <w:rFonts w:ascii="Calibri" w:hAnsi="Calibri" w:cs="Calibri"/>
          <w:bCs/>
          <w:iCs/>
        </w:rPr>
        <w:t>is</w:t>
      </w:r>
      <w:r w:rsidRPr="003C7B84">
        <w:rPr>
          <w:rFonts w:ascii="Calibri" w:hAnsi="Calibri" w:cs="Calibri"/>
          <w:bCs/>
          <w:iCs/>
        </w:rPr>
        <w:t xml:space="preserve"> document refer to collections of establishments at the same physical address belonging to the same company.</w:t>
      </w:r>
    </w:p>
    <w:sectPr w:rsidSect="002A1D08">
      <w:footerReference w:type="default" r:id="rId10"/>
      <w:pgSz w:w="12240" w:h="15840" w:orient="portrait"/>
      <w:pgMar w:top="1440" w:right="1080" w:bottom="1440" w:left="1080" w:header="0" w:footer="1014"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865770"/>
      <w:docPartObj>
        <w:docPartGallery w:val="Page Numbers (Bottom of Page)"/>
        <w:docPartUnique/>
      </w:docPartObj>
    </w:sdtPr>
    <w:sdtEndPr>
      <w:rPr>
        <w:noProof/>
      </w:rPr>
    </w:sdtEndPr>
    <w:sdtContent>
      <w:p w:rsidR="00A93D97" w14:paraId="45FE3254" w14:textId="77777777">
        <w:pPr>
          <w:pStyle w:val="Footer"/>
        </w:pPr>
        <w:r>
          <w:t xml:space="preserve">Page | </w:t>
        </w:r>
        <w:r>
          <w:fldChar w:fldCharType="begin"/>
        </w:r>
        <w:r>
          <w:instrText xml:space="preserve"> PAGE   \* MERGEFORMAT </w:instrText>
        </w:r>
        <w:r>
          <w:fldChar w:fldCharType="separate"/>
        </w:r>
        <w:r w:rsidR="00EB723C">
          <w:rPr>
            <w:noProof/>
          </w:rPr>
          <w:t>6</w:t>
        </w:r>
        <w:r>
          <w:rPr>
            <w:noProof/>
          </w:rPr>
          <w:fldChar w:fldCharType="end"/>
        </w:r>
      </w:p>
    </w:sdtContent>
  </w:sdt>
  <w:p w:rsidR="00201347" w14:paraId="5AE48A43" w14:textId="77777777">
    <w:pPr>
      <w:pStyle w:val="BodyText"/>
      <w:spacing w:before="0" w:line="14" w:lineRule="auto"/>
      <w:ind w:left="0"/>
      <w:rPr>
        <w:sz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633534"/>
    <w:multiLevelType w:val="hybridMultilevel"/>
    <w:tmpl w:val="77C2BF08"/>
    <w:lvl w:ilvl="0">
      <w:start w:val="1"/>
      <w:numFmt w:val="decimal"/>
      <w:lvlText w:val="%1."/>
      <w:lvlJc w:val="left"/>
      <w:pPr>
        <w:ind w:left="400" w:hanging="269"/>
      </w:pPr>
      <w:rPr>
        <w:rFonts w:ascii="Arial" w:eastAsia="Arial" w:hAnsi="Arial" w:cs="Arial" w:hint="default"/>
        <w:b/>
        <w:bCs/>
        <w:w w:val="100"/>
        <w:sz w:val="24"/>
        <w:szCs w:val="24"/>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1">
    <w:nsid w:val="03F626D6"/>
    <w:multiLevelType w:val="hybridMultilevel"/>
    <w:tmpl w:val="457E7D22"/>
    <w:lvl w:ilvl="0">
      <w:start w:val="0"/>
      <w:numFmt w:val="bullet"/>
      <w:lvlText w:val=""/>
      <w:lvlJc w:val="left"/>
      <w:pPr>
        <w:ind w:left="469"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713" w:hanging="360"/>
      </w:pPr>
      <w:rPr>
        <w:rFonts w:hint="default"/>
        <w:lang w:val="en-US" w:eastAsia="en-US" w:bidi="en-US"/>
      </w:rPr>
    </w:lvl>
    <w:lvl w:ilvl="2">
      <w:start w:val="0"/>
      <w:numFmt w:val="bullet"/>
      <w:lvlText w:val="•"/>
      <w:lvlJc w:val="left"/>
      <w:pPr>
        <w:ind w:left="966" w:hanging="360"/>
      </w:pPr>
      <w:rPr>
        <w:rFonts w:hint="default"/>
        <w:lang w:val="en-US" w:eastAsia="en-US" w:bidi="en-US"/>
      </w:rPr>
    </w:lvl>
    <w:lvl w:ilvl="3">
      <w:start w:val="0"/>
      <w:numFmt w:val="bullet"/>
      <w:lvlText w:val="•"/>
      <w:lvlJc w:val="left"/>
      <w:pPr>
        <w:ind w:left="1219" w:hanging="360"/>
      </w:pPr>
      <w:rPr>
        <w:rFonts w:hint="default"/>
        <w:lang w:val="en-US" w:eastAsia="en-US" w:bidi="en-US"/>
      </w:rPr>
    </w:lvl>
    <w:lvl w:ilvl="4">
      <w:start w:val="0"/>
      <w:numFmt w:val="bullet"/>
      <w:lvlText w:val="•"/>
      <w:lvlJc w:val="left"/>
      <w:pPr>
        <w:ind w:left="1472" w:hanging="360"/>
      </w:pPr>
      <w:rPr>
        <w:rFonts w:hint="default"/>
        <w:lang w:val="en-US" w:eastAsia="en-US" w:bidi="en-US"/>
      </w:rPr>
    </w:lvl>
    <w:lvl w:ilvl="5">
      <w:start w:val="0"/>
      <w:numFmt w:val="bullet"/>
      <w:lvlText w:val="•"/>
      <w:lvlJc w:val="left"/>
      <w:pPr>
        <w:ind w:left="1725" w:hanging="360"/>
      </w:pPr>
      <w:rPr>
        <w:rFonts w:hint="default"/>
        <w:lang w:val="en-US" w:eastAsia="en-US" w:bidi="en-US"/>
      </w:rPr>
    </w:lvl>
    <w:lvl w:ilvl="6">
      <w:start w:val="0"/>
      <w:numFmt w:val="bullet"/>
      <w:lvlText w:val="•"/>
      <w:lvlJc w:val="left"/>
      <w:pPr>
        <w:ind w:left="1978" w:hanging="360"/>
      </w:pPr>
      <w:rPr>
        <w:rFonts w:hint="default"/>
        <w:lang w:val="en-US" w:eastAsia="en-US" w:bidi="en-US"/>
      </w:rPr>
    </w:lvl>
    <w:lvl w:ilvl="7">
      <w:start w:val="0"/>
      <w:numFmt w:val="bullet"/>
      <w:lvlText w:val="•"/>
      <w:lvlJc w:val="left"/>
      <w:pPr>
        <w:ind w:left="2231" w:hanging="360"/>
      </w:pPr>
      <w:rPr>
        <w:rFonts w:hint="default"/>
        <w:lang w:val="en-US" w:eastAsia="en-US" w:bidi="en-US"/>
      </w:rPr>
    </w:lvl>
    <w:lvl w:ilvl="8">
      <w:start w:val="0"/>
      <w:numFmt w:val="bullet"/>
      <w:lvlText w:val="•"/>
      <w:lvlJc w:val="left"/>
      <w:pPr>
        <w:ind w:left="2484" w:hanging="360"/>
      </w:pPr>
      <w:rPr>
        <w:rFonts w:hint="default"/>
        <w:lang w:val="en-US" w:eastAsia="en-US" w:bidi="en-US"/>
      </w:rPr>
    </w:lvl>
  </w:abstractNum>
  <w:abstractNum w:abstractNumId="2">
    <w:nsid w:val="0B4B648E"/>
    <w:multiLevelType w:val="hybridMultilevel"/>
    <w:tmpl w:val="F128176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6AE3B88"/>
    <w:multiLevelType w:val="hybridMultilevel"/>
    <w:tmpl w:val="23CCC97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4">
    <w:nsid w:val="199A5467"/>
    <w:multiLevelType w:val="hybridMultilevel"/>
    <w:tmpl w:val="0082B96E"/>
    <w:lvl w:ilvl="0">
      <w:start w:val="1"/>
      <w:numFmt w:val="decimal"/>
      <w:lvlText w:val="%1"/>
      <w:lvlJc w:val="left"/>
      <w:pPr>
        <w:ind w:left="720" w:hanging="360"/>
      </w:pPr>
      <w:rPr>
        <w:rFonts w:hint="default"/>
        <w:vertAlign w:val="superscrip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A153A94"/>
    <w:multiLevelType w:val="hybridMultilevel"/>
    <w:tmpl w:val="FEC8DE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21669D"/>
    <w:multiLevelType w:val="hybridMultilevel"/>
    <w:tmpl w:val="940AD0D8"/>
    <w:lvl w:ilvl="0">
      <w:start w:val="1"/>
      <w:numFmt w:val="bullet"/>
      <w:lvlText w:val=""/>
      <w:lvlJc w:val="left"/>
      <w:pPr>
        <w:ind w:left="760" w:hanging="360"/>
      </w:pPr>
      <w:rPr>
        <w:rFonts w:ascii="Symbol" w:hAnsi="Symbol" w:hint="default"/>
        <w:w w:val="99"/>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7">
    <w:nsid w:val="1CE07014"/>
    <w:multiLevelType w:val="hybridMultilevel"/>
    <w:tmpl w:val="E666899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22F724E1"/>
    <w:multiLevelType w:val="hybridMultilevel"/>
    <w:tmpl w:val="EA36992C"/>
    <w:lvl w:ilvl="0">
      <w:start w:val="1"/>
      <w:numFmt w:val="lowerLetter"/>
      <w:lvlText w:val="(%1)"/>
      <w:lvlJc w:val="left"/>
      <w:pPr>
        <w:ind w:left="1839" w:hanging="720"/>
      </w:pPr>
      <w:rPr>
        <w:rFonts w:ascii="Arial" w:eastAsia="Arial" w:hAnsi="Arial" w:cs="Arial" w:hint="default"/>
        <w:color w:val="2F5496"/>
        <w:spacing w:val="-1"/>
        <w:w w:val="100"/>
        <w:sz w:val="22"/>
        <w:szCs w:val="22"/>
        <w:lang w:val="en-US" w:eastAsia="en-US" w:bidi="en-US"/>
      </w:rPr>
    </w:lvl>
    <w:lvl w:ilvl="1">
      <w:start w:val="0"/>
      <w:numFmt w:val="bullet"/>
      <w:lvlText w:val="•"/>
      <w:lvlJc w:val="left"/>
      <w:pPr>
        <w:ind w:left="2806" w:hanging="720"/>
      </w:pPr>
      <w:rPr>
        <w:rFonts w:hint="default"/>
        <w:lang w:val="en-US" w:eastAsia="en-US" w:bidi="en-US"/>
      </w:rPr>
    </w:lvl>
    <w:lvl w:ilvl="2">
      <w:start w:val="0"/>
      <w:numFmt w:val="bullet"/>
      <w:lvlText w:val="•"/>
      <w:lvlJc w:val="left"/>
      <w:pPr>
        <w:ind w:left="3772" w:hanging="720"/>
      </w:pPr>
      <w:rPr>
        <w:rFonts w:hint="default"/>
        <w:lang w:val="en-US" w:eastAsia="en-US" w:bidi="en-US"/>
      </w:rPr>
    </w:lvl>
    <w:lvl w:ilvl="3">
      <w:start w:val="0"/>
      <w:numFmt w:val="bullet"/>
      <w:lvlText w:val="•"/>
      <w:lvlJc w:val="left"/>
      <w:pPr>
        <w:ind w:left="4738" w:hanging="720"/>
      </w:pPr>
      <w:rPr>
        <w:rFonts w:hint="default"/>
        <w:lang w:val="en-US" w:eastAsia="en-US" w:bidi="en-US"/>
      </w:rPr>
    </w:lvl>
    <w:lvl w:ilvl="4">
      <w:start w:val="0"/>
      <w:numFmt w:val="bullet"/>
      <w:lvlText w:val="•"/>
      <w:lvlJc w:val="left"/>
      <w:pPr>
        <w:ind w:left="5704" w:hanging="720"/>
      </w:pPr>
      <w:rPr>
        <w:rFonts w:hint="default"/>
        <w:lang w:val="en-US" w:eastAsia="en-US" w:bidi="en-US"/>
      </w:rPr>
    </w:lvl>
    <w:lvl w:ilvl="5">
      <w:start w:val="0"/>
      <w:numFmt w:val="bullet"/>
      <w:lvlText w:val="•"/>
      <w:lvlJc w:val="left"/>
      <w:pPr>
        <w:ind w:left="6670" w:hanging="720"/>
      </w:pPr>
      <w:rPr>
        <w:rFonts w:hint="default"/>
        <w:lang w:val="en-US" w:eastAsia="en-US" w:bidi="en-US"/>
      </w:rPr>
    </w:lvl>
    <w:lvl w:ilvl="6">
      <w:start w:val="0"/>
      <w:numFmt w:val="bullet"/>
      <w:lvlText w:val="•"/>
      <w:lvlJc w:val="left"/>
      <w:pPr>
        <w:ind w:left="7636" w:hanging="720"/>
      </w:pPr>
      <w:rPr>
        <w:rFonts w:hint="default"/>
        <w:lang w:val="en-US" w:eastAsia="en-US" w:bidi="en-US"/>
      </w:rPr>
    </w:lvl>
    <w:lvl w:ilvl="7">
      <w:start w:val="0"/>
      <w:numFmt w:val="bullet"/>
      <w:lvlText w:val="•"/>
      <w:lvlJc w:val="left"/>
      <w:pPr>
        <w:ind w:left="8602" w:hanging="720"/>
      </w:pPr>
      <w:rPr>
        <w:rFonts w:hint="default"/>
        <w:lang w:val="en-US" w:eastAsia="en-US" w:bidi="en-US"/>
      </w:rPr>
    </w:lvl>
    <w:lvl w:ilvl="8">
      <w:start w:val="0"/>
      <w:numFmt w:val="bullet"/>
      <w:lvlText w:val="•"/>
      <w:lvlJc w:val="left"/>
      <w:pPr>
        <w:ind w:left="9568" w:hanging="720"/>
      </w:pPr>
      <w:rPr>
        <w:rFonts w:hint="default"/>
        <w:lang w:val="en-US" w:eastAsia="en-US" w:bidi="en-US"/>
      </w:rPr>
    </w:lvl>
  </w:abstractNum>
  <w:abstractNum w:abstractNumId="9">
    <w:nsid w:val="255E536B"/>
    <w:multiLevelType w:val="hybridMultilevel"/>
    <w:tmpl w:val="C12438C0"/>
    <w:lvl w:ilvl="0">
      <w:start w:val="1"/>
      <w:numFmt w:val="decimal"/>
      <w:lvlText w:val="%1."/>
      <w:lvlJc w:val="left"/>
      <w:pPr>
        <w:ind w:left="720" w:hanging="360"/>
      </w:pPr>
      <w:rPr>
        <w:rFonts w:hint="default"/>
        <w:vertAlign w:val="superscrip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7B33FC2"/>
    <w:multiLevelType w:val="hybridMultilevel"/>
    <w:tmpl w:val="BD1C54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A9D721F"/>
    <w:multiLevelType w:val="hybridMultilevel"/>
    <w:tmpl w:val="993074EC"/>
    <w:lvl w:ilvl="0">
      <w:start w:val="0"/>
      <w:numFmt w:val="bullet"/>
      <w:lvlText w:val=""/>
      <w:lvlJc w:val="left"/>
      <w:pPr>
        <w:ind w:left="760" w:hanging="360"/>
      </w:pPr>
      <w:rPr>
        <w:rFonts w:hint="default"/>
        <w:w w:val="99"/>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12">
    <w:nsid w:val="2EDE2FA0"/>
    <w:multiLevelType w:val="hybridMultilevel"/>
    <w:tmpl w:val="877411E4"/>
    <w:lvl w:ilvl="0">
      <w:start w:val="0"/>
      <w:numFmt w:val="bullet"/>
      <w:lvlText w:val=""/>
      <w:lvlJc w:val="left"/>
      <w:pPr>
        <w:ind w:left="469"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713" w:hanging="360"/>
      </w:pPr>
      <w:rPr>
        <w:rFonts w:hint="default"/>
        <w:lang w:val="en-US" w:eastAsia="en-US" w:bidi="en-US"/>
      </w:rPr>
    </w:lvl>
    <w:lvl w:ilvl="2">
      <w:start w:val="0"/>
      <w:numFmt w:val="bullet"/>
      <w:lvlText w:val="•"/>
      <w:lvlJc w:val="left"/>
      <w:pPr>
        <w:ind w:left="966" w:hanging="360"/>
      </w:pPr>
      <w:rPr>
        <w:rFonts w:hint="default"/>
        <w:lang w:val="en-US" w:eastAsia="en-US" w:bidi="en-US"/>
      </w:rPr>
    </w:lvl>
    <w:lvl w:ilvl="3">
      <w:start w:val="0"/>
      <w:numFmt w:val="bullet"/>
      <w:lvlText w:val="•"/>
      <w:lvlJc w:val="left"/>
      <w:pPr>
        <w:ind w:left="1219" w:hanging="360"/>
      </w:pPr>
      <w:rPr>
        <w:rFonts w:hint="default"/>
        <w:lang w:val="en-US" w:eastAsia="en-US" w:bidi="en-US"/>
      </w:rPr>
    </w:lvl>
    <w:lvl w:ilvl="4">
      <w:start w:val="0"/>
      <w:numFmt w:val="bullet"/>
      <w:lvlText w:val="•"/>
      <w:lvlJc w:val="left"/>
      <w:pPr>
        <w:ind w:left="1472" w:hanging="360"/>
      </w:pPr>
      <w:rPr>
        <w:rFonts w:hint="default"/>
        <w:lang w:val="en-US" w:eastAsia="en-US" w:bidi="en-US"/>
      </w:rPr>
    </w:lvl>
    <w:lvl w:ilvl="5">
      <w:start w:val="0"/>
      <w:numFmt w:val="bullet"/>
      <w:lvlText w:val="•"/>
      <w:lvlJc w:val="left"/>
      <w:pPr>
        <w:ind w:left="1725" w:hanging="360"/>
      </w:pPr>
      <w:rPr>
        <w:rFonts w:hint="default"/>
        <w:lang w:val="en-US" w:eastAsia="en-US" w:bidi="en-US"/>
      </w:rPr>
    </w:lvl>
    <w:lvl w:ilvl="6">
      <w:start w:val="0"/>
      <w:numFmt w:val="bullet"/>
      <w:lvlText w:val="•"/>
      <w:lvlJc w:val="left"/>
      <w:pPr>
        <w:ind w:left="1978" w:hanging="360"/>
      </w:pPr>
      <w:rPr>
        <w:rFonts w:hint="default"/>
        <w:lang w:val="en-US" w:eastAsia="en-US" w:bidi="en-US"/>
      </w:rPr>
    </w:lvl>
    <w:lvl w:ilvl="7">
      <w:start w:val="0"/>
      <w:numFmt w:val="bullet"/>
      <w:lvlText w:val="•"/>
      <w:lvlJc w:val="left"/>
      <w:pPr>
        <w:ind w:left="2231" w:hanging="360"/>
      </w:pPr>
      <w:rPr>
        <w:rFonts w:hint="default"/>
        <w:lang w:val="en-US" w:eastAsia="en-US" w:bidi="en-US"/>
      </w:rPr>
    </w:lvl>
    <w:lvl w:ilvl="8">
      <w:start w:val="0"/>
      <w:numFmt w:val="bullet"/>
      <w:lvlText w:val="•"/>
      <w:lvlJc w:val="left"/>
      <w:pPr>
        <w:ind w:left="2484" w:hanging="360"/>
      </w:pPr>
      <w:rPr>
        <w:rFonts w:hint="default"/>
        <w:lang w:val="en-US" w:eastAsia="en-US" w:bidi="en-US"/>
      </w:rPr>
    </w:lvl>
  </w:abstractNum>
  <w:abstractNum w:abstractNumId="13">
    <w:nsid w:val="2F2C5497"/>
    <w:multiLevelType w:val="hybridMultilevel"/>
    <w:tmpl w:val="BDDE8FC8"/>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14">
    <w:nsid w:val="34B96E5E"/>
    <w:multiLevelType w:val="hybridMultilevel"/>
    <w:tmpl w:val="BC44F8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45161E59"/>
    <w:multiLevelType w:val="hybridMultilevel"/>
    <w:tmpl w:val="034268DA"/>
    <w:lvl w:ilvl="0">
      <w:start w:val="1"/>
      <w:numFmt w:val="decimal"/>
      <w:lvlText w:val="%1."/>
      <w:lvlJc w:val="left"/>
      <w:pPr>
        <w:ind w:left="1120" w:hanging="360"/>
      </w:pPr>
    </w:lvl>
    <w:lvl w:ilvl="1" w:tentative="1">
      <w:start w:val="1"/>
      <w:numFmt w:val="lowerLetter"/>
      <w:lvlText w:val="%2."/>
      <w:lvlJc w:val="left"/>
      <w:pPr>
        <w:ind w:left="1840" w:hanging="360"/>
      </w:pPr>
    </w:lvl>
    <w:lvl w:ilvl="2" w:tentative="1">
      <w:start w:val="1"/>
      <w:numFmt w:val="lowerRoman"/>
      <w:lvlText w:val="%3."/>
      <w:lvlJc w:val="right"/>
      <w:pPr>
        <w:ind w:left="2560" w:hanging="180"/>
      </w:pPr>
    </w:lvl>
    <w:lvl w:ilvl="3" w:tentative="1">
      <w:start w:val="1"/>
      <w:numFmt w:val="decimal"/>
      <w:lvlText w:val="%4."/>
      <w:lvlJc w:val="left"/>
      <w:pPr>
        <w:ind w:left="3280" w:hanging="360"/>
      </w:pPr>
    </w:lvl>
    <w:lvl w:ilvl="4" w:tentative="1">
      <w:start w:val="1"/>
      <w:numFmt w:val="lowerLetter"/>
      <w:lvlText w:val="%5."/>
      <w:lvlJc w:val="left"/>
      <w:pPr>
        <w:ind w:left="4000" w:hanging="360"/>
      </w:pPr>
    </w:lvl>
    <w:lvl w:ilvl="5" w:tentative="1">
      <w:start w:val="1"/>
      <w:numFmt w:val="lowerRoman"/>
      <w:lvlText w:val="%6."/>
      <w:lvlJc w:val="right"/>
      <w:pPr>
        <w:ind w:left="4720" w:hanging="180"/>
      </w:pPr>
    </w:lvl>
    <w:lvl w:ilvl="6" w:tentative="1">
      <w:start w:val="1"/>
      <w:numFmt w:val="decimal"/>
      <w:lvlText w:val="%7."/>
      <w:lvlJc w:val="left"/>
      <w:pPr>
        <w:ind w:left="5440" w:hanging="360"/>
      </w:pPr>
    </w:lvl>
    <w:lvl w:ilvl="7" w:tentative="1">
      <w:start w:val="1"/>
      <w:numFmt w:val="lowerLetter"/>
      <w:lvlText w:val="%8."/>
      <w:lvlJc w:val="left"/>
      <w:pPr>
        <w:ind w:left="6160" w:hanging="360"/>
      </w:pPr>
    </w:lvl>
    <w:lvl w:ilvl="8" w:tentative="1">
      <w:start w:val="1"/>
      <w:numFmt w:val="lowerRoman"/>
      <w:lvlText w:val="%9."/>
      <w:lvlJc w:val="right"/>
      <w:pPr>
        <w:ind w:left="6880" w:hanging="180"/>
      </w:pPr>
    </w:lvl>
  </w:abstractNum>
  <w:abstractNum w:abstractNumId="16">
    <w:nsid w:val="4805353F"/>
    <w:multiLevelType w:val="hybridMultilevel"/>
    <w:tmpl w:val="3A1244B2"/>
    <w:lvl w:ilvl="0">
      <w:start w:val="1"/>
      <w:numFmt w:val="decimal"/>
      <w:lvlText w:val="%1."/>
      <w:lvlJc w:val="left"/>
      <w:pPr>
        <w:ind w:left="400" w:hanging="269"/>
      </w:pPr>
      <w:rPr>
        <w:rFonts w:eastAsia="Arial" w:asciiTheme="minorHAnsi" w:hAnsiTheme="minorHAnsi" w:cstheme="minorHAnsi" w:hint="default"/>
        <w:b/>
        <w:bCs/>
        <w:w w:val="100"/>
        <w:sz w:val="24"/>
        <w:szCs w:val="24"/>
        <w:lang w:val="en-US" w:eastAsia="en-US" w:bidi="en-US"/>
      </w:rPr>
    </w:lvl>
    <w:lvl w:ilvl="1">
      <w:start w:val="0"/>
      <w:numFmt w:val="bullet"/>
      <w:lvlText w:val=""/>
      <w:lvlJc w:val="left"/>
      <w:pPr>
        <w:ind w:left="1120" w:hanging="360"/>
      </w:pPr>
      <w:rPr>
        <w:rFonts w:hint="default"/>
        <w:w w:val="99"/>
        <w:lang w:val="en-US" w:eastAsia="en-US" w:bidi="en-US"/>
      </w:rPr>
    </w:lvl>
    <w:lvl w:ilvl="2">
      <w:start w:val="0"/>
      <w:numFmt w:val="bullet"/>
      <w:lvlText w:val="•"/>
      <w:lvlJc w:val="left"/>
      <w:pPr>
        <w:ind w:left="1220" w:hanging="360"/>
      </w:pPr>
      <w:rPr>
        <w:rFonts w:hint="default"/>
        <w:lang w:val="en-US" w:eastAsia="en-US" w:bidi="en-US"/>
      </w:rPr>
    </w:lvl>
    <w:lvl w:ilvl="3">
      <w:start w:val="0"/>
      <w:numFmt w:val="bullet"/>
      <w:lvlText w:val="•"/>
      <w:lvlJc w:val="left"/>
      <w:pPr>
        <w:ind w:left="2505" w:hanging="360"/>
      </w:pPr>
      <w:rPr>
        <w:rFonts w:hint="default"/>
        <w:lang w:val="en-US" w:eastAsia="en-US" w:bidi="en-US"/>
      </w:rPr>
    </w:lvl>
    <w:lvl w:ilvl="4">
      <w:start w:val="0"/>
      <w:numFmt w:val="bullet"/>
      <w:lvlText w:val="•"/>
      <w:lvlJc w:val="left"/>
      <w:pPr>
        <w:ind w:left="3790" w:hanging="360"/>
      </w:pPr>
      <w:rPr>
        <w:rFonts w:hint="default"/>
        <w:lang w:val="en-US" w:eastAsia="en-US" w:bidi="en-US"/>
      </w:rPr>
    </w:lvl>
    <w:lvl w:ilvl="5">
      <w:start w:val="0"/>
      <w:numFmt w:val="bullet"/>
      <w:lvlText w:val="•"/>
      <w:lvlJc w:val="left"/>
      <w:pPr>
        <w:ind w:left="5075" w:hanging="360"/>
      </w:pPr>
      <w:rPr>
        <w:rFonts w:hint="default"/>
        <w:lang w:val="en-US" w:eastAsia="en-US" w:bidi="en-US"/>
      </w:rPr>
    </w:lvl>
    <w:lvl w:ilvl="6">
      <w:start w:val="0"/>
      <w:numFmt w:val="bullet"/>
      <w:lvlText w:val="•"/>
      <w:lvlJc w:val="left"/>
      <w:pPr>
        <w:ind w:left="6360" w:hanging="360"/>
      </w:pPr>
      <w:rPr>
        <w:rFonts w:hint="default"/>
        <w:lang w:val="en-US" w:eastAsia="en-US" w:bidi="en-US"/>
      </w:rPr>
    </w:lvl>
    <w:lvl w:ilvl="7">
      <w:start w:val="0"/>
      <w:numFmt w:val="bullet"/>
      <w:lvlText w:val="•"/>
      <w:lvlJc w:val="left"/>
      <w:pPr>
        <w:ind w:left="7645" w:hanging="360"/>
      </w:pPr>
      <w:rPr>
        <w:rFonts w:hint="default"/>
        <w:lang w:val="en-US" w:eastAsia="en-US" w:bidi="en-US"/>
      </w:rPr>
    </w:lvl>
    <w:lvl w:ilvl="8">
      <w:start w:val="0"/>
      <w:numFmt w:val="bullet"/>
      <w:lvlText w:val="•"/>
      <w:lvlJc w:val="left"/>
      <w:pPr>
        <w:ind w:left="8930" w:hanging="360"/>
      </w:pPr>
      <w:rPr>
        <w:rFonts w:hint="default"/>
        <w:lang w:val="en-US" w:eastAsia="en-US" w:bidi="en-US"/>
      </w:rPr>
    </w:lvl>
  </w:abstractNum>
  <w:abstractNum w:abstractNumId="17">
    <w:nsid w:val="5CEE579F"/>
    <w:multiLevelType w:val="multilevel"/>
    <w:tmpl w:val="5B7A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F143AB9"/>
    <w:multiLevelType w:val="hybridMultilevel"/>
    <w:tmpl w:val="A97C9334"/>
    <w:lvl w:ilvl="0">
      <w:start w:val="1"/>
      <w:numFmt w:val="bullet"/>
      <w:lvlText w:val=""/>
      <w:lvlJc w:val="left"/>
      <w:pPr>
        <w:ind w:left="1120" w:hanging="360"/>
      </w:pPr>
      <w:rPr>
        <w:rFonts w:ascii="Symbol" w:hAnsi="Symbol" w:hint="default"/>
      </w:rPr>
    </w:lvl>
    <w:lvl w:ilvl="1">
      <w:start w:val="1"/>
      <w:numFmt w:val="bullet"/>
      <w:lvlText w:val="o"/>
      <w:lvlJc w:val="left"/>
      <w:pPr>
        <w:ind w:left="1840" w:hanging="360"/>
      </w:pPr>
      <w:rPr>
        <w:rFonts w:ascii="Courier New" w:hAnsi="Courier New" w:cs="Courier New" w:hint="default"/>
      </w:rPr>
    </w:lvl>
    <w:lvl w:ilvl="2" w:tentative="1">
      <w:start w:val="1"/>
      <w:numFmt w:val="bullet"/>
      <w:lvlText w:val=""/>
      <w:lvlJc w:val="left"/>
      <w:pPr>
        <w:ind w:left="2560" w:hanging="360"/>
      </w:pPr>
      <w:rPr>
        <w:rFonts w:ascii="Wingdings" w:hAnsi="Wingdings" w:hint="default"/>
      </w:rPr>
    </w:lvl>
    <w:lvl w:ilvl="3" w:tentative="1">
      <w:start w:val="1"/>
      <w:numFmt w:val="bullet"/>
      <w:lvlText w:val=""/>
      <w:lvlJc w:val="left"/>
      <w:pPr>
        <w:ind w:left="3280" w:hanging="360"/>
      </w:pPr>
      <w:rPr>
        <w:rFonts w:ascii="Symbol" w:hAnsi="Symbol" w:hint="default"/>
      </w:rPr>
    </w:lvl>
    <w:lvl w:ilvl="4" w:tentative="1">
      <w:start w:val="1"/>
      <w:numFmt w:val="bullet"/>
      <w:lvlText w:val="o"/>
      <w:lvlJc w:val="left"/>
      <w:pPr>
        <w:ind w:left="4000" w:hanging="360"/>
      </w:pPr>
      <w:rPr>
        <w:rFonts w:ascii="Courier New" w:hAnsi="Courier New" w:cs="Courier New" w:hint="default"/>
      </w:rPr>
    </w:lvl>
    <w:lvl w:ilvl="5" w:tentative="1">
      <w:start w:val="1"/>
      <w:numFmt w:val="bullet"/>
      <w:lvlText w:val=""/>
      <w:lvlJc w:val="left"/>
      <w:pPr>
        <w:ind w:left="4720" w:hanging="360"/>
      </w:pPr>
      <w:rPr>
        <w:rFonts w:ascii="Wingdings" w:hAnsi="Wingdings" w:hint="default"/>
      </w:rPr>
    </w:lvl>
    <w:lvl w:ilvl="6" w:tentative="1">
      <w:start w:val="1"/>
      <w:numFmt w:val="bullet"/>
      <w:lvlText w:val=""/>
      <w:lvlJc w:val="left"/>
      <w:pPr>
        <w:ind w:left="5440" w:hanging="360"/>
      </w:pPr>
      <w:rPr>
        <w:rFonts w:ascii="Symbol" w:hAnsi="Symbol" w:hint="default"/>
      </w:rPr>
    </w:lvl>
    <w:lvl w:ilvl="7" w:tentative="1">
      <w:start w:val="1"/>
      <w:numFmt w:val="bullet"/>
      <w:lvlText w:val="o"/>
      <w:lvlJc w:val="left"/>
      <w:pPr>
        <w:ind w:left="6160" w:hanging="360"/>
      </w:pPr>
      <w:rPr>
        <w:rFonts w:ascii="Courier New" w:hAnsi="Courier New" w:cs="Courier New" w:hint="default"/>
      </w:rPr>
    </w:lvl>
    <w:lvl w:ilvl="8" w:tentative="1">
      <w:start w:val="1"/>
      <w:numFmt w:val="bullet"/>
      <w:lvlText w:val=""/>
      <w:lvlJc w:val="left"/>
      <w:pPr>
        <w:ind w:left="6880" w:hanging="360"/>
      </w:pPr>
      <w:rPr>
        <w:rFonts w:ascii="Wingdings" w:hAnsi="Wingdings" w:hint="default"/>
      </w:rPr>
    </w:lvl>
  </w:abstractNum>
  <w:abstractNum w:abstractNumId="19">
    <w:nsid w:val="72F5789F"/>
    <w:multiLevelType w:val="hybridMultilevel"/>
    <w:tmpl w:val="9EBE51D4"/>
    <w:lvl w:ilvl="0">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2158" w:hanging="360"/>
      </w:pPr>
      <w:rPr>
        <w:rFonts w:hint="default"/>
        <w:lang w:val="en-US" w:eastAsia="en-US" w:bidi="en-US"/>
      </w:rPr>
    </w:lvl>
    <w:lvl w:ilvl="2">
      <w:start w:val="0"/>
      <w:numFmt w:val="bullet"/>
      <w:lvlText w:val="•"/>
      <w:lvlJc w:val="left"/>
      <w:pPr>
        <w:ind w:left="3196" w:hanging="360"/>
      </w:pPr>
      <w:rPr>
        <w:rFonts w:hint="default"/>
        <w:lang w:val="en-US" w:eastAsia="en-US" w:bidi="en-US"/>
      </w:rPr>
    </w:lvl>
    <w:lvl w:ilvl="3">
      <w:start w:val="0"/>
      <w:numFmt w:val="bullet"/>
      <w:lvlText w:val="•"/>
      <w:lvlJc w:val="left"/>
      <w:pPr>
        <w:ind w:left="4234" w:hanging="360"/>
      </w:pPr>
      <w:rPr>
        <w:rFonts w:hint="default"/>
        <w:lang w:val="en-US" w:eastAsia="en-US" w:bidi="en-US"/>
      </w:rPr>
    </w:lvl>
    <w:lvl w:ilvl="4">
      <w:start w:val="0"/>
      <w:numFmt w:val="bullet"/>
      <w:lvlText w:val="•"/>
      <w:lvlJc w:val="left"/>
      <w:pPr>
        <w:ind w:left="5272" w:hanging="360"/>
      </w:pPr>
      <w:rPr>
        <w:rFonts w:hint="default"/>
        <w:lang w:val="en-US" w:eastAsia="en-US" w:bidi="en-US"/>
      </w:rPr>
    </w:lvl>
    <w:lvl w:ilvl="5">
      <w:start w:val="0"/>
      <w:numFmt w:val="bullet"/>
      <w:lvlText w:val="•"/>
      <w:lvlJc w:val="left"/>
      <w:pPr>
        <w:ind w:left="6310" w:hanging="360"/>
      </w:pPr>
      <w:rPr>
        <w:rFonts w:hint="default"/>
        <w:lang w:val="en-US" w:eastAsia="en-US" w:bidi="en-US"/>
      </w:rPr>
    </w:lvl>
    <w:lvl w:ilvl="6">
      <w:start w:val="0"/>
      <w:numFmt w:val="bullet"/>
      <w:lvlText w:val="•"/>
      <w:lvlJc w:val="left"/>
      <w:pPr>
        <w:ind w:left="7348" w:hanging="360"/>
      </w:pPr>
      <w:rPr>
        <w:rFonts w:hint="default"/>
        <w:lang w:val="en-US" w:eastAsia="en-US" w:bidi="en-US"/>
      </w:rPr>
    </w:lvl>
    <w:lvl w:ilvl="7">
      <w:start w:val="0"/>
      <w:numFmt w:val="bullet"/>
      <w:lvlText w:val="•"/>
      <w:lvlJc w:val="left"/>
      <w:pPr>
        <w:ind w:left="8386" w:hanging="360"/>
      </w:pPr>
      <w:rPr>
        <w:rFonts w:hint="default"/>
        <w:lang w:val="en-US" w:eastAsia="en-US" w:bidi="en-US"/>
      </w:rPr>
    </w:lvl>
    <w:lvl w:ilvl="8">
      <w:start w:val="0"/>
      <w:numFmt w:val="bullet"/>
      <w:lvlText w:val="•"/>
      <w:lvlJc w:val="left"/>
      <w:pPr>
        <w:ind w:left="9424" w:hanging="360"/>
      </w:pPr>
      <w:rPr>
        <w:rFonts w:hint="default"/>
        <w:lang w:val="en-US" w:eastAsia="en-US" w:bidi="en-US"/>
      </w:rPr>
    </w:lvl>
  </w:abstractNum>
  <w:abstractNum w:abstractNumId="20">
    <w:nsid w:val="73C061E5"/>
    <w:multiLevelType w:val="hybridMultilevel"/>
    <w:tmpl w:val="CB8C50C8"/>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21">
    <w:nsid w:val="76974381"/>
    <w:multiLevelType w:val="hybridMultilevel"/>
    <w:tmpl w:val="E27EA1CE"/>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22">
    <w:nsid w:val="7CB6336F"/>
    <w:multiLevelType w:val="hybridMultilevel"/>
    <w:tmpl w:val="BC1E3AD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num w:numId="1" w16cid:durableId="728918678">
    <w:abstractNumId w:val="0"/>
  </w:num>
  <w:num w:numId="2" w16cid:durableId="2009365241">
    <w:abstractNumId w:val="8"/>
  </w:num>
  <w:num w:numId="3" w16cid:durableId="360403625">
    <w:abstractNumId w:val="19"/>
  </w:num>
  <w:num w:numId="4" w16cid:durableId="416295233">
    <w:abstractNumId w:val="12"/>
  </w:num>
  <w:num w:numId="5" w16cid:durableId="1302348170">
    <w:abstractNumId w:val="1"/>
  </w:num>
  <w:num w:numId="6" w16cid:durableId="1669479336">
    <w:abstractNumId w:val="11"/>
  </w:num>
  <w:num w:numId="7" w16cid:durableId="876502591">
    <w:abstractNumId w:val="16"/>
  </w:num>
  <w:num w:numId="8" w16cid:durableId="1190559244">
    <w:abstractNumId w:val="6"/>
  </w:num>
  <w:num w:numId="9" w16cid:durableId="1571841779">
    <w:abstractNumId w:val="13"/>
  </w:num>
  <w:num w:numId="10" w16cid:durableId="513962271">
    <w:abstractNumId w:val="20"/>
  </w:num>
  <w:num w:numId="11" w16cid:durableId="491414031">
    <w:abstractNumId w:val="21"/>
  </w:num>
  <w:num w:numId="12" w16cid:durableId="2023509529">
    <w:abstractNumId w:val="14"/>
  </w:num>
  <w:num w:numId="13" w16cid:durableId="1590191681">
    <w:abstractNumId w:val="7"/>
  </w:num>
  <w:num w:numId="14" w16cid:durableId="1488787562">
    <w:abstractNumId w:val="15"/>
  </w:num>
  <w:num w:numId="15" w16cid:durableId="524489316">
    <w:abstractNumId w:val="5"/>
  </w:num>
  <w:num w:numId="16" w16cid:durableId="1491368091">
    <w:abstractNumId w:val="22"/>
  </w:num>
  <w:num w:numId="17" w16cid:durableId="1541239359">
    <w:abstractNumId w:val="3"/>
  </w:num>
  <w:num w:numId="18" w16cid:durableId="292903610">
    <w:abstractNumId w:val="10"/>
  </w:num>
  <w:num w:numId="19" w16cid:durableId="509876319">
    <w:abstractNumId w:val="9"/>
  </w:num>
  <w:num w:numId="20" w16cid:durableId="1803111507">
    <w:abstractNumId w:val="4"/>
  </w:num>
  <w:num w:numId="21" w16cid:durableId="69500142">
    <w:abstractNumId w:val="2"/>
  </w:num>
  <w:num w:numId="22" w16cid:durableId="1090781332">
    <w:abstractNumId w:val="18"/>
  </w:num>
  <w:num w:numId="23" w16cid:durableId="11090826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347"/>
    <w:rsid w:val="0000082D"/>
    <w:rsid w:val="00020695"/>
    <w:rsid w:val="00020E36"/>
    <w:rsid w:val="000311EF"/>
    <w:rsid w:val="00031757"/>
    <w:rsid w:val="000421DE"/>
    <w:rsid w:val="00050DCF"/>
    <w:rsid w:val="00060FAF"/>
    <w:rsid w:val="00061D50"/>
    <w:rsid w:val="00087454"/>
    <w:rsid w:val="0009050E"/>
    <w:rsid w:val="00097EBE"/>
    <w:rsid w:val="000D130F"/>
    <w:rsid w:val="000D7C01"/>
    <w:rsid w:val="000E21AE"/>
    <w:rsid w:val="000F248B"/>
    <w:rsid w:val="00105B27"/>
    <w:rsid w:val="001235D4"/>
    <w:rsid w:val="00124446"/>
    <w:rsid w:val="00145B8F"/>
    <w:rsid w:val="00147DB0"/>
    <w:rsid w:val="00147F27"/>
    <w:rsid w:val="00150753"/>
    <w:rsid w:val="00151B81"/>
    <w:rsid w:val="001525BF"/>
    <w:rsid w:val="00154292"/>
    <w:rsid w:val="00156CC9"/>
    <w:rsid w:val="00157254"/>
    <w:rsid w:val="00171186"/>
    <w:rsid w:val="001776B3"/>
    <w:rsid w:val="001831B3"/>
    <w:rsid w:val="001B032C"/>
    <w:rsid w:val="001B7553"/>
    <w:rsid w:val="001C2E6A"/>
    <w:rsid w:val="001E1D3F"/>
    <w:rsid w:val="001E22D7"/>
    <w:rsid w:val="001E45C9"/>
    <w:rsid w:val="001F2674"/>
    <w:rsid w:val="00201347"/>
    <w:rsid w:val="00205439"/>
    <w:rsid w:val="00220406"/>
    <w:rsid w:val="00232B8A"/>
    <w:rsid w:val="00241D51"/>
    <w:rsid w:val="0024296F"/>
    <w:rsid w:val="002456FA"/>
    <w:rsid w:val="002471DA"/>
    <w:rsid w:val="00270FC7"/>
    <w:rsid w:val="00277DE3"/>
    <w:rsid w:val="002813A2"/>
    <w:rsid w:val="00290832"/>
    <w:rsid w:val="002924B8"/>
    <w:rsid w:val="002A122A"/>
    <w:rsid w:val="002A1D08"/>
    <w:rsid w:val="002A6B04"/>
    <w:rsid w:val="002B24B7"/>
    <w:rsid w:val="002B5903"/>
    <w:rsid w:val="002D02F1"/>
    <w:rsid w:val="002D0D06"/>
    <w:rsid w:val="002D11C1"/>
    <w:rsid w:val="002D2382"/>
    <w:rsid w:val="002D6970"/>
    <w:rsid w:val="002F1B7A"/>
    <w:rsid w:val="002F2BF4"/>
    <w:rsid w:val="0030064C"/>
    <w:rsid w:val="00303DB8"/>
    <w:rsid w:val="00305813"/>
    <w:rsid w:val="00320D59"/>
    <w:rsid w:val="00321B3D"/>
    <w:rsid w:val="003239E0"/>
    <w:rsid w:val="00335045"/>
    <w:rsid w:val="00337A91"/>
    <w:rsid w:val="00343F60"/>
    <w:rsid w:val="00356926"/>
    <w:rsid w:val="0036166B"/>
    <w:rsid w:val="0036256C"/>
    <w:rsid w:val="00371504"/>
    <w:rsid w:val="003841B2"/>
    <w:rsid w:val="003A1FF3"/>
    <w:rsid w:val="003B1309"/>
    <w:rsid w:val="003C0A99"/>
    <w:rsid w:val="003C25CF"/>
    <w:rsid w:val="003C553D"/>
    <w:rsid w:val="003C66B9"/>
    <w:rsid w:val="003C7B84"/>
    <w:rsid w:val="003D1CB1"/>
    <w:rsid w:val="003D4C1E"/>
    <w:rsid w:val="003E0609"/>
    <w:rsid w:val="003E0CCE"/>
    <w:rsid w:val="003E41D6"/>
    <w:rsid w:val="003E72C6"/>
    <w:rsid w:val="003E75E8"/>
    <w:rsid w:val="003F09B0"/>
    <w:rsid w:val="003F2C6F"/>
    <w:rsid w:val="004024F5"/>
    <w:rsid w:val="0040673D"/>
    <w:rsid w:val="00433BA9"/>
    <w:rsid w:val="00442882"/>
    <w:rsid w:val="004526DD"/>
    <w:rsid w:val="00466A7A"/>
    <w:rsid w:val="00470669"/>
    <w:rsid w:val="00481DC5"/>
    <w:rsid w:val="00483F8D"/>
    <w:rsid w:val="004951FD"/>
    <w:rsid w:val="004A42E8"/>
    <w:rsid w:val="004A6476"/>
    <w:rsid w:val="004B28C7"/>
    <w:rsid w:val="004B7026"/>
    <w:rsid w:val="004C30B0"/>
    <w:rsid w:val="004C6F21"/>
    <w:rsid w:val="004E5129"/>
    <w:rsid w:val="0050322B"/>
    <w:rsid w:val="005043DE"/>
    <w:rsid w:val="005122C5"/>
    <w:rsid w:val="005145D1"/>
    <w:rsid w:val="00523C74"/>
    <w:rsid w:val="0052702F"/>
    <w:rsid w:val="00545A05"/>
    <w:rsid w:val="005461FB"/>
    <w:rsid w:val="005566B1"/>
    <w:rsid w:val="0056581F"/>
    <w:rsid w:val="00586BEE"/>
    <w:rsid w:val="005918AD"/>
    <w:rsid w:val="005918C8"/>
    <w:rsid w:val="005C2042"/>
    <w:rsid w:val="005E094B"/>
    <w:rsid w:val="005E735C"/>
    <w:rsid w:val="005F7220"/>
    <w:rsid w:val="00602FCF"/>
    <w:rsid w:val="00610D23"/>
    <w:rsid w:val="00623A7B"/>
    <w:rsid w:val="00625470"/>
    <w:rsid w:val="00627DA7"/>
    <w:rsid w:val="006315E8"/>
    <w:rsid w:val="00632674"/>
    <w:rsid w:val="0063311D"/>
    <w:rsid w:val="00644E97"/>
    <w:rsid w:val="0064541D"/>
    <w:rsid w:val="00647707"/>
    <w:rsid w:val="00680652"/>
    <w:rsid w:val="00683754"/>
    <w:rsid w:val="006966E8"/>
    <w:rsid w:val="006C3AF0"/>
    <w:rsid w:val="006F07C7"/>
    <w:rsid w:val="00702673"/>
    <w:rsid w:val="00703536"/>
    <w:rsid w:val="00706BDC"/>
    <w:rsid w:val="00710DB3"/>
    <w:rsid w:val="007114A4"/>
    <w:rsid w:val="0071723C"/>
    <w:rsid w:val="007208A3"/>
    <w:rsid w:val="0072172B"/>
    <w:rsid w:val="007222E3"/>
    <w:rsid w:val="00736E35"/>
    <w:rsid w:val="00740866"/>
    <w:rsid w:val="00742048"/>
    <w:rsid w:val="00742D17"/>
    <w:rsid w:val="00747E87"/>
    <w:rsid w:val="00771881"/>
    <w:rsid w:val="007744C1"/>
    <w:rsid w:val="00782FF7"/>
    <w:rsid w:val="00793856"/>
    <w:rsid w:val="007A43AB"/>
    <w:rsid w:val="007A5DF2"/>
    <w:rsid w:val="007B18F9"/>
    <w:rsid w:val="007C0FCB"/>
    <w:rsid w:val="007C1295"/>
    <w:rsid w:val="007C7E6B"/>
    <w:rsid w:val="007D2674"/>
    <w:rsid w:val="007D3936"/>
    <w:rsid w:val="007D6F83"/>
    <w:rsid w:val="007D7F48"/>
    <w:rsid w:val="007E6CDA"/>
    <w:rsid w:val="007F2304"/>
    <w:rsid w:val="008038F3"/>
    <w:rsid w:val="00804177"/>
    <w:rsid w:val="00807488"/>
    <w:rsid w:val="00807ECC"/>
    <w:rsid w:val="008128DA"/>
    <w:rsid w:val="0082762C"/>
    <w:rsid w:val="008322D0"/>
    <w:rsid w:val="0083485E"/>
    <w:rsid w:val="00844D2F"/>
    <w:rsid w:val="00847CF9"/>
    <w:rsid w:val="00851FE0"/>
    <w:rsid w:val="008642EC"/>
    <w:rsid w:val="008734CB"/>
    <w:rsid w:val="00880F3F"/>
    <w:rsid w:val="00896267"/>
    <w:rsid w:val="008A48F1"/>
    <w:rsid w:val="008A5488"/>
    <w:rsid w:val="008A6B72"/>
    <w:rsid w:val="008B2D9C"/>
    <w:rsid w:val="008B5221"/>
    <w:rsid w:val="008C00DE"/>
    <w:rsid w:val="008C358B"/>
    <w:rsid w:val="008D6D12"/>
    <w:rsid w:val="008F278E"/>
    <w:rsid w:val="008F41F7"/>
    <w:rsid w:val="00956166"/>
    <w:rsid w:val="0096082B"/>
    <w:rsid w:val="00972981"/>
    <w:rsid w:val="009729B1"/>
    <w:rsid w:val="00995EE3"/>
    <w:rsid w:val="009B0351"/>
    <w:rsid w:val="009B0DFB"/>
    <w:rsid w:val="009B5310"/>
    <w:rsid w:val="009B6789"/>
    <w:rsid w:val="009C273E"/>
    <w:rsid w:val="009C6EDD"/>
    <w:rsid w:val="009D080F"/>
    <w:rsid w:val="009E510B"/>
    <w:rsid w:val="009E5FCC"/>
    <w:rsid w:val="009F2F01"/>
    <w:rsid w:val="009F383A"/>
    <w:rsid w:val="009F57DA"/>
    <w:rsid w:val="009F6571"/>
    <w:rsid w:val="00A00E40"/>
    <w:rsid w:val="00A04A14"/>
    <w:rsid w:val="00A061F2"/>
    <w:rsid w:val="00A0746C"/>
    <w:rsid w:val="00A10DFC"/>
    <w:rsid w:val="00A12333"/>
    <w:rsid w:val="00A20641"/>
    <w:rsid w:val="00A276A6"/>
    <w:rsid w:val="00A30C1B"/>
    <w:rsid w:val="00A452A9"/>
    <w:rsid w:val="00A47480"/>
    <w:rsid w:val="00A52794"/>
    <w:rsid w:val="00A70CA6"/>
    <w:rsid w:val="00A82C0C"/>
    <w:rsid w:val="00A93D97"/>
    <w:rsid w:val="00AB1D23"/>
    <w:rsid w:val="00AB393F"/>
    <w:rsid w:val="00AC1ED7"/>
    <w:rsid w:val="00AC3A01"/>
    <w:rsid w:val="00AC6E75"/>
    <w:rsid w:val="00AD761D"/>
    <w:rsid w:val="00B208DE"/>
    <w:rsid w:val="00B215DA"/>
    <w:rsid w:val="00B216D6"/>
    <w:rsid w:val="00B22334"/>
    <w:rsid w:val="00B22F71"/>
    <w:rsid w:val="00B305DC"/>
    <w:rsid w:val="00B33F84"/>
    <w:rsid w:val="00B377A4"/>
    <w:rsid w:val="00B419D6"/>
    <w:rsid w:val="00B5684C"/>
    <w:rsid w:val="00B575C2"/>
    <w:rsid w:val="00B77D9A"/>
    <w:rsid w:val="00B82530"/>
    <w:rsid w:val="00B82768"/>
    <w:rsid w:val="00B82E50"/>
    <w:rsid w:val="00B86C59"/>
    <w:rsid w:val="00B90A43"/>
    <w:rsid w:val="00B95962"/>
    <w:rsid w:val="00BA5B29"/>
    <w:rsid w:val="00BB53D7"/>
    <w:rsid w:val="00BC3ECD"/>
    <w:rsid w:val="00BD42E1"/>
    <w:rsid w:val="00BD4D3F"/>
    <w:rsid w:val="00BD75F5"/>
    <w:rsid w:val="00BE15CE"/>
    <w:rsid w:val="00BE1787"/>
    <w:rsid w:val="00BF3764"/>
    <w:rsid w:val="00BF71BB"/>
    <w:rsid w:val="00BF77B3"/>
    <w:rsid w:val="00C02853"/>
    <w:rsid w:val="00C257E4"/>
    <w:rsid w:val="00C708E1"/>
    <w:rsid w:val="00C734FB"/>
    <w:rsid w:val="00C86ADB"/>
    <w:rsid w:val="00C92A8A"/>
    <w:rsid w:val="00C9608D"/>
    <w:rsid w:val="00C97F1C"/>
    <w:rsid w:val="00CA01F0"/>
    <w:rsid w:val="00CC1F8B"/>
    <w:rsid w:val="00CC3B81"/>
    <w:rsid w:val="00CC5775"/>
    <w:rsid w:val="00CD3E6D"/>
    <w:rsid w:val="00CF04B2"/>
    <w:rsid w:val="00D13534"/>
    <w:rsid w:val="00D5370F"/>
    <w:rsid w:val="00D537FC"/>
    <w:rsid w:val="00D53BE9"/>
    <w:rsid w:val="00D55FDE"/>
    <w:rsid w:val="00D73320"/>
    <w:rsid w:val="00DA7B2F"/>
    <w:rsid w:val="00DB028A"/>
    <w:rsid w:val="00DB20D8"/>
    <w:rsid w:val="00DC0A4A"/>
    <w:rsid w:val="00DC100A"/>
    <w:rsid w:val="00DD2C38"/>
    <w:rsid w:val="00DD534F"/>
    <w:rsid w:val="00DE7549"/>
    <w:rsid w:val="00E10133"/>
    <w:rsid w:val="00E12A81"/>
    <w:rsid w:val="00E15FC6"/>
    <w:rsid w:val="00E17A2C"/>
    <w:rsid w:val="00E25D3B"/>
    <w:rsid w:val="00E42F74"/>
    <w:rsid w:val="00E44E78"/>
    <w:rsid w:val="00E47708"/>
    <w:rsid w:val="00E861C2"/>
    <w:rsid w:val="00E906CD"/>
    <w:rsid w:val="00E910AC"/>
    <w:rsid w:val="00E95C29"/>
    <w:rsid w:val="00EA6F33"/>
    <w:rsid w:val="00EB2F1A"/>
    <w:rsid w:val="00EB723C"/>
    <w:rsid w:val="00EC0059"/>
    <w:rsid w:val="00EC47CC"/>
    <w:rsid w:val="00EC6489"/>
    <w:rsid w:val="00EE36C7"/>
    <w:rsid w:val="00EE46BC"/>
    <w:rsid w:val="00EE6650"/>
    <w:rsid w:val="00EF497E"/>
    <w:rsid w:val="00EF693C"/>
    <w:rsid w:val="00F00E8C"/>
    <w:rsid w:val="00F0731E"/>
    <w:rsid w:val="00F10374"/>
    <w:rsid w:val="00F123AC"/>
    <w:rsid w:val="00F148E8"/>
    <w:rsid w:val="00F16035"/>
    <w:rsid w:val="00F160FB"/>
    <w:rsid w:val="00F225F3"/>
    <w:rsid w:val="00F27A2D"/>
    <w:rsid w:val="00F3086C"/>
    <w:rsid w:val="00F31D0E"/>
    <w:rsid w:val="00F31D0F"/>
    <w:rsid w:val="00F328F2"/>
    <w:rsid w:val="00F45B99"/>
    <w:rsid w:val="00F64953"/>
    <w:rsid w:val="00F74BFE"/>
    <w:rsid w:val="00F76149"/>
    <w:rsid w:val="00F77F9E"/>
    <w:rsid w:val="00F92C25"/>
    <w:rsid w:val="00F95DC8"/>
    <w:rsid w:val="00FB3B67"/>
    <w:rsid w:val="00FB7E5B"/>
    <w:rsid w:val="00FC2E68"/>
    <w:rsid w:val="00FD4F28"/>
    <w:rsid w:val="00FE12A6"/>
    <w:rsid w:val="00FF1A79"/>
    <w:rsid w:val="00FF2759"/>
    <w:rsid w:val="00FF4119"/>
    <w:rsid w:val="0E90AB8D"/>
    <w:rsid w:val="1274ED89"/>
    <w:rsid w:val="1275CA90"/>
    <w:rsid w:val="129B360A"/>
    <w:rsid w:val="17D98ABF"/>
    <w:rsid w:val="260BE006"/>
    <w:rsid w:val="2DDF10C6"/>
    <w:rsid w:val="58C654AE"/>
    <w:rsid w:val="5B834914"/>
    <w:rsid w:val="5D94D8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3F4A28"/>
  <w15:docId w15:val="{84DC2519-8772-482D-814F-E4AAB271C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80"/>
      <w:ind w:left="4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1"/>
      <w:ind w:left="400"/>
    </w:pPr>
    <w:rPr>
      <w:sz w:val="24"/>
      <w:szCs w:val="24"/>
    </w:rPr>
  </w:style>
  <w:style w:type="paragraph" w:styleId="ListParagraph">
    <w:name w:val="List Paragraph"/>
    <w:basedOn w:val="Normal"/>
    <w:uiPriority w:val="1"/>
    <w:qFormat/>
    <w:pPr>
      <w:spacing w:before="161"/>
      <w:ind w:left="7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D2382"/>
    <w:pPr>
      <w:tabs>
        <w:tab w:val="center" w:pos="4680"/>
        <w:tab w:val="right" w:pos="9360"/>
      </w:tabs>
    </w:pPr>
  </w:style>
  <w:style w:type="character" w:customStyle="1" w:styleId="HeaderChar">
    <w:name w:val="Header Char"/>
    <w:basedOn w:val="DefaultParagraphFont"/>
    <w:link w:val="Header"/>
    <w:uiPriority w:val="99"/>
    <w:rsid w:val="002D2382"/>
    <w:rPr>
      <w:rFonts w:ascii="Arial" w:eastAsia="Arial" w:hAnsi="Arial" w:cs="Arial"/>
      <w:lang w:bidi="en-US"/>
    </w:rPr>
  </w:style>
  <w:style w:type="paragraph" w:styleId="Footer">
    <w:name w:val="footer"/>
    <w:basedOn w:val="Normal"/>
    <w:link w:val="FooterChar"/>
    <w:uiPriority w:val="99"/>
    <w:unhideWhenUsed/>
    <w:rsid w:val="002D2382"/>
    <w:pPr>
      <w:tabs>
        <w:tab w:val="center" w:pos="4680"/>
        <w:tab w:val="right" w:pos="9360"/>
      </w:tabs>
    </w:pPr>
  </w:style>
  <w:style w:type="character" w:customStyle="1" w:styleId="FooterChar">
    <w:name w:val="Footer Char"/>
    <w:basedOn w:val="DefaultParagraphFont"/>
    <w:link w:val="Footer"/>
    <w:uiPriority w:val="99"/>
    <w:rsid w:val="002D2382"/>
    <w:rPr>
      <w:rFonts w:ascii="Arial" w:eastAsia="Arial" w:hAnsi="Arial" w:cs="Arial"/>
      <w:lang w:bidi="en-US"/>
    </w:rPr>
  </w:style>
  <w:style w:type="paragraph" w:styleId="NoSpacing">
    <w:name w:val="No Spacing"/>
    <w:uiPriority w:val="1"/>
    <w:qFormat/>
    <w:rsid w:val="00E12A81"/>
    <w:rPr>
      <w:rFonts w:ascii="Arial" w:eastAsia="Arial" w:hAnsi="Arial" w:cs="Arial"/>
      <w:lang w:bidi="en-US"/>
    </w:rPr>
  </w:style>
  <w:style w:type="character" w:customStyle="1" w:styleId="CommentReference">
    <w:name w:val="Comment Reference"/>
    <w:basedOn w:val="DefaultParagraphFont"/>
    <w:uiPriority w:val="99"/>
    <w:semiHidden/>
    <w:unhideWhenUsed/>
    <w:rsid w:val="002D11C1"/>
    <w:rPr>
      <w:sz w:val="16"/>
      <w:szCs w:val="16"/>
    </w:rPr>
  </w:style>
  <w:style w:type="paragraph" w:customStyle="1" w:styleId="CommentText">
    <w:name w:val="Comment Text"/>
    <w:basedOn w:val="Normal"/>
    <w:link w:val="CommentTextChar"/>
    <w:uiPriority w:val="99"/>
    <w:unhideWhenUsed/>
    <w:rsid w:val="002D11C1"/>
    <w:rPr>
      <w:sz w:val="20"/>
      <w:szCs w:val="20"/>
    </w:rPr>
  </w:style>
  <w:style w:type="character" w:customStyle="1" w:styleId="CommentTextChar">
    <w:name w:val="Comment Text Char"/>
    <w:basedOn w:val="DefaultParagraphFont"/>
    <w:link w:val="CommentText"/>
    <w:uiPriority w:val="99"/>
    <w:rsid w:val="002D11C1"/>
    <w:rPr>
      <w:rFonts w:ascii="Arial" w:eastAsia="Arial" w:hAnsi="Arial" w:cs="Arial"/>
      <w:sz w:val="20"/>
      <w:szCs w:val="20"/>
      <w:lang w:bidi="en-US"/>
    </w:rPr>
  </w:style>
  <w:style w:type="paragraph" w:customStyle="1" w:styleId="CommentSubject">
    <w:name w:val="Comment Subject"/>
    <w:basedOn w:val="CommentText"/>
    <w:next w:val="CommentText"/>
    <w:link w:val="CommentSubjectChar"/>
    <w:uiPriority w:val="99"/>
    <w:semiHidden/>
    <w:unhideWhenUsed/>
    <w:rsid w:val="002D11C1"/>
    <w:rPr>
      <w:b/>
      <w:bCs/>
    </w:rPr>
  </w:style>
  <w:style w:type="character" w:customStyle="1" w:styleId="CommentSubjectChar">
    <w:name w:val="Comment Subject Char"/>
    <w:basedOn w:val="CommentTextChar"/>
    <w:link w:val="CommentSubject"/>
    <w:uiPriority w:val="99"/>
    <w:semiHidden/>
    <w:rsid w:val="002D11C1"/>
    <w:rPr>
      <w:rFonts w:ascii="Arial" w:eastAsia="Arial" w:hAnsi="Arial" w:cs="Arial"/>
      <w:b/>
      <w:bCs/>
      <w:sz w:val="20"/>
      <w:szCs w:val="20"/>
      <w:lang w:bidi="en-US"/>
    </w:rPr>
  </w:style>
  <w:style w:type="paragraph" w:customStyle="1" w:styleId="QuickFormat1">
    <w:name w:val="QuickFormat1"/>
    <w:basedOn w:val="Normal"/>
    <w:rsid w:val="00EE6650"/>
    <w:pPr>
      <w:autoSpaceDE/>
      <w:autoSpaceDN/>
    </w:pPr>
    <w:rPr>
      <w:rFonts w:ascii="Courier" w:eastAsia="Times New Roman" w:hAnsi="Courier" w:cs="Times New Roman"/>
      <w:color w:val="000000"/>
      <w:sz w:val="24"/>
      <w:szCs w:val="20"/>
      <w:lang w:bidi="ar-SA"/>
    </w:rPr>
  </w:style>
  <w:style w:type="character" w:styleId="Hyperlink">
    <w:name w:val="Hyperlink"/>
    <w:basedOn w:val="DefaultParagraphFont"/>
    <w:uiPriority w:val="99"/>
    <w:unhideWhenUsed/>
    <w:rsid w:val="00290832"/>
    <w:rPr>
      <w:color w:val="0000FF" w:themeColor="hyperlink"/>
      <w:u w:val="single"/>
    </w:rPr>
  </w:style>
  <w:style w:type="character" w:styleId="UnresolvedMention">
    <w:name w:val="Unresolved Mention"/>
    <w:basedOn w:val="DefaultParagraphFont"/>
    <w:uiPriority w:val="99"/>
    <w:semiHidden/>
    <w:unhideWhenUsed/>
    <w:rsid w:val="00290832"/>
    <w:rPr>
      <w:color w:val="605E5C"/>
      <w:shd w:val="clear" w:color="auto" w:fill="E1DFDD"/>
    </w:rPr>
  </w:style>
  <w:style w:type="paragraph" w:customStyle="1" w:styleId="Level1">
    <w:name w:val="Level 1"/>
    <w:rsid w:val="00FC2E68"/>
    <w:pPr>
      <w:widowControl/>
      <w:adjustRightInd w:val="0"/>
      <w:ind w:left="720"/>
    </w:pPr>
    <w:rPr>
      <w:rFonts w:ascii="Times New Roman" w:eastAsia="Calibri" w:hAnsi="Times New Roman" w:cs="Times New Roman"/>
      <w:sz w:val="24"/>
      <w:szCs w:val="24"/>
    </w:rPr>
  </w:style>
  <w:style w:type="paragraph" w:styleId="NormalWeb">
    <w:name w:val="Normal (Web)"/>
    <w:basedOn w:val="Normal"/>
    <w:uiPriority w:val="99"/>
    <w:semiHidden/>
    <w:unhideWhenUsed/>
    <w:rsid w:val="00F328F2"/>
    <w:rPr>
      <w:rFonts w:ascii="Times New Roman" w:hAnsi="Times New Roman" w:cs="Times New Roman"/>
      <w:sz w:val="24"/>
      <w:szCs w:val="24"/>
    </w:rPr>
  </w:style>
  <w:style w:type="character" w:styleId="Strong">
    <w:name w:val="Strong"/>
    <w:basedOn w:val="DefaultParagraphFont"/>
    <w:uiPriority w:val="22"/>
    <w:qFormat/>
    <w:rsid w:val="00F31D0F"/>
    <w:rPr>
      <w:b/>
      <w:bCs/>
    </w:rPr>
  </w:style>
  <w:style w:type="paragraph" w:styleId="Revision">
    <w:name w:val="Revision"/>
    <w:hidden/>
    <w:uiPriority w:val="99"/>
    <w:semiHidden/>
    <w:rsid w:val="009B0351"/>
    <w:pPr>
      <w:widowControl/>
      <w:autoSpaceDE/>
      <w:autoSpaceDN/>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data.bls.gov/oesprofile/?major_group=530000&amp;occupation=531047&amp;measure=01&amp;areas=INDUSTRY,STATE,MSA" TargetMode="External" /><Relationship Id="rId8" Type="http://schemas.openxmlformats.org/officeDocument/2006/relationships/hyperlink" Target="http://www.gpo.gov/fdsys/pkg/CFR-2014-title5-vol3/pdf/CFR-2014-title5-vol3-sec1320-9.pdf" TargetMode="External" /><Relationship Id="rId9" Type="http://schemas.openxmlformats.org/officeDocument/2006/relationships/hyperlink" Target="http://www.gpo.gov/fdsys/pkg/CFR-2014-title5-vol3/pdf/CFR-2014-title5-vol3-sec1320-8.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Matthew Tucker</SubmitterName>
    <Parent_ICR xmlns="f762c95d-3cca-4969-a35b-3d8ab5bf0d48">2030</Parent_ICR>
    <ICR_ID xmlns="f762c95d-3cca-4969-a35b-3d8ab5bf0d48">2030</ICR_ID>
    <DocumentType xmlns="f762c95d-3cca-4969-a35b-3d8ab5bf0d48">Supporting Statement A</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5DA9AB-DD3B-4552-9DAC-0302FF86DDBA}">
  <ds:schemaRefs>
    <ds:schemaRef ds:uri="http://schemas.microsoft.com/office/2006/metadata/properties"/>
    <ds:schemaRef ds:uri="http://schemas.microsoft.com/office/infopath/2007/PartnerControls"/>
    <ds:schemaRef ds:uri="558250db-76c6-400c-8e4d-8eb171d738bd"/>
    <ds:schemaRef ds:uri="http://schemas.microsoft.com/sharepoint/v3"/>
    <ds:schemaRef ds:uri="6e791d5b-3bd7-4d87-b80d-5e4c71e4c5f9"/>
  </ds:schemaRefs>
</ds:datastoreItem>
</file>

<file path=customXml/itemProps2.xml><?xml version="1.0" encoding="utf-8"?>
<ds:datastoreItem xmlns:ds="http://schemas.openxmlformats.org/officeDocument/2006/customXml" ds:itemID="{8FAB3BED-AD3D-4047-A181-A1E1273C404B}">
  <ds:schemaRefs/>
</ds:datastoreItem>
</file>

<file path=customXml/itemProps3.xml><?xml version="1.0" encoding="utf-8"?>
<ds:datastoreItem xmlns:ds="http://schemas.openxmlformats.org/officeDocument/2006/customXml" ds:itemID="{EB4002DC-2B84-4412-89E3-453E98AAFD1C}">
  <ds:schemaRefs>
    <ds:schemaRef ds:uri="http://schemas.microsoft.com/sharepoint/v3/contenttype/forms"/>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Bureau of the Census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CFS Supporting Statement Part A</dc:title>
  <dc:subject>2020</dc:subject>
  <dc:creator>Dumas, Sheleen (Federal)</dc:creator>
  <cp:lastModifiedBy>Thomas J Smith (CENSUS/ADEP FED)</cp:lastModifiedBy>
  <cp:revision>21</cp:revision>
  <dcterms:created xsi:type="dcterms:W3CDTF">2026-09-01T11:33:00Z</dcterms:created>
  <dcterms:modified xsi:type="dcterms:W3CDTF">2026-10-20T10:50:19Z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Created">
    <vt:filetime>2020-05-06T00:00:00Z</vt:filetime>
  </property>
  <property fmtid="{D5CDD505-2E9C-101B-9397-08002B2CF9AE}" pid="4" name="Creator">
    <vt:lpwstr>Acrobat PDFMaker 17 for Word</vt:lpwstr>
  </property>
  <property fmtid="{D5CDD505-2E9C-101B-9397-08002B2CF9AE}" pid="5" name="docLang">
    <vt:lpwstr>en</vt:lpwstr>
  </property>
  <property fmtid="{D5CDD505-2E9C-101B-9397-08002B2CF9AE}" pid="6" name="LastSaved">
    <vt:filetime>2020-05-12T00:00:00Z</vt:filetime>
  </property>
  <property fmtid="{D5CDD505-2E9C-101B-9397-08002B2CF9AE}" pid="7" name="MediaServiceImageTags">
    <vt:lpwstr/>
  </property>
  <property fmtid="{D5CDD505-2E9C-101B-9397-08002B2CF9AE}" pid="8" name="_dlc_DocIdItemGuid">
    <vt:lpwstr>259b9584-25c9-43ba-abe2-dbc64603a980</vt:lpwstr>
  </property>
</Properties>
</file>