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C5F9F" w14:paraId="7DF0E084" w14:textId="77777777">
      <w:pPr>
        <w:pStyle w:val="Heading1"/>
        <w:ind w:left="0"/>
        <w:jc w:val="center"/>
      </w:pPr>
      <w:r>
        <w:t>SUPPORTING STATEMENT</w:t>
      </w:r>
    </w:p>
    <w:p w:rsidR="00DC5F9F" w14:paraId="1CE22982" w14:textId="77777777">
      <w:pPr>
        <w:spacing w:before="22" w:line="259" w:lineRule="auto"/>
        <w:ind w:firstLine="14"/>
        <w:jc w:val="center"/>
        <w:rPr>
          <w:b/>
          <w:bCs/>
        </w:rPr>
      </w:pPr>
      <w:r>
        <w:rPr>
          <w:b/>
          <w:bCs/>
        </w:rPr>
        <w:t>U.S. Department of Commerce</w:t>
      </w:r>
    </w:p>
    <w:p w:rsidR="00DC5F9F" w14:paraId="2B5F15F4" w14:textId="77777777">
      <w:pPr>
        <w:spacing w:before="22" w:line="259" w:lineRule="auto"/>
        <w:ind w:firstLine="14"/>
        <w:jc w:val="center"/>
        <w:rPr>
          <w:b/>
          <w:bCs/>
        </w:rPr>
      </w:pPr>
      <w:r>
        <w:rPr>
          <w:b/>
          <w:bCs/>
        </w:rPr>
        <w:t>National Oceanic &amp; Atmospheric Administration</w:t>
      </w:r>
    </w:p>
    <w:p w:rsidR="005A6AFF" w14:paraId="7C33D647" w14:textId="77777777">
      <w:pPr>
        <w:spacing w:line="259" w:lineRule="auto"/>
        <w:ind w:hanging="6"/>
        <w:jc w:val="center"/>
        <w:rPr>
          <w:b/>
          <w:bCs/>
        </w:rPr>
      </w:pPr>
      <w:r w:rsidRPr="005A6AFF">
        <w:rPr>
          <w:b/>
          <w:bCs/>
        </w:rPr>
        <w:t>Natural Resource Damage Assessment Restoration Project Information Sheet</w:t>
      </w:r>
    </w:p>
    <w:p w:rsidR="00DC5F9F" w14:paraId="389351EC" w14:textId="4C26811B">
      <w:pPr>
        <w:spacing w:line="259" w:lineRule="auto"/>
        <w:ind w:hanging="6"/>
        <w:jc w:val="center"/>
        <w:rPr>
          <w:b/>
          <w:bCs/>
        </w:rPr>
      </w:pPr>
      <w:r>
        <w:rPr>
          <w:b/>
          <w:bCs/>
        </w:rPr>
        <w:t>OMB Control No. 0648-</w:t>
      </w:r>
      <w:r w:rsidR="005A6AFF">
        <w:rPr>
          <w:b/>
          <w:bCs/>
        </w:rPr>
        <w:t>0497</w:t>
      </w:r>
    </w:p>
    <w:p w:rsidR="00DC5F9F" w14:paraId="06BAA447" w14:textId="77777777">
      <w:pPr>
        <w:pBdr>
          <w:top w:val="nil"/>
          <w:left w:val="nil"/>
          <w:bottom w:val="nil"/>
          <w:right w:val="nil"/>
          <w:between w:val="nil"/>
        </w:pBdr>
        <w:spacing w:before="1"/>
        <w:jc w:val="center"/>
        <w:rPr>
          <w:b/>
          <w:bCs/>
          <w:color w:val="000000"/>
        </w:rPr>
      </w:pPr>
    </w:p>
    <w:p w:rsidR="00DC5F9F" w:rsidP="00DB7C6A" w14:paraId="445D09A9" w14:textId="77777777">
      <w:pPr>
        <w:pStyle w:val="Heading1"/>
        <w:spacing w:before="240"/>
        <w:ind w:left="0"/>
      </w:pPr>
      <w:r>
        <w:t>Abstract</w:t>
      </w:r>
    </w:p>
    <w:p w:rsidR="005A6AFF" w:rsidRPr="008F3CD7" w:rsidP="00DB7C6A" w14:paraId="44EC303F" w14:textId="77777777">
      <w:pPr>
        <w:pStyle w:val="Heading1"/>
        <w:spacing w:before="240"/>
        <w:ind w:left="0"/>
        <w:rPr>
          <w:b w:val="0"/>
          <w:bCs w:val="0"/>
        </w:rPr>
      </w:pPr>
      <w:r w:rsidRPr="008F3CD7">
        <w:rPr>
          <w:b w:val="0"/>
          <w:bCs w:val="0"/>
        </w:rPr>
        <w:t xml:space="preserve">This request is for </w:t>
      </w:r>
      <w:r w:rsidRPr="008F3CD7">
        <w:rPr>
          <w:b w:val="0"/>
          <w:bCs w:val="0"/>
        </w:rPr>
        <w:t>an extension of the current information collection.</w:t>
      </w:r>
    </w:p>
    <w:p w:rsidR="005A6AFF" w:rsidP="00DB7C6A" w14:paraId="3403B0C3" w14:textId="77777777">
      <w:pPr>
        <w:spacing w:before="240"/>
      </w:pPr>
      <w:r>
        <w:t>The purpose of this information collection is to assist state and federal Natural Resource Trustees in more efficiently carrying out the restoration planning phase of Natural Resource Damage Assessments (NRDA), in compliance with the National Environmental Policy Act of 1969, 42 U.S.C. 4321-4370d; and other federal and local statutes and regulations as applicable.  The NRDA Restoration Project Information Sheet is designed to facilitate the collection of information on existing, planned, or proposed restora</w:t>
      </w:r>
      <w:r>
        <w:t>tion projects.  This information will be used by the Natural Resource Trustees to develop potential restoration alternatives for natural resource injuries and service losses requiring restoration, during the restoration planning phase of the NRDA process. This information is provided by the public on a voluntary basis. The information provided benefits the public by informing the NRDA restoration process. However, there are no individual benefits that depend on the submission of information. Individuals can</w:t>
      </w:r>
      <w:r>
        <w:t xml:space="preserve"> update the information as needed, but there is no required update frequency.</w:t>
      </w:r>
    </w:p>
    <w:p w:rsidR="005A6AFF" w:rsidP="00DB7C6A" w14:paraId="3DCEE321" w14:textId="77777777">
      <w:pPr>
        <w:pStyle w:val="Heading1"/>
        <w:spacing w:before="240"/>
        <w:ind w:left="0"/>
      </w:pPr>
    </w:p>
    <w:p w:rsidR="00DC5F9F" w:rsidP="00DB7C6A" w14:paraId="31D089FC" w14:textId="77777777">
      <w:pPr>
        <w:pStyle w:val="Heading1"/>
        <w:spacing w:before="240"/>
        <w:ind w:left="0"/>
      </w:pPr>
      <w:r>
        <w:t>Justification</w:t>
      </w:r>
    </w:p>
    <w:p w:rsidR="00DC5F9F" w:rsidP="00DB7C6A" w14:paraId="284A56C6"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 xml:space="preserve">Explain the circumstances that make the collection of information necessary. Identify any legal or </w:t>
      </w:r>
      <w:r>
        <w:rPr>
          <w:b/>
          <w:bCs/>
          <w:color w:val="000000"/>
        </w:rPr>
        <w:t>administrative requirements that necessitate the collection. Attach a copy of the appropriate section of each statute and regulation mandating or authorizing the collection of information.</w:t>
      </w:r>
    </w:p>
    <w:p w:rsidR="005A6AFF" w:rsidP="00DB7C6A" w14:paraId="7776A49D" w14:textId="36E74D25">
      <w:pPr>
        <w:pBdr>
          <w:top w:val="nil"/>
          <w:left w:val="nil"/>
          <w:bottom w:val="nil"/>
          <w:right w:val="nil"/>
          <w:between w:val="nil"/>
        </w:pBdr>
        <w:tabs>
          <w:tab w:val="left" w:pos="360"/>
        </w:tabs>
        <w:spacing w:before="240"/>
      </w:pPr>
      <w:r w:rsidRPr="005D6B49">
        <w:t>The purpose of the collection of this information is to assist state and federal Natural Resource Trustees in more efficiently carrying out the restoration planning phase of Natural Resource Damage Assessments (NRDA), in compliance with the National Environmental Policy Act of 1969 (NEPA)</w:t>
      </w:r>
      <w:r>
        <w:rPr>
          <w:rStyle w:val="FootnoteReference"/>
        </w:rPr>
        <w:footnoteReference w:id="2"/>
      </w:r>
      <w:r w:rsidRPr="005D6B49">
        <w:t>, 42 U.S.C. 4321-4370d, and other federal and local statutes and regulations as applicable. Currently, when a release or substantial threat of release of oil occurs and an NRDA is conducted, state and federal Natural Resource Trustees carry out three phases: pre-assessment, restoration planning, and restoration implementation. Traditionally, the restoration planning phase is time-consuming and expensive because Trustees must contact numerous government agencies, as well as private groups, non-governmental organizations and non-profit organizations to develop a list of restoration project alternatives for each incident, a requirement before selecting suitable projects(s) to compensate the public and environment for lost services and resources. Restoration project information sheets facilitate the collection of information on a continual basis, thereby significantly shortening the time needed to generate a list of restoration alternatives following each incident. By reducing the time needed to conduct the restoration planning phase of a NRDA, the entire NRDA process becomes more efficient and habitat restoration projects will be implemented sooner.</w:t>
      </w:r>
    </w:p>
    <w:p w:rsidR="005D6B49" w:rsidP="00DB7C6A" w14:paraId="79A33F9C" w14:textId="77777777">
      <w:pPr>
        <w:pBdr>
          <w:top w:val="nil"/>
          <w:left w:val="nil"/>
          <w:bottom w:val="nil"/>
          <w:right w:val="nil"/>
          <w:between w:val="nil"/>
        </w:pBdr>
        <w:tabs>
          <w:tab w:val="left" w:pos="360"/>
        </w:tabs>
        <w:spacing w:before="240"/>
        <w:rPr>
          <w:b/>
          <w:bCs/>
          <w:color w:val="000000"/>
        </w:rPr>
      </w:pPr>
    </w:p>
    <w:p w:rsidR="00DC5F9F" w:rsidP="00DB7C6A" w14:paraId="7519C68C" w14:textId="77777777">
      <w:pPr>
        <w:pStyle w:val="Heading1"/>
        <w:numPr>
          <w:ilvl w:val="0"/>
          <w:numId w:val="9"/>
        </w:numPr>
        <w:tabs>
          <w:tab w:val="left" w:pos="360"/>
        </w:tabs>
        <w:spacing w:before="240"/>
        <w:ind w:left="0" w:firstLine="0"/>
      </w:pPr>
      <w:r>
        <w:t>Indicate how, by whom, and for what purpose the information is to be used. Except for a new collection, indicate the actual use the agency has made of the information received from the current collection.</w:t>
      </w:r>
    </w:p>
    <w:p w:rsidR="008010D3" w:rsidRPr="008010D3" w:rsidP="008010D3" w14:paraId="4460ED03" w14:textId="77777777">
      <w:pPr>
        <w:spacing w:before="240"/>
      </w:pPr>
      <w:r w:rsidRPr="008010D3">
        <w:t>The Natural Resource Damage Assessment (NRDA) Restoration Project Information Sheet gathers details on existing, planned, or proposed habitat restoration projects within specific regional areas.</w:t>
      </w:r>
    </w:p>
    <w:p w:rsidR="008010D3" w:rsidRPr="008010D3" w:rsidP="008010D3" w14:paraId="78DEFE76" w14:textId="77777777">
      <w:pPr>
        <w:spacing w:before="240"/>
      </w:pPr>
      <w:r w:rsidRPr="008010D3">
        <w:t>Information is collected through two primary channels to ensure accessibility:</w:t>
      </w:r>
    </w:p>
    <w:p w:rsidR="008010D3" w:rsidRPr="008010D3" w:rsidP="008010D3" w14:paraId="1DD4DD65" w14:textId="77777777">
      <w:pPr>
        <w:numPr>
          <w:ilvl w:val="0"/>
          <w:numId w:val="16"/>
        </w:numPr>
        <w:spacing w:before="120"/>
      </w:pPr>
      <w:r w:rsidRPr="008010D3">
        <w:rPr>
          <w:b/>
          <w:bCs/>
        </w:rPr>
        <w:t xml:space="preserve">Online Web Form: </w:t>
      </w:r>
      <w:r w:rsidRPr="008010D3">
        <w:t>Directly populates and stores submitted project details into a centralized database.</w:t>
      </w:r>
    </w:p>
    <w:p w:rsidR="008010D3" w:rsidRPr="008010D3" w:rsidP="008010D3" w14:paraId="0A3E2E28" w14:textId="77777777">
      <w:pPr>
        <w:numPr>
          <w:ilvl w:val="0"/>
          <w:numId w:val="16"/>
        </w:numPr>
        <w:spacing w:before="120"/>
      </w:pPr>
      <w:r w:rsidRPr="008010D3">
        <w:rPr>
          <w:b/>
          <w:bCs/>
        </w:rPr>
        <w:t xml:space="preserve">Hard-Copy Document: </w:t>
      </w:r>
      <w:r w:rsidRPr="008010D3">
        <w:t>A printed version distributed at in-person meetings or provided upon request to members of the public as an alternative to the web form.</w:t>
      </w:r>
    </w:p>
    <w:p w:rsidR="008010D3" w:rsidRPr="008010D3" w:rsidP="008010D3" w14:paraId="7CB57EC4" w14:textId="77777777">
      <w:pPr>
        <w:spacing w:before="240"/>
      </w:pPr>
      <w:r w:rsidRPr="008010D3">
        <w:t>Both formats collect standardized information across six key areas:</w:t>
      </w:r>
    </w:p>
    <w:p w:rsidR="008010D3" w:rsidRPr="008010D3" w:rsidP="008010D3" w14:paraId="59CD17FE" w14:textId="77777777">
      <w:pPr>
        <w:numPr>
          <w:ilvl w:val="0"/>
          <w:numId w:val="17"/>
        </w:numPr>
        <w:spacing w:before="120"/>
      </w:pPr>
      <w:r w:rsidRPr="008010D3">
        <w:rPr>
          <w:b/>
          <w:bCs/>
        </w:rPr>
        <w:t xml:space="preserve">Contact Information: </w:t>
      </w:r>
      <w:r w:rsidRPr="008010D3">
        <w:t>Project manager details including name, title, address, organization, phone/fax numbers, email, and website URL.</w:t>
      </w:r>
    </w:p>
    <w:p w:rsidR="008010D3" w:rsidRPr="008010D3" w:rsidP="008010D3" w14:paraId="2C1E4F9B" w14:textId="77777777">
      <w:pPr>
        <w:numPr>
          <w:ilvl w:val="0"/>
          <w:numId w:val="17"/>
        </w:numPr>
        <w:spacing w:before="120"/>
      </w:pPr>
      <w:r w:rsidRPr="008010D3">
        <w:rPr>
          <w:b/>
          <w:bCs/>
        </w:rPr>
        <w:t xml:space="preserve">Project Details: </w:t>
      </w:r>
      <w:r w:rsidRPr="008010D3">
        <w:t>Basic details such as project title, size, cost, and geographic location (Parish/County, watershed, latitude/longitude).</w:t>
      </w:r>
    </w:p>
    <w:p w:rsidR="008010D3" w:rsidRPr="008010D3" w:rsidP="008010D3" w14:paraId="21E0A91B" w14:textId="77777777">
      <w:pPr>
        <w:numPr>
          <w:ilvl w:val="0"/>
          <w:numId w:val="17"/>
        </w:numPr>
        <w:spacing w:before="120"/>
      </w:pPr>
      <w:r w:rsidRPr="008010D3">
        <w:rPr>
          <w:b/>
          <w:bCs/>
        </w:rPr>
        <w:t xml:space="preserve">Categories: </w:t>
      </w:r>
      <w:r w:rsidRPr="008010D3">
        <w:t>Categorical classifications for project types, target habitats, and resource benefits.</w:t>
      </w:r>
    </w:p>
    <w:p w:rsidR="008010D3" w:rsidRPr="008010D3" w:rsidP="008010D3" w14:paraId="42C42256" w14:textId="77777777">
      <w:pPr>
        <w:numPr>
          <w:ilvl w:val="0"/>
          <w:numId w:val="17"/>
        </w:numPr>
        <w:spacing w:before="120"/>
      </w:pPr>
      <w:r w:rsidRPr="008010D3">
        <w:rPr>
          <w:b/>
          <w:bCs/>
        </w:rPr>
        <w:t xml:space="preserve">Project Status: </w:t>
      </w:r>
      <w:r w:rsidRPr="008010D3">
        <w:t>Progress updates on key development phases, including land/resource acquisition, planning and design, and permitting.</w:t>
      </w:r>
    </w:p>
    <w:p w:rsidR="008010D3" w:rsidRPr="008010D3" w:rsidP="008010D3" w14:paraId="7966198D" w14:textId="77777777">
      <w:pPr>
        <w:numPr>
          <w:ilvl w:val="0"/>
          <w:numId w:val="17"/>
        </w:numPr>
        <w:spacing w:before="120"/>
      </w:pPr>
      <w:r w:rsidRPr="008010D3">
        <w:rPr>
          <w:b/>
          <w:bCs/>
        </w:rPr>
        <w:t xml:space="preserve">Description &amp; Benefits: </w:t>
      </w:r>
      <w:r w:rsidRPr="008010D3">
        <w:t>Comprehensive background information on the site and anticipated environmental outcomes.</w:t>
      </w:r>
    </w:p>
    <w:p w:rsidR="008010D3" w:rsidRPr="008010D3" w:rsidP="008010D3" w14:paraId="5CEF2E08" w14:textId="77777777">
      <w:pPr>
        <w:numPr>
          <w:ilvl w:val="0"/>
          <w:numId w:val="17"/>
        </w:numPr>
        <w:spacing w:before="120"/>
      </w:pPr>
      <w:r w:rsidRPr="008010D3">
        <w:rPr>
          <w:b/>
          <w:bCs/>
        </w:rPr>
        <w:t xml:space="preserve">Project Partners: </w:t>
      </w:r>
      <w:r w:rsidRPr="008010D3">
        <w:t>Information on supporting entities, including partner names, contact details, and their specific contributions (e.g., funding, technical assistance, planning).</w:t>
      </w:r>
    </w:p>
    <w:p w:rsidR="008010D3" w:rsidRPr="008010D3" w:rsidP="008010D3" w14:paraId="665C4D92" w14:textId="77777777">
      <w:pPr>
        <w:spacing w:before="240"/>
      </w:pPr>
      <w:r w:rsidRPr="008010D3">
        <w:t>The collected data is maintained on an ongoing basis by NOAA staff and partnering federal and state agencies.</w:t>
      </w:r>
    </w:p>
    <w:p w:rsidR="008010D3" w:rsidP="008010D3" w14:paraId="041F9976" w14:textId="77777777">
      <w:pPr>
        <w:numPr>
          <w:ilvl w:val="0"/>
          <w:numId w:val="18"/>
        </w:numPr>
        <w:spacing w:before="120"/>
      </w:pPr>
      <w:r w:rsidRPr="008010D3">
        <w:rPr>
          <w:b/>
          <w:bCs/>
        </w:rPr>
        <w:t xml:space="preserve">Incident Response &amp; Restoration: </w:t>
      </w:r>
      <w:r w:rsidRPr="008010D3">
        <w:t>Following an oil spill or threat of a release, agency staff query the database to identify suitable restoration projects that can compensate the public and environment for resource injuries.</w:t>
      </w:r>
    </w:p>
    <w:p w:rsidR="008010D3" w:rsidRPr="008010D3" w:rsidP="008010D3" w14:paraId="1793AF90" w14:textId="161D7BB5">
      <w:pPr>
        <w:numPr>
          <w:ilvl w:val="0"/>
          <w:numId w:val="18"/>
        </w:numPr>
        <w:spacing w:before="120"/>
      </w:pPr>
      <w:r w:rsidRPr="008010D3">
        <w:rPr>
          <w:b/>
          <w:bCs/>
        </w:rPr>
        <w:t xml:space="preserve">Public Access &amp; Inquiry: </w:t>
      </w:r>
      <w:r w:rsidRPr="008010D3">
        <w:t xml:space="preserve">Information is publicly accessible at </w:t>
      </w:r>
      <w:hyperlink r:id="rId7" w:history="1">
        <w:r w:rsidRPr="008010D3">
          <w:rPr>
            <w:rStyle w:val="Hyperlink"/>
          </w:rPr>
          <w:t>http://www.gulfspillrestoration.noaa.gov/</w:t>
        </w:r>
      </w:hyperlink>
      <w:r w:rsidRPr="008010D3">
        <w:t xml:space="preserve"> and </w:t>
      </w:r>
      <w:hyperlink r:id="rId8" w:history="1">
        <w:r w:rsidRPr="008010D3">
          <w:rPr>
            <w:rStyle w:val="Hyperlink"/>
          </w:rPr>
          <w:t>http://www.darrp.noaa.gov/</w:t>
        </w:r>
      </w:hyperlink>
      <w:r w:rsidRPr="008010D3">
        <w:t>. Non-profit organizations and members of the public can also search the repository for potential projects, with query frequency varying based on incident frequency and public interest.</w:t>
      </w:r>
    </w:p>
    <w:p w:rsidR="005A6AFF" w:rsidP="00DB7C6A" w14:paraId="09F734A2" w14:textId="77777777">
      <w:pPr>
        <w:spacing w:before="240"/>
      </w:pPr>
      <w:r>
        <w:t>N</w:t>
      </w:r>
      <w:r>
        <w:t>OAA Fisheries will retain control over the information and safeguard it from improper access, modification, and destruction, consistent with NOAA standards for confidentiality, privacy, and electronic information.  See Question 10 for information about confidentiality.  The information collection is designed to yield information that meets all applicable information quality guidelines.  Prior to dissemination, the information will be subjected to quality control measures and pre-dissemination review pursuan</w:t>
      </w:r>
      <w:r>
        <w:t xml:space="preserve">t to </w:t>
      </w:r>
      <w:hyperlink r:id="rId9">
        <w:r>
          <w:rPr>
            <w:color w:val="0000FF"/>
            <w:u w:val="single"/>
          </w:rPr>
          <w:t>Section 515 of Public Law 106-554</w:t>
        </w:r>
      </w:hyperlink>
      <w:r>
        <w:t>.</w:t>
      </w:r>
    </w:p>
    <w:p w:rsidR="005A6AFF" w:rsidP="00DB7C6A" w14:paraId="3CBB0E4A" w14:textId="77777777">
      <w:pPr>
        <w:pBdr>
          <w:top w:val="nil"/>
          <w:left w:val="nil"/>
          <w:bottom w:val="nil"/>
          <w:right w:val="nil"/>
          <w:between w:val="nil"/>
        </w:pBdr>
        <w:tabs>
          <w:tab w:val="left" w:pos="360"/>
        </w:tabs>
        <w:spacing w:before="240"/>
        <w:ind w:left="400"/>
        <w:rPr>
          <w:b/>
          <w:bCs/>
        </w:rPr>
      </w:pPr>
    </w:p>
    <w:p w:rsidR="00DC5F9F" w:rsidP="00DB7C6A" w14:paraId="578743E5"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5A6AFF" w:rsidRPr="005A6AFF" w:rsidP="00DB7C6A" w14:paraId="759D1887" w14:textId="014052FF">
      <w:pPr>
        <w:spacing w:before="240"/>
        <w:rPr>
          <w:sz w:val="20"/>
          <w:szCs w:val="20"/>
        </w:rPr>
      </w:pPr>
      <w:r>
        <w:t xml:space="preserve">The Natural Resource Damage Assessment Restoration Project Information Sheet will be provided to government agencies, private organizations, non-governmental organizations, and the general public as an online web form and as hard copy. It is available from the internet at </w:t>
      </w:r>
      <w:hyperlink r:id="rId7">
        <w:r w:rsidRPr="005A6AFF">
          <w:rPr>
            <w:color w:val="0000FF"/>
            <w:u w:val="single"/>
          </w:rPr>
          <w:t>http://www.gulf</w:t>
        </w:r>
        <w:r w:rsidRPr="005A6AFF">
          <w:rPr>
            <w:color w:val="0000FF"/>
            <w:u w:val="single"/>
          </w:rPr>
          <w:t>s</w:t>
        </w:r>
        <w:r w:rsidRPr="005A6AFF">
          <w:rPr>
            <w:color w:val="0000FF"/>
            <w:u w:val="single"/>
          </w:rPr>
          <w:t>pillrestoration.noaa.gov/</w:t>
        </w:r>
      </w:hyperlink>
      <w:r>
        <w:t xml:space="preserve"> and </w:t>
      </w:r>
      <w:hyperlink r:id="rId10">
        <w:r w:rsidR="005B6F5D">
          <w:rPr>
            <w:color w:val="0000FF"/>
            <w:u w:val="single"/>
          </w:rPr>
          <w:t>https://darrp.noaa.gov/</w:t>
        </w:r>
      </w:hyperlink>
      <w:r>
        <w:t>.  Hard copies are provided at in-person events and upon request to those who do not wish to use the online form.  Approximately 99% of submissions are electronic.</w:t>
      </w:r>
    </w:p>
    <w:p w:rsidR="005A6AFF" w:rsidP="00DB7C6A" w14:paraId="2EA47158" w14:textId="77777777">
      <w:pPr>
        <w:pBdr>
          <w:top w:val="nil"/>
          <w:left w:val="nil"/>
          <w:bottom w:val="nil"/>
          <w:right w:val="nil"/>
          <w:between w:val="nil"/>
        </w:pBdr>
        <w:tabs>
          <w:tab w:val="left" w:pos="360"/>
        </w:tabs>
        <w:spacing w:before="240"/>
        <w:rPr>
          <w:b/>
          <w:bCs/>
          <w:color w:val="000000"/>
        </w:rPr>
      </w:pPr>
    </w:p>
    <w:p w:rsidR="00DC5F9F" w:rsidP="00DB7C6A" w14:paraId="0B4718B6" w14:textId="07A833B1">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Describe efforts to identify duplication. Show specifically why any similar information already available cannot be used or modified for use for the purposes described in Question 2</w:t>
      </w:r>
      <w:r w:rsidR="005A6AFF">
        <w:rPr>
          <w:b/>
          <w:bCs/>
          <w:color w:val="000000"/>
        </w:rPr>
        <w:t>.</w:t>
      </w:r>
    </w:p>
    <w:p w:rsidR="005A6AFF" w:rsidP="00DB7C6A" w14:paraId="4440D4C4" w14:textId="20D2927C">
      <w:pPr>
        <w:pBdr>
          <w:top w:val="nil"/>
          <w:left w:val="nil"/>
          <w:bottom w:val="nil"/>
          <w:right w:val="nil"/>
          <w:between w:val="nil"/>
        </w:pBdr>
        <w:tabs>
          <w:tab w:val="left" w:pos="360"/>
        </w:tabs>
        <w:spacing w:before="240"/>
        <w:rPr>
          <w:color w:val="000000"/>
        </w:rPr>
      </w:pPr>
      <w:r w:rsidRPr="005A6AFF">
        <w:rPr>
          <w:color w:val="000000"/>
        </w:rPr>
        <w:t xml:space="preserve">NOAA staff regularly review federal, state, and regional databases and consult with interagency Natural Resource Trustee partners (including state </w:t>
      </w:r>
      <w:r w:rsidRPr="005A6AFF">
        <w:rPr>
          <w:color w:val="000000"/>
        </w:rPr>
        <w:t xml:space="preserve">environmental agencies, the Department of the Interior, and local restoration groups) to identify potential overlaps in data collection. </w:t>
      </w:r>
      <w:r w:rsidRPr="005A6AFF">
        <w:rPr>
          <w:color w:val="000000"/>
        </w:rPr>
        <w:t xml:space="preserve"> While other agencies or non-profit entities maintain databases for specific grant applications or localized conservation efforts, these collections are designed for narrow program-specific eligibility rather than broader Natural Resource Damage Assessment (NRDA) restoration planning. </w:t>
      </w:r>
      <w:r w:rsidR="005B6F5D">
        <w:rPr>
          <w:color w:val="000000"/>
        </w:rPr>
        <w:t xml:space="preserve"> </w:t>
      </w:r>
      <w:r w:rsidRPr="005A6AFF">
        <w:rPr>
          <w:color w:val="000000"/>
        </w:rPr>
        <w:t>Existing datasets cannot be used or modified for this purpose because they do not capture the standardized project attributes required for NRDA evaluations—such as specific resource/service injury linkable metrics, site-specific GIS coordinates, current project readiness status, and partner contributions tailored to oil spill or chemical release compensation.   Consequently, no other federal or state collection gathers this specific set of restoration project alternatives in a centralized, publicly accessib</w:t>
      </w:r>
      <w:r w:rsidRPr="005A6AFF">
        <w:rPr>
          <w:color w:val="000000"/>
        </w:rPr>
        <w:t>le system. Collecting this information directly ensures a standardized, incident-ready repository that prevents duplicative outreach to local organizations every time an oil spill or release occurs.</w:t>
      </w:r>
    </w:p>
    <w:p w:rsidR="005A6AFF" w:rsidRPr="005A6AFF" w:rsidP="00DB7C6A" w14:paraId="691910EE" w14:textId="77777777">
      <w:pPr>
        <w:pBdr>
          <w:top w:val="nil"/>
          <w:left w:val="nil"/>
          <w:bottom w:val="nil"/>
          <w:right w:val="nil"/>
          <w:between w:val="nil"/>
        </w:pBdr>
        <w:tabs>
          <w:tab w:val="left" w:pos="360"/>
        </w:tabs>
        <w:spacing w:before="240"/>
        <w:rPr>
          <w:color w:val="000000"/>
        </w:rPr>
      </w:pPr>
    </w:p>
    <w:p w:rsidR="00DC5F9F" w:rsidP="00DB7C6A" w14:paraId="251DBD6E" w14:textId="6A45FF02">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If the collection of information impacts small businesses or other small entities, describe any methods used to minimize burden.</w:t>
      </w:r>
    </w:p>
    <w:p w:rsidR="005428C8" w:rsidP="00DB7C6A" w14:paraId="6E6C9A6D" w14:textId="734CE9FC">
      <w:pPr>
        <w:pBdr>
          <w:top w:val="nil"/>
          <w:left w:val="nil"/>
          <w:bottom w:val="nil"/>
          <w:right w:val="nil"/>
          <w:between w:val="nil"/>
        </w:pBdr>
        <w:tabs>
          <w:tab w:val="left" w:pos="360"/>
        </w:tabs>
        <w:spacing w:before="240"/>
      </w:pPr>
      <w:r w:rsidRPr="001E2793">
        <w:t>The required information is basic in scope and is not expected to create a burden or hardship for small entities. Clear help text and field descriptions are included to guide submitters through the context and requirements for each entry. Accordingly, no separate compliance standards have been established based on entity size.</w:t>
      </w:r>
    </w:p>
    <w:p w:rsidR="001E2793" w:rsidP="00DB7C6A" w14:paraId="2CE4E49B" w14:textId="77777777">
      <w:pPr>
        <w:pBdr>
          <w:top w:val="nil"/>
          <w:left w:val="nil"/>
          <w:bottom w:val="nil"/>
          <w:right w:val="nil"/>
          <w:between w:val="nil"/>
        </w:pBdr>
        <w:tabs>
          <w:tab w:val="left" w:pos="360"/>
        </w:tabs>
        <w:spacing w:before="240"/>
        <w:rPr>
          <w:b/>
          <w:bCs/>
          <w:color w:val="000000"/>
        </w:rPr>
      </w:pPr>
    </w:p>
    <w:p w:rsidR="00DC5F9F" w:rsidP="00DB7C6A" w14:paraId="68AD6EAA"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Describe the consequence to Federal program or policy activities if the collection is not conducted or is conducted less frequently, as well as any technical or legal obstacles to reducing burden.</w:t>
      </w:r>
    </w:p>
    <w:p w:rsidR="005428C8" w:rsidRPr="005428C8" w:rsidP="00DB7C6A" w14:paraId="6571D534" w14:textId="77777777">
      <w:pPr>
        <w:pStyle w:val="NormalWeb"/>
        <w:spacing w:before="240" w:beforeAutospacing="0" w:after="0" w:afterAutospacing="0"/>
      </w:pPr>
      <w:r w:rsidRPr="005428C8">
        <w:t xml:space="preserve">If this collection is not conducted or is conducted less frequently, it would severely compromise NOAA’s core mission under the National Environmental Policy Act (NEPA) and the Oil Pollution Act to restore natural resources injured by oil spills and hazardous waste releases. </w:t>
      </w:r>
    </w:p>
    <w:p w:rsidR="005428C8" w:rsidRPr="005428C8" w:rsidP="00DB7C6A" w14:paraId="5B0D0F65" w14:textId="77777777">
      <w:pPr>
        <w:pStyle w:val="NormalWeb"/>
        <w:spacing w:before="240" w:beforeAutospacing="0" w:after="0" w:afterAutospacing="0"/>
      </w:pPr>
      <w:r w:rsidRPr="005428C8">
        <w:t>Specifically, the absence or reduction of this information collection would result in:</w:t>
      </w:r>
    </w:p>
    <w:p w:rsidR="005428C8" w:rsidRPr="005428C8" w:rsidP="001E2793" w14:paraId="1F1477ED" w14:textId="77777777">
      <w:pPr>
        <w:pStyle w:val="NormalWeb"/>
        <w:numPr>
          <w:ilvl w:val="0"/>
          <w:numId w:val="14"/>
        </w:numPr>
        <w:spacing w:before="120" w:beforeAutospacing="0" w:after="0" w:afterAutospacing="0"/>
      </w:pPr>
      <w:r w:rsidRPr="005428C8">
        <w:rPr>
          <w:b/>
          <w:bCs/>
        </w:rPr>
        <w:t>Inability to Deliver Program Benefits Efficiently:</w:t>
      </w:r>
      <w:r w:rsidRPr="005428C8">
        <w:t xml:space="preserve"> Without an active, continuous repository of proposed restoration projects, state and federal Natural Resource Trustees would be forced to execute ad-hoc, incident-by-incident outreach following every spill. This would delay the restoration planning phase by months or years, directly postponing the implementation of ecological restoration and delaying public benefits such as recovered coastal habitats, enhanced fisheries, and restored recreational access. </w:t>
      </w:r>
    </w:p>
    <w:p w:rsidR="005428C8" w:rsidRPr="005428C8" w:rsidP="001E2793" w14:paraId="6F497797" w14:textId="77777777">
      <w:pPr>
        <w:pStyle w:val="NormalWeb"/>
        <w:numPr>
          <w:ilvl w:val="0"/>
          <w:numId w:val="14"/>
        </w:numPr>
        <w:spacing w:before="120" w:beforeAutospacing="0" w:after="0" w:afterAutospacing="0"/>
      </w:pPr>
      <w:r w:rsidRPr="005428C8">
        <w:rPr>
          <w:b/>
          <w:bCs/>
        </w:rPr>
        <w:t>Impairment of GPRA Performance Objectives:</w:t>
      </w:r>
      <w:r w:rsidRPr="005428C8">
        <w:t xml:space="preserve"> NOAA’s Damage Assessment, Remediation, and Restoration Program (DARRP) tracks strategic agency targets under the Government Performance and Results Act (GPRA)—specifically performance metrics measuring </w:t>
      </w:r>
      <w:r w:rsidRPr="005428C8">
        <w:rPr>
          <w:b/>
          <w:bCs/>
        </w:rPr>
        <w:t>'Acres of Habitat Restored'</w:t>
      </w:r>
      <w:r w:rsidRPr="005428C8">
        <w:t xml:space="preserve"> and </w:t>
      </w:r>
      <w:r w:rsidRPr="005428C8">
        <w:rPr>
          <w:b/>
          <w:bCs/>
        </w:rPr>
        <w:t>'Stream Miles Opened to Fish Passage'</w:t>
      </w:r>
      <w:r w:rsidRPr="005428C8">
        <w:t xml:space="preserve">. Delaying project selection directly slows project implementation, preventing NOAA from meeting its annual GPRA performance benchmarks and reporting requirements. </w:t>
      </w:r>
    </w:p>
    <w:p w:rsidR="005428C8" w:rsidRPr="005428C8" w:rsidP="001E2793" w14:paraId="707DDA68" w14:textId="77777777">
      <w:pPr>
        <w:pStyle w:val="NormalWeb"/>
        <w:numPr>
          <w:ilvl w:val="0"/>
          <w:numId w:val="14"/>
        </w:numPr>
        <w:spacing w:before="120" w:beforeAutospacing="0" w:after="0" w:afterAutospacing="0"/>
      </w:pPr>
      <w:r w:rsidRPr="005428C8">
        <w:rPr>
          <w:b/>
          <w:bCs/>
        </w:rPr>
        <w:t>Increased Administrative Burden &amp; Costs:</w:t>
      </w:r>
      <w:r w:rsidRPr="005428C8">
        <w:t xml:space="preserve"> Less frequent collection would increase the operational cost of NRDA assessments by requiring redundant outreach efforts across government agencies and non-governmental entities for every incident.</w:t>
      </w:r>
    </w:p>
    <w:p w:rsidR="005428C8" w:rsidP="00DB7C6A" w14:paraId="329E552E" w14:textId="77777777">
      <w:pPr>
        <w:pBdr>
          <w:top w:val="nil"/>
          <w:left w:val="nil"/>
          <w:bottom w:val="nil"/>
          <w:right w:val="nil"/>
          <w:between w:val="nil"/>
        </w:pBdr>
        <w:spacing w:before="240"/>
        <w:rPr>
          <w:color w:val="000000"/>
        </w:rPr>
      </w:pPr>
    </w:p>
    <w:p w:rsidR="00DC5F9F" w:rsidP="00DB7C6A" w14:paraId="76B77936"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Explain any special circumstances that would cause an information collection to be conducted in a manner inconsistent with OMB guidelines.</w:t>
      </w:r>
    </w:p>
    <w:p w:rsidR="00D23CEB" w:rsidP="00DB7C6A" w14:paraId="11ED0159" w14:textId="77777777">
      <w:pPr>
        <w:spacing w:before="240"/>
      </w:pPr>
      <w:r>
        <w:t>There are no</w:t>
      </w:r>
      <w:r w:rsidRPr="004E6C28">
        <w:t xml:space="preserve"> </w:t>
      </w:r>
      <w:r>
        <w:t>special circumstances for this information collection.</w:t>
      </w:r>
    </w:p>
    <w:p w:rsidR="00D23CEB" w:rsidRPr="004E6C28" w:rsidP="00DB7C6A" w14:paraId="1BC170C6" w14:textId="77777777">
      <w:pPr>
        <w:pBdr>
          <w:top w:val="nil"/>
          <w:left w:val="nil"/>
          <w:bottom w:val="nil"/>
          <w:right w:val="nil"/>
          <w:between w:val="nil"/>
        </w:pBdr>
        <w:spacing w:before="240"/>
        <w:rPr>
          <w:b/>
          <w:bCs/>
          <w:color w:val="2F5496"/>
        </w:rPr>
      </w:pPr>
      <w:r w:rsidRPr="004E6C28">
        <w:rPr>
          <w:b/>
          <w:bCs/>
        </w:rPr>
        <w:t>OMB Guidelines</w:t>
      </w:r>
    </w:p>
    <w:p w:rsidR="00D23CEB" w:rsidP="001E2793" w14:paraId="67100A75" w14:textId="75B4F21B">
      <w:pPr>
        <w:spacing w:before="120"/>
        <w:ind w:left="180"/>
      </w:pPr>
      <w:r>
        <w:t xml:space="preserve">● Requiring respondents to report information to the agency more often than quarterly;  </w:t>
      </w:r>
    </w:p>
    <w:p w:rsidR="00D23CEB" w:rsidP="001E2793" w14:paraId="6D6E22FC" w14:textId="77777777">
      <w:pPr>
        <w:spacing w:before="120"/>
        <w:ind w:left="180"/>
      </w:pPr>
      <w:r>
        <w:t xml:space="preserve">Respondents are never </w:t>
      </w:r>
      <w:r>
        <w:t>required to report information to the agency; their submission is purely voluntary.</w:t>
      </w:r>
    </w:p>
    <w:p w:rsidR="00D23CEB" w:rsidP="001E2793" w14:paraId="1E921B53" w14:textId="06A8EF84">
      <w:pPr>
        <w:spacing w:before="120"/>
        <w:ind w:left="180"/>
      </w:pPr>
      <w:r>
        <w:t>● Requiring respondents to prepare a written response to a collection of information in fewer than 30 days after receipt of it;</w:t>
      </w:r>
    </w:p>
    <w:p w:rsidR="00D23CEB" w:rsidP="001E2793" w14:paraId="662F141E" w14:textId="77777777">
      <w:pPr>
        <w:spacing w:before="120"/>
        <w:ind w:left="180"/>
      </w:pPr>
      <w:r>
        <w:t>Respondents are never required to respond to a collection of information.</w:t>
      </w:r>
    </w:p>
    <w:p w:rsidR="00D23CEB" w:rsidP="001E2793" w14:paraId="71E3CF68" w14:textId="0A8517AF">
      <w:pPr>
        <w:spacing w:before="120"/>
        <w:ind w:left="180"/>
      </w:pPr>
      <w:r>
        <w:t>● Requiring respondents to submit more than an original and two copies of any document;</w:t>
      </w:r>
    </w:p>
    <w:p w:rsidR="00D23CEB" w:rsidP="001E2793" w14:paraId="4B98CB62" w14:textId="77777777">
      <w:pPr>
        <w:spacing w:before="120"/>
        <w:ind w:left="180"/>
      </w:pPr>
      <w:r>
        <w:t>Respondents are not required to submit any documents with the information collection.</w:t>
      </w:r>
    </w:p>
    <w:p w:rsidR="00D23CEB" w:rsidP="001E2793" w14:paraId="2600831B" w14:textId="6AC72451">
      <w:pPr>
        <w:spacing w:before="120"/>
        <w:ind w:left="180"/>
      </w:pPr>
      <w:r>
        <w:t>● Requiring respondents to retain records, other than health, medical, government contract, grant-in- aid, or tax records for more than three years;</w:t>
      </w:r>
    </w:p>
    <w:p w:rsidR="00D23CEB" w:rsidP="001E2793" w14:paraId="7CB278E6" w14:textId="77777777">
      <w:pPr>
        <w:spacing w:before="120"/>
        <w:ind w:left="180"/>
      </w:pPr>
      <w:r>
        <w:t>Respondents are not required to retain any records.</w:t>
      </w:r>
    </w:p>
    <w:p w:rsidR="00D23CEB" w:rsidP="001E2793" w14:paraId="38184AAD" w14:textId="659BD657">
      <w:pPr>
        <w:spacing w:before="120"/>
        <w:ind w:left="180"/>
      </w:pPr>
      <w:r>
        <w:t xml:space="preserve">● In connection with a statistical survey that is not designed to produce valid and reliable </w:t>
      </w:r>
      <w:r>
        <w:t>results that can be generalized to the universe of study;</w:t>
      </w:r>
    </w:p>
    <w:p w:rsidR="00D23CEB" w:rsidP="001E2793" w14:paraId="16F5B0B5" w14:textId="77777777">
      <w:pPr>
        <w:spacing w:before="120"/>
        <w:ind w:left="180"/>
      </w:pPr>
      <w:r>
        <w:t>This information collection is not connected to a statistical survey.</w:t>
      </w:r>
    </w:p>
    <w:p w:rsidR="00D23CEB" w:rsidP="001E2793" w14:paraId="5EB88CBB" w14:textId="5FDC72E6">
      <w:pPr>
        <w:spacing w:before="120"/>
        <w:ind w:left="180"/>
      </w:pPr>
      <w:r>
        <w:t>● Requiring the use of a statistical data classification that has not been reviewed and approved by OMB; This information collection does not require the use of statistical data classification.</w:t>
      </w:r>
    </w:p>
    <w:p w:rsidR="00D23CEB" w:rsidP="001E2793" w14:paraId="210856EF" w14:textId="5437BCAF">
      <w:pPr>
        <w:spacing w:before="120"/>
        <w:ind w:left="180"/>
      </w:pPr>
      <w:r>
        <w:t xml:space="preserve">● 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w:t>
      </w:r>
    </w:p>
    <w:p w:rsidR="00D23CEB" w:rsidP="001E2793" w14:paraId="57FBD1F5" w14:textId="77777777">
      <w:pPr>
        <w:spacing w:before="120"/>
        <w:ind w:left="180"/>
      </w:pPr>
      <w:r>
        <w:t>This information collection does not include a pledge of confidentiality.</w:t>
      </w:r>
    </w:p>
    <w:p w:rsidR="00D23CEB" w:rsidP="001E2793" w14:paraId="48E2677B" w14:textId="7C2B0D74">
      <w:pPr>
        <w:spacing w:before="120"/>
        <w:ind w:left="180"/>
      </w:pPr>
      <w:r>
        <w:t xml:space="preserve">● Requiring respondents to submit proprietary trade secrets, or other confidential information unless the agency can demonstrate that it has instituted procedures to protect the information's confidentiality to the extent permitted by law. </w:t>
      </w:r>
    </w:p>
    <w:p w:rsidR="00D23CEB" w:rsidP="001E2793" w14:paraId="30A8A9A2" w14:textId="77777777">
      <w:pPr>
        <w:spacing w:before="120"/>
        <w:ind w:left="180"/>
      </w:pPr>
      <w:r>
        <w:t>Respondents are not required to submit any proprietary or confidential information.</w:t>
      </w:r>
    </w:p>
    <w:p w:rsidR="00D23CEB" w:rsidP="00DB7C6A" w14:paraId="694FB53B" w14:textId="77777777">
      <w:pPr>
        <w:pBdr>
          <w:top w:val="nil"/>
          <w:left w:val="nil"/>
          <w:bottom w:val="nil"/>
          <w:right w:val="nil"/>
          <w:between w:val="nil"/>
        </w:pBdr>
        <w:tabs>
          <w:tab w:val="left" w:pos="360"/>
        </w:tabs>
        <w:spacing w:before="240"/>
        <w:rPr>
          <w:b/>
          <w:bCs/>
          <w:color w:val="000000"/>
        </w:rPr>
      </w:pPr>
    </w:p>
    <w:p w:rsidR="00DC5F9F" w:rsidP="00DB7C6A" w14:paraId="2DE96E0C"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 xml:space="preserve">If applicable, provide a copy and identify the date and page number of publications in the Federal Register of the agency's notice, required by 5 CFR 1320.8 (d), soliciting comments on the information collection prior to </w:t>
      </w:r>
      <w:r>
        <w:rPr>
          <w:b/>
          <w:bCs/>
          <w:color w:val="000000"/>
        </w:rPr>
        <w:t>submission to OMB. Summarize public comments received in response to that notice and describe actions taken by the agency in response to these comments. Specifically address comments received on cost and hour burden.</w:t>
      </w:r>
    </w:p>
    <w:p w:rsidR="001E2793" w:rsidP="00DB7C6A" w14:paraId="447B7D02" w14:textId="77777777">
      <w:pPr>
        <w:pBdr>
          <w:top w:val="nil"/>
          <w:left w:val="nil"/>
          <w:bottom w:val="nil"/>
          <w:right w:val="nil"/>
          <w:between w:val="nil"/>
        </w:pBdr>
        <w:spacing w:before="240"/>
      </w:pPr>
      <w:r>
        <w:t xml:space="preserve">A Federal Register Notice published on March 20, 2026 (91 FR 13593) solicited public comment on this renewal request.  No public comments were received. </w:t>
      </w:r>
    </w:p>
    <w:p w:rsidR="00D23CEB" w:rsidP="00DB7C6A" w14:paraId="1D21EB5C" w14:textId="076B8FE2">
      <w:pPr>
        <w:pBdr>
          <w:top w:val="nil"/>
          <w:left w:val="nil"/>
          <w:bottom w:val="nil"/>
          <w:right w:val="nil"/>
          <w:between w:val="nil"/>
        </w:pBdr>
        <w:spacing w:before="240"/>
      </w:pPr>
      <w:r w:rsidRPr="00D23CEB">
        <w:t>In addition to the Federal Register notice, NMFS proactively conducted outreach to key external stakeholders—including fishery participants, industry representatives, and regional partners—to obtain their views on the availability of data, the frequency of collection, the clarity of instructions and recordkeeping requirements, the reporting formats, and the specific data elements to be recorded, disclosed, or reported. Stakeholders expressed no concerns or objections regarding the burden or utility of the c</w:t>
      </w:r>
      <w:r w:rsidRPr="00D23CEB">
        <w:t>ollection, and no formal public comments were received.</w:t>
      </w:r>
    </w:p>
    <w:p w:rsidR="00DC5F9F" w:rsidP="00DB7C6A" w14:paraId="3288006B" w14:textId="77777777">
      <w:pPr>
        <w:pBdr>
          <w:top w:val="nil"/>
          <w:left w:val="nil"/>
          <w:bottom w:val="nil"/>
          <w:right w:val="nil"/>
          <w:between w:val="nil"/>
        </w:pBdr>
        <w:spacing w:before="240"/>
        <w:rPr>
          <w:color w:val="000000"/>
        </w:rPr>
      </w:pPr>
    </w:p>
    <w:p w:rsidR="00DC5F9F" w:rsidP="00DB7C6A" w14:paraId="2684C6B0"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Explain any decision to provide any payment or gift to respondents, other than remuneration of contractors or grantees.</w:t>
      </w:r>
    </w:p>
    <w:p w:rsidR="00C845B7" w:rsidRPr="00C845B7" w:rsidP="00DB7C6A" w14:paraId="048A3E9B" w14:textId="14623825">
      <w:pPr>
        <w:pBdr>
          <w:top w:val="nil"/>
          <w:left w:val="nil"/>
          <w:bottom w:val="nil"/>
          <w:right w:val="nil"/>
          <w:between w:val="nil"/>
        </w:pBdr>
        <w:tabs>
          <w:tab w:val="left" w:pos="360"/>
        </w:tabs>
        <w:spacing w:before="240"/>
        <w:rPr>
          <w:color w:val="000000"/>
        </w:rPr>
      </w:pPr>
      <w:r w:rsidRPr="00C845B7">
        <w:rPr>
          <w:color w:val="000000"/>
        </w:rPr>
        <w:t>Neither payments nor gifts will be provided to respondents.</w:t>
      </w:r>
    </w:p>
    <w:p w:rsidR="00C845B7" w:rsidP="00DB7C6A" w14:paraId="72F061BD" w14:textId="77777777">
      <w:pPr>
        <w:pBdr>
          <w:top w:val="nil"/>
          <w:left w:val="nil"/>
          <w:bottom w:val="nil"/>
          <w:right w:val="nil"/>
          <w:between w:val="nil"/>
        </w:pBdr>
        <w:tabs>
          <w:tab w:val="left" w:pos="360"/>
        </w:tabs>
        <w:spacing w:before="240"/>
        <w:rPr>
          <w:b/>
          <w:bCs/>
          <w:color w:val="000000"/>
        </w:rPr>
      </w:pPr>
    </w:p>
    <w:p w:rsidR="00DC5F9F" w:rsidP="00DB7C6A" w14:paraId="403F023E"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 xml:space="preserve">Describe any assurance of confidentiality provided to respondents and the basis for the assurance in statute, regulation, or agency policy. If the </w:t>
      </w:r>
      <w:r>
        <w:rPr>
          <w:b/>
          <w:bCs/>
          <w:color w:val="000000"/>
        </w:rPr>
        <w:t>collection requires a system of records notice (SORN) or privacy impact assessment (PIA), those should be cited and described here.</w:t>
      </w:r>
    </w:p>
    <w:p w:rsidR="00C845B7" w:rsidP="00DB7C6A" w14:paraId="797E6028" w14:textId="6A5FFBC8">
      <w:pPr>
        <w:spacing w:before="240"/>
      </w:pPr>
      <w:r>
        <w:t>The information collection does not request any proprietary or confidential information</w:t>
      </w:r>
      <w:r w:rsidR="001E2793">
        <w:t xml:space="preserve"> and</w:t>
      </w:r>
      <w:r>
        <w:t xml:space="preserve"> </w:t>
      </w:r>
      <w:r w:rsidR="001E2793">
        <w:t>n</w:t>
      </w:r>
      <w:r>
        <w:t xml:space="preserve">o confidentiality is provided.  </w:t>
      </w:r>
    </w:p>
    <w:p w:rsidR="001E2793" w:rsidP="001E2793" w14:paraId="30263903" w14:textId="4FE4610A">
      <w:pPr>
        <w:spacing w:before="240"/>
      </w:pPr>
      <w:r w:rsidRPr="00954183">
        <w:t xml:space="preserve">Consistent with OMB’s guidance implementing the Privacy Act of 1974, “an agency record-keeping system on firms it regulates may contain “records” (i.e., personal information) about officers of the firm incident to evaluating the firm’s performance.  Even though these are clearly “records” under the “control of” an agency, they would not be considered part of a system as defined by the Act unless the agency accessed them by reference to a personal identifier (name, etc.).  That is, if these hypothetical “records” are never retrieved except by reference to company identifier or some other nonpersonal indexing scheme (e.g., type of firm) they are not a part of a system of records.”  </w:t>
      </w:r>
      <w:r>
        <w:t>NOAA</w:t>
      </w:r>
      <w:r w:rsidRPr="00954183">
        <w:t xml:space="preserve"> believe</w:t>
      </w:r>
      <w:r>
        <w:t>s</w:t>
      </w:r>
      <w:r w:rsidRPr="00954183">
        <w:t xml:space="preserve"> that this guidance speaks directly to this scenario and suggests that while the information system certainly will collect and maintain personally identifiable information (PII), they are not maintained in a system of records.</w:t>
      </w:r>
    </w:p>
    <w:p w:rsidR="00C845B7" w:rsidP="00DB7C6A" w14:paraId="18C2853E" w14:textId="77777777">
      <w:pPr>
        <w:pBdr>
          <w:top w:val="nil"/>
          <w:left w:val="nil"/>
          <w:bottom w:val="nil"/>
          <w:right w:val="nil"/>
          <w:between w:val="nil"/>
        </w:pBdr>
        <w:tabs>
          <w:tab w:val="left" w:pos="360"/>
        </w:tabs>
        <w:spacing w:before="240"/>
        <w:rPr>
          <w:b/>
          <w:bCs/>
          <w:color w:val="000000"/>
        </w:rPr>
      </w:pPr>
    </w:p>
    <w:p w:rsidR="00DC5F9F" w:rsidP="00DB7C6A" w14:paraId="1E0C6D23"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C845B7" w:rsidRPr="00C845B7" w:rsidP="00DB7C6A" w14:paraId="22B50485" w14:textId="1F33843D">
      <w:pPr>
        <w:spacing w:before="240"/>
        <w:sectPr w:rsidSect="001E2793">
          <w:footerReference w:type="default" r:id="rId11"/>
          <w:type w:val="continuous"/>
          <w:pgSz w:w="12240" w:h="15840"/>
          <w:pgMar w:top="1440" w:right="1440" w:bottom="1440" w:left="1440" w:header="0" w:footer="714" w:gutter="0"/>
          <w:pgNumType w:start="1"/>
          <w:cols w:space="720"/>
          <w:docGrid w:linePitch="326"/>
        </w:sectPr>
      </w:pPr>
      <w:r w:rsidRPr="00C845B7">
        <w:t>This information collection does not involve information of a sensitive nature.</w:t>
      </w:r>
    </w:p>
    <w:p w:rsidR="00DC5F9F" w:rsidP="00DB7C6A" w14:paraId="30614301"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Provide estimates of the hour burden of the collection of information.</w:t>
      </w:r>
    </w:p>
    <w:p w:rsidR="001E2793" w:rsidRPr="001E2793" w:rsidP="001E2793" w14:paraId="16EFE883" w14:textId="77777777">
      <w:pPr>
        <w:pBdr>
          <w:top w:val="nil"/>
          <w:left w:val="nil"/>
          <w:bottom w:val="nil"/>
          <w:right w:val="nil"/>
          <w:between w:val="nil"/>
        </w:pBdr>
        <w:spacing w:before="240"/>
      </w:pPr>
      <w:r w:rsidRPr="001E2793">
        <w:t>The total three-year burden for this information collection is projected at 300 hours, which averages to 100 burden hours annually. Roughly 100 respondents are expected to submit completed Natural Resource Damage Assessment Restoration Project Information Sheets each year, with an average submission rate of 1 to 2 sheets per respondent for individual projects. This results in an estimated 300 initial annual responses. With each response taking approximately 20 minutes to complete, the total initial burden accounts for 100 hours.</w:t>
      </w:r>
    </w:p>
    <w:p w:rsidR="001E2793" w:rsidRPr="001E2793" w:rsidP="001E2793" w14:paraId="0CB7AB75" w14:textId="77777777">
      <w:pPr>
        <w:pBdr>
          <w:top w:val="nil"/>
          <w:left w:val="nil"/>
          <w:bottom w:val="nil"/>
          <w:right w:val="nil"/>
          <w:between w:val="nil"/>
        </w:pBdr>
        <w:spacing w:before="240"/>
      </w:pPr>
      <w:r w:rsidRPr="001E2793">
        <w:t>Additionally, respondents may update their entries in the database at any time. It is anticipated that approximately 49% of entries (44 submissions) will be updated each year. Assuming an update duration of 10 minutes per submission, this adds 7 burden hours annually.</w:t>
      </w:r>
    </w:p>
    <w:p w:rsidR="001E2793" w:rsidRPr="001E2793" w:rsidP="001E2793" w14:paraId="7D394E03" w14:textId="77777777">
      <w:pPr>
        <w:pBdr>
          <w:top w:val="nil"/>
          <w:left w:val="nil"/>
          <w:bottom w:val="nil"/>
          <w:right w:val="nil"/>
          <w:between w:val="nil"/>
        </w:pBdr>
        <w:spacing w:before="240"/>
      </w:pPr>
      <w:r w:rsidRPr="001E2793">
        <w:t>Combining initial submissions and updates, the overall scope of this collection comprises:</w:t>
      </w:r>
    </w:p>
    <w:p w:rsidR="001E2793" w:rsidRPr="001E2793" w:rsidP="001E2793" w14:paraId="1A72D73B" w14:textId="77777777">
      <w:pPr>
        <w:numPr>
          <w:ilvl w:val="0"/>
          <w:numId w:val="15"/>
        </w:numPr>
        <w:pBdr>
          <w:top w:val="nil"/>
          <w:left w:val="nil"/>
          <w:bottom w:val="nil"/>
          <w:right w:val="nil"/>
          <w:between w:val="nil"/>
        </w:pBdr>
        <w:spacing w:before="120"/>
      </w:pPr>
      <w:r w:rsidRPr="001E2793">
        <w:rPr>
          <w:b/>
          <w:bCs/>
        </w:rPr>
        <w:t xml:space="preserve">Total Annual Responses: </w:t>
      </w:r>
      <w:r w:rsidRPr="001E2793">
        <w:t>344 responses (300 initial submissions plus 44 updates).</w:t>
      </w:r>
    </w:p>
    <w:p w:rsidR="001E2793" w:rsidRPr="001E2793" w:rsidP="001E2793" w14:paraId="42B7BBF0" w14:textId="77777777">
      <w:pPr>
        <w:numPr>
          <w:ilvl w:val="0"/>
          <w:numId w:val="15"/>
        </w:numPr>
        <w:pBdr>
          <w:top w:val="nil"/>
          <w:left w:val="nil"/>
          <w:bottom w:val="nil"/>
          <w:right w:val="nil"/>
          <w:between w:val="nil"/>
        </w:pBdr>
        <w:spacing w:before="120"/>
      </w:pPr>
      <w:r w:rsidRPr="001E2793">
        <w:rPr>
          <w:b/>
          <w:bCs/>
        </w:rPr>
        <w:t xml:space="preserve">Total Burden Hours: </w:t>
      </w:r>
      <w:r w:rsidRPr="001E2793">
        <w:t>107 hours (100 hours for initial submissions plus 7 hours for updates).</w:t>
      </w:r>
    </w:p>
    <w:p w:rsidR="001E2793" w:rsidRPr="001E2793" w:rsidP="001E2793" w14:paraId="1DB1C74C" w14:textId="77777777">
      <w:pPr>
        <w:numPr>
          <w:ilvl w:val="0"/>
          <w:numId w:val="15"/>
        </w:numPr>
        <w:pBdr>
          <w:top w:val="nil"/>
          <w:left w:val="nil"/>
          <w:bottom w:val="nil"/>
          <w:right w:val="nil"/>
          <w:between w:val="nil"/>
        </w:pBdr>
        <w:spacing w:before="120"/>
      </w:pPr>
      <w:r w:rsidRPr="001E2793">
        <w:rPr>
          <w:b/>
          <w:bCs/>
        </w:rPr>
        <w:t xml:space="preserve">Estimated Labor Costs: </w:t>
      </w:r>
      <w:r w:rsidRPr="001E2793">
        <w:t>Totaling $3,588.78 ($3,354.00 for initial submissions and $234.78 for updates), based on an estimated average hourly wage of $33.54 [U.S. Dept. of Labor, 2025*].</w:t>
      </w:r>
    </w:p>
    <w:p w:rsidR="001E2793" w:rsidRPr="001E2793" w:rsidP="001E2793" w14:paraId="483771AC" w14:textId="77777777">
      <w:pPr>
        <w:pBdr>
          <w:top w:val="nil"/>
          <w:left w:val="nil"/>
          <w:bottom w:val="nil"/>
          <w:right w:val="nil"/>
          <w:between w:val="nil"/>
        </w:pBdr>
        <w:spacing w:before="240"/>
      </w:pPr>
      <w:r w:rsidRPr="001E2793">
        <w:t>All 344 annual submissions are expected to be transmitted via the web-based data entry portal. The collected information serves to inform restoration practitioners across all relevant areas, including the submitting parties. Consequently, the burden associated with data collection is anticipated to be offset—and potentially exceeded—by the benefits gained from open access to project data.</w:t>
      </w:r>
    </w:p>
    <w:p w:rsidR="001E2793" w:rsidRPr="001E2793" w:rsidP="001E2793" w14:paraId="12109CC4" w14:textId="77777777">
      <w:pPr>
        <w:pBdr>
          <w:top w:val="nil"/>
          <w:left w:val="nil"/>
          <w:bottom w:val="nil"/>
          <w:right w:val="nil"/>
          <w:between w:val="nil"/>
        </w:pBdr>
        <w:spacing w:before="240"/>
      </w:pPr>
      <w:r w:rsidRPr="001E2793">
        <w:t xml:space="preserve">*U.S. Department of Labor – Bureau of Labor Statistics. 2025. National Employment and Wage Estimates United States, September 9, 2026. </w:t>
      </w:r>
      <w:hyperlink r:id="rId12" w:anchor="00-0000" w:history="1">
        <w:r w:rsidRPr="001E2793">
          <w:rPr>
            <w:rStyle w:val="Hyperlink"/>
          </w:rPr>
          <w:t>https://www.bls.gov/oes/current/oes_nat.htm#00-0000.</w:t>
        </w:r>
      </w:hyperlink>
    </w:p>
    <w:p w:rsidR="00DC5F9F" w:rsidP="00DB7C6A" w14:paraId="08A5E99B" w14:textId="16205A3B">
      <w:pPr>
        <w:pBdr>
          <w:top w:val="nil"/>
          <w:left w:val="nil"/>
          <w:bottom w:val="nil"/>
          <w:right w:val="nil"/>
          <w:between w:val="nil"/>
        </w:pBdr>
        <w:spacing w:before="240"/>
        <w:rPr>
          <w:b/>
          <w:bCs/>
          <w:color w:val="FF0000"/>
        </w:rPr>
      </w:pPr>
    </w:p>
    <w:tbl>
      <w:tblPr>
        <w:tblStyle w:val="a0"/>
        <w:tblW w:w="14415" w:type="dxa"/>
        <w:tblInd w:w="-140" w:type="dxa"/>
        <w:tblLayout w:type="fixed"/>
        <w:tblLook w:val="0400"/>
      </w:tblPr>
      <w:tblGrid>
        <w:gridCol w:w="3510"/>
        <w:gridCol w:w="1890"/>
        <w:gridCol w:w="1185"/>
        <w:gridCol w:w="1320"/>
        <w:gridCol w:w="1215"/>
        <w:gridCol w:w="1080"/>
        <w:gridCol w:w="1185"/>
        <w:gridCol w:w="1440"/>
        <w:gridCol w:w="1590"/>
      </w:tblGrid>
      <w:tr w14:paraId="4E2BD20D" w14:textId="77777777" w:rsidTr="0046154E">
        <w:tblPrEx>
          <w:tblW w:w="14415" w:type="dxa"/>
          <w:tblInd w:w="-140" w:type="dxa"/>
          <w:tblLayout w:type="fixed"/>
          <w:tblLook w:val="0400"/>
        </w:tblPrEx>
        <w:trPr>
          <w:trHeight w:val="1014"/>
        </w:trPr>
        <w:tc>
          <w:tcPr>
            <w:tcW w:w="3510" w:type="dxa"/>
            <w:tcBorders>
              <w:top w:val="single" w:sz="8" w:space="0" w:color="000000"/>
              <w:left w:val="single" w:sz="8" w:space="0" w:color="000000"/>
              <w:bottom w:val="single" w:sz="8" w:space="0" w:color="000000"/>
              <w:right w:val="single" w:sz="8" w:space="0" w:color="000000"/>
            </w:tcBorders>
            <w:shd w:val="clear" w:color="auto" w:fill="BDD7EE"/>
            <w:vAlign w:val="center"/>
          </w:tcPr>
          <w:p w:rsidR="00DC5F9F" w:rsidRPr="0046154E" w:rsidP="0046154E" w14:paraId="5FFF987B" w14:textId="77777777">
            <w:pPr>
              <w:widowControl/>
              <w:jc w:val="center"/>
              <w:rPr>
                <w:rFonts w:ascii="Calibri" w:eastAsia="Calibri" w:hAnsi="Calibri" w:cs="Calibri"/>
                <w:b/>
                <w:bCs/>
                <w:color w:val="000000"/>
                <w:sz w:val="18"/>
                <w:szCs w:val="18"/>
              </w:rPr>
            </w:pPr>
            <w:r w:rsidRPr="0046154E">
              <w:rPr>
                <w:rFonts w:ascii="Calibri" w:eastAsia="Calibri" w:hAnsi="Calibri" w:cs="Calibri"/>
                <w:b/>
                <w:bCs/>
                <w:color w:val="000000"/>
                <w:sz w:val="18"/>
                <w:szCs w:val="18"/>
              </w:rPr>
              <w:t>Information Collection</w:t>
            </w:r>
          </w:p>
        </w:tc>
        <w:tc>
          <w:tcPr>
            <w:tcW w:w="1890" w:type="dxa"/>
            <w:tcBorders>
              <w:top w:val="single" w:sz="8" w:space="0" w:color="000000"/>
              <w:left w:val="nil"/>
              <w:bottom w:val="single" w:sz="8" w:space="0" w:color="000000"/>
              <w:right w:val="single" w:sz="8" w:space="0" w:color="000000"/>
            </w:tcBorders>
            <w:shd w:val="clear" w:color="auto" w:fill="BDD7EE"/>
            <w:vAlign w:val="center"/>
          </w:tcPr>
          <w:p w:rsidR="00DC5F9F" w:rsidRPr="0046154E" w:rsidP="0046154E" w14:paraId="6B8987DB" w14:textId="77777777">
            <w:pPr>
              <w:widowControl/>
              <w:jc w:val="center"/>
              <w:rPr>
                <w:rFonts w:ascii="Calibri" w:eastAsia="Calibri" w:hAnsi="Calibri" w:cs="Calibri"/>
                <w:b/>
                <w:bCs/>
                <w:color w:val="000000"/>
                <w:sz w:val="18"/>
                <w:szCs w:val="18"/>
              </w:rPr>
            </w:pPr>
            <w:r w:rsidRPr="0046154E">
              <w:rPr>
                <w:rFonts w:ascii="Calibri" w:eastAsia="Calibri" w:hAnsi="Calibri" w:cs="Calibri"/>
                <w:b/>
                <w:bCs/>
                <w:color w:val="000000"/>
                <w:sz w:val="18"/>
                <w:szCs w:val="18"/>
              </w:rPr>
              <w:t>Type of Respondent (e.g., Occupational Title)</w:t>
            </w:r>
          </w:p>
        </w:tc>
        <w:tc>
          <w:tcPr>
            <w:tcW w:w="1185" w:type="dxa"/>
            <w:tcBorders>
              <w:top w:val="single" w:sz="8" w:space="0" w:color="000000"/>
              <w:left w:val="nil"/>
              <w:bottom w:val="single" w:sz="8" w:space="0" w:color="000000"/>
              <w:right w:val="single" w:sz="8" w:space="0" w:color="000000"/>
            </w:tcBorders>
            <w:shd w:val="clear" w:color="auto" w:fill="BDD7EE"/>
            <w:vAlign w:val="center"/>
          </w:tcPr>
          <w:p w:rsidR="00DC5F9F" w:rsidRPr="0046154E" w:rsidP="0046154E" w14:paraId="162DBDAB" w14:textId="77777777">
            <w:pPr>
              <w:widowControl/>
              <w:jc w:val="center"/>
              <w:rPr>
                <w:rFonts w:ascii="Calibri" w:eastAsia="Calibri" w:hAnsi="Calibri" w:cs="Calibri"/>
                <w:b/>
                <w:bCs/>
                <w:color w:val="000000"/>
                <w:sz w:val="18"/>
                <w:szCs w:val="18"/>
              </w:rPr>
            </w:pPr>
            <w:r w:rsidRPr="0046154E">
              <w:rPr>
                <w:rFonts w:ascii="Calibri" w:eastAsia="Calibri" w:hAnsi="Calibri" w:cs="Calibri"/>
                <w:b/>
                <w:bCs/>
                <w:color w:val="000000"/>
                <w:sz w:val="18"/>
                <w:szCs w:val="18"/>
              </w:rPr>
              <w:t># of Respondents/year</w:t>
            </w:r>
            <w:r w:rsidRPr="0046154E">
              <w:rPr>
                <w:rFonts w:ascii="Calibri" w:eastAsia="Calibri" w:hAnsi="Calibri" w:cs="Calibri"/>
                <w:b/>
                <w:bCs/>
                <w:color w:val="000000"/>
                <w:sz w:val="18"/>
                <w:szCs w:val="18"/>
              </w:rPr>
              <w:br/>
              <w:t>(a)</w:t>
            </w:r>
          </w:p>
        </w:tc>
        <w:tc>
          <w:tcPr>
            <w:tcW w:w="1320" w:type="dxa"/>
            <w:tcBorders>
              <w:top w:val="single" w:sz="8" w:space="0" w:color="000000"/>
              <w:left w:val="nil"/>
              <w:bottom w:val="single" w:sz="8" w:space="0" w:color="000000"/>
              <w:right w:val="single" w:sz="8" w:space="0" w:color="000000"/>
            </w:tcBorders>
            <w:shd w:val="clear" w:color="auto" w:fill="BDD7EE"/>
            <w:vAlign w:val="center"/>
          </w:tcPr>
          <w:p w:rsidR="00DC5F9F" w:rsidRPr="0046154E" w:rsidP="0046154E" w14:paraId="73D20C2E" w14:textId="77777777">
            <w:pPr>
              <w:widowControl/>
              <w:jc w:val="center"/>
              <w:rPr>
                <w:rFonts w:ascii="Calibri" w:eastAsia="Calibri" w:hAnsi="Calibri" w:cs="Calibri"/>
                <w:b/>
                <w:bCs/>
                <w:color w:val="000000"/>
                <w:sz w:val="18"/>
                <w:szCs w:val="18"/>
              </w:rPr>
            </w:pPr>
            <w:r w:rsidRPr="0046154E">
              <w:rPr>
                <w:rFonts w:ascii="Calibri" w:eastAsia="Calibri" w:hAnsi="Calibri" w:cs="Calibri"/>
                <w:b/>
                <w:bCs/>
                <w:color w:val="000000"/>
                <w:sz w:val="18"/>
                <w:szCs w:val="18"/>
              </w:rPr>
              <w:t>Annual # of Responses / Respondent</w:t>
            </w:r>
            <w:r w:rsidRPr="0046154E">
              <w:rPr>
                <w:rFonts w:ascii="Calibri" w:eastAsia="Calibri" w:hAnsi="Calibri" w:cs="Calibri"/>
                <w:b/>
                <w:bCs/>
                <w:color w:val="000000"/>
                <w:sz w:val="18"/>
                <w:szCs w:val="18"/>
              </w:rPr>
              <w:br/>
              <w:t>(b)</w:t>
            </w:r>
          </w:p>
        </w:tc>
        <w:tc>
          <w:tcPr>
            <w:tcW w:w="1215" w:type="dxa"/>
            <w:tcBorders>
              <w:top w:val="single" w:sz="8" w:space="0" w:color="000000"/>
              <w:left w:val="nil"/>
              <w:bottom w:val="single" w:sz="8" w:space="0" w:color="000000"/>
              <w:right w:val="single" w:sz="8" w:space="0" w:color="000000"/>
            </w:tcBorders>
            <w:shd w:val="clear" w:color="auto" w:fill="BDD7EE"/>
            <w:vAlign w:val="center"/>
          </w:tcPr>
          <w:p w:rsidR="00DC5F9F" w:rsidRPr="0046154E" w:rsidP="0046154E" w14:paraId="5C2A305A" w14:textId="77777777">
            <w:pPr>
              <w:widowControl/>
              <w:jc w:val="center"/>
              <w:rPr>
                <w:rFonts w:ascii="Calibri" w:eastAsia="Calibri" w:hAnsi="Calibri" w:cs="Calibri"/>
                <w:b/>
                <w:bCs/>
                <w:color w:val="000000"/>
                <w:sz w:val="18"/>
                <w:szCs w:val="18"/>
              </w:rPr>
            </w:pPr>
            <w:r w:rsidRPr="0046154E">
              <w:rPr>
                <w:rFonts w:ascii="Calibri" w:eastAsia="Calibri" w:hAnsi="Calibri" w:cs="Calibri"/>
                <w:b/>
                <w:bCs/>
                <w:color w:val="000000"/>
                <w:sz w:val="18"/>
                <w:szCs w:val="18"/>
              </w:rPr>
              <w:t xml:space="preserve"> Total # of Annual Responses</w:t>
            </w:r>
            <w:r w:rsidRPr="0046154E">
              <w:rPr>
                <w:rFonts w:ascii="Calibri" w:eastAsia="Calibri" w:hAnsi="Calibri" w:cs="Calibri"/>
                <w:b/>
                <w:bCs/>
                <w:color w:val="000000"/>
                <w:sz w:val="18"/>
                <w:szCs w:val="18"/>
              </w:rPr>
              <w:br/>
              <w:t>(c) = (a) x (b)</w:t>
            </w:r>
          </w:p>
        </w:tc>
        <w:tc>
          <w:tcPr>
            <w:tcW w:w="1080" w:type="dxa"/>
            <w:tcBorders>
              <w:top w:val="single" w:sz="8" w:space="0" w:color="000000"/>
              <w:left w:val="nil"/>
              <w:bottom w:val="single" w:sz="8" w:space="0" w:color="000000"/>
              <w:right w:val="single" w:sz="8" w:space="0" w:color="000000"/>
            </w:tcBorders>
            <w:shd w:val="clear" w:color="auto" w:fill="BDD7EE"/>
            <w:vAlign w:val="center"/>
          </w:tcPr>
          <w:p w:rsidR="00DC5F9F" w:rsidRPr="0046154E" w:rsidP="0046154E" w14:paraId="598DDF69" w14:textId="77777777">
            <w:pPr>
              <w:widowControl/>
              <w:jc w:val="center"/>
              <w:rPr>
                <w:rFonts w:ascii="Calibri" w:eastAsia="Calibri" w:hAnsi="Calibri" w:cs="Calibri"/>
                <w:b/>
                <w:bCs/>
                <w:color w:val="000000"/>
                <w:sz w:val="18"/>
                <w:szCs w:val="18"/>
              </w:rPr>
            </w:pPr>
            <w:r w:rsidRPr="0046154E">
              <w:rPr>
                <w:rFonts w:ascii="Calibri" w:eastAsia="Calibri" w:hAnsi="Calibri" w:cs="Calibri"/>
                <w:b/>
                <w:bCs/>
                <w:color w:val="000000"/>
                <w:sz w:val="18"/>
                <w:szCs w:val="18"/>
              </w:rPr>
              <w:t>Burden Hrs / Response</w:t>
            </w:r>
            <w:r w:rsidRPr="0046154E">
              <w:rPr>
                <w:rFonts w:ascii="Calibri" w:eastAsia="Calibri" w:hAnsi="Calibri" w:cs="Calibri"/>
                <w:b/>
                <w:bCs/>
                <w:color w:val="000000"/>
                <w:sz w:val="18"/>
                <w:szCs w:val="18"/>
              </w:rPr>
              <w:br/>
              <w:t>(d)</w:t>
            </w:r>
          </w:p>
        </w:tc>
        <w:tc>
          <w:tcPr>
            <w:tcW w:w="1185" w:type="dxa"/>
            <w:tcBorders>
              <w:top w:val="single" w:sz="8" w:space="0" w:color="000000"/>
              <w:left w:val="nil"/>
              <w:bottom w:val="single" w:sz="8" w:space="0" w:color="000000"/>
              <w:right w:val="single" w:sz="8" w:space="0" w:color="000000"/>
            </w:tcBorders>
            <w:shd w:val="clear" w:color="auto" w:fill="BDD7EE"/>
            <w:vAlign w:val="center"/>
          </w:tcPr>
          <w:p w:rsidR="00DC5F9F" w:rsidRPr="0046154E" w:rsidP="0046154E" w14:paraId="32C09C82" w14:textId="0C0867E3">
            <w:pPr>
              <w:widowControl/>
              <w:jc w:val="center"/>
              <w:rPr>
                <w:rFonts w:ascii="Calibri" w:eastAsia="Calibri" w:hAnsi="Calibri" w:cs="Calibri"/>
                <w:b/>
                <w:bCs/>
                <w:color w:val="000000"/>
                <w:sz w:val="18"/>
                <w:szCs w:val="18"/>
              </w:rPr>
            </w:pPr>
            <w:r w:rsidRPr="0046154E">
              <w:rPr>
                <w:rFonts w:ascii="Calibri" w:eastAsia="Calibri" w:hAnsi="Calibri" w:cs="Calibri"/>
                <w:b/>
                <w:bCs/>
                <w:color w:val="000000"/>
                <w:sz w:val="18"/>
                <w:szCs w:val="18"/>
              </w:rPr>
              <w:t>Total Annual Burden Hrs</w:t>
            </w:r>
            <w:r w:rsidRPr="0046154E">
              <w:rPr>
                <w:rFonts w:ascii="Calibri" w:eastAsia="Calibri" w:hAnsi="Calibri" w:cs="Calibri"/>
                <w:b/>
                <w:bCs/>
                <w:color w:val="000000"/>
                <w:sz w:val="18"/>
                <w:szCs w:val="18"/>
              </w:rPr>
              <w:br/>
              <w:t>(</w:t>
            </w:r>
            <w:r w:rsidRPr="0046154E" w:rsidR="00C845B7">
              <w:rPr>
                <w:rFonts w:ascii="Calibri" w:eastAsia="Calibri" w:hAnsi="Calibri" w:cs="Calibri"/>
                <w:b/>
                <w:bCs/>
                <w:color w:val="000000"/>
                <w:sz w:val="18"/>
                <w:szCs w:val="18"/>
              </w:rPr>
              <w:t>e) =</w:t>
            </w:r>
            <w:r w:rsidRPr="0046154E">
              <w:rPr>
                <w:rFonts w:ascii="Calibri" w:eastAsia="Calibri" w:hAnsi="Calibri" w:cs="Calibri"/>
                <w:b/>
                <w:bCs/>
                <w:color w:val="000000"/>
                <w:sz w:val="18"/>
                <w:szCs w:val="18"/>
              </w:rPr>
              <w:t xml:space="preserve"> (c) x (d)</w:t>
            </w:r>
          </w:p>
        </w:tc>
        <w:tc>
          <w:tcPr>
            <w:tcW w:w="1440" w:type="dxa"/>
            <w:tcBorders>
              <w:top w:val="single" w:sz="8" w:space="0" w:color="000000"/>
              <w:left w:val="nil"/>
              <w:bottom w:val="single" w:sz="8" w:space="0" w:color="000000"/>
              <w:right w:val="single" w:sz="8" w:space="0" w:color="000000"/>
            </w:tcBorders>
            <w:shd w:val="clear" w:color="auto" w:fill="BDD7EE"/>
            <w:vAlign w:val="center"/>
          </w:tcPr>
          <w:p w:rsidR="00DC5F9F" w:rsidRPr="0046154E" w:rsidP="0046154E" w14:paraId="2240E724" w14:textId="6CC30905">
            <w:pPr>
              <w:widowControl/>
              <w:jc w:val="center"/>
              <w:rPr>
                <w:rFonts w:ascii="Calibri" w:eastAsia="Calibri" w:hAnsi="Calibri" w:cs="Calibri"/>
                <w:b/>
                <w:bCs/>
                <w:color w:val="000000"/>
                <w:sz w:val="18"/>
                <w:szCs w:val="18"/>
              </w:rPr>
            </w:pPr>
            <w:r w:rsidRPr="0046154E">
              <w:rPr>
                <w:rFonts w:ascii="Calibri" w:eastAsia="Calibri" w:hAnsi="Calibri" w:cs="Calibri"/>
                <w:b/>
                <w:bCs/>
                <w:color w:val="000000"/>
                <w:sz w:val="18"/>
                <w:szCs w:val="18"/>
              </w:rPr>
              <w:t xml:space="preserve">Hourly Wage </w:t>
            </w:r>
            <w:r w:rsidRPr="0046154E" w:rsidR="00C845B7">
              <w:rPr>
                <w:rFonts w:ascii="Calibri" w:eastAsia="Calibri" w:hAnsi="Calibri" w:cs="Calibri"/>
                <w:b/>
                <w:bCs/>
                <w:color w:val="000000"/>
                <w:sz w:val="18"/>
                <w:szCs w:val="18"/>
              </w:rPr>
              <w:t>Rate (</w:t>
            </w:r>
            <w:r w:rsidRPr="0046154E">
              <w:rPr>
                <w:rFonts w:ascii="Calibri" w:eastAsia="Calibri" w:hAnsi="Calibri" w:cs="Calibri"/>
                <w:b/>
                <w:bCs/>
                <w:color w:val="000000"/>
                <w:sz w:val="18"/>
                <w:szCs w:val="18"/>
              </w:rPr>
              <w:t xml:space="preserve">for Type of </w:t>
            </w:r>
            <w:r w:rsidRPr="0046154E">
              <w:rPr>
                <w:rFonts w:ascii="Calibri" w:eastAsia="Calibri" w:hAnsi="Calibri" w:cs="Calibri"/>
                <w:b/>
                <w:bCs/>
                <w:color w:val="000000"/>
                <w:sz w:val="18"/>
                <w:szCs w:val="18"/>
              </w:rPr>
              <w:t>Respondent)</w:t>
            </w:r>
            <w:r w:rsidRPr="0046154E">
              <w:rPr>
                <w:rFonts w:ascii="Calibri" w:eastAsia="Calibri" w:hAnsi="Calibri" w:cs="Calibri"/>
                <w:b/>
                <w:bCs/>
                <w:color w:val="000000"/>
                <w:sz w:val="18"/>
                <w:szCs w:val="18"/>
              </w:rPr>
              <w:br/>
              <w:t>(f)</w:t>
            </w:r>
          </w:p>
        </w:tc>
        <w:tc>
          <w:tcPr>
            <w:tcW w:w="1590" w:type="dxa"/>
            <w:tcBorders>
              <w:top w:val="single" w:sz="8" w:space="0" w:color="000000"/>
              <w:left w:val="nil"/>
              <w:bottom w:val="single" w:sz="8" w:space="0" w:color="000000"/>
              <w:right w:val="single" w:sz="8" w:space="0" w:color="000000"/>
            </w:tcBorders>
            <w:shd w:val="clear" w:color="auto" w:fill="BDD7EE"/>
            <w:vAlign w:val="center"/>
          </w:tcPr>
          <w:p w:rsidR="00DC5F9F" w:rsidRPr="0046154E" w:rsidP="0046154E" w14:paraId="2EF02799" w14:textId="77777777">
            <w:pPr>
              <w:widowControl/>
              <w:ind w:right="-30"/>
              <w:jc w:val="center"/>
              <w:rPr>
                <w:rFonts w:ascii="Calibri" w:eastAsia="Calibri" w:hAnsi="Calibri" w:cs="Calibri"/>
                <w:b/>
                <w:bCs/>
                <w:color w:val="000000"/>
                <w:sz w:val="18"/>
                <w:szCs w:val="18"/>
              </w:rPr>
            </w:pPr>
            <w:r w:rsidRPr="0046154E">
              <w:rPr>
                <w:rFonts w:ascii="Calibri" w:eastAsia="Calibri" w:hAnsi="Calibri" w:cs="Calibri"/>
                <w:b/>
                <w:bCs/>
                <w:color w:val="000000"/>
                <w:sz w:val="18"/>
                <w:szCs w:val="18"/>
              </w:rPr>
              <w:t>Total Annual Wage Burden Costs</w:t>
            </w:r>
            <w:r w:rsidRPr="0046154E">
              <w:rPr>
                <w:rFonts w:ascii="Calibri" w:eastAsia="Calibri" w:hAnsi="Calibri" w:cs="Calibri"/>
                <w:b/>
                <w:bCs/>
                <w:color w:val="000000"/>
                <w:sz w:val="18"/>
                <w:szCs w:val="18"/>
              </w:rPr>
              <w:br/>
              <w:t>(g) = (e) x (f)</w:t>
            </w:r>
          </w:p>
        </w:tc>
      </w:tr>
      <w:tr w14:paraId="07CEAA6F" w14:textId="77777777" w:rsidTr="0046154E">
        <w:tblPrEx>
          <w:tblW w:w="14415" w:type="dxa"/>
          <w:tblInd w:w="-140" w:type="dxa"/>
          <w:tblLayout w:type="fixed"/>
          <w:tblLook w:val="0400"/>
        </w:tblPrEx>
        <w:trPr>
          <w:trHeight w:val="300"/>
        </w:trPr>
        <w:tc>
          <w:tcPr>
            <w:tcW w:w="3510" w:type="dxa"/>
            <w:tcBorders>
              <w:top w:val="nil"/>
              <w:left w:val="single" w:sz="8" w:space="0" w:color="000000"/>
              <w:bottom w:val="single" w:sz="4" w:space="0" w:color="000000"/>
              <w:right w:val="single" w:sz="4" w:space="0" w:color="000000"/>
            </w:tcBorders>
            <w:shd w:val="clear" w:color="auto" w:fill="FFFFFF" w:themeFill="background1"/>
            <w:vAlign w:val="center"/>
          </w:tcPr>
          <w:p w:rsidR="00C845B7" w:rsidRPr="0046154E" w:rsidP="0046154E" w14:paraId="022622C7" w14:textId="7220BEEC">
            <w:pPr>
              <w:widowControl/>
              <w:rPr>
                <w:rFonts w:ascii="Calibri" w:eastAsia="Calibri" w:hAnsi="Calibri" w:cs="Calibri"/>
                <w:b/>
                <w:bCs/>
                <w:color w:val="000000"/>
                <w:sz w:val="18"/>
                <w:szCs w:val="18"/>
              </w:rPr>
            </w:pPr>
            <w:r w:rsidRPr="0046154E">
              <w:rPr>
                <w:rFonts w:ascii="Calibri" w:eastAsia="Calibri" w:hAnsi="Calibri" w:cs="Calibri"/>
                <w:b/>
                <w:bCs/>
                <w:color w:val="000000"/>
                <w:sz w:val="18"/>
                <w:szCs w:val="18"/>
              </w:rPr>
              <w:t>Natural Resource Damage Assessment Restoration Project Information Sheet</w:t>
            </w:r>
          </w:p>
        </w:tc>
        <w:tc>
          <w:tcPr>
            <w:tcW w:w="1890" w:type="dxa"/>
            <w:tcBorders>
              <w:top w:val="nil"/>
              <w:left w:val="nil"/>
              <w:bottom w:val="single" w:sz="4" w:space="0" w:color="000000"/>
              <w:right w:val="single" w:sz="4" w:space="0" w:color="000000"/>
            </w:tcBorders>
            <w:shd w:val="clear" w:color="auto" w:fill="FFFFFF" w:themeFill="background1"/>
            <w:vAlign w:val="center"/>
          </w:tcPr>
          <w:p w:rsidR="00C845B7" w:rsidRPr="0046154E" w:rsidP="0046154E" w14:paraId="0C10EEE8" w14:textId="3236FF22">
            <w:pPr>
              <w:widowControl/>
              <w:jc w:val="center"/>
              <w:rPr>
                <w:rFonts w:ascii="Calibri" w:eastAsia="Calibri" w:hAnsi="Calibri" w:cs="Calibri"/>
                <w:color w:val="000000"/>
                <w:sz w:val="18"/>
                <w:szCs w:val="18"/>
              </w:rPr>
            </w:pPr>
          </w:p>
        </w:tc>
        <w:tc>
          <w:tcPr>
            <w:tcW w:w="1185" w:type="dxa"/>
            <w:tcBorders>
              <w:top w:val="nil"/>
              <w:left w:val="nil"/>
              <w:bottom w:val="single" w:sz="4" w:space="0" w:color="000000"/>
              <w:right w:val="single" w:sz="4" w:space="0" w:color="000000"/>
            </w:tcBorders>
            <w:shd w:val="clear" w:color="auto" w:fill="FFFFFF" w:themeFill="background1"/>
            <w:vAlign w:val="center"/>
          </w:tcPr>
          <w:p w:rsidR="00C845B7" w:rsidRPr="0046154E" w:rsidP="0046154E" w14:paraId="00AA001F" w14:textId="63A88274">
            <w:pPr>
              <w:widowControl/>
              <w:jc w:val="center"/>
              <w:rPr>
                <w:rFonts w:ascii="Calibri" w:eastAsia="Calibri" w:hAnsi="Calibri" w:cs="Calibri"/>
                <w:color w:val="000000"/>
                <w:sz w:val="18"/>
                <w:szCs w:val="18"/>
              </w:rPr>
            </w:pPr>
            <w:r w:rsidRPr="0046154E">
              <w:rPr>
                <w:rFonts w:ascii="Calibri" w:eastAsia="Calibri" w:hAnsi="Calibri" w:cs="Calibri"/>
                <w:b/>
                <w:bCs/>
                <w:color w:val="000000"/>
                <w:sz w:val="18"/>
                <w:szCs w:val="18"/>
              </w:rPr>
              <w:t>100*</w:t>
            </w:r>
          </w:p>
        </w:tc>
        <w:tc>
          <w:tcPr>
            <w:tcW w:w="1320" w:type="dxa"/>
            <w:tcBorders>
              <w:top w:val="nil"/>
              <w:left w:val="nil"/>
              <w:bottom w:val="single" w:sz="4" w:space="0" w:color="000000"/>
              <w:right w:val="single" w:sz="4" w:space="0" w:color="000000"/>
            </w:tcBorders>
            <w:shd w:val="clear" w:color="auto" w:fill="FFFFFF" w:themeFill="background1"/>
            <w:vAlign w:val="center"/>
          </w:tcPr>
          <w:p w:rsidR="00C845B7" w:rsidRPr="0046154E" w:rsidP="0046154E" w14:paraId="14D35476" w14:textId="191AF122">
            <w:pPr>
              <w:widowControl/>
              <w:jc w:val="center"/>
              <w:rPr>
                <w:rFonts w:ascii="Calibri" w:eastAsia="Calibri" w:hAnsi="Calibri" w:cs="Calibri"/>
                <w:color w:val="000000"/>
                <w:sz w:val="18"/>
                <w:szCs w:val="18"/>
              </w:rPr>
            </w:pPr>
            <w:r w:rsidRPr="0046154E">
              <w:rPr>
                <w:rFonts w:ascii="Calibri" w:eastAsia="Calibri" w:hAnsi="Calibri" w:cs="Calibri"/>
                <w:b/>
                <w:bCs/>
                <w:color w:val="000000"/>
                <w:sz w:val="18"/>
                <w:szCs w:val="18"/>
              </w:rPr>
              <w:t>3.44</w:t>
            </w:r>
          </w:p>
        </w:tc>
        <w:tc>
          <w:tcPr>
            <w:tcW w:w="1215" w:type="dxa"/>
            <w:tcBorders>
              <w:top w:val="nil"/>
              <w:left w:val="nil"/>
              <w:bottom w:val="single" w:sz="4" w:space="0" w:color="000000"/>
              <w:right w:val="single" w:sz="4" w:space="0" w:color="000000"/>
            </w:tcBorders>
            <w:shd w:val="clear" w:color="auto" w:fill="FFFFFF" w:themeFill="background1"/>
            <w:vAlign w:val="center"/>
          </w:tcPr>
          <w:p w:rsidR="00C845B7" w:rsidRPr="0046154E" w:rsidP="0046154E" w14:paraId="0A5BE7B9" w14:textId="01E74001">
            <w:pPr>
              <w:widowControl/>
              <w:jc w:val="center"/>
              <w:rPr>
                <w:rFonts w:ascii="Calibri" w:eastAsia="Calibri" w:hAnsi="Calibri" w:cs="Calibri"/>
                <w:color w:val="000000"/>
                <w:sz w:val="18"/>
                <w:szCs w:val="18"/>
              </w:rPr>
            </w:pPr>
            <w:r w:rsidRPr="0046154E">
              <w:rPr>
                <w:rFonts w:ascii="Calibri" w:eastAsia="Calibri" w:hAnsi="Calibri" w:cs="Calibri"/>
                <w:b/>
                <w:bCs/>
                <w:color w:val="000000"/>
                <w:sz w:val="18"/>
                <w:szCs w:val="18"/>
              </w:rPr>
              <w:t>344</w:t>
            </w:r>
          </w:p>
        </w:tc>
        <w:tc>
          <w:tcPr>
            <w:tcW w:w="1080" w:type="dxa"/>
            <w:tcBorders>
              <w:top w:val="nil"/>
              <w:left w:val="nil"/>
              <w:bottom w:val="single" w:sz="4" w:space="0" w:color="000000"/>
              <w:right w:val="single" w:sz="4" w:space="0" w:color="000000"/>
            </w:tcBorders>
            <w:shd w:val="clear" w:color="auto" w:fill="FFFFFF" w:themeFill="background1"/>
            <w:vAlign w:val="center"/>
          </w:tcPr>
          <w:p w:rsidR="00C845B7" w:rsidRPr="0046154E" w:rsidP="0046154E" w14:paraId="02D56CC3" w14:textId="5112B0F1">
            <w:pPr>
              <w:widowControl/>
              <w:jc w:val="center"/>
              <w:rPr>
                <w:rFonts w:ascii="Calibri" w:eastAsia="Calibri" w:hAnsi="Calibri" w:cs="Calibri"/>
                <w:color w:val="000000"/>
                <w:sz w:val="18"/>
                <w:szCs w:val="18"/>
              </w:rPr>
            </w:pPr>
            <w:r w:rsidRPr="0046154E">
              <w:rPr>
                <w:rFonts w:ascii="Calibri" w:eastAsia="Calibri" w:hAnsi="Calibri" w:cs="Calibri"/>
                <w:b/>
                <w:bCs/>
                <w:color w:val="000000"/>
                <w:sz w:val="18"/>
                <w:szCs w:val="18"/>
              </w:rPr>
              <w:t>0.311</w:t>
            </w:r>
          </w:p>
        </w:tc>
        <w:tc>
          <w:tcPr>
            <w:tcW w:w="1185" w:type="dxa"/>
            <w:tcBorders>
              <w:top w:val="nil"/>
              <w:left w:val="nil"/>
              <w:bottom w:val="single" w:sz="4" w:space="0" w:color="000000"/>
              <w:right w:val="single" w:sz="4" w:space="0" w:color="000000"/>
            </w:tcBorders>
            <w:shd w:val="clear" w:color="auto" w:fill="FFFFFF" w:themeFill="background1"/>
            <w:vAlign w:val="center"/>
          </w:tcPr>
          <w:p w:rsidR="00C845B7" w:rsidRPr="0046154E" w:rsidP="0046154E" w14:paraId="50BA19DF" w14:textId="04B5B2CC">
            <w:pPr>
              <w:widowControl/>
              <w:jc w:val="center"/>
              <w:rPr>
                <w:rFonts w:ascii="Calibri" w:eastAsia="Calibri" w:hAnsi="Calibri" w:cs="Calibri"/>
                <w:color w:val="000000"/>
                <w:sz w:val="18"/>
                <w:szCs w:val="18"/>
              </w:rPr>
            </w:pPr>
            <w:r w:rsidRPr="0046154E">
              <w:rPr>
                <w:rFonts w:ascii="Calibri" w:eastAsia="Calibri" w:hAnsi="Calibri" w:cs="Calibri"/>
                <w:b/>
                <w:bCs/>
                <w:color w:val="000000"/>
                <w:sz w:val="18"/>
                <w:szCs w:val="18"/>
              </w:rPr>
              <w:t>107</w:t>
            </w:r>
          </w:p>
        </w:tc>
        <w:tc>
          <w:tcPr>
            <w:tcW w:w="1440" w:type="dxa"/>
            <w:tcBorders>
              <w:top w:val="nil"/>
              <w:left w:val="nil"/>
              <w:bottom w:val="single" w:sz="4" w:space="0" w:color="000000"/>
              <w:right w:val="single" w:sz="4" w:space="0" w:color="000000"/>
            </w:tcBorders>
            <w:shd w:val="clear" w:color="auto" w:fill="FFFFFF" w:themeFill="background1"/>
            <w:vAlign w:val="center"/>
          </w:tcPr>
          <w:p w:rsidR="00C845B7" w:rsidRPr="0046154E" w:rsidP="0046154E" w14:paraId="0E7F6E08" w14:textId="0A34EA4A">
            <w:pPr>
              <w:widowControl/>
              <w:jc w:val="center"/>
              <w:rPr>
                <w:rFonts w:ascii="Calibri" w:eastAsia="Calibri" w:hAnsi="Calibri" w:cs="Calibri"/>
                <w:color w:val="000000"/>
                <w:sz w:val="18"/>
                <w:szCs w:val="18"/>
              </w:rPr>
            </w:pPr>
            <w:r w:rsidRPr="0046154E">
              <w:rPr>
                <w:rFonts w:ascii="Calibri" w:eastAsia="Calibri" w:hAnsi="Calibri" w:cs="Calibri"/>
                <w:b/>
                <w:bCs/>
                <w:color w:val="000000"/>
                <w:sz w:val="18"/>
                <w:szCs w:val="18"/>
              </w:rPr>
              <w:t>$33.54</w:t>
            </w:r>
          </w:p>
        </w:tc>
        <w:tc>
          <w:tcPr>
            <w:tcW w:w="1590" w:type="dxa"/>
            <w:tcBorders>
              <w:top w:val="nil"/>
              <w:left w:val="nil"/>
              <w:bottom w:val="single" w:sz="4" w:space="0" w:color="000000"/>
              <w:right w:val="single" w:sz="8" w:space="0" w:color="000000"/>
            </w:tcBorders>
            <w:shd w:val="clear" w:color="auto" w:fill="FFFFFF" w:themeFill="background1"/>
            <w:vAlign w:val="center"/>
          </w:tcPr>
          <w:p w:rsidR="00C845B7" w:rsidRPr="0046154E" w:rsidP="0046154E" w14:paraId="49ACDE08" w14:textId="26562818">
            <w:pPr>
              <w:widowControl/>
              <w:jc w:val="center"/>
              <w:rPr>
                <w:rFonts w:ascii="Calibri" w:eastAsia="Calibri" w:hAnsi="Calibri" w:cs="Calibri"/>
                <w:color w:val="000000"/>
                <w:sz w:val="18"/>
                <w:szCs w:val="18"/>
              </w:rPr>
            </w:pPr>
            <w:r w:rsidRPr="0046154E">
              <w:rPr>
                <w:rFonts w:ascii="Calibri" w:eastAsia="Calibri" w:hAnsi="Calibri" w:cs="Calibri"/>
                <w:b/>
                <w:bCs/>
                <w:color w:val="000000"/>
                <w:sz w:val="18"/>
                <w:szCs w:val="18"/>
              </w:rPr>
              <w:t>$3,589</w:t>
            </w:r>
          </w:p>
        </w:tc>
      </w:tr>
      <w:tr w14:paraId="48E4B4AF" w14:textId="77777777" w:rsidTr="0046154E">
        <w:tblPrEx>
          <w:tblW w:w="14415" w:type="dxa"/>
          <w:tblInd w:w="-140" w:type="dxa"/>
          <w:tblLayout w:type="fixed"/>
          <w:tblLook w:val="0400"/>
        </w:tblPrEx>
        <w:trPr>
          <w:trHeight w:val="300"/>
        </w:trPr>
        <w:tc>
          <w:tcPr>
            <w:tcW w:w="3510" w:type="dxa"/>
            <w:tcBorders>
              <w:top w:val="nil"/>
              <w:left w:val="single" w:sz="8" w:space="0" w:color="000000"/>
              <w:bottom w:val="single" w:sz="4" w:space="0" w:color="000000"/>
              <w:right w:val="single" w:sz="4" w:space="0" w:color="000000"/>
            </w:tcBorders>
            <w:shd w:val="clear" w:color="auto" w:fill="D9D9D9" w:themeFill="background1" w:themeFillShade="D9"/>
            <w:vAlign w:val="center"/>
          </w:tcPr>
          <w:p w:rsidR="00C845B7" w:rsidRPr="0046154E" w:rsidP="0046154E" w14:paraId="1D3AB98D" w14:textId="34345AD1">
            <w:pPr>
              <w:widowControl/>
              <w:ind w:left="375"/>
              <w:rPr>
                <w:rFonts w:ascii="Calibri" w:eastAsia="Calibri" w:hAnsi="Calibri" w:cs="Calibri"/>
                <w:color w:val="000000"/>
                <w:sz w:val="18"/>
                <w:szCs w:val="18"/>
              </w:rPr>
            </w:pPr>
            <w:r w:rsidRPr="0046154E">
              <w:rPr>
                <w:rFonts w:ascii="Calibri" w:eastAsia="Calibri" w:hAnsi="Calibri" w:cs="Calibri"/>
                <w:sz w:val="18"/>
                <w:szCs w:val="18"/>
              </w:rPr>
              <w:t xml:space="preserve">Natural Resource Damage Assessment Restoration Project </w:t>
            </w:r>
            <w:r w:rsidRPr="0046154E">
              <w:rPr>
                <w:rFonts w:ascii="Calibri" w:eastAsia="Calibri" w:hAnsi="Calibri" w:cs="Calibri"/>
                <w:sz w:val="18"/>
                <w:szCs w:val="18"/>
              </w:rPr>
              <w:t>Information Sheet Submission</w:t>
            </w:r>
          </w:p>
        </w:tc>
        <w:tc>
          <w:tcPr>
            <w:tcW w:w="1890" w:type="dxa"/>
            <w:tcBorders>
              <w:top w:val="nil"/>
              <w:left w:val="nil"/>
              <w:bottom w:val="single" w:sz="4" w:space="0" w:color="000000"/>
              <w:right w:val="single" w:sz="4" w:space="0" w:color="000000"/>
            </w:tcBorders>
            <w:shd w:val="clear" w:color="auto" w:fill="D9D9D9" w:themeFill="background1" w:themeFillShade="D9"/>
            <w:vAlign w:val="center"/>
          </w:tcPr>
          <w:p w:rsidR="00C845B7" w:rsidRPr="0046154E" w:rsidP="0046154E" w14:paraId="70ED1250" w14:textId="62612C94">
            <w:pPr>
              <w:widowControl/>
              <w:jc w:val="center"/>
              <w:rPr>
                <w:rFonts w:ascii="Calibri" w:eastAsia="Calibri" w:hAnsi="Calibri" w:cs="Calibri"/>
                <w:color w:val="000000"/>
                <w:sz w:val="18"/>
                <w:szCs w:val="18"/>
              </w:rPr>
            </w:pPr>
            <w:r w:rsidRPr="0046154E">
              <w:rPr>
                <w:rFonts w:ascii="Calibri" w:eastAsia="Calibri" w:hAnsi="Calibri" w:cs="Calibri"/>
                <w:color w:val="000000"/>
                <w:sz w:val="18"/>
                <w:szCs w:val="18"/>
              </w:rPr>
              <w:t>All Occupations (00-0000)</w:t>
            </w:r>
          </w:p>
        </w:tc>
        <w:tc>
          <w:tcPr>
            <w:tcW w:w="1185" w:type="dxa"/>
            <w:tcBorders>
              <w:top w:val="nil"/>
              <w:left w:val="nil"/>
              <w:bottom w:val="single" w:sz="4" w:space="0" w:color="000000"/>
              <w:right w:val="single" w:sz="4" w:space="0" w:color="000000"/>
            </w:tcBorders>
            <w:shd w:val="clear" w:color="auto" w:fill="D9D9D9" w:themeFill="background1" w:themeFillShade="D9"/>
            <w:vAlign w:val="center"/>
          </w:tcPr>
          <w:p w:rsidR="00C845B7" w:rsidRPr="0046154E" w:rsidP="0046154E" w14:paraId="51E47AD3" w14:textId="4661C09C">
            <w:pPr>
              <w:widowControl/>
              <w:jc w:val="center"/>
              <w:rPr>
                <w:rFonts w:ascii="Calibri" w:eastAsia="Calibri" w:hAnsi="Calibri" w:cs="Calibri"/>
                <w:color w:val="000000"/>
                <w:sz w:val="18"/>
                <w:szCs w:val="18"/>
              </w:rPr>
            </w:pPr>
            <w:r w:rsidRPr="0046154E">
              <w:rPr>
                <w:rFonts w:ascii="Calibri" w:eastAsia="Calibri" w:hAnsi="Calibri" w:cs="Calibri"/>
                <w:color w:val="000000"/>
                <w:sz w:val="18"/>
                <w:szCs w:val="18"/>
              </w:rPr>
              <w:t>100</w:t>
            </w:r>
          </w:p>
        </w:tc>
        <w:tc>
          <w:tcPr>
            <w:tcW w:w="1320" w:type="dxa"/>
            <w:tcBorders>
              <w:top w:val="nil"/>
              <w:left w:val="nil"/>
              <w:bottom w:val="single" w:sz="4" w:space="0" w:color="000000"/>
              <w:right w:val="single" w:sz="4" w:space="0" w:color="000000"/>
            </w:tcBorders>
            <w:shd w:val="clear" w:color="auto" w:fill="D9D9D9" w:themeFill="background1" w:themeFillShade="D9"/>
            <w:vAlign w:val="center"/>
          </w:tcPr>
          <w:p w:rsidR="00C845B7" w:rsidRPr="0046154E" w:rsidP="0046154E" w14:paraId="4548E2EB" w14:textId="2F270766">
            <w:pPr>
              <w:widowControl/>
              <w:jc w:val="center"/>
              <w:rPr>
                <w:rFonts w:ascii="Calibri" w:eastAsia="Calibri" w:hAnsi="Calibri" w:cs="Calibri"/>
                <w:color w:val="000000"/>
                <w:sz w:val="18"/>
                <w:szCs w:val="18"/>
              </w:rPr>
            </w:pPr>
            <w:r w:rsidRPr="0046154E">
              <w:rPr>
                <w:rFonts w:ascii="Calibri" w:eastAsia="Calibri" w:hAnsi="Calibri" w:cs="Calibri"/>
                <w:color w:val="000000"/>
                <w:sz w:val="18"/>
                <w:szCs w:val="18"/>
              </w:rPr>
              <w:t>3</w:t>
            </w:r>
          </w:p>
        </w:tc>
        <w:tc>
          <w:tcPr>
            <w:tcW w:w="1215" w:type="dxa"/>
            <w:tcBorders>
              <w:top w:val="nil"/>
              <w:left w:val="nil"/>
              <w:bottom w:val="single" w:sz="4" w:space="0" w:color="000000"/>
              <w:right w:val="single" w:sz="4" w:space="0" w:color="000000"/>
            </w:tcBorders>
            <w:shd w:val="clear" w:color="auto" w:fill="D9D9D9" w:themeFill="background1" w:themeFillShade="D9"/>
            <w:vAlign w:val="center"/>
          </w:tcPr>
          <w:p w:rsidR="00C845B7" w:rsidRPr="0046154E" w:rsidP="0046154E" w14:paraId="18362B4A" w14:textId="0753AF05">
            <w:pPr>
              <w:widowControl/>
              <w:jc w:val="center"/>
              <w:rPr>
                <w:rFonts w:ascii="Calibri" w:eastAsia="Calibri" w:hAnsi="Calibri" w:cs="Calibri"/>
                <w:color w:val="000000"/>
                <w:sz w:val="18"/>
                <w:szCs w:val="18"/>
              </w:rPr>
            </w:pPr>
            <w:r w:rsidRPr="0046154E">
              <w:rPr>
                <w:rFonts w:ascii="Calibri" w:eastAsia="Calibri" w:hAnsi="Calibri" w:cs="Calibri"/>
                <w:color w:val="000000"/>
                <w:sz w:val="18"/>
                <w:szCs w:val="18"/>
              </w:rPr>
              <w:t>300</w:t>
            </w:r>
          </w:p>
        </w:tc>
        <w:tc>
          <w:tcPr>
            <w:tcW w:w="1080" w:type="dxa"/>
            <w:tcBorders>
              <w:top w:val="nil"/>
              <w:left w:val="nil"/>
              <w:bottom w:val="single" w:sz="4" w:space="0" w:color="000000"/>
              <w:right w:val="single" w:sz="4" w:space="0" w:color="000000"/>
            </w:tcBorders>
            <w:shd w:val="clear" w:color="auto" w:fill="D9D9D9" w:themeFill="background1" w:themeFillShade="D9"/>
            <w:vAlign w:val="center"/>
          </w:tcPr>
          <w:p w:rsidR="00C845B7" w:rsidRPr="0046154E" w:rsidP="0046154E" w14:paraId="71276828" w14:textId="306E19ED">
            <w:pPr>
              <w:widowControl/>
              <w:jc w:val="center"/>
              <w:rPr>
                <w:rFonts w:ascii="Calibri" w:eastAsia="Calibri" w:hAnsi="Calibri" w:cs="Calibri"/>
                <w:color w:val="000000"/>
                <w:sz w:val="18"/>
                <w:szCs w:val="18"/>
              </w:rPr>
            </w:pPr>
            <w:r w:rsidRPr="0046154E">
              <w:rPr>
                <w:rFonts w:ascii="Calibri" w:eastAsia="Calibri" w:hAnsi="Calibri" w:cs="Calibri"/>
                <w:color w:val="000000"/>
                <w:sz w:val="18"/>
                <w:szCs w:val="18"/>
              </w:rPr>
              <w:t>20 min (0.333 hrs)</w:t>
            </w:r>
          </w:p>
        </w:tc>
        <w:tc>
          <w:tcPr>
            <w:tcW w:w="1185" w:type="dxa"/>
            <w:tcBorders>
              <w:top w:val="nil"/>
              <w:left w:val="nil"/>
              <w:bottom w:val="single" w:sz="4" w:space="0" w:color="000000"/>
              <w:right w:val="single" w:sz="4" w:space="0" w:color="000000"/>
            </w:tcBorders>
            <w:shd w:val="clear" w:color="auto" w:fill="D9D9D9" w:themeFill="background1" w:themeFillShade="D9"/>
            <w:vAlign w:val="center"/>
          </w:tcPr>
          <w:p w:rsidR="00C845B7" w:rsidRPr="0046154E" w:rsidP="0046154E" w14:paraId="0FD3C22B" w14:textId="0AE55B0A">
            <w:pPr>
              <w:widowControl/>
              <w:jc w:val="center"/>
              <w:rPr>
                <w:rFonts w:ascii="Calibri" w:eastAsia="Calibri" w:hAnsi="Calibri" w:cs="Calibri"/>
                <w:color w:val="000000"/>
                <w:sz w:val="18"/>
                <w:szCs w:val="18"/>
              </w:rPr>
            </w:pPr>
            <w:r w:rsidRPr="0046154E">
              <w:rPr>
                <w:rFonts w:ascii="Calibri" w:eastAsia="Calibri" w:hAnsi="Calibri" w:cs="Calibri"/>
                <w:color w:val="000000"/>
                <w:sz w:val="18"/>
                <w:szCs w:val="18"/>
              </w:rPr>
              <w:t>100</w:t>
            </w:r>
          </w:p>
        </w:tc>
        <w:tc>
          <w:tcPr>
            <w:tcW w:w="1440" w:type="dxa"/>
            <w:tcBorders>
              <w:top w:val="nil"/>
              <w:left w:val="nil"/>
              <w:bottom w:val="single" w:sz="4" w:space="0" w:color="000000"/>
              <w:right w:val="single" w:sz="4" w:space="0" w:color="000000"/>
            </w:tcBorders>
            <w:shd w:val="clear" w:color="auto" w:fill="D9D9D9" w:themeFill="background1" w:themeFillShade="D9"/>
            <w:vAlign w:val="center"/>
          </w:tcPr>
          <w:p w:rsidR="00C845B7" w:rsidRPr="0046154E" w:rsidP="0046154E" w14:paraId="49CC9402" w14:textId="1BE23C1E">
            <w:pPr>
              <w:widowControl/>
              <w:jc w:val="center"/>
              <w:rPr>
                <w:rFonts w:ascii="Calibri" w:eastAsia="Calibri" w:hAnsi="Calibri" w:cs="Calibri"/>
                <w:color w:val="000000"/>
                <w:sz w:val="18"/>
                <w:szCs w:val="18"/>
              </w:rPr>
            </w:pPr>
            <w:r w:rsidRPr="0046154E">
              <w:rPr>
                <w:rFonts w:ascii="Calibri" w:eastAsia="Calibri" w:hAnsi="Calibri" w:cs="Calibri"/>
                <w:color w:val="000000"/>
                <w:sz w:val="18"/>
                <w:szCs w:val="18"/>
              </w:rPr>
              <w:t>$33.54</w:t>
            </w:r>
          </w:p>
        </w:tc>
        <w:tc>
          <w:tcPr>
            <w:tcW w:w="1590" w:type="dxa"/>
            <w:tcBorders>
              <w:top w:val="nil"/>
              <w:left w:val="nil"/>
              <w:bottom w:val="single" w:sz="4" w:space="0" w:color="000000"/>
              <w:right w:val="single" w:sz="8" w:space="0" w:color="000000"/>
            </w:tcBorders>
            <w:shd w:val="clear" w:color="auto" w:fill="D9D9D9" w:themeFill="background1" w:themeFillShade="D9"/>
            <w:vAlign w:val="center"/>
          </w:tcPr>
          <w:p w:rsidR="00C845B7" w:rsidRPr="0046154E" w:rsidP="0046154E" w14:paraId="4856E6E5" w14:textId="6C70005A">
            <w:pPr>
              <w:widowControl/>
              <w:jc w:val="center"/>
              <w:rPr>
                <w:rFonts w:ascii="Calibri" w:eastAsia="Calibri" w:hAnsi="Calibri" w:cs="Calibri"/>
                <w:color w:val="000000"/>
                <w:sz w:val="18"/>
                <w:szCs w:val="18"/>
              </w:rPr>
            </w:pPr>
            <w:r w:rsidRPr="0046154E">
              <w:rPr>
                <w:rFonts w:ascii="Calibri" w:eastAsia="Calibri" w:hAnsi="Calibri" w:cs="Calibri"/>
                <w:color w:val="000000"/>
                <w:sz w:val="18"/>
                <w:szCs w:val="18"/>
              </w:rPr>
              <w:t>$3,354</w:t>
            </w:r>
          </w:p>
        </w:tc>
      </w:tr>
      <w:tr w14:paraId="75D2F0F9" w14:textId="77777777" w:rsidTr="0046154E">
        <w:tblPrEx>
          <w:tblW w:w="14415" w:type="dxa"/>
          <w:tblInd w:w="-140" w:type="dxa"/>
          <w:tblLayout w:type="fixed"/>
          <w:tblLook w:val="0400"/>
        </w:tblPrEx>
        <w:trPr>
          <w:trHeight w:val="300"/>
        </w:trPr>
        <w:tc>
          <w:tcPr>
            <w:tcW w:w="3510" w:type="dxa"/>
            <w:tcBorders>
              <w:top w:val="nil"/>
              <w:left w:val="single" w:sz="8" w:space="0" w:color="000000"/>
              <w:bottom w:val="single" w:sz="4" w:space="0" w:color="000000"/>
              <w:right w:val="single" w:sz="4" w:space="0" w:color="000000"/>
            </w:tcBorders>
            <w:shd w:val="clear" w:color="auto" w:fill="D9D9D9" w:themeFill="background1" w:themeFillShade="D9"/>
            <w:vAlign w:val="center"/>
          </w:tcPr>
          <w:p w:rsidR="00C845B7" w:rsidRPr="0046154E" w:rsidP="0046154E" w14:paraId="1E6D096B" w14:textId="578CC5F0">
            <w:pPr>
              <w:widowControl/>
              <w:ind w:left="375"/>
              <w:rPr>
                <w:rFonts w:ascii="Calibri" w:eastAsia="Calibri" w:hAnsi="Calibri" w:cs="Calibri"/>
                <w:color w:val="000000"/>
                <w:sz w:val="18"/>
                <w:szCs w:val="18"/>
              </w:rPr>
            </w:pPr>
            <w:r w:rsidRPr="0046154E">
              <w:rPr>
                <w:rFonts w:ascii="Calibri" w:eastAsia="Calibri" w:hAnsi="Calibri" w:cs="Calibri"/>
                <w:color w:val="000000"/>
                <w:sz w:val="18"/>
                <w:szCs w:val="18"/>
              </w:rPr>
              <w:t xml:space="preserve">Project Information Sheet </w:t>
            </w:r>
            <w:r w:rsidRPr="0046154E">
              <w:rPr>
                <w:rFonts w:ascii="Calibri" w:eastAsia="Calibri" w:hAnsi="Calibri" w:cs="Calibri"/>
                <w:sz w:val="18"/>
                <w:szCs w:val="18"/>
              </w:rPr>
              <w:t>Updates</w:t>
            </w:r>
          </w:p>
        </w:tc>
        <w:tc>
          <w:tcPr>
            <w:tcW w:w="1890" w:type="dxa"/>
            <w:tcBorders>
              <w:top w:val="nil"/>
              <w:left w:val="nil"/>
              <w:bottom w:val="single" w:sz="4" w:space="0" w:color="000000"/>
              <w:right w:val="single" w:sz="4" w:space="0" w:color="000000"/>
            </w:tcBorders>
            <w:shd w:val="clear" w:color="auto" w:fill="D9D9D9" w:themeFill="background1" w:themeFillShade="D9"/>
            <w:vAlign w:val="center"/>
          </w:tcPr>
          <w:p w:rsidR="00C845B7" w:rsidRPr="0046154E" w:rsidP="0046154E" w14:paraId="580EFDF9" w14:textId="44F821F3">
            <w:pPr>
              <w:widowControl/>
              <w:jc w:val="center"/>
              <w:rPr>
                <w:rFonts w:ascii="Calibri" w:eastAsia="Calibri" w:hAnsi="Calibri" w:cs="Calibri"/>
                <w:color w:val="000000"/>
                <w:sz w:val="18"/>
                <w:szCs w:val="18"/>
              </w:rPr>
            </w:pPr>
            <w:r w:rsidRPr="0046154E">
              <w:rPr>
                <w:rFonts w:ascii="Calibri" w:eastAsia="Calibri" w:hAnsi="Calibri" w:cs="Calibri"/>
                <w:color w:val="000000"/>
                <w:sz w:val="18"/>
                <w:szCs w:val="18"/>
              </w:rPr>
              <w:t>All Occupations (00-0000)</w:t>
            </w:r>
          </w:p>
        </w:tc>
        <w:tc>
          <w:tcPr>
            <w:tcW w:w="1185" w:type="dxa"/>
            <w:tcBorders>
              <w:top w:val="nil"/>
              <w:left w:val="nil"/>
              <w:bottom w:val="single" w:sz="4" w:space="0" w:color="000000"/>
              <w:right w:val="single" w:sz="4" w:space="0" w:color="000000"/>
            </w:tcBorders>
            <w:shd w:val="clear" w:color="auto" w:fill="D9D9D9" w:themeFill="background1" w:themeFillShade="D9"/>
            <w:vAlign w:val="center"/>
          </w:tcPr>
          <w:p w:rsidR="00C845B7" w:rsidRPr="0046154E" w:rsidP="0046154E" w14:paraId="52322AD3" w14:textId="0B0033DC">
            <w:pPr>
              <w:widowControl/>
              <w:jc w:val="center"/>
              <w:rPr>
                <w:rFonts w:ascii="Calibri" w:eastAsia="Calibri" w:hAnsi="Calibri" w:cs="Calibri"/>
                <w:color w:val="000000"/>
                <w:sz w:val="18"/>
                <w:szCs w:val="18"/>
              </w:rPr>
            </w:pPr>
            <w:r w:rsidRPr="0046154E">
              <w:rPr>
                <w:rFonts w:ascii="Calibri" w:eastAsia="Calibri" w:hAnsi="Calibri" w:cs="Calibri"/>
                <w:color w:val="000000"/>
                <w:sz w:val="18"/>
                <w:szCs w:val="18"/>
              </w:rPr>
              <w:t>*</w:t>
            </w:r>
          </w:p>
        </w:tc>
        <w:tc>
          <w:tcPr>
            <w:tcW w:w="1320" w:type="dxa"/>
            <w:tcBorders>
              <w:top w:val="nil"/>
              <w:left w:val="nil"/>
              <w:bottom w:val="single" w:sz="4" w:space="0" w:color="000000"/>
              <w:right w:val="single" w:sz="4" w:space="0" w:color="000000"/>
            </w:tcBorders>
            <w:shd w:val="clear" w:color="auto" w:fill="D9D9D9" w:themeFill="background1" w:themeFillShade="D9"/>
            <w:vAlign w:val="center"/>
          </w:tcPr>
          <w:p w:rsidR="00C845B7" w:rsidRPr="0046154E" w:rsidP="0046154E" w14:paraId="69A1B3AC" w14:textId="165D5651">
            <w:pPr>
              <w:widowControl/>
              <w:jc w:val="center"/>
              <w:rPr>
                <w:rFonts w:ascii="Calibri" w:eastAsia="Calibri" w:hAnsi="Calibri" w:cs="Calibri"/>
                <w:color w:val="000000"/>
                <w:sz w:val="18"/>
                <w:szCs w:val="18"/>
              </w:rPr>
            </w:pPr>
            <w:r w:rsidRPr="0046154E">
              <w:rPr>
                <w:rFonts w:ascii="Calibri" w:eastAsia="Calibri" w:hAnsi="Calibri" w:cs="Calibri"/>
                <w:color w:val="000000"/>
                <w:sz w:val="18"/>
                <w:szCs w:val="18"/>
              </w:rPr>
              <w:t>1</w:t>
            </w:r>
          </w:p>
        </w:tc>
        <w:tc>
          <w:tcPr>
            <w:tcW w:w="1215" w:type="dxa"/>
            <w:tcBorders>
              <w:top w:val="nil"/>
              <w:left w:val="nil"/>
              <w:bottom w:val="single" w:sz="4" w:space="0" w:color="000000"/>
              <w:right w:val="single" w:sz="4" w:space="0" w:color="000000"/>
            </w:tcBorders>
            <w:shd w:val="clear" w:color="auto" w:fill="D9D9D9" w:themeFill="background1" w:themeFillShade="D9"/>
            <w:vAlign w:val="center"/>
          </w:tcPr>
          <w:p w:rsidR="00C845B7" w:rsidRPr="0046154E" w:rsidP="0046154E" w14:paraId="7B76B136" w14:textId="482F4C04">
            <w:pPr>
              <w:widowControl/>
              <w:jc w:val="center"/>
              <w:rPr>
                <w:rFonts w:ascii="Calibri" w:eastAsia="Calibri" w:hAnsi="Calibri" w:cs="Calibri"/>
                <w:color w:val="000000"/>
                <w:sz w:val="18"/>
                <w:szCs w:val="18"/>
              </w:rPr>
            </w:pPr>
            <w:r w:rsidRPr="0046154E">
              <w:rPr>
                <w:rFonts w:ascii="Calibri" w:eastAsia="Calibri" w:hAnsi="Calibri" w:cs="Calibri"/>
                <w:color w:val="000000"/>
                <w:sz w:val="18"/>
                <w:szCs w:val="18"/>
              </w:rPr>
              <w:t>44</w:t>
            </w:r>
          </w:p>
        </w:tc>
        <w:tc>
          <w:tcPr>
            <w:tcW w:w="1080" w:type="dxa"/>
            <w:tcBorders>
              <w:top w:val="nil"/>
              <w:left w:val="nil"/>
              <w:bottom w:val="single" w:sz="4" w:space="0" w:color="000000"/>
              <w:right w:val="single" w:sz="4" w:space="0" w:color="000000"/>
            </w:tcBorders>
            <w:shd w:val="clear" w:color="auto" w:fill="D9D9D9" w:themeFill="background1" w:themeFillShade="D9"/>
            <w:vAlign w:val="center"/>
          </w:tcPr>
          <w:p w:rsidR="00C845B7" w:rsidRPr="0046154E" w:rsidP="0046154E" w14:paraId="13795BC2" w14:textId="3AF7FA29">
            <w:pPr>
              <w:widowControl/>
              <w:jc w:val="center"/>
              <w:rPr>
                <w:rFonts w:ascii="Calibri" w:eastAsia="Calibri" w:hAnsi="Calibri" w:cs="Calibri"/>
                <w:color w:val="000000"/>
                <w:sz w:val="18"/>
                <w:szCs w:val="18"/>
              </w:rPr>
            </w:pPr>
            <w:r w:rsidRPr="0046154E">
              <w:rPr>
                <w:rFonts w:ascii="Calibri" w:eastAsia="Calibri" w:hAnsi="Calibri" w:cs="Calibri"/>
                <w:color w:val="000000"/>
                <w:sz w:val="18"/>
                <w:szCs w:val="18"/>
              </w:rPr>
              <w:t>10 min (0.1667 hrs)</w:t>
            </w:r>
          </w:p>
        </w:tc>
        <w:tc>
          <w:tcPr>
            <w:tcW w:w="1185" w:type="dxa"/>
            <w:tcBorders>
              <w:top w:val="nil"/>
              <w:left w:val="nil"/>
              <w:bottom w:val="single" w:sz="4" w:space="0" w:color="000000"/>
              <w:right w:val="single" w:sz="4" w:space="0" w:color="000000"/>
            </w:tcBorders>
            <w:shd w:val="clear" w:color="auto" w:fill="D9D9D9" w:themeFill="background1" w:themeFillShade="D9"/>
            <w:vAlign w:val="center"/>
          </w:tcPr>
          <w:p w:rsidR="00C845B7" w:rsidRPr="0046154E" w:rsidP="0046154E" w14:paraId="31C1CDC3" w14:textId="2667EC3C">
            <w:pPr>
              <w:widowControl/>
              <w:jc w:val="center"/>
              <w:rPr>
                <w:rFonts w:ascii="Calibri" w:eastAsia="Calibri" w:hAnsi="Calibri" w:cs="Calibri"/>
                <w:color w:val="000000"/>
                <w:sz w:val="18"/>
                <w:szCs w:val="18"/>
              </w:rPr>
            </w:pPr>
            <w:r w:rsidRPr="0046154E">
              <w:rPr>
                <w:rFonts w:ascii="Calibri" w:eastAsia="Calibri" w:hAnsi="Calibri" w:cs="Calibri"/>
                <w:color w:val="000000"/>
                <w:sz w:val="18"/>
                <w:szCs w:val="18"/>
              </w:rPr>
              <w:t>7</w:t>
            </w:r>
          </w:p>
        </w:tc>
        <w:tc>
          <w:tcPr>
            <w:tcW w:w="1440" w:type="dxa"/>
            <w:tcBorders>
              <w:top w:val="nil"/>
              <w:left w:val="nil"/>
              <w:bottom w:val="single" w:sz="4" w:space="0" w:color="000000"/>
              <w:right w:val="single" w:sz="4" w:space="0" w:color="000000"/>
            </w:tcBorders>
            <w:shd w:val="clear" w:color="auto" w:fill="D9D9D9" w:themeFill="background1" w:themeFillShade="D9"/>
            <w:vAlign w:val="center"/>
          </w:tcPr>
          <w:p w:rsidR="00C845B7" w:rsidRPr="0046154E" w:rsidP="0046154E" w14:paraId="72FF72BA" w14:textId="1FCADFD4">
            <w:pPr>
              <w:widowControl/>
              <w:jc w:val="center"/>
              <w:rPr>
                <w:rFonts w:ascii="Calibri" w:eastAsia="Calibri" w:hAnsi="Calibri" w:cs="Calibri"/>
                <w:color w:val="000000"/>
                <w:sz w:val="18"/>
                <w:szCs w:val="18"/>
              </w:rPr>
            </w:pPr>
            <w:r w:rsidRPr="0046154E">
              <w:rPr>
                <w:rFonts w:ascii="Calibri" w:eastAsia="Calibri" w:hAnsi="Calibri" w:cs="Calibri"/>
                <w:color w:val="000000"/>
                <w:sz w:val="18"/>
                <w:szCs w:val="18"/>
              </w:rPr>
              <w:t>$33.54</w:t>
            </w:r>
          </w:p>
        </w:tc>
        <w:tc>
          <w:tcPr>
            <w:tcW w:w="1590" w:type="dxa"/>
            <w:tcBorders>
              <w:top w:val="nil"/>
              <w:left w:val="nil"/>
              <w:bottom w:val="single" w:sz="4" w:space="0" w:color="000000"/>
              <w:right w:val="single" w:sz="8" w:space="0" w:color="000000"/>
            </w:tcBorders>
            <w:shd w:val="clear" w:color="auto" w:fill="D9D9D9" w:themeFill="background1" w:themeFillShade="D9"/>
            <w:vAlign w:val="center"/>
          </w:tcPr>
          <w:p w:rsidR="00C845B7" w:rsidRPr="0046154E" w:rsidP="0046154E" w14:paraId="4CE12EF3" w14:textId="32AFDAB0">
            <w:pPr>
              <w:widowControl/>
              <w:jc w:val="center"/>
              <w:rPr>
                <w:rFonts w:ascii="Calibri" w:eastAsia="Calibri" w:hAnsi="Calibri" w:cs="Calibri"/>
                <w:color w:val="000000"/>
                <w:sz w:val="18"/>
                <w:szCs w:val="18"/>
              </w:rPr>
            </w:pPr>
            <w:r w:rsidRPr="0046154E">
              <w:rPr>
                <w:rFonts w:ascii="Calibri" w:eastAsia="Calibri" w:hAnsi="Calibri" w:cs="Calibri"/>
                <w:color w:val="000000"/>
                <w:sz w:val="18"/>
                <w:szCs w:val="18"/>
              </w:rPr>
              <w:t>$235</w:t>
            </w:r>
          </w:p>
        </w:tc>
      </w:tr>
      <w:tr w14:paraId="4B7D41D3" w14:textId="77777777" w:rsidTr="0046154E">
        <w:tblPrEx>
          <w:tblW w:w="14415" w:type="dxa"/>
          <w:tblInd w:w="-140" w:type="dxa"/>
          <w:tblLayout w:type="fixed"/>
          <w:tblLook w:val="0400"/>
        </w:tblPrEx>
        <w:trPr>
          <w:trHeight w:val="358"/>
        </w:trPr>
        <w:tc>
          <w:tcPr>
            <w:tcW w:w="3510" w:type="dxa"/>
            <w:tcBorders>
              <w:top w:val="nil"/>
              <w:left w:val="single" w:sz="8" w:space="0" w:color="000000"/>
              <w:bottom w:val="single" w:sz="8" w:space="0" w:color="000000"/>
              <w:right w:val="single" w:sz="8" w:space="0" w:color="000000"/>
            </w:tcBorders>
            <w:shd w:val="clear" w:color="auto" w:fill="DDEBF7"/>
            <w:vAlign w:val="center"/>
          </w:tcPr>
          <w:p w:rsidR="00DC5F9F" w:rsidRPr="0046154E" w:rsidP="0046154E" w14:paraId="79534844" w14:textId="77777777">
            <w:pPr>
              <w:widowControl/>
              <w:rPr>
                <w:rFonts w:ascii="Calibri" w:eastAsia="Calibri" w:hAnsi="Calibri" w:cs="Calibri"/>
                <w:b/>
                <w:bCs/>
                <w:color w:val="000000"/>
                <w:sz w:val="18"/>
                <w:szCs w:val="18"/>
              </w:rPr>
            </w:pPr>
            <w:r w:rsidRPr="0046154E">
              <w:rPr>
                <w:rFonts w:ascii="Calibri" w:eastAsia="Calibri" w:hAnsi="Calibri" w:cs="Calibri"/>
                <w:b/>
                <w:bCs/>
                <w:color w:val="000000"/>
                <w:sz w:val="18"/>
                <w:szCs w:val="18"/>
              </w:rPr>
              <w:t>Totals</w:t>
            </w:r>
          </w:p>
        </w:tc>
        <w:tc>
          <w:tcPr>
            <w:tcW w:w="1890" w:type="dxa"/>
            <w:tcBorders>
              <w:top w:val="nil"/>
              <w:left w:val="nil"/>
              <w:bottom w:val="single" w:sz="8" w:space="0" w:color="000000"/>
              <w:right w:val="single" w:sz="8" w:space="0" w:color="000000"/>
            </w:tcBorders>
            <w:shd w:val="clear" w:color="auto" w:fill="000000"/>
            <w:vAlign w:val="center"/>
          </w:tcPr>
          <w:p w:rsidR="00DC5F9F" w:rsidRPr="0046154E" w:rsidP="0046154E" w14:paraId="0B0860DA" w14:textId="7E3B4E9A">
            <w:pPr>
              <w:widowControl/>
              <w:jc w:val="center"/>
              <w:rPr>
                <w:rFonts w:ascii="Calibri" w:eastAsia="Calibri" w:hAnsi="Calibri" w:cs="Calibri"/>
                <w:b/>
                <w:bCs/>
                <w:color w:val="000000"/>
                <w:sz w:val="18"/>
                <w:szCs w:val="18"/>
              </w:rPr>
            </w:pPr>
          </w:p>
        </w:tc>
        <w:tc>
          <w:tcPr>
            <w:tcW w:w="1185" w:type="dxa"/>
            <w:tcBorders>
              <w:top w:val="nil"/>
              <w:left w:val="nil"/>
              <w:bottom w:val="single" w:sz="8" w:space="0" w:color="000000"/>
              <w:right w:val="single" w:sz="8" w:space="0" w:color="000000"/>
            </w:tcBorders>
            <w:shd w:val="clear" w:color="auto" w:fill="000000"/>
            <w:vAlign w:val="center"/>
          </w:tcPr>
          <w:p w:rsidR="00DC5F9F" w:rsidRPr="0046154E" w:rsidP="0046154E" w14:paraId="5B784051" w14:textId="4443564B">
            <w:pPr>
              <w:widowControl/>
              <w:jc w:val="center"/>
              <w:rPr>
                <w:rFonts w:ascii="Calibri" w:eastAsia="Calibri" w:hAnsi="Calibri" w:cs="Calibri"/>
                <w:b/>
                <w:bCs/>
                <w:color w:val="000000"/>
                <w:sz w:val="18"/>
                <w:szCs w:val="18"/>
              </w:rPr>
            </w:pPr>
          </w:p>
        </w:tc>
        <w:tc>
          <w:tcPr>
            <w:tcW w:w="1320" w:type="dxa"/>
            <w:tcBorders>
              <w:top w:val="nil"/>
              <w:left w:val="nil"/>
              <w:bottom w:val="single" w:sz="8" w:space="0" w:color="000000"/>
              <w:right w:val="single" w:sz="8" w:space="0" w:color="000000"/>
            </w:tcBorders>
            <w:shd w:val="clear" w:color="auto" w:fill="000000"/>
            <w:vAlign w:val="center"/>
          </w:tcPr>
          <w:p w:rsidR="00DC5F9F" w:rsidRPr="0046154E" w:rsidP="0046154E" w14:paraId="2F485B50" w14:textId="665247E5">
            <w:pPr>
              <w:widowControl/>
              <w:jc w:val="center"/>
              <w:rPr>
                <w:rFonts w:ascii="Calibri" w:eastAsia="Calibri" w:hAnsi="Calibri" w:cs="Calibri"/>
                <w:b/>
                <w:bCs/>
                <w:color w:val="000000"/>
                <w:sz w:val="18"/>
                <w:szCs w:val="18"/>
              </w:rPr>
            </w:pPr>
          </w:p>
        </w:tc>
        <w:tc>
          <w:tcPr>
            <w:tcW w:w="1215" w:type="dxa"/>
            <w:tcBorders>
              <w:top w:val="nil"/>
              <w:left w:val="nil"/>
              <w:bottom w:val="single" w:sz="8" w:space="0" w:color="000000"/>
              <w:right w:val="single" w:sz="8" w:space="0" w:color="000000"/>
            </w:tcBorders>
            <w:shd w:val="clear" w:color="auto" w:fill="DDEBF7"/>
            <w:vAlign w:val="center"/>
          </w:tcPr>
          <w:p w:rsidR="00DC5F9F" w:rsidRPr="0046154E" w:rsidP="0046154E" w14:paraId="05E3D785" w14:textId="7D9D156C">
            <w:pPr>
              <w:widowControl/>
              <w:jc w:val="center"/>
              <w:rPr>
                <w:rFonts w:ascii="Calibri" w:eastAsia="Calibri" w:hAnsi="Calibri" w:cs="Calibri"/>
                <w:b/>
                <w:bCs/>
                <w:color w:val="000000"/>
                <w:sz w:val="18"/>
                <w:szCs w:val="18"/>
              </w:rPr>
            </w:pPr>
            <w:r w:rsidRPr="0046154E">
              <w:rPr>
                <w:rFonts w:ascii="Calibri" w:eastAsia="Calibri" w:hAnsi="Calibri" w:cs="Calibri"/>
                <w:b/>
                <w:bCs/>
                <w:color w:val="000000"/>
                <w:sz w:val="18"/>
                <w:szCs w:val="18"/>
              </w:rPr>
              <w:t>344</w:t>
            </w:r>
          </w:p>
        </w:tc>
        <w:tc>
          <w:tcPr>
            <w:tcW w:w="1080" w:type="dxa"/>
            <w:tcBorders>
              <w:top w:val="nil"/>
              <w:left w:val="nil"/>
              <w:bottom w:val="single" w:sz="8" w:space="0" w:color="000000"/>
              <w:right w:val="single" w:sz="8" w:space="0" w:color="000000"/>
            </w:tcBorders>
            <w:shd w:val="clear" w:color="auto" w:fill="000000"/>
            <w:vAlign w:val="center"/>
          </w:tcPr>
          <w:p w:rsidR="00DC5F9F" w:rsidRPr="0046154E" w:rsidP="0046154E" w14:paraId="10CFB96C" w14:textId="0E4BCC65">
            <w:pPr>
              <w:widowControl/>
              <w:jc w:val="center"/>
              <w:rPr>
                <w:rFonts w:ascii="Calibri" w:eastAsia="Calibri" w:hAnsi="Calibri" w:cs="Calibri"/>
                <w:b/>
                <w:bCs/>
                <w:color w:val="000000"/>
                <w:sz w:val="18"/>
                <w:szCs w:val="18"/>
              </w:rPr>
            </w:pPr>
          </w:p>
        </w:tc>
        <w:tc>
          <w:tcPr>
            <w:tcW w:w="1185" w:type="dxa"/>
            <w:tcBorders>
              <w:top w:val="nil"/>
              <w:left w:val="nil"/>
              <w:bottom w:val="single" w:sz="8" w:space="0" w:color="000000"/>
              <w:right w:val="single" w:sz="8" w:space="0" w:color="000000"/>
            </w:tcBorders>
            <w:shd w:val="clear" w:color="auto" w:fill="DDEBF7"/>
            <w:vAlign w:val="center"/>
          </w:tcPr>
          <w:p w:rsidR="00DC5F9F" w:rsidRPr="0046154E" w:rsidP="0046154E" w14:paraId="0C092F3E" w14:textId="35B79A8A">
            <w:pPr>
              <w:widowControl/>
              <w:jc w:val="center"/>
              <w:rPr>
                <w:rFonts w:ascii="Calibri" w:eastAsia="Calibri" w:hAnsi="Calibri" w:cs="Calibri"/>
                <w:b/>
                <w:bCs/>
                <w:color w:val="000000"/>
                <w:sz w:val="18"/>
                <w:szCs w:val="18"/>
              </w:rPr>
            </w:pPr>
            <w:r w:rsidRPr="0046154E">
              <w:rPr>
                <w:rFonts w:ascii="Calibri" w:eastAsia="Calibri" w:hAnsi="Calibri" w:cs="Calibri"/>
                <w:b/>
                <w:bCs/>
                <w:color w:val="000000"/>
                <w:sz w:val="18"/>
                <w:szCs w:val="18"/>
              </w:rPr>
              <w:t>107</w:t>
            </w:r>
          </w:p>
        </w:tc>
        <w:tc>
          <w:tcPr>
            <w:tcW w:w="1440" w:type="dxa"/>
            <w:tcBorders>
              <w:top w:val="nil"/>
              <w:left w:val="nil"/>
              <w:bottom w:val="single" w:sz="8" w:space="0" w:color="000000"/>
              <w:right w:val="single" w:sz="8" w:space="0" w:color="000000"/>
            </w:tcBorders>
            <w:shd w:val="clear" w:color="auto" w:fill="000000"/>
            <w:vAlign w:val="center"/>
          </w:tcPr>
          <w:p w:rsidR="00DC5F9F" w:rsidRPr="0046154E" w:rsidP="0046154E" w14:paraId="57660A2E" w14:textId="0CECF16C">
            <w:pPr>
              <w:widowControl/>
              <w:jc w:val="center"/>
              <w:rPr>
                <w:rFonts w:ascii="Calibri" w:eastAsia="Calibri" w:hAnsi="Calibri" w:cs="Calibri"/>
                <w:b/>
                <w:bCs/>
                <w:color w:val="000000"/>
                <w:sz w:val="18"/>
                <w:szCs w:val="18"/>
              </w:rPr>
            </w:pPr>
          </w:p>
        </w:tc>
        <w:tc>
          <w:tcPr>
            <w:tcW w:w="1590" w:type="dxa"/>
            <w:tcBorders>
              <w:top w:val="nil"/>
              <w:left w:val="nil"/>
              <w:bottom w:val="single" w:sz="8" w:space="0" w:color="000000"/>
              <w:right w:val="single" w:sz="8" w:space="0" w:color="000000"/>
            </w:tcBorders>
            <w:shd w:val="clear" w:color="auto" w:fill="DDEBF7"/>
            <w:vAlign w:val="center"/>
          </w:tcPr>
          <w:p w:rsidR="00DC5F9F" w:rsidRPr="0046154E" w:rsidP="0046154E" w14:paraId="00A16A72" w14:textId="78F66E95">
            <w:pPr>
              <w:widowControl/>
              <w:jc w:val="center"/>
              <w:rPr>
                <w:rFonts w:ascii="Calibri" w:eastAsia="Calibri" w:hAnsi="Calibri" w:cs="Calibri"/>
                <w:b/>
                <w:bCs/>
                <w:color w:val="000000"/>
                <w:sz w:val="18"/>
                <w:szCs w:val="18"/>
              </w:rPr>
            </w:pPr>
            <w:r w:rsidRPr="0046154E">
              <w:rPr>
                <w:rFonts w:ascii="Calibri" w:eastAsia="Calibri" w:hAnsi="Calibri" w:cs="Calibri"/>
                <w:b/>
                <w:bCs/>
                <w:color w:val="000000"/>
                <w:sz w:val="18"/>
                <w:szCs w:val="18"/>
              </w:rPr>
              <w:t>$3,589</w:t>
            </w:r>
          </w:p>
        </w:tc>
      </w:tr>
    </w:tbl>
    <w:p w:rsidR="00DC5F9F" w:rsidP="00DB7C6A" w14:paraId="0EB3B5BC" w14:textId="77777777">
      <w:pPr>
        <w:spacing w:before="240"/>
        <w:rPr>
          <w:b/>
          <w:bCs/>
          <w:highlight w:val="yellow"/>
        </w:rPr>
        <w:sectPr>
          <w:pgSz w:w="15840" w:h="12240" w:orient="landscape"/>
          <w:pgMar w:top="640" w:right="1080" w:bottom="1200" w:left="1080" w:header="0" w:footer="714" w:gutter="0"/>
          <w:cols w:space="720"/>
        </w:sectPr>
      </w:pPr>
    </w:p>
    <w:p w:rsidR="00DC5F9F" w:rsidP="00DB7C6A" w14:paraId="4E98096D"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Provide an estimate for the total annual cost burden to respondents or record keepers resulting from the collection of information. (Do not include the cost of any hour burden already reflected on the burden worksheet).</w:t>
      </w:r>
    </w:p>
    <w:p w:rsidR="00DC5F9F" w:rsidRPr="009231F6" w:rsidP="00DB7C6A" w14:paraId="030F7D82" w14:textId="1C9D8BA8">
      <w:pPr>
        <w:spacing w:before="240"/>
      </w:pPr>
      <w:r w:rsidRPr="009231F6">
        <w:t>There are no capital costs or operating and maintenance costs associated with this information collection.</w:t>
      </w:r>
    </w:p>
    <w:p w:rsidR="00DC5F9F" w:rsidP="00DB7C6A" w14:paraId="044E8AD2" w14:textId="77777777">
      <w:pPr>
        <w:pBdr>
          <w:top w:val="nil"/>
          <w:left w:val="nil"/>
          <w:bottom w:val="nil"/>
          <w:right w:val="nil"/>
          <w:between w:val="nil"/>
        </w:pBdr>
        <w:spacing w:before="240"/>
        <w:rPr>
          <w:b/>
          <w:bCs/>
          <w:color w:val="000000"/>
        </w:rPr>
      </w:pPr>
    </w:p>
    <w:p w:rsidR="00DC5F9F" w:rsidP="00DB7C6A" w14:paraId="54303C4F"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9231F6" w:rsidP="00DB7C6A" w14:paraId="71BCD3C1" w14:textId="7FAA89CF">
      <w:pPr>
        <w:pBdr>
          <w:top w:val="nil"/>
          <w:left w:val="nil"/>
          <w:bottom w:val="nil"/>
          <w:right w:val="nil"/>
          <w:between w:val="nil"/>
        </w:pBdr>
        <w:spacing w:before="240"/>
      </w:pPr>
      <w:r>
        <w:t>One full-time employee (FTE) will devote approximately 7% of his/her time annually for oversight, QA/QC, and data imports.  One contractor will devote 5% of his/her time to implementing changes and maintaining the application.  With an annual average salary of $</w:t>
      </w:r>
      <w:r w:rsidRPr="00A6202B">
        <w:t>174,543</w:t>
      </w:r>
      <w:r>
        <w:t xml:space="preserve"> for a ZP-3/3 FTE at 7% time ($</w:t>
      </w:r>
      <w:r w:rsidRPr="00A6202B">
        <w:t>12,218</w:t>
      </w:r>
      <w:r>
        <w:t>), and an annual salary for a contractor of $165,000 at 5% time ($</w:t>
      </w:r>
      <w:r w:rsidR="00E275A4">
        <w:t>8,250</w:t>
      </w:r>
      <w:r>
        <w:t>), the annualized cost to the Federal government to conduct this information collection is estimated to be $</w:t>
      </w:r>
      <w:r w:rsidR="006B3C4F">
        <w:t>20,468</w:t>
      </w:r>
      <w:r>
        <w:t>. No significant equipment, overhead, printing or other costs should be involved with the processing of this information collection.</w:t>
      </w:r>
    </w:p>
    <w:p w:rsidR="009231F6" w:rsidP="00DB7C6A" w14:paraId="74147ABC" w14:textId="39D3B76F">
      <w:pPr>
        <w:spacing w:before="240"/>
      </w:pPr>
      <w:r w:rsidRPr="00A92AEA">
        <w:t>The Commerce Alternative Personnel System (CAPS</w:t>
      </w:r>
      <w:r w:rsidRPr="00A92AEA" w:rsidR="006B3C4F">
        <w:t xml:space="preserve">) </w:t>
      </w:r>
      <w:r w:rsidRPr="00A92AEA">
        <w:t>pay tables</w:t>
      </w:r>
      <w:r>
        <w:rPr>
          <w:rStyle w:val="FootnoteReference"/>
        </w:rPr>
        <w:footnoteReference w:id="3"/>
      </w:r>
      <w:r w:rsidRPr="00A92AEA">
        <w:t xml:space="preserve"> for the Rest of U.S. locality rates were used to determine the base salary </w:t>
      </w:r>
      <w:r w:rsidRPr="00A92AEA">
        <w:t>for the Federal Worker.  The Rest of U.S. locality was used since NOAA staff are geographically dispersed</w:t>
      </w:r>
      <w:r w:rsidRPr="00A92AEA">
        <w:t xml:space="preserve">. The upper bound for Interval 3 of </w:t>
      </w:r>
      <w:r w:rsidR="00E275A4">
        <w:t>the</w:t>
      </w:r>
      <w:r w:rsidRPr="00A92AEA">
        <w:t xml:space="preserve"> Pay Band was used as the base salary and a multiplier of 1.5 was used to calculate the loaded salary.</w:t>
      </w:r>
    </w:p>
    <w:p w:rsidR="009231F6" w:rsidP="00DB7C6A" w14:paraId="50B58697" w14:textId="77777777">
      <w:pPr>
        <w:spacing w:before="240"/>
        <w:rPr>
          <w:b/>
          <w:bCs/>
        </w:rPr>
      </w:pPr>
    </w:p>
    <w:tbl>
      <w:tblPr>
        <w:tblStyle w:val="a2"/>
        <w:tblW w:w="8240" w:type="dxa"/>
        <w:jc w:val="center"/>
        <w:tblLayout w:type="fixed"/>
        <w:tblLook w:val="0400"/>
      </w:tblPr>
      <w:tblGrid>
        <w:gridCol w:w="2280"/>
        <w:gridCol w:w="1120"/>
        <w:gridCol w:w="1140"/>
        <w:gridCol w:w="1120"/>
        <w:gridCol w:w="1280"/>
        <w:gridCol w:w="1300"/>
      </w:tblGrid>
      <w:tr w14:paraId="608EC1E7" w14:textId="77777777" w:rsidTr="00E275A4">
        <w:tblPrEx>
          <w:tblW w:w="8240" w:type="dxa"/>
          <w:jc w:val="center"/>
          <w:tblLayout w:type="fixed"/>
          <w:tblLook w:val="0400"/>
        </w:tblPrEx>
        <w:trPr>
          <w:trHeight w:val="450"/>
          <w:jc w:val="center"/>
        </w:trPr>
        <w:tc>
          <w:tcPr>
            <w:tcW w:w="2280" w:type="dxa"/>
            <w:tcBorders>
              <w:top w:val="single" w:sz="8" w:space="0" w:color="000000"/>
              <w:left w:val="single" w:sz="8" w:space="0" w:color="000000"/>
              <w:bottom w:val="single" w:sz="4" w:space="0" w:color="000000"/>
              <w:right w:val="single" w:sz="8" w:space="0" w:color="000000"/>
            </w:tcBorders>
            <w:shd w:val="clear" w:color="auto" w:fill="BDD7EE"/>
            <w:vAlign w:val="center"/>
          </w:tcPr>
          <w:p w:rsidR="009231F6" w:rsidRPr="00E275A4" w:rsidP="00E275A4" w14:paraId="5EF93847" w14:textId="77777777">
            <w:pPr>
              <w:widowControl/>
              <w:jc w:val="center"/>
              <w:rPr>
                <w:rFonts w:ascii="Calibri" w:eastAsia="Calibri" w:hAnsi="Calibri" w:cs="Calibri"/>
                <w:b/>
                <w:bCs/>
                <w:sz w:val="18"/>
                <w:szCs w:val="18"/>
              </w:rPr>
            </w:pPr>
            <w:r w:rsidRPr="00E275A4">
              <w:rPr>
                <w:rFonts w:ascii="Calibri" w:eastAsia="Calibri" w:hAnsi="Calibri" w:cs="Calibri"/>
                <w:b/>
                <w:bCs/>
                <w:sz w:val="18"/>
                <w:szCs w:val="18"/>
              </w:rPr>
              <w:t>Cost Descriptions</w:t>
            </w:r>
          </w:p>
        </w:tc>
        <w:tc>
          <w:tcPr>
            <w:tcW w:w="1120" w:type="dxa"/>
            <w:tcBorders>
              <w:top w:val="single" w:sz="8" w:space="0" w:color="000000"/>
              <w:left w:val="single" w:sz="8" w:space="0" w:color="000000"/>
              <w:bottom w:val="single" w:sz="4" w:space="0" w:color="000000"/>
              <w:right w:val="single" w:sz="8" w:space="0" w:color="000000"/>
            </w:tcBorders>
            <w:shd w:val="clear" w:color="auto" w:fill="BDD7EE"/>
            <w:vAlign w:val="center"/>
          </w:tcPr>
          <w:p w:rsidR="009231F6" w:rsidRPr="00E275A4" w:rsidP="00E275A4" w14:paraId="19F0EB70" w14:textId="77777777">
            <w:pPr>
              <w:widowControl/>
              <w:jc w:val="center"/>
              <w:rPr>
                <w:rFonts w:ascii="Calibri" w:eastAsia="Calibri" w:hAnsi="Calibri" w:cs="Calibri"/>
                <w:b/>
                <w:bCs/>
                <w:sz w:val="18"/>
                <w:szCs w:val="18"/>
              </w:rPr>
            </w:pPr>
            <w:r w:rsidRPr="00E275A4">
              <w:rPr>
                <w:rFonts w:ascii="Calibri" w:eastAsia="Calibri" w:hAnsi="Calibri" w:cs="Calibri"/>
                <w:b/>
                <w:bCs/>
                <w:sz w:val="18"/>
                <w:szCs w:val="18"/>
              </w:rPr>
              <w:t>Grade/Step</w:t>
            </w:r>
          </w:p>
        </w:tc>
        <w:tc>
          <w:tcPr>
            <w:tcW w:w="1140" w:type="dxa"/>
            <w:tcBorders>
              <w:top w:val="single" w:sz="8" w:space="0" w:color="000000"/>
              <w:left w:val="single" w:sz="8" w:space="0" w:color="000000"/>
              <w:bottom w:val="single" w:sz="4" w:space="0" w:color="000000"/>
              <w:right w:val="single" w:sz="8" w:space="0" w:color="000000"/>
            </w:tcBorders>
            <w:shd w:val="clear" w:color="auto" w:fill="BDD7EE"/>
            <w:vAlign w:val="center"/>
          </w:tcPr>
          <w:p w:rsidR="009231F6" w:rsidRPr="00E275A4" w:rsidP="00E275A4" w14:paraId="4A84F3E4" w14:textId="77777777">
            <w:pPr>
              <w:widowControl/>
              <w:jc w:val="center"/>
              <w:rPr>
                <w:rFonts w:ascii="Calibri" w:eastAsia="Calibri" w:hAnsi="Calibri" w:cs="Calibri"/>
                <w:b/>
                <w:bCs/>
                <w:sz w:val="18"/>
                <w:szCs w:val="18"/>
              </w:rPr>
            </w:pPr>
            <w:r w:rsidRPr="00E275A4">
              <w:rPr>
                <w:rFonts w:ascii="Calibri" w:eastAsia="Calibri" w:hAnsi="Calibri" w:cs="Calibri"/>
                <w:b/>
                <w:bCs/>
                <w:sz w:val="18"/>
                <w:szCs w:val="18"/>
              </w:rPr>
              <w:t>Loaded Salary /Cost</w:t>
            </w:r>
          </w:p>
        </w:tc>
        <w:tc>
          <w:tcPr>
            <w:tcW w:w="1120" w:type="dxa"/>
            <w:tcBorders>
              <w:top w:val="single" w:sz="8" w:space="0" w:color="000000"/>
              <w:left w:val="single" w:sz="8" w:space="0" w:color="000000"/>
              <w:bottom w:val="single" w:sz="4" w:space="0" w:color="000000"/>
              <w:right w:val="single" w:sz="8" w:space="0" w:color="000000"/>
            </w:tcBorders>
            <w:shd w:val="clear" w:color="auto" w:fill="BDD7EE"/>
            <w:vAlign w:val="center"/>
          </w:tcPr>
          <w:p w:rsidR="009231F6" w:rsidRPr="00E275A4" w:rsidP="00E275A4" w14:paraId="698D4140" w14:textId="77777777">
            <w:pPr>
              <w:widowControl/>
              <w:jc w:val="center"/>
              <w:rPr>
                <w:rFonts w:ascii="Calibri" w:eastAsia="Calibri" w:hAnsi="Calibri" w:cs="Calibri"/>
                <w:b/>
                <w:bCs/>
                <w:sz w:val="18"/>
                <w:szCs w:val="18"/>
              </w:rPr>
            </w:pPr>
            <w:r w:rsidRPr="00E275A4">
              <w:rPr>
                <w:rFonts w:ascii="Calibri" w:eastAsia="Calibri" w:hAnsi="Calibri" w:cs="Calibri"/>
                <w:b/>
                <w:bCs/>
                <w:sz w:val="18"/>
                <w:szCs w:val="18"/>
              </w:rPr>
              <w:t>% of Effort</w:t>
            </w:r>
          </w:p>
        </w:tc>
        <w:tc>
          <w:tcPr>
            <w:tcW w:w="1280" w:type="dxa"/>
            <w:tcBorders>
              <w:top w:val="single" w:sz="8" w:space="0" w:color="000000"/>
              <w:left w:val="single" w:sz="8" w:space="0" w:color="000000"/>
              <w:bottom w:val="single" w:sz="4" w:space="0" w:color="000000"/>
              <w:right w:val="single" w:sz="8" w:space="0" w:color="000000"/>
            </w:tcBorders>
            <w:shd w:val="clear" w:color="auto" w:fill="BDD7EE"/>
            <w:vAlign w:val="center"/>
          </w:tcPr>
          <w:p w:rsidR="009231F6" w:rsidRPr="00E275A4" w:rsidP="00E275A4" w14:paraId="6B0D22C4" w14:textId="77777777">
            <w:pPr>
              <w:widowControl/>
              <w:jc w:val="center"/>
              <w:rPr>
                <w:rFonts w:ascii="Calibri" w:eastAsia="Calibri" w:hAnsi="Calibri" w:cs="Calibri"/>
                <w:b/>
                <w:bCs/>
                <w:sz w:val="18"/>
                <w:szCs w:val="18"/>
              </w:rPr>
            </w:pPr>
            <w:r w:rsidRPr="00E275A4">
              <w:rPr>
                <w:rFonts w:ascii="Calibri" w:eastAsia="Calibri" w:hAnsi="Calibri" w:cs="Calibri"/>
                <w:b/>
                <w:bCs/>
                <w:sz w:val="18"/>
                <w:szCs w:val="18"/>
              </w:rPr>
              <w:t>Fringe (if Applicable)</w:t>
            </w:r>
          </w:p>
        </w:tc>
        <w:tc>
          <w:tcPr>
            <w:tcW w:w="1300" w:type="dxa"/>
            <w:tcBorders>
              <w:top w:val="single" w:sz="8" w:space="0" w:color="000000"/>
              <w:left w:val="single" w:sz="8" w:space="0" w:color="000000"/>
              <w:bottom w:val="single" w:sz="4" w:space="0" w:color="000000"/>
              <w:right w:val="single" w:sz="8" w:space="0" w:color="000000"/>
            </w:tcBorders>
            <w:shd w:val="clear" w:color="auto" w:fill="BDD7EE"/>
            <w:vAlign w:val="center"/>
          </w:tcPr>
          <w:p w:rsidR="009231F6" w:rsidRPr="00E275A4" w:rsidP="00E275A4" w14:paraId="71FBB655" w14:textId="77777777">
            <w:pPr>
              <w:widowControl/>
              <w:jc w:val="center"/>
              <w:rPr>
                <w:rFonts w:ascii="Calibri" w:eastAsia="Calibri" w:hAnsi="Calibri" w:cs="Calibri"/>
                <w:b/>
                <w:bCs/>
                <w:sz w:val="18"/>
                <w:szCs w:val="18"/>
              </w:rPr>
            </w:pPr>
            <w:r w:rsidRPr="00E275A4">
              <w:rPr>
                <w:rFonts w:ascii="Calibri" w:eastAsia="Calibri" w:hAnsi="Calibri" w:cs="Calibri"/>
                <w:b/>
                <w:bCs/>
                <w:sz w:val="18"/>
                <w:szCs w:val="18"/>
              </w:rPr>
              <w:t>Total Cost to Government</w:t>
            </w:r>
          </w:p>
        </w:tc>
      </w:tr>
      <w:tr w14:paraId="39456B1F" w14:textId="77777777" w:rsidTr="00E275A4">
        <w:tblPrEx>
          <w:tblW w:w="8240" w:type="dxa"/>
          <w:jc w:val="center"/>
          <w:tblLayout w:type="fixed"/>
          <w:tblLook w:val="0400"/>
        </w:tblPrEx>
        <w:trPr>
          <w:trHeight w:val="465"/>
          <w:jc w:val="center"/>
        </w:trPr>
        <w:tc>
          <w:tcPr>
            <w:tcW w:w="2280" w:type="dxa"/>
            <w:tcBorders>
              <w:top w:val="single" w:sz="4" w:space="0" w:color="000000"/>
              <w:left w:val="single" w:sz="8" w:space="0" w:color="000000"/>
              <w:bottom w:val="single" w:sz="4" w:space="0" w:color="000000"/>
              <w:right w:val="single" w:sz="8" w:space="0" w:color="000000"/>
            </w:tcBorders>
            <w:vAlign w:val="center"/>
          </w:tcPr>
          <w:p w:rsidR="009231F6" w:rsidRPr="00E275A4" w:rsidP="00E275A4" w14:paraId="5FB1B1D4" w14:textId="77777777">
            <w:pPr>
              <w:widowControl/>
              <w:rPr>
                <w:rFonts w:ascii="Calibri" w:eastAsia="Calibri" w:hAnsi="Calibri" w:cs="Calibri"/>
                <w:b/>
                <w:bCs/>
                <w:sz w:val="18"/>
                <w:szCs w:val="18"/>
              </w:rPr>
            </w:pPr>
            <w:r w:rsidRPr="00E275A4">
              <w:rPr>
                <w:rFonts w:ascii="Calibri" w:eastAsia="Calibri" w:hAnsi="Calibri" w:cs="Calibri"/>
                <w:b/>
                <w:bCs/>
                <w:sz w:val="18"/>
                <w:szCs w:val="18"/>
              </w:rPr>
              <w:t>Federal Oversight, QA/QC, Data import</w:t>
            </w:r>
          </w:p>
        </w:tc>
        <w:tc>
          <w:tcPr>
            <w:tcW w:w="1120" w:type="dxa"/>
            <w:tcBorders>
              <w:top w:val="single" w:sz="4" w:space="0" w:color="000000"/>
              <w:left w:val="single" w:sz="8" w:space="0" w:color="000000"/>
              <w:bottom w:val="single" w:sz="4" w:space="0" w:color="000000"/>
              <w:right w:val="single" w:sz="4" w:space="0" w:color="000000"/>
            </w:tcBorders>
            <w:vAlign w:val="center"/>
          </w:tcPr>
          <w:p w:rsidR="009231F6" w:rsidRPr="00E275A4" w:rsidP="00E275A4" w14:paraId="3EFFF5F8" w14:textId="2888C074">
            <w:pPr>
              <w:widowControl/>
              <w:jc w:val="center"/>
              <w:rPr>
                <w:rFonts w:ascii="Calibri" w:eastAsia="Calibri" w:hAnsi="Calibri" w:cs="Calibri"/>
                <w:sz w:val="18"/>
                <w:szCs w:val="18"/>
              </w:rPr>
            </w:pPr>
            <w:r w:rsidRPr="00E275A4">
              <w:rPr>
                <w:rFonts w:ascii="Calibri" w:eastAsia="Calibri" w:hAnsi="Calibri" w:cs="Calibri"/>
                <w:sz w:val="18"/>
                <w:szCs w:val="18"/>
              </w:rPr>
              <w:t>ZP-3 / 3</w:t>
            </w:r>
          </w:p>
        </w:tc>
        <w:tc>
          <w:tcPr>
            <w:tcW w:w="1140" w:type="dxa"/>
            <w:tcBorders>
              <w:top w:val="single" w:sz="4" w:space="0" w:color="000000"/>
              <w:left w:val="single" w:sz="4" w:space="0" w:color="000000"/>
              <w:bottom w:val="single" w:sz="4" w:space="0" w:color="000000"/>
              <w:right w:val="single" w:sz="4" w:space="0" w:color="000000"/>
            </w:tcBorders>
            <w:vAlign w:val="center"/>
          </w:tcPr>
          <w:p w:rsidR="009231F6" w:rsidRPr="00E275A4" w:rsidP="00E275A4" w14:paraId="7C8C10C5" w14:textId="214BE847">
            <w:pPr>
              <w:widowControl/>
              <w:jc w:val="center"/>
              <w:rPr>
                <w:rFonts w:ascii="Calibri" w:eastAsia="Calibri" w:hAnsi="Calibri" w:cs="Calibri"/>
                <w:sz w:val="18"/>
                <w:szCs w:val="18"/>
              </w:rPr>
            </w:pPr>
            <w:r w:rsidRPr="00E275A4">
              <w:rPr>
                <w:rFonts w:ascii="Calibri" w:eastAsia="Calibri" w:hAnsi="Calibri" w:cs="Calibri"/>
                <w:sz w:val="18"/>
                <w:szCs w:val="18"/>
              </w:rPr>
              <w:t>$174,543</w:t>
            </w:r>
          </w:p>
        </w:tc>
        <w:tc>
          <w:tcPr>
            <w:tcW w:w="1120" w:type="dxa"/>
            <w:tcBorders>
              <w:top w:val="single" w:sz="4" w:space="0" w:color="000000"/>
              <w:left w:val="single" w:sz="4" w:space="0" w:color="000000"/>
              <w:bottom w:val="single" w:sz="4" w:space="0" w:color="000000"/>
              <w:right w:val="single" w:sz="4" w:space="0" w:color="000000"/>
            </w:tcBorders>
            <w:vAlign w:val="center"/>
          </w:tcPr>
          <w:p w:rsidR="009231F6" w:rsidRPr="00E275A4" w:rsidP="00E275A4" w14:paraId="246C4211" w14:textId="781A9FDD">
            <w:pPr>
              <w:widowControl/>
              <w:jc w:val="center"/>
              <w:rPr>
                <w:rFonts w:ascii="Calibri" w:eastAsia="Calibri" w:hAnsi="Calibri" w:cs="Calibri"/>
                <w:sz w:val="18"/>
                <w:szCs w:val="18"/>
              </w:rPr>
            </w:pPr>
            <w:r w:rsidRPr="00E275A4">
              <w:rPr>
                <w:rFonts w:ascii="Calibri" w:eastAsia="Calibri" w:hAnsi="Calibri" w:cs="Calibri"/>
                <w:sz w:val="18"/>
                <w:szCs w:val="18"/>
              </w:rPr>
              <w:t>7%</w:t>
            </w:r>
          </w:p>
        </w:tc>
        <w:tc>
          <w:tcPr>
            <w:tcW w:w="1280" w:type="dxa"/>
            <w:tcBorders>
              <w:top w:val="single" w:sz="4" w:space="0" w:color="000000"/>
              <w:left w:val="single" w:sz="4" w:space="0" w:color="000000"/>
              <w:bottom w:val="single" w:sz="4" w:space="0" w:color="000000"/>
              <w:right w:val="single" w:sz="4" w:space="0" w:color="000000"/>
            </w:tcBorders>
            <w:shd w:val="clear" w:color="auto" w:fill="808080"/>
            <w:vAlign w:val="center"/>
          </w:tcPr>
          <w:p w:rsidR="009231F6" w:rsidRPr="00E275A4" w:rsidP="00E275A4" w14:paraId="682F3A40" w14:textId="3073EAB4">
            <w:pPr>
              <w:widowControl/>
              <w:jc w:val="center"/>
              <w:rPr>
                <w:rFonts w:ascii="Calibri" w:eastAsia="Calibri" w:hAnsi="Calibri" w:cs="Calibri"/>
                <w:sz w:val="18"/>
                <w:szCs w:val="18"/>
              </w:rPr>
            </w:pPr>
          </w:p>
        </w:tc>
        <w:tc>
          <w:tcPr>
            <w:tcW w:w="1300" w:type="dxa"/>
            <w:tcBorders>
              <w:top w:val="single" w:sz="4" w:space="0" w:color="000000"/>
              <w:left w:val="single" w:sz="4" w:space="0" w:color="000000"/>
              <w:bottom w:val="single" w:sz="4" w:space="0" w:color="000000"/>
              <w:right w:val="single" w:sz="8" w:space="0" w:color="000000"/>
            </w:tcBorders>
            <w:vAlign w:val="center"/>
          </w:tcPr>
          <w:p w:rsidR="009231F6" w:rsidRPr="00E275A4" w:rsidP="00E275A4" w14:paraId="76DA8C4D" w14:textId="77777777">
            <w:pPr>
              <w:widowControl/>
              <w:jc w:val="center"/>
              <w:rPr>
                <w:rFonts w:ascii="Calibri" w:eastAsia="Calibri" w:hAnsi="Calibri" w:cs="Calibri"/>
                <w:sz w:val="18"/>
                <w:szCs w:val="18"/>
              </w:rPr>
            </w:pPr>
            <w:r w:rsidRPr="00E275A4">
              <w:rPr>
                <w:rFonts w:ascii="Calibri" w:eastAsia="Calibri" w:hAnsi="Calibri" w:cs="Calibri"/>
                <w:sz w:val="18"/>
                <w:szCs w:val="18"/>
              </w:rPr>
              <w:t>$12,218</w:t>
            </w:r>
          </w:p>
        </w:tc>
      </w:tr>
      <w:tr w14:paraId="17C8C72E" w14:textId="77777777" w:rsidTr="00E275A4">
        <w:tblPrEx>
          <w:tblW w:w="8240" w:type="dxa"/>
          <w:jc w:val="center"/>
          <w:tblLayout w:type="fixed"/>
          <w:tblLook w:val="0400"/>
        </w:tblPrEx>
        <w:trPr>
          <w:trHeight w:val="368"/>
          <w:jc w:val="center"/>
        </w:trPr>
        <w:tc>
          <w:tcPr>
            <w:tcW w:w="2280" w:type="dxa"/>
            <w:tcBorders>
              <w:top w:val="single" w:sz="4" w:space="0" w:color="000000"/>
              <w:left w:val="single" w:sz="8" w:space="0" w:color="000000"/>
              <w:bottom w:val="single" w:sz="4" w:space="0" w:color="000000"/>
              <w:right w:val="single" w:sz="8" w:space="0" w:color="000000"/>
            </w:tcBorders>
            <w:vAlign w:val="center"/>
          </w:tcPr>
          <w:p w:rsidR="009231F6" w:rsidRPr="00E275A4" w:rsidP="00E275A4" w14:paraId="372B558F" w14:textId="77777777">
            <w:pPr>
              <w:widowControl/>
              <w:rPr>
                <w:rFonts w:ascii="Calibri" w:eastAsia="Calibri" w:hAnsi="Calibri" w:cs="Calibri"/>
                <w:b/>
                <w:bCs/>
                <w:sz w:val="18"/>
                <w:szCs w:val="18"/>
              </w:rPr>
            </w:pPr>
            <w:r w:rsidRPr="00E275A4">
              <w:rPr>
                <w:rFonts w:ascii="Calibri" w:eastAsia="Calibri" w:hAnsi="Calibri" w:cs="Calibri"/>
                <w:b/>
                <w:bCs/>
                <w:sz w:val="18"/>
                <w:szCs w:val="18"/>
              </w:rPr>
              <w:t>Contractor Cost</w:t>
            </w:r>
          </w:p>
        </w:tc>
        <w:tc>
          <w:tcPr>
            <w:tcW w:w="1120" w:type="dxa"/>
            <w:tcBorders>
              <w:top w:val="single" w:sz="4" w:space="0" w:color="000000"/>
              <w:left w:val="single" w:sz="8" w:space="0" w:color="000000"/>
              <w:bottom w:val="single" w:sz="4" w:space="0" w:color="000000"/>
              <w:right w:val="single" w:sz="4" w:space="0" w:color="000000"/>
            </w:tcBorders>
            <w:shd w:val="clear" w:color="auto" w:fill="808080"/>
            <w:vAlign w:val="center"/>
          </w:tcPr>
          <w:p w:rsidR="009231F6" w:rsidRPr="00E275A4" w:rsidP="00E275A4" w14:paraId="147E2BDD" w14:textId="69FFDA53">
            <w:pPr>
              <w:widowControl/>
              <w:jc w:val="center"/>
              <w:rPr>
                <w:rFonts w:ascii="Calibri" w:eastAsia="Calibri" w:hAnsi="Calibri" w:cs="Calibri"/>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center"/>
          </w:tcPr>
          <w:p w:rsidR="009231F6" w:rsidRPr="00E275A4" w:rsidP="00E275A4" w14:paraId="476579C1" w14:textId="17678150">
            <w:pPr>
              <w:widowControl/>
              <w:jc w:val="center"/>
              <w:rPr>
                <w:rFonts w:ascii="Calibri" w:eastAsia="Calibri" w:hAnsi="Calibri" w:cs="Calibri"/>
                <w:sz w:val="18"/>
                <w:szCs w:val="18"/>
              </w:rPr>
            </w:pPr>
            <w:r w:rsidRPr="00E275A4">
              <w:rPr>
                <w:rFonts w:ascii="Calibri" w:eastAsia="Calibri" w:hAnsi="Calibri" w:cs="Calibri"/>
                <w:sz w:val="18"/>
                <w:szCs w:val="18"/>
              </w:rPr>
              <w:t>$165,000</w:t>
            </w:r>
          </w:p>
        </w:tc>
        <w:tc>
          <w:tcPr>
            <w:tcW w:w="1120" w:type="dxa"/>
            <w:tcBorders>
              <w:top w:val="single" w:sz="4" w:space="0" w:color="000000"/>
              <w:left w:val="single" w:sz="4" w:space="0" w:color="000000"/>
              <w:bottom w:val="single" w:sz="4" w:space="0" w:color="000000"/>
              <w:right w:val="single" w:sz="4" w:space="0" w:color="000000"/>
            </w:tcBorders>
            <w:vAlign w:val="center"/>
          </w:tcPr>
          <w:p w:rsidR="009231F6" w:rsidRPr="00E275A4" w:rsidP="00E275A4" w14:paraId="1AFCAAFF" w14:textId="77777777">
            <w:pPr>
              <w:widowControl/>
              <w:jc w:val="center"/>
              <w:rPr>
                <w:rFonts w:ascii="Calibri" w:eastAsia="Calibri" w:hAnsi="Calibri" w:cs="Calibri"/>
                <w:sz w:val="18"/>
                <w:szCs w:val="18"/>
              </w:rPr>
            </w:pPr>
            <w:r w:rsidRPr="00E275A4">
              <w:rPr>
                <w:rFonts w:ascii="Calibri" w:eastAsia="Calibri" w:hAnsi="Calibri" w:cs="Calibri"/>
                <w:sz w:val="18"/>
                <w:szCs w:val="18"/>
              </w:rPr>
              <w:t>5%</w:t>
            </w:r>
          </w:p>
        </w:tc>
        <w:tc>
          <w:tcPr>
            <w:tcW w:w="1280" w:type="dxa"/>
            <w:tcBorders>
              <w:top w:val="single" w:sz="4" w:space="0" w:color="000000"/>
              <w:left w:val="single" w:sz="4" w:space="0" w:color="000000"/>
              <w:bottom w:val="single" w:sz="4" w:space="0" w:color="000000"/>
              <w:right w:val="single" w:sz="4" w:space="0" w:color="000000"/>
            </w:tcBorders>
            <w:vAlign w:val="center"/>
          </w:tcPr>
          <w:p w:rsidR="009231F6" w:rsidRPr="00E275A4" w:rsidP="00E275A4" w14:paraId="6A38AFDB" w14:textId="77777777">
            <w:pPr>
              <w:widowControl/>
              <w:jc w:val="center"/>
              <w:rPr>
                <w:rFonts w:ascii="Calibri" w:eastAsia="Calibri" w:hAnsi="Calibri" w:cs="Calibri"/>
                <w:sz w:val="18"/>
                <w:szCs w:val="18"/>
              </w:rPr>
            </w:pPr>
            <w:r w:rsidRPr="00E275A4">
              <w:rPr>
                <w:rFonts w:ascii="Calibri" w:eastAsia="Calibri" w:hAnsi="Calibri" w:cs="Calibri"/>
                <w:sz w:val="18"/>
                <w:szCs w:val="18"/>
              </w:rPr>
              <w:t>0</w:t>
            </w:r>
          </w:p>
        </w:tc>
        <w:tc>
          <w:tcPr>
            <w:tcW w:w="1300" w:type="dxa"/>
            <w:tcBorders>
              <w:top w:val="single" w:sz="4" w:space="0" w:color="000000"/>
              <w:left w:val="single" w:sz="4" w:space="0" w:color="000000"/>
              <w:bottom w:val="single" w:sz="4" w:space="0" w:color="000000"/>
              <w:right w:val="single" w:sz="8" w:space="0" w:color="000000"/>
            </w:tcBorders>
            <w:vAlign w:val="center"/>
          </w:tcPr>
          <w:p w:rsidR="009231F6" w:rsidRPr="00E275A4" w:rsidP="00E275A4" w14:paraId="1BBF5FBE" w14:textId="77777777">
            <w:pPr>
              <w:widowControl/>
              <w:jc w:val="center"/>
              <w:rPr>
                <w:rFonts w:ascii="Calibri" w:eastAsia="Calibri" w:hAnsi="Calibri" w:cs="Calibri"/>
                <w:sz w:val="18"/>
                <w:szCs w:val="18"/>
              </w:rPr>
            </w:pPr>
            <w:r w:rsidRPr="00E275A4">
              <w:rPr>
                <w:rFonts w:ascii="Calibri" w:eastAsia="Calibri" w:hAnsi="Calibri" w:cs="Calibri"/>
                <w:sz w:val="18"/>
                <w:szCs w:val="18"/>
              </w:rPr>
              <w:t>$8,250</w:t>
            </w:r>
          </w:p>
        </w:tc>
      </w:tr>
      <w:tr w14:paraId="22E8869C" w14:textId="77777777" w:rsidTr="00E275A4">
        <w:tblPrEx>
          <w:tblW w:w="8240" w:type="dxa"/>
          <w:jc w:val="center"/>
          <w:tblLayout w:type="fixed"/>
          <w:tblLook w:val="0400"/>
        </w:tblPrEx>
        <w:trPr>
          <w:trHeight w:val="300"/>
          <w:jc w:val="center"/>
        </w:trPr>
        <w:tc>
          <w:tcPr>
            <w:tcW w:w="2280" w:type="dxa"/>
            <w:tcBorders>
              <w:top w:val="single" w:sz="4" w:space="0" w:color="000000"/>
              <w:left w:val="single" w:sz="8" w:space="0" w:color="000000"/>
              <w:bottom w:val="single" w:sz="4" w:space="0" w:color="000000"/>
              <w:right w:val="single" w:sz="8" w:space="0" w:color="000000"/>
            </w:tcBorders>
            <w:vAlign w:val="center"/>
          </w:tcPr>
          <w:p w:rsidR="009231F6" w:rsidRPr="00E275A4" w:rsidP="00E275A4" w14:paraId="0C8DEA4F" w14:textId="77777777">
            <w:pPr>
              <w:widowControl/>
              <w:rPr>
                <w:rFonts w:ascii="Calibri" w:eastAsia="Calibri" w:hAnsi="Calibri" w:cs="Calibri"/>
                <w:b/>
                <w:bCs/>
                <w:sz w:val="18"/>
                <w:szCs w:val="18"/>
              </w:rPr>
            </w:pPr>
            <w:r w:rsidRPr="00E275A4">
              <w:rPr>
                <w:rFonts w:ascii="Calibri" w:eastAsia="Calibri" w:hAnsi="Calibri" w:cs="Calibri"/>
                <w:b/>
                <w:bCs/>
                <w:sz w:val="18"/>
                <w:szCs w:val="18"/>
              </w:rPr>
              <w:t>Travel</w:t>
            </w:r>
          </w:p>
        </w:tc>
        <w:tc>
          <w:tcPr>
            <w:tcW w:w="1120" w:type="dxa"/>
            <w:tcBorders>
              <w:top w:val="single" w:sz="4" w:space="0" w:color="000000"/>
              <w:left w:val="single" w:sz="8" w:space="0" w:color="000000"/>
              <w:bottom w:val="single" w:sz="4" w:space="0" w:color="000000"/>
              <w:right w:val="single" w:sz="4" w:space="0" w:color="000000"/>
            </w:tcBorders>
            <w:shd w:val="clear" w:color="auto" w:fill="808080"/>
            <w:vAlign w:val="center"/>
          </w:tcPr>
          <w:p w:rsidR="009231F6" w:rsidRPr="00E275A4" w:rsidP="00E275A4" w14:paraId="3B628DD3" w14:textId="78D8A7C3">
            <w:pPr>
              <w:widowControl/>
              <w:jc w:val="center"/>
              <w:rPr>
                <w:rFonts w:ascii="Calibri" w:eastAsia="Calibri" w:hAnsi="Calibri" w:cs="Calibri"/>
                <w:sz w:val="18"/>
                <w:szCs w:val="18"/>
              </w:rPr>
            </w:pPr>
          </w:p>
        </w:tc>
        <w:tc>
          <w:tcPr>
            <w:tcW w:w="1140" w:type="dxa"/>
            <w:tcBorders>
              <w:top w:val="single" w:sz="4" w:space="0" w:color="000000"/>
              <w:left w:val="single" w:sz="4" w:space="0" w:color="000000"/>
              <w:bottom w:val="single" w:sz="4" w:space="0" w:color="000000"/>
              <w:right w:val="single" w:sz="4" w:space="0" w:color="000000"/>
            </w:tcBorders>
            <w:shd w:val="clear" w:color="auto" w:fill="808080"/>
            <w:vAlign w:val="center"/>
          </w:tcPr>
          <w:p w:rsidR="009231F6" w:rsidRPr="00E275A4" w:rsidP="00E275A4" w14:paraId="4EE7A92C" w14:textId="2AA8CB8B">
            <w:pPr>
              <w:widowControl/>
              <w:jc w:val="center"/>
              <w:rPr>
                <w:rFonts w:ascii="Calibri" w:eastAsia="Calibri" w:hAnsi="Calibri" w:cs="Calibri"/>
                <w:sz w:val="18"/>
                <w:szCs w:val="18"/>
              </w:rPr>
            </w:pPr>
          </w:p>
        </w:tc>
        <w:tc>
          <w:tcPr>
            <w:tcW w:w="1120" w:type="dxa"/>
            <w:tcBorders>
              <w:top w:val="single" w:sz="4" w:space="0" w:color="000000"/>
              <w:left w:val="single" w:sz="4" w:space="0" w:color="000000"/>
              <w:bottom w:val="single" w:sz="4" w:space="0" w:color="000000"/>
              <w:right w:val="single" w:sz="4" w:space="0" w:color="000000"/>
            </w:tcBorders>
            <w:shd w:val="clear" w:color="auto" w:fill="808080"/>
            <w:vAlign w:val="center"/>
          </w:tcPr>
          <w:p w:rsidR="009231F6" w:rsidRPr="00E275A4" w:rsidP="00E275A4" w14:paraId="2851EECD" w14:textId="289555F6">
            <w:pPr>
              <w:widowControl/>
              <w:jc w:val="center"/>
              <w:rPr>
                <w:rFonts w:ascii="Calibri" w:eastAsia="Calibri" w:hAnsi="Calibri" w:cs="Calibri"/>
                <w:sz w:val="18"/>
                <w:szCs w:val="18"/>
              </w:rPr>
            </w:pPr>
          </w:p>
        </w:tc>
        <w:tc>
          <w:tcPr>
            <w:tcW w:w="1280" w:type="dxa"/>
            <w:tcBorders>
              <w:top w:val="single" w:sz="4" w:space="0" w:color="000000"/>
              <w:left w:val="single" w:sz="4" w:space="0" w:color="000000"/>
              <w:bottom w:val="single" w:sz="4" w:space="0" w:color="000000"/>
              <w:right w:val="single" w:sz="4" w:space="0" w:color="000000"/>
            </w:tcBorders>
            <w:shd w:val="clear" w:color="auto" w:fill="808080"/>
            <w:vAlign w:val="center"/>
          </w:tcPr>
          <w:p w:rsidR="009231F6" w:rsidRPr="00E275A4" w:rsidP="00E275A4" w14:paraId="6A4304F0" w14:textId="040F7645">
            <w:pPr>
              <w:widowControl/>
              <w:jc w:val="center"/>
              <w:rPr>
                <w:rFonts w:ascii="Calibri" w:eastAsia="Calibri" w:hAnsi="Calibri" w:cs="Calibri"/>
                <w:sz w:val="18"/>
                <w:szCs w:val="18"/>
              </w:rPr>
            </w:pPr>
          </w:p>
        </w:tc>
        <w:tc>
          <w:tcPr>
            <w:tcW w:w="1300" w:type="dxa"/>
            <w:tcBorders>
              <w:top w:val="single" w:sz="4" w:space="0" w:color="000000"/>
              <w:left w:val="single" w:sz="4" w:space="0" w:color="000000"/>
              <w:bottom w:val="single" w:sz="4" w:space="0" w:color="000000"/>
              <w:right w:val="single" w:sz="8" w:space="0" w:color="000000"/>
            </w:tcBorders>
            <w:vAlign w:val="center"/>
          </w:tcPr>
          <w:p w:rsidR="009231F6" w:rsidRPr="00E275A4" w:rsidP="00E275A4" w14:paraId="28215C8E" w14:textId="6038D582">
            <w:pPr>
              <w:widowControl/>
              <w:jc w:val="center"/>
              <w:rPr>
                <w:rFonts w:ascii="Calibri" w:eastAsia="Calibri" w:hAnsi="Calibri" w:cs="Calibri"/>
                <w:sz w:val="18"/>
                <w:szCs w:val="18"/>
              </w:rPr>
            </w:pPr>
            <w:r w:rsidRPr="00E275A4">
              <w:rPr>
                <w:rFonts w:ascii="Calibri" w:eastAsia="Calibri" w:hAnsi="Calibri" w:cs="Calibri"/>
                <w:sz w:val="18"/>
                <w:szCs w:val="18"/>
              </w:rPr>
              <w:t>0</w:t>
            </w:r>
          </w:p>
        </w:tc>
      </w:tr>
      <w:tr w14:paraId="7798D236" w14:textId="77777777" w:rsidTr="00E275A4">
        <w:tblPrEx>
          <w:tblW w:w="8240" w:type="dxa"/>
          <w:jc w:val="center"/>
          <w:tblLayout w:type="fixed"/>
          <w:tblLook w:val="0400"/>
        </w:tblPrEx>
        <w:trPr>
          <w:trHeight w:val="305"/>
          <w:jc w:val="center"/>
        </w:trPr>
        <w:tc>
          <w:tcPr>
            <w:tcW w:w="2280" w:type="dxa"/>
            <w:tcBorders>
              <w:top w:val="single" w:sz="4" w:space="0" w:color="000000"/>
              <w:left w:val="single" w:sz="8" w:space="0" w:color="000000"/>
              <w:bottom w:val="single" w:sz="8" w:space="0" w:color="000000"/>
              <w:right w:val="single" w:sz="8" w:space="0" w:color="000000"/>
            </w:tcBorders>
            <w:vAlign w:val="center"/>
          </w:tcPr>
          <w:p w:rsidR="009231F6" w:rsidRPr="00E275A4" w:rsidP="00E275A4" w14:paraId="4D80CC0A" w14:textId="7F63CF03">
            <w:pPr>
              <w:widowControl/>
              <w:rPr>
                <w:rFonts w:ascii="Calibri" w:eastAsia="Calibri" w:hAnsi="Calibri" w:cs="Calibri"/>
                <w:b/>
                <w:bCs/>
                <w:sz w:val="18"/>
                <w:szCs w:val="18"/>
              </w:rPr>
            </w:pPr>
            <w:r w:rsidRPr="00E275A4">
              <w:rPr>
                <w:rFonts w:ascii="Calibri" w:eastAsia="Calibri" w:hAnsi="Calibri" w:cs="Calibri"/>
                <w:b/>
                <w:bCs/>
                <w:sz w:val="18"/>
                <w:szCs w:val="18"/>
              </w:rPr>
              <w:t>Other Costs:</w:t>
            </w:r>
          </w:p>
        </w:tc>
        <w:tc>
          <w:tcPr>
            <w:tcW w:w="1120" w:type="dxa"/>
            <w:tcBorders>
              <w:top w:val="single" w:sz="4" w:space="0" w:color="000000"/>
              <w:left w:val="single" w:sz="8" w:space="0" w:color="000000"/>
              <w:bottom w:val="single" w:sz="8" w:space="0" w:color="000000"/>
              <w:right w:val="single" w:sz="4" w:space="0" w:color="000000"/>
            </w:tcBorders>
            <w:shd w:val="clear" w:color="auto" w:fill="808080"/>
            <w:vAlign w:val="center"/>
          </w:tcPr>
          <w:p w:rsidR="009231F6" w:rsidRPr="00E275A4" w:rsidP="00E275A4" w14:paraId="61206C67" w14:textId="3309B0C9">
            <w:pPr>
              <w:widowControl/>
              <w:jc w:val="center"/>
              <w:rPr>
                <w:rFonts w:ascii="Calibri" w:eastAsia="Calibri" w:hAnsi="Calibri" w:cs="Calibri"/>
                <w:sz w:val="18"/>
                <w:szCs w:val="18"/>
              </w:rPr>
            </w:pPr>
          </w:p>
        </w:tc>
        <w:tc>
          <w:tcPr>
            <w:tcW w:w="1140" w:type="dxa"/>
            <w:tcBorders>
              <w:top w:val="single" w:sz="4" w:space="0" w:color="000000"/>
              <w:left w:val="single" w:sz="4" w:space="0" w:color="000000"/>
              <w:bottom w:val="single" w:sz="8" w:space="0" w:color="000000"/>
              <w:right w:val="single" w:sz="4" w:space="0" w:color="000000"/>
            </w:tcBorders>
            <w:shd w:val="clear" w:color="auto" w:fill="808080"/>
            <w:vAlign w:val="center"/>
          </w:tcPr>
          <w:p w:rsidR="009231F6" w:rsidRPr="00E275A4" w:rsidP="00E275A4" w14:paraId="33EBA447" w14:textId="15CFCAE4">
            <w:pPr>
              <w:widowControl/>
              <w:jc w:val="center"/>
              <w:rPr>
                <w:rFonts w:ascii="Calibri" w:eastAsia="Calibri" w:hAnsi="Calibri" w:cs="Calibri"/>
                <w:sz w:val="18"/>
                <w:szCs w:val="18"/>
              </w:rPr>
            </w:pPr>
          </w:p>
        </w:tc>
        <w:tc>
          <w:tcPr>
            <w:tcW w:w="1120" w:type="dxa"/>
            <w:tcBorders>
              <w:top w:val="single" w:sz="4" w:space="0" w:color="000000"/>
              <w:left w:val="single" w:sz="4" w:space="0" w:color="000000"/>
              <w:bottom w:val="single" w:sz="8" w:space="0" w:color="000000"/>
              <w:right w:val="single" w:sz="4" w:space="0" w:color="000000"/>
            </w:tcBorders>
            <w:shd w:val="clear" w:color="auto" w:fill="808080"/>
            <w:vAlign w:val="center"/>
          </w:tcPr>
          <w:p w:rsidR="009231F6" w:rsidRPr="00E275A4" w:rsidP="00E275A4" w14:paraId="720A111B" w14:textId="5FA74553">
            <w:pPr>
              <w:widowControl/>
              <w:jc w:val="center"/>
              <w:rPr>
                <w:rFonts w:ascii="Calibri" w:eastAsia="Calibri" w:hAnsi="Calibri" w:cs="Calibri"/>
                <w:sz w:val="18"/>
                <w:szCs w:val="18"/>
              </w:rPr>
            </w:pPr>
          </w:p>
        </w:tc>
        <w:tc>
          <w:tcPr>
            <w:tcW w:w="1280" w:type="dxa"/>
            <w:tcBorders>
              <w:top w:val="single" w:sz="4" w:space="0" w:color="000000"/>
              <w:left w:val="single" w:sz="4" w:space="0" w:color="000000"/>
              <w:bottom w:val="single" w:sz="8" w:space="0" w:color="000000"/>
              <w:right w:val="single" w:sz="4" w:space="0" w:color="000000"/>
            </w:tcBorders>
            <w:shd w:val="clear" w:color="auto" w:fill="808080"/>
            <w:vAlign w:val="center"/>
          </w:tcPr>
          <w:p w:rsidR="009231F6" w:rsidRPr="00E275A4" w:rsidP="00E275A4" w14:paraId="073F266F" w14:textId="2F1B5958">
            <w:pPr>
              <w:widowControl/>
              <w:jc w:val="center"/>
              <w:rPr>
                <w:rFonts w:ascii="Calibri" w:eastAsia="Calibri" w:hAnsi="Calibri" w:cs="Calibri"/>
                <w:sz w:val="18"/>
                <w:szCs w:val="18"/>
              </w:rPr>
            </w:pPr>
          </w:p>
        </w:tc>
        <w:tc>
          <w:tcPr>
            <w:tcW w:w="1300" w:type="dxa"/>
            <w:tcBorders>
              <w:top w:val="single" w:sz="4" w:space="0" w:color="000000"/>
              <w:left w:val="single" w:sz="4" w:space="0" w:color="000000"/>
              <w:bottom w:val="single" w:sz="8" w:space="0" w:color="000000"/>
              <w:right w:val="single" w:sz="8" w:space="0" w:color="000000"/>
            </w:tcBorders>
            <w:vAlign w:val="center"/>
          </w:tcPr>
          <w:p w:rsidR="009231F6" w:rsidRPr="00E275A4" w:rsidP="00E275A4" w14:paraId="1CB219E9" w14:textId="473F56CA">
            <w:pPr>
              <w:widowControl/>
              <w:jc w:val="center"/>
              <w:rPr>
                <w:rFonts w:ascii="Calibri" w:eastAsia="Calibri" w:hAnsi="Calibri" w:cs="Calibri"/>
                <w:sz w:val="18"/>
                <w:szCs w:val="18"/>
              </w:rPr>
            </w:pPr>
            <w:r w:rsidRPr="00E275A4">
              <w:rPr>
                <w:rFonts w:ascii="Calibri" w:eastAsia="Calibri" w:hAnsi="Calibri" w:cs="Calibri"/>
                <w:sz w:val="18"/>
                <w:szCs w:val="18"/>
              </w:rPr>
              <w:t>0</w:t>
            </w:r>
          </w:p>
        </w:tc>
      </w:tr>
      <w:tr w14:paraId="460D05F1" w14:textId="77777777" w:rsidTr="00E275A4">
        <w:tblPrEx>
          <w:tblW w:w="8240" w:type="dxa"/>
          <w:jc w:val="center"/>
          <w:tblLayout w:type="fixed"/>
          <w:tblLook w:val="0400"/>
        </w:tblPrEx>
        <w:trPr>
          <w:trHeight w:val="315"/>
          <w:jc w:val="center"/>
        </w:trPr>
        <w:tc>
          <w:tcPr>
            <w:tcW w:w="2280" w:type="dxa"/>
            <w:tcBorders>
              <w:top w:val="single" w:sz="8" w:space="0" w:color="000000"/>
              <w:left w:val="single" w:sz="8" w:space="0" w:color="000000"/>
              <w:bottom w:val="single" w:sz="8" w:space="0" w:color="000000"/>
              <w:right w:val="single" w:sz="8" w:space="0" w:color="000000"/>
            </w:tcBorders>
            <w:shd w:val="clear" w:color="auto" w:fill="DDEBF7"/>
            <w:vAlign w:val="center"/>
          </w:tcPr>
          <w:p w:rsidR="009231F6" w:rsidRPr="00E275A4" w:rsidP="00E275A4" w14:paraId="3CC56844" w14:textId="77777777">
            <w:pPr>
              <w:widowControl/>
              <w:jc w:val="center"/>
              <w:rPr>
                <w:rFonts w:ascii="Calibri" w:eastAsia="Calibri" w:hAnsi="Calibri" w:cs="Calibri"/>
                <w:b/>
                <w:bCs/>
                <w:sz w:val="18"/>
                <w:szCs w:val="18"/>
              </w:rPr>
            </w:pPr>
            <w:r w:rsidRPr="00E275A4">
              <w:rPr>
                <w:rFonts w:ascii="Calibri" w:eastAsia="Calibri" w:hAnsi="Calibri" w:cs="Calibri"/>
                <w:b/>
                <w:bCs/>
                <w:sz w:val="18"/>
                <w:szCs w:val="18"/>
              </w:rPr>
              <w:t>TOTAL</w:t>
            </w:r>
          </w:p>
        </w:tc>
        <w:tc>
          <w:tcPr>
            <w:tcW w:w="1120" w:type="dxa"/>
            <w:tcBorders>
              <w:top w:val="single" w:sz="8" w:space="0" w:color="000000"/>
              <w:left w:val="single" w:sz="8" w:space="0" w:color="000000"/>
              <w:bottom w:val="single" w:sz="8" w:space="0" w:color="000000"/>
              <w:right w:val="single" w:sz="8" w:space="0" w:color="000000"/>
            </w:tcBorders>
            <w:shd w:val="clear" w:color="auto" w:fill="808080"/>
            <w:vAlign w:val="center"/>
          </w:tcPr>
          <w:p w:rsidR="009231F6" w:rsidRPr="00E275A4" w:rsidP="00E275A4" w14:paraId="7C3DBBE9" w14:textId="63F16AB5">
            <w:pPr>
              <w:widowControl/>
              <w:jc w:val="center"/>
              <w:rPr>
                <w:rFonts w:ascii="Calibri" w:eastAsia="Calibri" w:hAnsi="Calibri" w:cs="Calibri"/>
                <w:sz w:val="18"/>
                <w:szCs w:val="18"/>
              </w:rPr>
            </w:pPr>
          </w:p>
        </w:tc>
        <w:tc>
          <w:tcPr>
            <w:tcW w:w="1140" w:type="dxa"/>
            <w:tcBorders>
              <w:top w:val="single" w:sz="8" w:space="0" w:color="000000"/>
              <w:left w:val="single" w:sz="8" w:space="0" w:color="000000"/>
              <w:bottom w:val="single" w:sz="8" w:space="0" w:color="000000"/>
              <w:right w:val="single" w:sz="8" w:space="0" w:color="000000"/>
            </w:tcBorders>
            <w:shd w:val="clear" w:color="auto" w:fill="808080"/>
            <w:vAlign w:val="center"/>
          </w:tcPr>
          <w:p w:rsidR="009231F6" w:rsidRPr="00E275A4" w:rsidP="00E275A4" w14:paraId="675ED739" w14:textId="3F978E1A">
            <w:pPr>
              <w:widowControl/>
              <w:jc w:val="center"/>
              <w:rPr>
                <w:rFonts w:ascii="Calibri" w:eastAsia="Calibri" w:hAnsi="Calibri" w:cs="Calibri"/>
                <w:sz w:val="18"/>
                <w:szCs w:val="18"/>
              </w:rPr>
            </w:pPr>
          </w:p>
        </w:tc>
        <w:tc>
          <w:tcPr>
            <w:tcW w:w="1120" w:type="dxa"/>
            <w:tcBorders>
              <w:top w:val="single" w:sz="8" w:space="0" w:color="000000"/>
              <w:left w:val="single" w:sz="8" w:space="0" w:color="000000"/>
              <w:bottom w:val="single" w:sz="8" w:space="0" w:color="000000"/>
              <w:right w:val="single" w:sz="8" w:space="0" w:color="000000"/>
            </w:tcBorders>
            <w:shd w:val="clear" w:color="auto" w:fill="757171"/>
            <w:vAlign w:val="center"/>
          </w:tcPr>
          <w:p w:rsidR="009231F6" w:rsidRPr="00E275A4" w:rsidP="00E275A4" w14:paraId="3C739008" w14:textId="343347F3">
            <w:pPr>
              <w:widowControl/>
              <w:jc w:val="center"/>
              <w:rPr>
                <w:rFonts w:ascii="Calibri" w:eastAsia="Calibri" w:hAnsi="Calibri" w:cs="Calibri"/>
                <w:sz w:val="18"/>
                <w:szCs w:val="18"/>
              </w:rPr>
            </w:pPr>
          </w:p>
        </w:tc>
        <w:tc>
          <w:tcPr>
            <w:tcW w:w="1280" w:type="dxa"/>
            <w:tcBorders>
              <w:top w:val="single" w:sz="8" w:space="0" w:color="000000"/>
              <w:left w:val="single" w:sz="8" w:space="0" w:color="000000"/>
              <w:bottom w:val="single" w:sz="8" w:space="0" w:color="000000"/>
              <w:right w:val="single" w:sz="8" w:space="0" w:color="000000"/>
            </w:tcBorders>
            <w:shd w:val="clear" w:color="auto" w:fill="DDEBF7"/>
            <w:vAlign w:val="center"/>
          </w:tcPr>
          <w:p w:rsidR="009231F6" w:rsidRPr="00E275A4" w:rsidP="00E275A4" w14:paraId="38695315" w14:textId="2E5BFA36">
            <w:pPr>
              <w:widowControl/>
              <w:jc w:val="center"/>
              <w:rPr>
                <w:rFonts w:ascii="Calibri" w:eastAsia="Calibri" w:hAnsi="Calibri" w:cs="Calibri"/>
                <w:sz w:val="18"/>
                <w:szCs w:val="18"/>
              </w:rPr>
            </w:pPr>
          </w:p>
        </w:tc>
        <w:tc>
          <w:tcPr>
            <w:tcW w:w="1300" w:type="dxa"/>
            <w:tcBorders>
              <w:top w:val="single" w:sz="8" w:space="0" w:color="000000"/>
              <w:left w:val="single" w:sz="8" w:space="0" w:color="000000"/>
              <w:bottom w:val="single" w:sz="8" w:space="0" w:color="000000"/>
              <w:right w:val="single" w:sz="8" w:space="0" w:color="000000"/>
            </w:tcBorders>
            <w:shd w:val="clear" w:color="auto" w:fill="DDEBF7"/>
            <w:vAlign w:val="center"/>
          </w:tcPr>
          <w:p w:rsidR="009231F6" w:rsidRPr="00E275A4" w:rsidP="00E275A4" w14:paraId="3BA50DBE" w14:textId="77777777">
            <w:pPr>
              <w:widowControl/>
              <w:jc w:val="center"/>
              <w:rPr>
                <w:rFonts w:ascii="Calibri" w:eastAsia="Calibri" w:hAnsi="Calibri" w:cs="Calibri"/>
                <w:b/>
                <w:bCs/>
                <w:sz w:val="18"/>
                <w:szCs w:val="18"/>
              </w:rPr>
            </w:pPr>
            <w:r w:rsidRPr="00E275A4">
              <w:rPr>
                <w:rFonts w:ascii="Calibri" w:eastAsia="Calibri" w:hAnsi="Calibri" w:cs="Calibri"/>
                <w:b/>
                <w:bCs/>
                <w:sz w:val="18"/>
                <w:szCs w:val="18"/>
              </w:rPr>
              <w:t>$20,468</w:t>
            </w:r>
          </w:p>
        </w:tc>
      </w:tr>
    </w:tbl>
    <w:p w:rsidR="00DC5F9F" w:rsidP="00DB7C6A" w14:paraId="1B8C7910" w14:textId="77777777">
      <w:pPr>
        <w:spacing w:before="240"/>
        <w:rPr>
          <w:b/>
          <w:bCs/>
        </w:rPr>
      </w:pPr>
    </w:p>
    <w:p w:rsidR="00DC5F9F" w:rsidP="00DB7C6A" w14:paraId="770D24FD" w14:textId="77777777">
      <w:pPr>
        <w:numPr>
          <w:ilvl w:val="0"/>
          <w:numId w:val="9"/>
        </w:numPr>
        <w:pBdr>
          <w:top w:val="nil"/>
          <w:left w:val="nil"/>
          <w:bottom w:val="nil"/>
          <w:right w:val="nil"/>
          <w:between w:val="nil"/>
        </w:pBdr>
        <w:tabs>
          <w:tab w:val="left" w:pos="630"/>
        </w:tabs>
        <w:spacing w:before="240"/>
        <w:ind w:left="720" w:hanging="720"/>
        <w:rPr>
          <w:b/>
          <w:bCs/>
          <w:color w:val="000000"/>
        </w:rPr>
      </w:pPr>
      <w:r>
        <w:rPr>
          <w:b/>
          <w:bCs/>
          <w:color w:val="000000"/>
        </w:rPr>
        <w:t>Explain the reasons for any program changes or adjustments reported in ROCIS.</w:t>
      </w:r>
    </w:p>
    <w:p w:rsidR="00417838" w:rsidP="00DB7C6A" w14:paraId="63E5C3EA" w14:textId="77777777">
      <w:pPr>
        <w:spacing w:before="240"/>
      </w:pPr>
      <w:r w:rsidRPr="00417838">
        <w:t>There have been</w:t>
      </w:r>
      <w:r w:rsidRPr="00417838">
        <w:t xml:space="preserve"> no changes to the information collection since the last OMB approval.</w:t>
      </w:r>
    </w:p>
    <w:p w:rsidR="00DC5F9F" w:rsidP="00DB7C6A" w14:paraId="1A4BC89D" w14:textId="2609E011">
      <w:pPr>
        <w:spacing w:before="240"/>
        <w:rPr>
          <w:b/>
          <w:bCs/>
        </w:rPr>
      </w:pPr>
      <w:r>
        <w:rPr>
          <w:b/>
          <w:bCs/>
        </w:rPr>
        <w:t xml:space="preserve"> </w:t>
      </w:r>
    </w:p>
    <w:p w:rsidR="00DC5F9F" w:rsidP="00DB7C6A" w14:paraId="685BE55B"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DC5F9F" w:rsidRPr="00F96902" w:rsidP="00DB7C6A" w14:paraId="539BE813" w14:textId="308497AB">
      <w:pPr>
        <w:widowControl/>
        <w:spacing w:before="240"/>
      </w:pPr>
      <w:r w:rsidRPr="00E64956">
        <w:t>It is anticipated that the information collected will be disseminated to the</w:t>
      </w:r>
      <w:r>
        <w:t xml:space="preserve"> public</w:t>
      </w:r>
      <w:r w:rsidRPr="00E64956">
        <w:t xml:space="preserve">. NOAA </w:t>
      </w:r>
      <w:r>
        <w:t>National Marine Fisheries Service</w:t>
      </w:r>
      <w:r w:rsidRPr="00E64956">
        <w:t xml:space="preserve"> will retain control over the information and safeguard it from improper access, modification, and destruction, consistent with NOAA standards for confidentiality, privacy, and electronic information. See response to Question 10 of this Supporting Statement for more information on confidentiality and privacy. The information collection is designed to yield data that meet all applicable information quality guidelines. Prior to dissemination, the information will be subjected to quality control measures, and </w:t>
      </w:r>
      <w:r w:rsidRPr="00E64956">
        <w:t>a pre-dissemination review pursuant to Section 515 of Public Law 106-554.</w:t>
      </w:r>
    </w:p>
    <w:p w:rsidR="00F96902" w:rsidP="00DB7C6A" w14:paraId="18BC9ECE"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If seeking approval to not display the expiration date for OMB approval of the information collection, explain the reasons that display would be inappropriate.</w:t>
      </w:r>
    </w:p>
    <w:p w:rsidR="00DC5F9F" w:rsidRPr="00F96902" w:rsidP="00DB7C6A" w14:paraId="29266176" w14:textId="17250B0C">
      <w:pPr>
        <w:pBdr>
          <w:top w:val="nil"/>
          <w:left w:val="nil"/>
          <w:bottom w:val="nil"/>
          <w:right w:val="nil"/>
          <w:between w:val="nil"/>
        </w:pBdr>
        <w:tabs>
          <w:tab w:val="left" w:pos="360"/>
        </w:tabs>
        <w:spacing w:before="240"/>
        <w:rPr>
          <w:b/>
          <w:bCs/>
        </w:rPr>
      </w:pPr>
      <w:r w:rsidRPr="00F96902">
        <w:t xml:space="preserve">The agency plans to </w:t>
      </w:r>
      <w:r w:rsidRPr="00F96902">
        <w:t>display the expiration date for OMB approval of the information collection on all instruments.</w:t>
      </w:r>
    </w:p>
    <w:p w:rsidR="00DC5F9F" w:rsidP="00DB7C6A" w14:paraId="4075B958" w14:textId="77777777">
      <w:pPr>
        <w:spacing w:before="240"/>
        <w:rPr>
          <w:i/>
          <w:iCs/>
        </w:rPr>
      </w:pPr>
    </w:p>
    <w:p w:rsidR="00DC5F9F" w:rsidP="00DB7C6A" w14:paraId="7F5437C3"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Explain each exception to the certification statement identified in “Certification for Paperwork Reduction Act Submissions."</w:t>
      </w:r>
    </w:p>
    <w:p w:rsidR="00DC5F9F" w:rsidRPr="00F96902" w:rsidP="00DB7C6A" w14:paraId="01DCB3D7" w14:textId="55519F17">
      <w:pPr>
        <w:spacing w:before="240"/>
      </w:pPr>
      <w:r>
        <w:t xml:space="preserve">The agency certifies compliance with </w:t>
      </w:r>
      <w:hyperlink r:id="rId13">
        <w:r>
          <w:rPr>
            <w:color w:val="0563C1"/>
            <w:u w:val="single"/>
          </w:rPr>
          <w:t>5 CFR 1320.9</w:t>
        </w:r>
      </w:hyperlink>
      <w:hyperlink r:id="rId13">
        <w:r>
          <w:rPr>
            <w:color w:val="0563C1"/>
          </w:rPr>
          <w:t xml:space="preserve"> </w:t>
        </w:r>
      </w:hyperlink>
      <w:r>
        <w:t xml:space="preserve">and the related provisions of </w:t>
      </w:r>
      <w:hyperlink r:id="rId14">
        <w:r>
          <w:rPr>
            <w:color w:val="0563C1"/>
            <w:u w:val="single"/>
          </w:rPr>
          <w:t>5 CFR</w:t>
        </w:r>
      </w:hyperlink>
      <w:r>
        <w:rPr>
          <w:color w:val="0563C1"/>
        </w:rPr>
        <w:t xml:space="preserve"> </w:t>
      </w:r>
      <w:hyperlink r:id="rId14">
        <w:r>
          <w:rPr>
            <w:color w:val="0563C1"/>
            <w:u w:val="single"/>
          </w:rPr>
          <w:t>1320.8(b)(3)</w:t>
        </w:r>
      </w:hyperlink>
      <w:r>
        <w:t>.</w:t>
      </w:r>
      <w:bookmarkStart w:id="0" w:name="_heading=h.gjdgxs" w:colFirst="0" w:colLast="0"/>
      <w:bookmarkEnd w:id="0"/>
    </w:p>
    <w:sectPr w:rsidSect="00DB7C6A">
      <w:pgSz w:w="12240" w:h="15840"/>
      <w:pgMar w:top="1440" w:right="1440" w:bottom="1440" w:left="1440" w:header="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embedRegular r:id="rId1" w:fontKey="{16CFC78E-2FFB-4243-9D4E-0F2F48C3004B}"/>
  </w:font>
  <w:font w:name="Georgia">
    <w:panose1 w:val="02040502050405020303"/>
    <w:charset w:val="00"/>
    <w:family w:val="roman"/>
    <w:pitch w:val="variable"/>
    <w:sig w:usb0="00000287" w:usb1="00000000" w:usb2="00000000" w:usb3="00000000" w:csb0="0000009F" w:csb1="00000000"/>
    <w:embedItalic r:id="rId2" w:fontKey="{3DCBF57B-5A8F-436B-9D90-9047020A1220}"/>
  </w:font>
  <w:font w:name="Calibri">
    <w:panose1 w:val="020F0502020204030204"/>
    <w:charset w:val="00"/>
    <w:family w:val="swiss"/>
    <w:pitch w:val="variable"/>
    <w:sig w:usb0="E4002EFF" w:usb1="C200247B" w:usb2="00000009" w:usb3="00000000" w:csb0="000001FF" w:csb1="00000000"/>
    <w:embedRegular r:id="rId3" w:fontKey="{53442503-3FE1-40E6-BAA1-0A296F2D4D10}"/>
    <w:embedBold r:id="rId4" w:fontKey="{D718A070-7B04-4E9A-B331-12A4EB1FA697}"/>
  </w:font>
  <w:font w:name="Cambria">
    <w:panose1 w:val="02040503050406030204"/>
    <w:charset w:val="00"/>
    <w:family w:val="roman"/>
    <w:pitch w:val="variable"/>
    <w:sig w:usb0="E00006FF" w:usb1="420024FF" w:usb2="02000000" w:usb3="00000000" w:csb0="0000019F" w:csb1="00000000"/>
    <w:embedRegular r:id="rId5" w:fontKey="{906EBFAD-52A9-4739-9F85-1D4A9D48E19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5F9F" w14:paraId="6F81B40F" w14:textId="77777777">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D6B49" w14:paraId="6BD6FC27" w14:textId="77777777">
      <w:r>
        <w:separator/>
      </w:r>
    </w:p>
  </w:footnote>
  <w:footnote w:type="continuationSeparator" w:id="1">
    <w:p w:rsidR="005D6B49" w14:paraId="67ADBCA2" w14:textId="77777777">
      <w:r>
        <w:continuationSeparator/>
      </w:r>
    </w:p>
  </w:footnote>
  <w:footnote w:id="2">
    <w:p w:rsidR="005D6B49" w14:paraId="628749AC" w14:textId="1605A4D3">
      <w:pPr>
        <w:pStyle w:val="FootnoteText"/>
      </w:pPr>
      <w:r>
        <w:rPr>
          <w:rStyle w:val="FootnoteReference"/>
        </w:rPr>
        <w:footnoteRef/>
      </w:r>
      <w:r>
        <w:t xml:space="preserve"> </w:t>
      </w:r>
      <w:r w:rsidRPr="005D6B49">
        <w:t>https://www.govinfo.gov/app/details/USCODE-2024-title42/USCODE-2024-title42-chap55-sec4321</w:t>
      </w:r>
    </w:p>
  </w:footnote>
  <w:footnote w:id="3">
    <w:p w:rsidR="00E275A4" w14:paraId="3610978E" w14:textId="317A72AB">
      <w:pPr>
        <w:pStyle w:val="FootnoteText"/>
      </w:pPr>
      <w:r>
        <w:rPr>
          <w:rStyle w:val="FootnoteReference"/>
        </w:rPr>
        <w:footnoteRef/>
      </w:r>
      <w:r>
        <w:t xml:space="preserve"> </w:t>
      </w:r>
      <w:r w:rsidRPr="00E275A4">
        <w:t>https://www.commerce.gov/sites/default/files/2026-01/CAPS%20Standard%20Pay%20Tables%202026.pdf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153720"/>
    <w:multiLevelType w:val="multilevel"/>
    <w:tmpl w:val="E9FC134E"/>
    <w:lvl w:ilvl="0">
      <w:start w:val="1"/>
      <w:numFmt w:val="bullet"/>
      <w:lvlText w:val="●"/>
      <w:lvlJc w:val="left"/>
      <w:pPr>
        <w:ind w:left="760" w:hanging="360"/>
      </w:pPr>
      <w:rPr>
        <w:rFonts w:ascii="Noto Sans Symbols" w:eastAsia="Noto Sans Symbols" w:hAnsi="Noto Sans Symbols" w:cs="Noto Sans Symbols"/>
      </w:rPr>
    </w:lvl>
    <w:lvl w:ilvl="1">
      <w:start w:val="1"/>
      <w:numFmt w:val="bullet"/>
      <w:lvlText w:val="●"/>
      <w:lvlJc w:val="left"/>
      <w:pPr>
        <w:ind w:left="1120" w:hanging="360"/>
      </w:pPr>
      <w:rPr>
        <w:rFonts w:ascii="Noto Sans Symbols" w:eastAsia="Noto Sans Symbols" w:hAnsi="Noto Sans Symbols" w:cs="Noto Sans Symbols"/>
        <w:color w:val="2F5496"/>
        <w:sz w:val="20"/>
        <w:szCs w:val="20"/>
      </w:rPr>
    </w:lvl>
    <w:lvl w:ilvl="2">
      <w:start w:val="1"/>
      <w:numFmt w:val="bullet"/>
      <w:lvlText w:val="•"/>
      <w:lvlJc w:val="left"/>
      <w:pPr>
        <w:ind w:left="2273" w:hanging="360"/>
      </w:pPr>
    </w:lvl>
    <w:lvl w:ilvl="3">
      <w:start w:val="1"/>
      <w:numFmt w:val="bullet"/>
      <w:lvlText w:val="•"/>
      <w:lvlJc w:val="left"/>
      <w:pPr>
        <w:ind w:left="3426" w:hanging="360"/>
      </w:pPr>
    </w:lvl>
    <w:lvl w:ilvl="4">
      <w:start w:val="1"/>
      <w:numFmt w:val="bullet"/>
      <w:lvlText w:val="•"/>
      <w:lvlJc w:val="left"/>
      <w:pPr>
        <w:ind w:left="4580" w:hanging="360"/>
      </w:pPr>
    </w:lvl>
    <w:lvl w:ilvl="5">
      <w:start w:val="1"/>
      <w:numFmt w:val="bullet"/>
      <w:lvlText w:val="•"/>
      <w:lvlJc w:val="left"/>
      <w:pPr>
        <w:ind w:left="5733" w:hanging="360"/>
      </w:pPr>
    </w:lvl>
    <w:lvl w:ilvl="6">
      <w:start w:val="1"/>
      <w:numFmt w:val="bullet"/>
      <w:lvlText w:val="•"/>
      <w:lvlJc w:val="left"/>
      <w:pPr>
        <w:ind w:left="6886" w:hanging="360"/>
      </w:pPr>
    </w:lvl>
    <w:lvl w:ilvl="7">
      <w:start w:val="1"/>
      <w:numFmt w:val="bullet"/>
      <w:lvlText w:val="•"/>
      <w:lvlJc w:val="left"/>
      <w:pPr>
        <w:ind w:left="8040" w:hanging="360"/>
      </w:pPr>
    </w:lvl>
    <w:lvl w:ilvl="8">
      <w:start w:val="1"/>
      <w:numFmt w:val="bullet"/>
      <w:lvlText w:val="•"/>
      <w:lvlJc w:val="left"/>
      <w:pPr>
        <w:ind w:left="9193" w:hanging="360"/>
      </w:pPr>
    </w:lvl>
  </w:abstractNum>
  <w:abstractNum w:abstractNumId="1">
    <w:nsid w:val="1D4B6F68"/>
    <w:multiLevelType w:val="multilevel"/>
    <w:tmpl w:val="79A2A234"/>
    <w:lvl w:ilvl="0">
      <w:start w:val="1"/>
      <w:numFmt w:val="bullet"/>
      <w:lvlText w:val="●"/>
      <w:lvlJc w:val="left"/>
      <w:pPr>
        <w:ind w:left="469" w:hanging="360"/>
      </w:pPr>
      <w:rPr>
        <w:rFonts w:ascii="Noto Sans Symbols" w:eastAsia="Noto Sans Symbols" w:hAnsi="Noto Sans Symbols" w:cs="Noto Sans Symbols"/>
        <w:color w:val="2F5496"/>
        <w:sz w:val="20"/>
        <w:szCs w:val="20"/>
      </w:rPr>
    </w:lvl>
    <w:lvl w:ilvl="1">
      <w:start w:val="1"/>
      <w:numFmt w:val="bullet"/>
      <w:lvlText w:val="•"/>
      <w:lvlJc w:val="left"/>
      <w:pPr>
        <w:ind w:left="713" w:hanging="360"/>
      </w:pPr>
    </w:lvl>
    <w:lvl w:ilvl="2">
      <w:start w:val="1"/>
      <w:numFmt w:val="bullet"/>
      <w:lvlText w:val="•"/>
      <w:lvlJc w:val="left"/>
      <w:pPr>
        <w:ind w:left="966" w:hanging="360"/>
      </w:pPr>
    </w:lvl>
    <w:lvl w:ilvl="3">
      <w:start w:val="1"/>
      <w:numFmt w:val="bullet"/>
      <w:lvlText w:val="•"/>
      <w:lvlJc w:val="left"/>
      <w:pPr>
        <w:ind w:left="1219" w:hanging="360"/>
      </w:pPr>
    </w:lvl>
    <w:lvl w:ilvl="4">
      <w:start w:val="1"/>
      <w:numFmt w:val="bullet"/>
      <w:lvlText w:val="•"/>
      <w:lvlJc w:val="left"/>
      <w:pPr>
        <w:ind w:left="1472" w:hanging="360"/>
      </w:pPr>
    </w:lvl>
    <w:lvl w:ilvl="5">
      <w:start w:val="1"/>
      <w:numFmt w:val="bullet"/>
      <w:lvlText w:val="•"/>
      <w:lvlJc w:val="left"/>
      <w:pPr>
        <w:ind w:left="1725" w:hanging="360"/>
      </w:pPr>
    </w:lvl>
    <w:lvl w:ilvl="6">
      <w:start w:val="1"/>
      <w:numFmt w:val="bullet"/>
      <w:lvlText w:val="•"/>
      <w:lvlJc w:val="left"/>
      <w:pPr>
        <w:ind w:left="1978" w:hanging="360"/>
      </w:pPr>
    </w:lvl>
    <w:lvl w:ilvl="7">
      <w:start w:val="1"/>
      <w:numFmt w:val="bullet"/>
      <w:lvlText w:val="•"/>
      <w:lvlJc w:val="left"/>
      <w:pPr>
        <w:ind w:left="2231" w:hanging="360"/>
      </w:pPr>
    </w:lvl>
    <w:lvl w:ilvl="8">
      <w:start w:val="1"/>
      <w:numFmt w:val="bullet"/>
      <w:lvlText w:val="•"/>
      <w:lvlJc w:val="left"/>
      <w:pPr>
        <w:ind w:left="2484" w:hanging="360"/>
      </w:pPr>
    </w:lvl>
  </w:abstractNum>
  <w:abstractNum w:abstractNumId="2">
    <w:nsid w:val="2397024F"/>
    <w:multiLevelType w:val="multilevel"/>
    <w:tmpl w:val="5C941E6E"/>
    <w:lvl w:ilvl="0">
      <w:start w:val="1"/>
      <w:numFmt w:val="decimal"/>
      <w:lvlText w:val="%1."/>
      <w:lvlJc w:val="left"/>
      <w:pPr>
        <w:ind w:left="400" w:hanging="269"/>
      </w:pPr>
      <w:rPr>
        <w:rFonts w:ascii="Arial" w:eastAsia="Arial" w:hAnsi="Arial" w:cs="Arial"/>
        <w:b/>
        <w:bCs/>
        <w:sz w:val="24"/>
        <w:szCs w:val="24"/>
      </w:rPr>
    </w:lvl>
    <w:lvl w:ilvl="1">
      <w:start w:val="1"/>
      <w:numFmt w:val="bullet"/>
      <w:lvlText w:val="●"/>
      <w:lvlJc w:val="left"/>
      <w:pPr>
        <w:ind w:left="1120" w:hanging="360"/>
      </w:pPr>
      <w:rPr>
        <w:rFonts w:ascii="Noto Sans Symbols" w:eastAsia="Noto Sans Symbols" w:hAnsi="Noto Sans Symbols" w:cs="Noto Sans Symbols"/>
      </w:r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abstractNum w:abstractNumId="3">
    <w:nsid w:val="24EF28B5"/>
    <w:multiLevelType w:val="multilevel"/>
    <w:tmpl w:val="B2B20AEE"/>
    <w:lvl w:ilvl="0">
      <w:start w:val="1"/>
      <w:numFmt w:val="bullet"/>
      <w:lvlText w:val="●"/>
      <w:lvlJc w:val="left"/>
      <w:pPr>
        <w:ind w:left="760" w:hanging="360"/>
      </w:pPr>
      <w:rPr>
        <w:rFonts w:ascii="Noto Sans Symbols" w:eastAsia="Noto Sans Symbols" w:hAnsi="Noto Sans Symbols" w:cs="Noto Sans Symbols"/>
      </w:rPr>
    </w:lvl>
    <w:lvl w:ilvl="1">
      <w:start w:val="1"/>
      <w:numFmt w:val="bullet"/>
      <w:lvlText w:val="●"/>
      <w:lvlJc w:val="left"/>
      <w:pPr>
        <w:ind w:left="1120" w:hanging="360"/>
      </w:pPr>
      <w:rPr>
        <w:rFonts w:ascii="Noto Sans Symbols" w:eastAsia="Noto Sans Symbols" w:hAnsi="Noto Sans Symbols" w:cs="Noto Sans Symbols"/>
        <w:color w:val="2F5496"/>
        <w:sz w:val="20"/>
        <w:szCs w:val="20"/>
      </w:rPr>
    </w:lvl>
    <w:lvl w:ilvl="2">
      <w:start w:val="1"/>
      <w:numFmt w:val="bullet"/>
      <w:lvlText w:val="•"/>
      <w:lvlJc w:val="left"/>
      <w:pPr>
        <w:ind w:left="2273" w:hanging="360"/>
      </w:pPr>
    </w:lvl>
    <w:lvl w:ilvl="3">
      <w:start w:val="1"/>
      <w:numFmt w:val="bullet"/>
      <w:lvlText w:val="•"/>
      <w:lvlJc w:val="left"/>
      <w:pPr>
        <w:ind w:left="3426" w:hanging="360"/>
      </w:pPr>
    </w:lvl>
    <w:lvl w:ilvl="4">
      <w:start w:val="1"/>
      <w:numFmt w:val="bullet"/>
      <w:lvlText w:val="•"/>
      <w:lvlJc w:val="left"/>
      <w:pPr>
        <w:ind w:left="4580" w:hanging="360"/>
      </w:pPr>
    </w:lvl>
    <w:lvl w:ilvl="5">
      <w:start w:val="1"/>
      <w:numFmt w:val="bullet"/>
      <w:lvlText w:val="•"/>
      <w:lvlJc w:val="left"/>
      <w:pPr>
        <w:ind w:left="5733" w:hanging="360"/>
      </w:pPr>
    </w:lvl>
    <w:lvl w:ilvl="6">
      <w:start w:val="1"/>
      <w:numFmt w:val="bullet"/>
      <w:lvlText w:val="•"/>
      <w:lvlJc w:val="left"/>
      <w:pPr>
        <w:ind w:left="6886" w:hanging="360"/>
      </w:pPr>
    </w:lvl>
    <w:lvl w:ilvl="7">
      <w:start w:val="1"/>
      <w:numFmt w:val="bullet"/>
      <w:lvlText w:val="•"/>
      <w:lvlJc w:val="left"/>
      <w:pPr>
        <w:ind w:left="8040" w:hanging="360"/>
      </w:pPr>
    </w:lvl>
    <w:lvl w:ilvl="8">
      <w:start w:val="1"/>
      <w:numFmt w:val="bullet"/>
      <w:lvlText w:val="•"/>
      <w:lvlJc w:val="left"/>
      <w:pPr>
        <w:ind w:left="9193" w:hanging="360"/>
      </w:pPr>
    </w:lvl>
  </w:abstractNum>
  <w:abstractNum w:abstractNumId="4">
    <w:nsid w:val="2B725F84"/>
    <w:multiLevelType w:val="multilevel"/>
    <w:tmpl w:val="48CAF542"/>
    <w:lvl w:ilvl="0">
      <w:start w:val="1"/>
      <w:numFmt w:val="decimal"/>
      <w:lvlText w:val="%1."/>
      <w:lvlJc w:val="left"/>
      <w:pPr>
        <w:ind w:left="400" w:hanging="269"/>
      </w:pPr>
      <w:rPr>
        <w:rFonts w:ascii="Arial" w:eastAsia="Arial" w:hAnsi="Arial" w:cs="Arial"/>
        <w:b/>
        <w:bCs/>
        <w:sz w:val="24"/>
        <w:szCs w:val="24"/>
      </w:rPr>
    </w:lvl>
    <w:lvl w:ilvl="1">
      <w:start w:val="1"/>
      <w:numFmt w:val="bullet"/>
      <w:lvlText w:val=""/>
      <w:lvlJc w:val="left"/>
      <w:pPr>
        <w:ind w:left="1120" w:hanging="360"/>
      </w:p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abstractNum w:abstractNumId="5">
    <w:nsid w:val="3049221E"/>
    <w:multiLevelType w:val="multilevel"/>
    <w:tmpl w:val="24565432"/>
    <w:lvl w:ilvl="0">
      <w:start w:val="1"/>
      <w:numFmt w:val="bullet"/>
      <w:lvlText w:val="●"/>
      <w:lvlJc w:val="left"/>
      <w:pPr>
        <w:ind w:left="760" w:hanging="360"/>
      </w:pPr>
      <w:rPr>
        <w:rFonts w:ascii="Noto Sans Symbols" w:eastAsia="Noto Sans Symbols" w:hAnsi="Noto Sans Symbols" w:cs="Noto Sans Symbols"/>
      </w:rPr>
    </w:lvl>
    <w:lvl w:ilvl="1">
      <w:start w:val="1"/>
      <w:numFmt w:val="bullet"/>
      <w:lvlText w:val="●"/>
      <w:lvlJc w:val="left"/>
      <w:pPr>
        <w:ind w:left="1120" w:hanging="360"/>
      </w:pPr>
      <w:rPr>
        <w:rFonts w:ascii="Noto Sans Symbols" w:eastAsia="Noto Sans Symbols" w:hAnsi="Noto Sans Symbols" w:cs="Noto Sans Symbols"/>
        <w:color w:val="2F5496"/>
        <w:sz w:val="20"/>
        <w:szCs w:val="20"/>
      </w:rPr>
    </w:lvl>
    <w:lvl w:ilvl="2">
      <w:start w:val="1"/>
      <w:numFmt w:val="bullet"/>
      <w:lvlText w:val="•"/>
      <w:lvlJc w:val="left"/>
      <w:pPr>
        <w:ind w:left="2273" w:hanging="360"/>
      </w:pPr>
    </w:lvl>
    <w:lvl w:ilvl="3">
      <w:start w:val="1"/>
      <w:numFmt w:val="bullet"/>
      <w:lvlText w:val="•"/>
      <w:lvlJc w:val="left"/>
      <w:pPr>
        <w:ind w:left="3426" w:hanging="360"/>
      </w:pPr>
    </w:lvl>
    <w:lvl w:ilvl="4">
      <w:start w:val="1"/>
      <w:numFmt w:val="bullet"/>
      <w:lvlText w:val="•"/>
      <w:lvlJc w:val="left"/>
      <w:pPr>
        <w:ind w:left="4580" w:hanging="360"/>
      </w:pPr>
    </w:lvl>
    <w:lvl w:ilvl="5">
      <w:start w:val="1"/>
      <w:numFmt w:val="bullet"/>
      <w:lvlText w:val="•"/>
      <w:lvlJc w:val="left"/>
      <w:pPr>
        <w:ind w:left="5733" w:hanging="360"/>
      </w:pPr>
    </w:lvl>
    <w:lvl w:ilvl="6">
      <w:start w:val="1"/>
      <w:numFmt w:val="bullet"/>
      <w:lvlText w:val="•"/>
      <w:lvlJc w:val="left"/>
      <w:pPr>
        <w:ind w:left="6886" w:hanging="360"/>
      </w:pPr>
    </w:lvl>
    <w:lvl w:ilvl="7">
      <w:start w:val="1"/>
      <w:numFmt w:val="bullet"/>
      <w:lvlText w:val="•"/>
      <w:lvlJc w:val="left"/>
      <w:pPr>
        <w:ind w:left="8040" w:hanging="360"/>
      </w:pPr>
    </w:lvl>
    <w:lvl w:ilvl="8">
      <w:start w:val="1"/>
      <w:numFmt w:val="bullet"/>
      <w:lvlText w:val="•"/>
      <w:lvlJc w:val="left"/>
      <w:pPr>
        <w:ind w:left="9193" w:hanging="360"/>
      </w:pPr>
    </w:lvl>
  </w:abstractNum>
  <w:abstractNum w:abstractNumId="6">
    <w:nsid w:val="370339C6"/>
    <w:multiLevelType w:val="multilevel"/>
    <w:tmpl w:val="33C45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491072"/>
    <w:multiLevelType w:val="multilevel"/>
    <w:tmpl w:val="2BE665C6"/>
    <w:lvl w:ilvl="0">
      <w:start w:val="1"/>
      <w:numFmt w:val="decimal"/>
      <w:lvlText w:val="%1."/>
      <w:lvlJc w:val="left"/>
      <w:pPr>
        <w:ind w:left="720" w:hanging="360"/>
      </w:pPr>
      <w:rPr>
        <w:rFonts w:ascii="Arial" w:eastAsia="Arial" w:hAnsi="Arial" w:cs="Arial"/>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nsid w:val="59457C74"/>
    <w:multiLevelType w:val="multilevel"/>
    <w:tmpl w:val="84F661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nsid w:val="62577DC8"/>
    <w:multiLevelType w:val="multilevel"/>
    <w:tmpl w:val="7DEE7390"/>
    <w:lvl w:ilvl="0">
      <w:start w:val="1"/>
      <w:numFmt w:val="bullet"/>
      <w:lvlText w:val="●"/>
      <w:lvlJc w:val="left"/>
      <w:pPr>
        <w:ind w:left="469" w:hanging="360"/>
      </w:pPr>
      <w:rPr>
        <w:rFonts w:ascii="Noto Sans Symbols" w:eastAsia="Noto Sans Symbols" w:hAnsi="Noto Sans Symbols" w:cs="Noto Sans Symbols"/>
        <w:color w:val="2F5496"/>
        <w:sz w:val="20"/>
        <w:szCs w:val="20"/>
      </w:rPr>
    </w:lvl>
    <w:lvl w:ilvl="1">
      <w:start w:val="1"/>
      <w:numFmt w:val="bullet"/>
      <w:lvlText w:val="•"/>
      <w:lvlJc w:val="left"/>
      <w:pPr>
        <w:ind w:left="713" w:hanging="360"/>
      </w:pPr>
    </w:lvl>
    <w:lvl w:ilvl="2">
      <w:start w:val="1"/>
      <w:numFmt w:val="bullet"/>
      <w:lvlText w:val="•"/>
      <w:lvlJc w:val="left"/>
      <w:pPr>
        <w:ind w:left="966" w:hanging="360"/>
      </w:pPr>
    </w:lvl>
    <w:lvl w:ilvl="3">
      <w:start w:val="1"/>
      <w:numFmt w:val="bullet"/>
      <w:lvlText w:val="•"/>
      <w:lvlJc w:val="left"/>
      <w:pPr>
        <w:ind w:left="1219" w:hanging="360"/>
      </w:pPr>
    </w:lvl>
    <w:lvl w:ilvl="4">
      <w:start w:val="1"/>
      <w:numFmt w:val="bullet"/>
      <w:lvlText w:val="•"/>
      <w:lvlJc w:val="left"/>
      <w:pPr>
        <w:ind w:left="1472" w:hanging="360"/>
      </w:pPr>
    </w:lvl>
    <w:lvl w:ilvl="5">
      <w:start w:val="1"/>
      <w:numFmt w:val="bullet"/>
      <w:lvlText w:val="•"/>
      <w:lvlJc w:val="left"/>
      <w:pPr>
        <w:ind w:left="1725" w:hanging="360"/>
      </w:pPr>
    </w:lvl>
    <w:lvl w:ilvl="6">
      <w:start w:val="1"/>
      <w:numFmt w:val="bullet"/>
      <w:lvlText w:val="•"/>
      <w:lvlJc w:val="left"/>
      <w:pPr>
        <w:ind w:left="1978" w:hanging="360"/>
      </w:pPr>
    </w:lvl>
    <w:lvl w:ilvl="7">
      <w:start w:val="1"/>
      <w:numFmt w:val="bullet"/>
      <w:lvlText w:val="•"/>
      <w:lvlJc w:val="left"/>
      <w:pPr>
        <w:ind w:left="2231" w:hanging="360"/>
      </w:pPr>
    </w:lvl>
    <w:lvl w:ilvl="8">
      <w:start w:val="1"/>
      <w:numFmt w:val="bullet"/>
      <w:lvlText w:val="•"/>
      <w:lvlJc w:val="left"/>
      <w:pPr>
        <w:ind w:left="2484" w:hanging="360"/>
      </w:pPr>
    </w:lvl>
  </w:abstractNum>
  <w:abstractNum w:abstractNumId="10">
    <w:nsid w:val="65D27BD3"/>
    <w:multiLevelType w:val="multilevel"/>
    <w:tmpl w:val="221E52DE"/>
    <w:lvl w:ilvl="0">
      <w:start w:val="1"/>
      <w:numFmt w:val="decimal"/>
      <w:lvlText w:val="%1."/>
      <w:lvlJc w:val="left"/>
      <w:pPr>
        <w:ind w:left="400" w:hanging="269"/>
      </w:pPr>
      <w:rPr>
        <w:rFonts w:ascii="Arial" w:eastAsia="Arial" w:hAnsi="Arial" w:cs="Arial"/>
        <w:b/>
        <w:bCs/>
        <w:sz w:val="24"/>
        <w:szCs w:val="24"/>
      </w:rPr>
    </w:lvl>
    <w:lvl w:ilvl="1">
      <w:start w:val="1"/>
      <w:numFmt w:val="bullet"/>
      <w:lvlText w:val="●"/>
      <w:lvlJc w:val="left"/>
      <w:pPr>
        <w:ind w:left="1120" w:hanging="360"/>
      </w:pPr>
      <w:rPr>
        <w:rFonts w:ascii="Noto Sans Symbols" w:eastAsia="Noto Sans Symbols" w:hAnsi="Noto Sans Symbols" w:cs="Noto Sans Symbols"/>
      </w:r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abstractNum w:abstractNumId="11">
    <w:nsid w:val="68DB54F0"/>
    <w:multiLevelType w:val="multilevel"/>
    <w:tmpl w:val="8F88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D825108"/>
    <w:multiLevelType w:val="multilevel"/>
    <w:tmpl w:val="D41CE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DC2719D"/>
    <w:multiLevelType w:val="multilevel"/>
    <w:tmpl w:val="B2FAC83A"/>
    <w:lvl w:ilvl="0">
      <w:start w:val="1"/>
      <w:numFmt w:val="bullet"/>
      <w:lvlText w:val="●"/>
      <w:lvlJc w:val="left"/>
      <w:pPr>
        <w:ind w:left="6930" w:hanging="360"/>
      </w:pPr>
      <w:rPr>
        <w:rFonts w:ascii="Noto Sans Symbols" w:eastAsia="Noto Sans Symbols" w:hAnsi="Noto Sans Symbols" w:cs="Noto Sans Symbols"/>
      </w:rPr>
    </w:lvl>
    <w:lvl w:ilvl="1">
      <w:start w:val="1"/>
      <w:numFmt w:val="bullet"/>
      <w:lvlText w:val="●"/>
      <w:lvlJc w:val="left"/>
      <w:pPr>
        <w:ind w:left="7290" w:hanging="360"/>
      </w:pPr>
      <w:rPr>
        <w:rFonts w:ascii="Noto Sans Symbols" w:eastAsia="Noto Sans Symbols" w:hAnsi="Noto Sans Symbols" w:cs="Noto Sans Symbols"/>
        <w:color w:val="2F5496"/>
        <w:sz w:val="20"/>
        <w:szCs w:val="20"/>
      </w:rPr>
    </w:lvl>
    <w:lvl w:ilvl="2">
      <w:start w:val="1"/>
      <w:numFmt w:val="bullet"/>
      <w:lvlText w:val="•"/>
      <w:lvlJc w:val="left"/>
      <w:pPr>
        <w:ind w:left="8443" w:hanging="360"/>
      </w:pPr>
    </w:lvl>
    <w:lvl w:ilvl="3">
      <w:start w:val="1"/>
      <w:numFmt w:val="bullet"/>
      <w:lvlText w:val="•"/>
      <w:lvlJc w:val="left"/>
      <w:pPr>
        <w:ind w:left="9596" w:hanging="360"/>
      </w:pPr>
    </w:lvl>
    <w:lvl w:ilvl="4">
      <w:start w:val="1"/>
      <w:numFmt w:val="bullet"/>
      <w:lvlText w:val="•"/>
      <w:lvlJc w:val="left"/>
      <w:pPr>
        <w:ind w:left="10750" w:hanging="360"/>
      </w:pPr>
    </w:lvl>
    <w:lvl w:ilvl="5">
      <w:start w:val="1"/>
      <w:numFmt w:val="bullet"/>
      <w:lvlText w:val="•"/>
      <w:lvlJc w:val="left"/>
      <w:pPr>
        <w:ind w:left="11903" w:hanging="360"/>
      </w:pPr>
    </w:lvl>
    <w:lvl w:ilvl="6">
      <w:start w:val="1"/>
      <w:numFmt w:val="bullet"/>
      <w:lvlText w:val="•"/>
      <w:lvlJc w:val="left"/>
      <w:pPr>
        <w:ind w:left="13056" w:hanging="360"/>
      </w:pPr>
    </w:lvl>
    <w:lvl w:ilvl="7">
      <w:start w:val="1"/>
      <w:numFmt w:val="bullet"/>
      <w:lvlText w:val="•"/>
      <w:lvlJc w:val="left"/>
      <w:pPr>
        <w:ind w:left="14210" w:hanging="360"/>
      </w:pPr>
    </w:lvl>
    <w:lvl w:ilvl="8">
      <w:start w:val="1"/>
      <w:numFmt w:val="bullet"/>
      <w:lvlText w:val="•"/>
      <w:lvlJc w:val="left"/>
      <w:pPr>
        <w:ind w:left="15363" w:hanging="360"/>
      </w:pPr>
    </w:lvl>
  </w:abstractNum>
  <w:abstractNum w:abstractNumId="14">
    <w:nsid w:val="74F93B48"/>
    <w:multiLevelType w:val="multilevel"/>
    <w:tmpl w:val="DBFE3162"/>
    <w:lvl w:ilvl="0">
      <w:start w:val="1"/>
      <w:numFmt w:val="lowerLetter"/>
      <w:lvlText w:val="(%1)"/>
      <w:lvlJc w:val="left"/>
      <w:pPr>
        <w:ind w:left="1839" w:hanging="720"/>
      </w:pPr>
      <w:rPr>
        <w:rFonts w:ascii="Arial" w:eastAsia="Arial" w:hAnsi="Arial" w:cs="Arial"/>
        <w:color w:val="2F5496"/>
        <w:sz w:val="22"/>
        <w:szCs w:val="22"/>
      </w:rPr>
    </w:lvl>
    <w:lvl w:ilvl="1">
      <w:start w:val="1"/>
      <w:numFmt w:val="bullet"/>
      <w:lvlText w:val="•"/>
      <w:lvlJc w:val="left"/>
      <w:pPr>
        <w:ind w:left="2806" w:hanging="720"/>
      </w:pPr>
    </w:lvl>
    <w:lvl w:ilvl="2">
      <w:start w:val="1"/>
      <w:numFmt w:val="bullet"/>
      <w:lvlText w:val="•"/>
      <w:lvlJc w:val="left"/>
      <w:pPr>
        <w:ind w:left="3772" w:hanging="720"/>
      </w:pPr>
    </w:lvl>
    <w:lvl w:ilvl="3">
      <w:start w:val="1"/>
      <w:numFmt w:val="bullet"/>
      <w:lvlText w:val="•"/>
      <w:lvlJc w:val="left"/>
      <w:pPr>
        <w:ind w:left="4738" w:hanging="720"/>
      </w:pPr>
    </w:lvl>
    <w:lvl w:ilvl="4">
      <w:start w:val="1"/>
      <w:numFmt w:val="bullet"/>
      <w:lvlText w:val="•"/>
      <w:lvlJc w:val="left"/>
      <w:pPr>
        <w:ind w:left="5704" w:hanging="720"/>
      </w:pPr>
    </w:lvl>
    <w:lvl w:ilvl="5">
      <w:start w:val="1"/>
      <w:numFmt w:val="bullet"/>
      <w:lvlText w:val="•"/>
      <w:lvlJc w:val="left"/>
      <w:pPr>
        <w:ind w:left="6670" w:hanging="720"/>
      </w:pPr>
    </w:lvl>
    <w:lvl w:ilvl="6">
      <w:start w:val="1"/>
      <w:numFmt w:val="bullet"/>
      <w:lvlText w:val="•"/>
      <w:lvlJc w:val="left"/>
      <w:pPr>
        <w:ind w:left="7636" w:hanging="720"/>
      </w:pPr>
    </w:lvl>
    <w:lvl w:ilvl="7">
      <w:start w:val="1"/>
      <w:numFmt w:val="bullet"/>
      <w:lvlText w:val="•"/>
      <w:lvlJc w:val="left"/>
      <w:pPr>
        <w:ind w:left="8602" w:hanging="720"/>
      </w:pPr>
    </w:lvl>
    <w:lvl w:ilvl="8">
      <w:start w:val="1"/>
      <w:numFmt w:val="bullet"/>
      <w:lvlText w:val="•"/>
      <w:lvlJc w:val="left"/>
      <w:pPr>
        <w:ind w:left="9568" w:hanging="720"/>
      </w:pPr>
    </w:lvl>
  </w:abstractNum>
  <w:abstractNum w:abstractNumId="15">
    <w:nsid w:val="77D162CB"/>
    <w:multiLevelType w:val="multilevel"/>
    <w:tmpl w:val="82103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8ED6FD2"/>
    <w:multiLevelType w:val="multilevel"/>
    <w:tmpl w:val="26DC2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B7457DE"/>
    <w:multiLevelType w:val="multilevel"/>
    <w:tmpl w:val="3F5E834A"/>
    <w:lvl w:ilvl="0">
      <w:start w:val="1"/>
      <w:numFmt w:val="bullet"/>
      <w:lvlText w:val="●"/>
      <w:lvlJc w:val="left"/>
      <w:pPr>
        <w:ind w:left="1120" w:hanging="360"/>
      </w:pPr>
      <w:rPr>
        <w:rFonts w:ascii="Noto Sans Symbols" w:eastAsia="Noto Sans Symbols" w:hAnsi="Noto Sans Symbols" w:cs="Noto Sans Symbols"/>
        <w:color w:val="2F5496"/>
        <w:sz w:val="20"/>
        <w:szCs w:val="20"/>
      </w:rPr>
    </w:lvl>
    <w:lvl w:ilvl="1">
      <w:start w:val="1"/>
      <w:numFmt w:val="bullet"/>
      <w:lvlText w:val="•"/>
      <w:lvlJc w:val="left"/>
      <w:pPr>
        <w:ind w:left="2158" w:hanging="360"/>
      </w:pPr>
    </w:lvl>
    <w:lvl w:ilvl="2">
      <w:start w:val="1"/>
      <w:numFmt w:val="bullet"/>
      <w:lvlText w:val="•"/>
      <w:lvlJc w:val="left"/>
      <w:pPr>
        <w:ind w:left="3196" w:hanging="360"/>
      </w:pPr>
    </w:lvl>
    <w:lvl w:ilvl="3">
      <w:start w:val="1"/>
      <w:numFmt w:val="bullet"/>
      <w:lvlText w:val="•"/>
      <w:lvlJc w:val="left"/>
      <w:pPr>
        <w:ind w:left="4234" w:hanging="360"/>
      </w:pPr>
    </w:lvl>
    <w:lvl w:ilvl="4">
      <w:start w:val="1"/>
      <w:numFmt w:val="bullet"/>
      <w:lvlText w:val="•"/>
      <w:lvlJc w:val="left"/>
      <w:pPr>
        <w:ind w:left="5272" w:hanging="360"/>
      </w:pPr>
    </w:lvl>
    <w:lvl w:ilvl="5">
      <w:start w:val="1"/>
      <w:numFmt w:val="bullet"/>
      <w:lvlText w:val="•"/>
      <w:lvlJc w:val="left"/>
      <w:pPr>
        <w:ind w:left="6310" w:hanging="360"/>
      </w:pPr>
    </w:lvl>
    <w:lvl w:ilvl="6">
      <w:start w:val="1"/>
      <w:numFmt w:val="bullet"/>
      <w:lvlText w:val="•"/>
      <w:lvlJc w:val="left"/>
      <w:pPr>
        <w:ind w:left="7348" w:hanging="360"/>
      </w:pPr>
    </w:lvl>
    <w:lvl w:ilvl="7">
      <w:start w:val="1"/>
      <w:numFmt w:val="bullet"/>
      <w:lvlText w:val="•"/>
      <w:lvlJc w:val="left"/>
      <w:pPr>
        <w:ind w:left="8386" w:hanging="360"/>
      </w:pPr>
    </w:lvl>
    <w:lvl w:ilvl="8">
      <w:start w:val="1"/>
      <w:numFmt w:val="bullet"/>
      <w:lvlText w:val="•"/>
      <w:lvlJc w:val="left"/>
      <w:pPr>
        <w:ind w:left="9424" w:hanging="360"/>
      </w:pPr>
    </w:lvl>
  </w:abstractNum>
  <w:num w:numId="1" w16cid:durableId="726563897">
    <w:abstractNumId w:val="0"/>
  </w:num>
  <w:num w:numId="2" w16cid:durableId="226233210">
    <w:abstractNumId w:val="3"/>
  </w:num>
  <w:num w:numId="3" w16cid:durableId="790244203">
    <w:abstractNumId w:val="2"/>
  </w:num>
  <w:num w:numId="4" w16cid:durableId="943339594">
    <w:abstractNumId w:val="17"/>
  </w:num>
  <w:num w:numId="5" w16cid:durableId="1479760951">
    <w:abstractNumId w:val="10"/>
  </w:num>
  <w:num w:numId="6" w16cid:durableId="239602645">
    <w:abstractNumId w:val="14"/>
  </w:num>
  <w:num w:numId="7" w16cid:durableId="32506536">
    <w:abstractNumId w:val="1"/>
  </w:num>
  <w:num w:numId="8" w16cid:durableId="712581363">
    <w:abstractNumId w:val="9"/>
  </w:num>
  <w:num w:numId="9" w16cid:durableId="388769606">
    <w:abstractNumId w:val="4"/>
  </w:num>
  <w:num w:numId="10" w16cid:durableId="213396773">
    <w:abstractNumId w:val="13"/>
  </w:num>
  <w:num w:numId="11" w16cid:durableId="18245389">
    <w:abstractNumId w:val="5"/>
  </w:num>
  <w:num w:numId="12" w16cid:durableId="102961389">
    <w:abstractNumId w:val="7"/>
  </w:num>
  <w:num w:numId="13" w16cid:durableId="1594319138">
    <w:abstractNumId w:val="8"/>
  </w:num>
  <w:num w:numId="14" w16cid:durableId="784422718">
    <w:abstractNumId w:val="11"/>
  </w:num>
  <w:num w:numId="15" w16cid:durableId="1841577340">
    <w:abstractNumId w:val="12"/>
  </w:num>
  <w:num w:numId="16" w16cid:durableId="487861283">
    <w:abstractNumId w:val="16"/>
  </w:num>
  <w:num w:numId="17" w16cid:durableId="2061634124">
    <w:abstractNumId w:val="15"/>
  </w:num>
  <w:num w:numId="18" w16cid:durableId="18871821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F9F"/>
    <w:rsid w:val="00103B29"/>
    <w:rsid w:val="001E2793"/>
    <w:rsid w:val="003619CD"/>
    <w:rsid w:val="00362065"/>
    <w:rsid w:val="003F443D"/>
    <w:rsid w:val="00417838"/>
    <w:rsid w:val="0043376D"/>
    <w:rsid w:val="0046154E"/>
    <w:rsid w:val="004E6C28"/>
    <w:rsid w:val="005428C8"/>
    <w:rsid w:val="005A6AFF"/>
    <w:rsid w:val="005B6428"/>
    <w:rsid w:val="005B6F5D"/>
    <w:rsid w:val="005D6B49"/>
    <w:rsid w:val="006B3C4F"/>
    <w:rsid w:val="00722CBD"/>
    <w:rsid w:val="007846D9"/>
    <w:rsid w:val="008010D3"/>
    <w:rsid w:val="008F3CD7"/>
    <w:rsid w:val="00916890"/>
    <w:rsid w:val="009231F6"/>
    <w:rsid w:val="00954183"/>
    <w:rsid w:val="00A60311"/>
    <w:rsid w:val="00A6202B"/>
    <w:rsid w:val="00A92AEA"/>
    <w:rsid w:val="00C144DE"/>
    <w:rsid w:val="00C55FC2"/>
    <w:rsid w:val="00C73870"/>
    <w:rsid w:val="00C845B7"/>
    <w:rsid w:val="00C919DE"/>
    <w:rsid w:val="00D04439"/>
    <w:rsid w:val="00D23CEB"/>
    <w:rsid w:val="00DB7C6A"/>
    <w:rsid w:val="00DC5F9F"/>
    <w:rsid w:val="00E275A4"/>
    <w:rsid w:val="00E64956"/>
    <w:rsid w:val="00E745DA"/>
    <w:rsid w:val="00F64141"/>
    <w:rsid w:val="00F9690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2569ED0"/>
  <w15:docId w15:val="{CA60EBD2-9755-4F63-BD40-3614C98E7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uiPriority w:val="9"/>
    <w:qFormat/>
    <w:pPr>
      <w:spacing w:before="80"/>
      <w:ind w:left="400"/>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pPr>
      <w:spacing w:before="161"/>
      <w:ind w:left="400"/>
    </w:pPr>
  </w:style>
  <w:style w:type="paragraph" w:styleId="ListParagraph">
    <w:name w:val="List Paragraph"/>
    <w:basedOn w:val="Normal"/>
    <w:uiPriority w:val="1"/>
    <w:qFormat/>
    <w:pPr>
      <w:spacing w:before="161"/>
      <w:ind w:left="1120"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D1431"/>
    <w:rPr>
      <w:sz w:val="16"/>
      <w:szCs w:val="16"/>
    </w:rPr>
  </w:style>
  <w:style w:type="paragraph" w:styleId="CommentText">
    <w:name w:val="annotation text"/>
    <w:basedOn w:val="Normal"/>
    <w:link w:val="CommentTextChar"/>
    <w:uiPriority w:val="99"/>
    <w:semiHidden/>
    <w:unhideWhenUsed/>
    <w:rsid w:val="00AD1431"/>
    <w:pPr>
      <w:widowControl/>
      <w:spacing w:after="149"/>
      <w:ind w:left="426" w:hanging="10"/>
    </w:pPr>
    <w:rPr>
      <w:color w:val="2E5395"/>
      <w:sz w:val="20"/>
      <w:szCs w:val="20"/>
    </w:rPr>
  </w:style>
  <w:style w:type="character" w:customStyle="1" w:styleId="CommentTextChar">
    <w:name w:val="Comment Text Char"/>
    <w:basedOn w:val="DefaultParagraphFont"/>
    <w:link w:val="CommentText"/>
    <w:uiPriority w:val="99"/>
    <w:semiHidden/>
    <w:rsid w:val="00AD1431"/>
    <w:rPr>
      <w:rFonts w:ascii="Arial" w:eastAsia="Arial" w:hAnsi="Arial" w:cs="Arial"/>
      <w:color w:val="2E5395"/>
      <w:sz w:val="20"/>
      <w:szCs w:val="20"/>
    </w:rPr>
  </w:style>
  <w:style w:type="paragraph" w:styleId="BalloonText">
    <w:name w:val="Balloon Text"/>
    <w:basedOn w:val="Normal"/>
    <w:link w:val="BalloonTextChar"/>
    <w:uiPriority w:val="99"/>
    <w:semiHidden/>
    <w:unhideWhenUsed/>
    <w:rsid w:val="00AD14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431"/>
    <w:rPr>
      <w:rFonts w:ascii="Segoe UI" w:eastAsia="Arial" w:hAnsi="Segoe UI" w:cs="Segoe UI"/>
      <w:sz w:val="18"/>
      <w:szCs w:val="18"/>
      <w:lang w:bidi="en-US"/>
    </w:rPr>
  </w:style>
  <w:style w:type="paragraph" w:styleId="Header">
    <w:name w:val="header"/>
    <w:basedOn w:val="Normal"/>
    <w:link w:val="HeaderChar"/>
    <w:uiPriority w:val="99"/>
    <w:unhideWhenUsed/>
    <w:rsid w:val="00F27520"/>
    <w:pPr>
      <w:tabs>
        <w:tab w:val="center" w:pos="4680"/>
        <w:tab w:val="right" w:pos="9360"/>
      </w:tabs>
    </w:pPr>
  </w:style>
  <w:style w:type="character" w:customStyle="1" w:styleId="HeaderChar">
    <w:name w:val="Header Char"/>
    <w:basedOn w:val="DefaultParagraphFont"/>
    <w:link w:val="Header"/>
    <w:uiPriority w:val="99"/>
    <w:rsid w:val="00F27520"/>
  </w:style>
  <w:style w:type="paragraph" w:styleId="Footer">
    <w:name w:val="footer"/>
    <w:basedOn w:val="Normal"/>
    <w:link w:val="FooterChar"/>
    <w:uiPriority w:val="99"/>
    <w:unhideWhenUsed/>
    <w:rsid w:val="00F27520"/>
    <w:pPr>
      <w:tabs>
        <w:tab w:val="center" w:pos="4680"/>
        <w:tab w:val="right" w:pos="9360"/>
      </w:tabs>
    </w:pPr>
  </w:style>
  <w:style w:type="character" w:customStyle="1" w:styleId="FooterChar">
    <w:name w:val="Footer Char"/>
    <w:basedOn w:val="DefaultParagraphFont"/>
    <w:link w:val="Footer"/>
    <w:uiPriority w:val="99"/>
    <w:rsid w:val="00F27520"/>
  </w:style>
  <w:style w:type="character" w:styleId="Hyperlink">
    <w:name w:val="Hyperlink"/>
    <w:basedOn w:val="DefaultParagraphFont"/>
    <w:uiPriority w:val="99"/>
    <w:unhideWhenUsed/>
    <w:rsid w:val="00F0299B"/>
    <w:rPr>
      <w:color w:val="0000FF" w:themeColor="hyperlink"/>
      <w:u w:val="single"/>
    </w:rPr>
  </w:style>
  <w:style w:type="character" w:styleId="FollowedHyperlink">
    <w:name w:val="FollowedHyperlink"/>
    <w:basedOn w:val="DefaultParagraphFont"/>
    <w:uiPriority w:val="99"/>
    <w:semiHidden/>
    <w:unhideWhenUsed/>
    <w:rsid w:val="00F0299B"/>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name w:val="a"/>
    <w:basedOn w:val="TableNormal"/>
    <w:tblPr>
      <w:tblStyleRowBandSize w:val="1"/>
      <w:tblStyleColBandSize w:val="1"/>
      <w:tblCellMar>
        <w:left w:w="0" w:type="dxa"/>
        <w:right w:w="0" w:type="dxa"/>
      </w:tblCellMar>
    </w:tblPr>
  </w:style>
  <w:style w:type="table" w:customStyle="1" w:styleId="a0">
    <w:name w:val="a0"/>
    <w:basedOn w:val="TableNormal"/>
    <w:tblPr>
      <w:tblStyleRowBandSize w:val="1"/>
      <w:tblStyleColBandSize w:val="1"/>
      <w:tblCellMar>
        <w:left w:w="115" w:type="dxa"/>
        <w:right w:w="115" w:type="dxa"/>
      </w:tblCellMar>
    </w:tblPr>
  </w:style>
  <w:style w:type="table" w:customStyle="1" w:styleId="a1">
    <w:name w:val="a1"/>
    <w:basedOn w:val="TableNormal"/>
    <w:tblPr>
      <w:tblStyleRowBandSize w:val="1"/>
      <w:tblStyleColBandSize w:val="1"/>
      <w:tblCellMar>
        <w:left w:w="115" w:type="dxa"/>
        <w:right w:w="115" w:type="dxa"/>
      </w:tblCellMar>
    </w:tblPr>
  </w:style>
  <w:style w:type="table" w:customStyle="1" w:styleId="a2">
    <w:name w:val="a2"/>
    <w:basedOn w:val="TableNormal"/>
    <w:tblPr>
      <w:tblStyleRowBandSize w:val="1"/>
      <w:tblStyleColBandSize w:val="1"/>
      <w:tblCellMar>
        <w:left w:w="115" w:type="dxa"/>
        <w:right w:w="115" w:type="dxa"/>
      </w:tblCellMar>
    </w:tblPr>
  </w:style>
  <w:style w:type="table" w:customStyle="1" w:styleId="a3">
    <w:name w:val="a3"/>
    <w:basedOn w:val="TableNormal"/>
    <w:tblPr>
      <w:tblStyleRowBandSize w:val="1"/>
      <w:tblStyleColBandSize w:val="1"/>
      <w:tblCellMar>
        <w:left w:w="115" w:type="dxa"/>
        <w:right w:w="115" w:type="dxa"/>
      </w:tblCellMar>
    </w:tblPr>
  </w:style>
  <w:style w:type="table" w:customStyle="1" w:styleId="a4">
    <w:name w:val="a4"/>
    <w:basedOn w:val="TableNormal"/>
    <w:tblPr>
      <w:tblStyleRowBandSize w:val="1"/>
      <w:tblStyleColBandSize w:val="1"/>
    </w:tblPr>
  </w:style>
  <w:style w:type="table" w:customStyle="1" w:styleId="a5">
    <w:name w:val="a5"/>
    <w:basedOn w:val="TableNormal"/>
    <w:tblPr>
      <w:tblStyleRowBandSize w:val="1"/>
      <w:tblStyleColBandSize w:val="1"/>
      <w:tblCellMar>
        <w:left w:w="0" w:type="dxa"/>
        <w:right w:w="0" w:type="dxa"/>
      </w:tblCellMar>
    </w:tblPr>
  </w:style>
  <w:style w:type="paragraph" w:styleId="NormalWeb">
    <w:name w:val="Normal (Web)"/>
    <w:basedOn w:val="Normal"/>
    <w:uiPriority w:val="99"/>
    <w:semiHidden/>
    <w:unhideWhenUsed/>
    <w:rsid w:val="005428C8"/>
    <w:pPr>
      <w:widowControl/>
      <w:spacing w:before="100" w:beforeAutospacing="1" w:after="100" w:afterAutospacing="1"/>
    </w:pPr>
  </w:style>
  <w:style w:type="paragraph" w:styleId="FootnoteText">
    <w:name w:val="footnote text"/>
    <w:basedOn w:val="Normal"/>
    <w:link w:val="FootnoteTextChar"/>
    <w:uiPriority w:val="99"/>
    <w:semiHidden/>
    <w:unhideWhenUsed/>
    <w:rsid w:val="00E275A4"/>
    <w:rPr>
      <w:sz w:val="20"/>
      <w:szCs w:val="20"/>
    </w:rPr>
  </w:style>
  <w:style w:type="character" w:customStyle="1" w:styleId="FootnoteTextChar">
    <w:name w:val="Footnote Text Char"/>
    <w:basedOn w:val="DefaultParagraphFont"/>
    <w:link w:val="FootnoteText"/>
    <w:uiPriority w:val="99"/>
    <w:semiHidden/>
    <w:rsid w:val="00E275A4"/>
    <w:rPr>
      <w:sz w:val="20"/>
      <w:szCs w:val="20"/>
    </w:rPr>
  </w:style>
  <w:style w:type="character" w:styleId="FootnoteReference">
    <w:name w:val="footnote reference"/>
    <w:basedOn w:val="DefaultParagraphFont"/>
    <w:uiPriority w:val="99"/>
    <w:semiHidden/>
    <w:unhideWhenUsed/>
    <w:rsid w:val="00E275A4"/>
    <w:rPr>
      <w:vertAlign w:val="superscript"/>
    </w:rPr>
  </w:style>
  <w:style w:type="character" w:styleId="UnresolvedMention">
    <w:name w:val="Unresolved Mention"/>
    <w:basedOn w:val="DefaultParagraphFont"/>
    <w:uiPriority w:val="99"/>
    <w:semiHidden/>
    <w:unhideWhenUsed/>
    <w:rsid w:val="001E27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darrp.noaa.gov/" TargetMode="External" /><Relationship Id="rId11" Type="http://schemas.openxmlformats.org/officeDocument/2006/relationships/footer" Target="footer1.xml" /><Relationship Id="rId12" Type="http://schemas.openxmlformats.org/officeDocument/2006/relationships/hyperlink" Target="https://www.bls.gov/oes/current/oes_nat.htm" TargetMode="External" /><Relationship Id="rId13" Type="http://schemas.openxmlformats.org/officeDocument/2006/relationships/hyperlink" Target="http://www.gpo.gov/fdsys/pkg/CFR-2014-title5-vol3/pdf/CFR-2014-title5-vol3-sec1320-9.pdf" TargetMode="External" /><Relationship Id="rId14" Type="http://schemas.openxmlformats.org/officeDocument/2006/relationships/hyperlink" Target="http://www.gpo.gov/fdsys/pkg/CFR-2014-title5-vol3/pdf/CFR-2014-title5-vol3-sec1320-8.pdf" TargetMode="Externa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www.gulfspillrestoration.noaa.gov/" TargetMode="External" /><Relationship Id="rId8" Type="http://schemas.openxmlformats.org/officeDocument/2006/relationships/hyperlink" Target="http://www.darrp.noaa.gov/" TargetMode="External" /><Relationship Id="rId9" Type="http://schemas.openxmlformats.org/officeDocument/2006/relationships/hyperlink" Target="http://www.fws.gov/informationquality/section515.html" TargetMode="Externa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0X+Rgwo6KWsEiVmTPx4tTOz3gw==">CgMxLjAyCGguZ2pkZ3hzOAByITF2d0x5V2xXM0pkNTI3MGcxN0tHcGVUQzVyZlZhMjZnZw==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03FE255-600B-41EF-A634-88354C457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9</Pages>
  <Words>3438</Words>
  <Characters>19602</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NOAA Fisheries - HQ</Company>
  <LinksUpToDate>false</LinksUpToDate>
  <CharactersWithSpaces>22995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Dumas, Sheleen (Federal)</dc:creator>
  <cp:lastModifiedBy>Adrienne.Thomas</cp:lastModifiedBy>
  <cp:revision>4</cp:revision>
  <dcterms:created xsi:type="dcterms:W3CDTF">2026-10-06T16:49:00Z</dcterms:created>
  <dcterms:modified xsi:type="dcterms:W3CDTF">2026-10-06T17:49:00Z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2020-05-06T00:00:00Z</vt:filetime>
  </property>
  <property fmtid="{D5CDD505-2E9C-101B-9397-08002B2CF9AE}" pid="3" name="Creator">
    <vt:lpwstr>Acrobat PDFMaker 17 for Word</vt:lpwstr>
  </property>
  <property fmtid="{D5CDD505-2E9C-101B-9397-08002B2CF9AE}" pid="4" name="LastSaved">
    <vt:filetime>2020-05-07T00:00:00Z</vt:filetime>
  </property>
</Properties>
</file>