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E61FA" w:rsidP="00E52AB4" w14:paraId="296CB4A3" w14:textId="77777777">
      <w:pPr>
        <w:jc w:val="center"/>
      </w:pPr>
      <w:r>
        <w:t>UNITED STATES FOOD &amp; DRUG ADMINISTRATION</w:t>
      </w:r>
    </w:p>
    <w:p w:rsidR="001E61FA" w:rsidP="00533216" w14:paraId="1005906E" w14:textId="77777777">
      <w:pPr>
        <w:jc w:val="center"/>
      </w:pPr>
    </w:p>
    <w:p w:rsidR="00357C8A" w:rsidRPr="006F5C81" w:rsidP="00533216" w14:paraId="6B05ED51" w14:textId="4A5A94A6">
      <w:pPr>
        <w:jc w:val="center"/>
      </w:pPr>
      <w:r w:rsidRPr="00215134">
        <w:t xml:space="preserve">Infant Formula </w:t>
      </w:r>
      <w:r w:rsidR="005A71D9">
        <w:t>Requirements</w:t>
      </w:r>
    </w:p>
    <w:p w:rsidR="00357C8A" w:rsidP="00357C8A" w14:paraId="5D6E3F40" w14:textId="77777777">
      <w:pPr>
        <w:jc w:val="center"/>
        <w:rPr>
          <w:rFonts w:eastAsia="Calibri"/>
        </w:rPr>
      </w:pPr>
    </w:p>
    <w:p w:rsidR="00357C8A" w:rsidRPr="005264C6" w:rsidP="00357C8A" w14:paraId="697D59C8" w14:textId="3E4AA7CF">
      <w:pPr>
        <w:jc w:val="center"/>
        <w:rPr>
          <w:rFonts w:eastAsia="Calibri"/>
        </w:rPr>
      </w:pPr>
      <w:r w:rsidRPr="00C10583">
        <w:rPr>
          <w:rFonts w:eastAsia="Calibri"/>
          <w:u w:val="single"/>
        </w:rPr>
        <w:t>OMB Control No. 0910-</w:t>
      </w:r>
      <w:r w:rsidRPr="00C10583" w:rsidR="00B747B0">
        <w:rPr>
          <w:rFonts w:eastAsia="Calibri"/>
          <w:u w:val="single"/>
        </w:rPr>
        <w:t>0</w:t>
      </w:r>
      <w:r w:rsidRPr="00C10583" w:rsidR="005A71D9">
        <w:rPr>
          <w:rFonts w:eastAsia="Calibri"/>
          <w:u w:val="single"/>
        </w:rPr>
        <w:t>256</w:t>
      </w:r>
      <w:r w:rsidR="005264C6">
        <w:rPr>
          <w:rFonts w:eastAsia="Calibri"/>
        </w:rPr>
        <w:t xml:space="preserve"> – Revision</w:t>
      </w:r>
    </w:p>
    <w:p w:rsidR="002D277D" w:rsidP="000D79CC" w14:paraId="7A9AFB14" w14:textId="77777777">
      <w:pPr>
        <w:rPr>
          <w:rFonts w:eastAsia="Calibri"/>
        </w:rPr>
      </w:pPr>
    </w:p>
    <w:p w:rsidR="00697965" w:rsidP="007C5658" w14:paraId="1CE78DA5" w14:textId="1967915A">
      <w:pPr>
        <w:jc w:val="center"/>
        <w:rPr>
          <w:rFonts w:eastAsia="Calibri"/>
        </w:rPr>
      </w:pPr>
      <w:r w:rsidRPr="00357C8A">
        <w:rPr>
          <w:rFonts w:eastAsia="Calibri"/>
        </w:rPr>
        <w:t>SUPPORTING STATEMENT</w:t>
      </w:r>
      <w:r w:rsidR="00C852D7">
        <w:rPr>
          <w:rFonts w:eastAsia="Calibri"/>
        </w:rPr>
        <w:t xml:space="preserve"> </w:t>
      </w:r>
    </w:p>
    <w:p w:rsidR="00697965" w:rsidP="000D79CC" w14:paraId="6EDD3854" w14:textId="77777777">
      <w:pPr>
        <w:rPr>
          <w:rFonts w:eastAsia="Calibri"/>
        </w:rPr>
      </w:pPr>
    </w:p>
    <w:p w:rsidR="00357C8A" w:rsidP="000D79CC" w14:paraId="5B7EFA3B" w14:textId="05B0E8BC">
      <w:pPr>
        <w:rPr>
          <w:rFonts w:eastAsia="Calibri"/>
        </w:rPr>
      </w:pPr>
      <w:r w:rsidRPr="00357C8A">
        <w:rPr>
          <w:rFonts w:eastAsia="Calibri"/>
          <w:b/>
        </w:rPr>
        <w:t>Part A:  Justification</w:t>
      </w:r>
      <w:r w:rsidRPr="00357C8A">
        <w:rPr>
          <w:rFonts w:eastAsia="Calibri"/>
        </w:rPr>
        <w:t>:</w:t>
      </w:r>
    </w:p>
    <w:p w:rsidR="000D79CC" w:rsidRPr="00357C8A" w:rsidP="000D79CC" w14:paraId="31528273" w14:textId="77777777">
      <w:pPr>
        <w:rPr>
          <w:rFonts w:eastAsia="Calibri"/>
        </w:rPr>
      </w:pPr>
    </w:p>
    <w:p w:rsidR="00357C8A" w:rsidRPr="00357C8A" w:rsidP="006705EA" w14:paraId="45634786" w14:textId="7259D68B">
      <w:pPr>
        <w:numPr>
          <w:ilvl w:val="0"/>
          <w:numId w:val="6"/>
        </w:numPr>
        <w:spacing w:after="200" w:line="276" w:lineRule="auto"/>
        <w:rPr>
          <w:rFonts w:eastAsia="Calibri"/>
        </w:rPr>
      </w:pPr>
      <w:r w:rsidRPr="00357C8A">
        <w:rPr>
          <w:rFonts w:eastAsia="Calibri"/>
          <w:u w:val="single"/>
        </w:rPr>
        <w:t>Circumstances Making the Collection of Information Necessary</w:t>
      </w:r>
    </w:p>
    <w:p w:rsidR="002A73B3" w:rsidRPr="002A73B3" w:rsidP="002A73B3" w14:paraId="24C6BD58" w14:textId="46A68E4E">
      <w:pPr>
        <w:rPr>
          <w:rFonts w:eastAsia="Calibri"/>
        </w:rPr>
      </w:pPr>
      <w:r w:rsidRPr="002A73B3">
        <w:rPr>
          <w:rFonts w:eastAsia="Calibri"/>
        </w:rPr>
        <w:t>This information collection supports</w:t>
      </w:r>
      <w:r w:rsidR="00D848BD">
        <w:rPr>
          <w:rFonts w:eastAsia="Calibri"/>
        </w:rPr>
        <w:t xml:space="preserve"> </w:t>
      </w:r>
      <w:r w:rsidRPr="002A73B3">
        <w:rPr>
          <w:rFonts w:eastAsia="Calibri"/>
        </w:rPr>
        <w:t>FDA regulations, and associated forms and guidance, pertaining to infant formula requirements.  Statutory provisions for infant formula under the Federal Food, Drug, and Cosmetic Act (the FD&amp;C Act) were enacted to protect the health of infants and include specific current good manufacturing practice (CGMP), labeling (disclosure), and a number of reporting and recordkeeping requirements.  Section 412 of the FD&amp;C Act (21 U.S.C. 350a) requires manufacturers of infant formula to establish and document the adher</w:t>
      </w:r>
      <w:r w:rsidRPr="002A73B3">
        <w:rPr>
          <w:rFonts w:eastAsia="Calibri"/>
        </w:rPr>
        <w:t xml:space="preserve">ence to quality control procedures, notify FDA when a batch of infant formula that has left the manufacturers’ control may be adulterated or misbranded, and keep records of infant formula distribution.  Notification requirements are also included in the regulations regarding the quantitative formulation of the infant formula; a description of any reformulation or change in processing; assurances that the formula will not be marketed until regulatory requirements are met as demonstrated by specific testing; </w:t>
      </w:r>
      <w:r w:rsidRPr="002A73B3">
        <w:rPr>
          <w:rFonts w:eastAsia="Calibri"/>
        </w:rPr>
        <w:t xml:space="preserve">and assurances that manufacturing processes comply with the regulations.  The regulations are found in 21 CFR part 106:  </w:t>
      </w:r>
      <w:r w:rsidRPr="00606221">
        <w:rPr>
          <w:rFonts w:eastAsia="Calibri"/>
          <w:i/>
          <w:iCs/>
        </w:rPr>
        <w:t>Infant Formula Requirements Pertaining to Current Good Manufacturing Practice, Quality Control Procedures, Quality Factors, Records and Reports, and Notifications</w:t>
      </w:r>
      <w:r w:rsidRPr="002A73B3">
        <w:rPr>
          <w:rFonts w:eastAsia="Calibri"/>
        </w:rPr>
        <w:t xml:space="preserve">; and 21 CFR part 107: </w:t>
      </w:r>
      <w:r w:rsidRPr="00606221">
        <w:rPr>
          <w:rFonts w:eastAsia="Calibri"/>
          <w:i/>
          <w:iCs/>
        </w:rPr>
        <w:t>Infant Formula</w:t>
      </w:r>
      <w:r w:rsidRPr="002A73B3">
        <w:rPr>
          <w:rFonts w:eastAsia="Calibri"/>
        </w:rPr>
        <w:t xml:space="preserve">.  </w:t>
      </w:r>
    </w:p>
    <w:p w:rsidR="002A73B3" w:rsidP="002A73B3" w14:paraId="34947BDB" w14:textId="77777777">
      <w:pPr>
        <w:rPr>
          <w:rFonts w:eastAsia="Calibri"/>
        </w:rPr>
      </w:pPr>
    </w:p>
    <w:p w:rsidR="008D7B36" w:rsidP="008D7B36" w14:paraId="690C3EA2" w14:textId="50964861">
      <w:pPr>
        <w:rPr>
          <w:rFonts w:eastAsia="Calibri"/>
        </w:rPr>
      </w:pPr>
      <w:r>
        <w:rPr>
          <w:rFonts w:eastAsia="Calibri"/>
        </w:rPr>
        <w:t xml:space="preserve">The information collection also includes </w:t>
      </w:r>
      <w:r w:rsidR="00190DCF">
        <w:rPr>
          <w:rFonts w:eastAsia="Calibri"/>
        </w:rPr>
        <w:t xml:space="preserve">requirements </w:t>
      </w:r>
      <w:r w:rsidR="006B6882">
        <w:rPr>
          <w:rFonts w:eastAsia="Calibri"/>
        </w:rPr>
        <w:t>in 21 CFR pa</w:t>
      </w:r>
      <w:r w:rsidR="00517540">
        <w:rPr>
          <w:rFonts w:eastAsia="Calibri"/>
        </w:rPr>
        <w:t>r</w:t>
      </w:r>
      <w:r w:rsidR="006B6882">
        <w:rPr>
          <w:rFonts w:eastAsia="Calibri"/>
        </w:rPr>
        <w:t xml:space="preserve">t 107, subpart </w:t>
      </w:r>
      <w:r w:rsidR="00517540">
        <w:rPr>
          <w:rFonts w:eastAsia="Calibri"/>
        </w:rPr>
        <w:t>E – Recalls (21 CFR 107.200 through 107.280)</w:t>
      </w:r>
      <w:r w:rsidR="00106C6A">
        <w:rPr>
          <w:rFonts w:eastAsia="Calibri"/>
        </w:rPr>
        <w:t>.</w:t>
      </w:r>
      <w:r w:rsidR="00543E76">
        <w:rPr>
          <w:rFonts w:eastAsia="Calibri"/>
        </w:rPr>
        <w:t xml:space="preserve">  </w:t>
      </w:r>
      <w:r w:rsidRPr="008D7B36" w:rsidR="007E0E62">
        <w:rPr>
          <w:rFonts w:eastAsia="Calibri"/>
        </w:rPr>
        <w:t>B</w:t>
      </w:r>
      <w:r w:rsidRPr="008D7B36" w:rsidR="007E0E62">
        <w:rPr>
          <w:rFonts w:eastAsia="Calibri"/>
        </w:rPr>
        <w:t>efore terminating a recall, recalling firms are required to submit a recommendation for termination of the recall to the appropriate FDA district office and wait for written FDA concurrence (§ 107.250).  Where the recall strategy or implementation is determined to be deficient, FDA may require the firm to change the extent of the recall, carry out additional effectiveness checks, and issue additional notifications (§ 107.260).  Finally, to facilitate identifying the location of the product being recalled, t</w:t>
      </w:r>
      <w:r w:rsidRPr="008D7B36" w:rsidR="007E0E62">
        <w:rPr>
          <w:rFonts w:eastAsia="Calibri"/>
        </w:rPr>
        <w:t>he recalling firm is required to maintain distribution records for at least 1 year after the expiration of the shelf life of the infant formula (§</w:t>
      </w:r>
      <w:r w:rsidR="00C517A1">
        <w:rPr>
          <w:rFonts w:eastAsia="Calibri"/>
        </w:rPr>
        <w:t> </w:t>
      </w:r>
      <w:r w:rsidRPr="008D7B36" w:rsidR="007E0E62">
        <w:rPr>
          <w:rFonts w:eastAsia="Calibri"/>
        </w:rPr>
        <w:t>107.280).</w:t>
      </w:r>
    </w:p>
    <w:p w:rsidR="009E2B44" w:rsidP="008D7B36" w14:paraId="460228D5" w14:textId="77777777">
      <w:pPr>
        <w:rPr>
          <w:rFonts w:eastAsia="Calibri"/>
        </w:rPr>
      </w:pPr>
    </w:p>
    <w:p w:rsidR="009E2B44" w:rsidRPr="009E2B44" w:rsidP="009E2B44" w14:paraId="74D26D91" w14:textId="62F0DED1">
      <w:pPr>
        <w:rPr>
          <w:rFonts w:eastAsia="Calibri"/>
        </w:rPr>
      </w:pPr>
      <w:r w:rsidRPr="009E2B44">
        <w:rPr>
          <w:rFonts w:eastAsia="Calibri"/>
        </w:rPr>
        <w:t xml:space="preserve">In December 2022, continuing efforts to protect infants and improve formula supply, the </w:t>
      </w:r>
      <w:r w:rsidRPr="009E2B44">
        <w:rPr>
          <w:rFonts w:eastAsia="Calibri"/>
          <w:i/>
          <w:iCs/>
        </w:rPr>
        <w:t>Consolidated Appropriations Act, 2023</w:t>
      </w:r>
      <w:r w:rsidRPr="009E2B44">
        <w:rPr>
          <w:rFonts w:eastAsia="Calibri"/>
        </w:rPr>
        <w:t xml:space="preserve"> (Pub. Law 117-328) – Sec. 3401 provided for premarket submissions to FDA to address shortages.  Specifically, at section 3401(g)(5), the statute provides for guidance regarding information sponsors may consider including in</w:t>
      </w:r>
      <w:r>
        <w:rPr>
          <w:rFonts w:eastAsia="Calibri"/>
        </w:rPr>
        <w:t xml:space="preserve"> </w:t>
      </w:r>
      <w:r w:rsidRPr="009E2B44">
        <w:rPr>
          <w:rFonts w:eastAsia="Calibri"/>
        </w:rPr>
        <w:t xml:space="preserve">submissions as required under section 412 of the FD&amp;C Act.  Currently we communicate on our website at </w:t>
      </w:r>
      <w:hyperlink r:id="rId4" w:anchor="export" w:history="1">
        <w:r w:rsidRPr="009E2B44">
          <w:rPr>
            <w:rStyle w:val="Hyperlink"/>
            <w:rFonts w:eastAsia="Calibri"/>
          </w:rPr>
          <w:t>https://www.fda.gov/food/infant-formula-guidance-documents-regulatory-information/regulations-and-information-manufacture-and-distribution-infant-formula#export</w:t>
        </w:r>
      </w:hyperlink>
      <w:r w:rsidRPr="009E2B44">
        <w:rPr>
          <w:rFonts w:eastAsia="Calibri"/>
        </w:rPr>
        <w:t>, that persons responsible for the manufacture or distribution of infant formula will be able to submit their registration and submission of information electronically in the future.</w:t>
      </w:r>
      <w:r w:rsidR="00436419">
        <w:rPr>
          <w:rFonts w:eastAsia="Calibri"/>
        </w:rPr>
        <w:t xml:space="preserve">  We </w:t>
      </w:r>
      <w:r w:rsidRPr="009E2B44">
        <w:rPr>
          <w:rFonts w:eastAsia="Calibri"/>
        </w:rPr>
        <w:t xml:space="preserve">developed the </w:t>
      </w:r>
      <w:r w:rsidRPr="009E2B44">
        <w:rPr>
          <w:rFonts w:eastAsia="Calibri"/>
        </w:rPr>
        <w:t>draft guidance document entitled, “</w:t>
      </w:r>
      <w:r w:rsidRPr="009E2B44">
        <w:rPr>
          <w:rFonts w:eastAsia="Calibri"/>
          <w:i/>
          <w:iCs/>
        </w:rPr>
        <w:t>Notifying the Food and Drug Administration of a Permanent Discontinuance in the Manufacture or an Interruption of the Manufacture of an Infant Formula</w:t>
      </w:r>
      <w:r w:rsidRPr="009E2B44">
        <w:rPr>
          <w:rFonts w:eastAsia="Calibri"/>
        </w:rPr>
        <w:t>,” (</w:t>
      </w:r>
      <w:r w:rsidRPr="009E2B44">
        <w:rPr>
          <w:rFonts w:eastAsia="Calibri"/>
          <w:i/>
          <w:iCs/>
        </w:rPr>
        <w:t>Shortages Guidance</w:t>
      </w:r>
      <w:r w:rsidRPr="009E2B44">
        <w:rPr>
          <w:rFonts w:eastAsia="Calibri"/>
        </w:rPr>
        <w:t xml:space="preserve">) (December 2024) and are inviting public comment under both our Good Guidance Practice regulations in 21 CFR 10.115, as well as the PRA provisions in 5 CFR 1320.8(d).  See </w:t>
      </w:r>
      <w:hyperlink r:id="rId5" w:history="1">
        <w:r w:rsidRPr="009E2B44">
          <w:rPr>
            <w:rStyle w:val="Hyperlink"/>
            <w:rFonts w:eastAsia="Calibri"/>
          </w:rPr>
          <w:t>89 FR 96261</w:t>
        </w:r>
      </w:hyperlink>
      <w:r w:rsidRPr="009E2B44">
        <w:rPr>
          <w:rFonts w:eastAsia="Calibri"/>
        </w:rPr>
        <w:t xml:space="preserve">.  </w:t>
      </w:r>
    </w:p>
    <w:p w:rsidR="009E2B44" w:rsidRPr="009E2B44" w:rsidP="009E2B44" w14:paraId="47C25CCB" w14:textId="77777777">
      <w:pPr>
        <w:rPr>
          <w:rFonts w:eastAsia="Calibri"/>
        </w:rPr>
      </w:pPr>
    </w:p>
    <w:p w:rsidR="003731EC" w:rsidRPr="00586B59" w:rsidP="00586B59" w14:paraId="7AD589B0" w14:textId="0EEEBF42">
      <w:pPr>
        <w:pStyle w:val="BodyText"/>
        <w:ind w:right="202"/>
      </w:pPr>
      <w:r>
        <w:t xml:space="preserve">The information collection also includes recommended activity discussed in the </w:t>
      </w:r>
      <w:r w:rsidR="000A3F2F">
        <w:t>guidance document, “</w:t>
      </w:r>
      <w:r w:rsidRPr="00436419" w:rsidR="000A3F2F">
        <w:rPr>
          <w:i/>
          <w:iCs/>
        </w:rPr>
        <w:t>Protein Efficiency Ratio (PER) Rat Bioassay Studies to Demonstrate That a New Infant Formula Supports the Quality Factor of Sufficient Biological Quality of Protein</w:t>
      </w:r>
      <w:r w:rsidR="000A3F2F">
        <w:t>” among the related supporting material for the information collection.  Specifically, regulations in 21 CFR 106.96(f) describe how an infant formula manufacturer must demonstrate that a formula meets the PER quality factor criteria.  We developed the guidance document to help manufacturers and laboratories in the design, conduct, evaluation, and reporting of PER studies.  The guidance is intended to explain how the PER study can be used to provide assurance that a new infant formula complies with current requirements, however we have made no adjustment to our currently approved burden estimate believing this task already falls within the scope of activity</w:t>
      </w:r>
      <w:r w:rsidR="00586B59">
        <w:t>.</w:t>
      </w:r>
    </w:p>
    <w:p w:rsidR="005E55A5" w:rsidRPr="003731EC" w:rsidP="003731EC" w14:paraId="75AFDE49" w14:textId="4608BEE7">
      <w:pPr>
        <w:rPr>
          <w:rFonts w:eastAsia="Calibri"/>
        </w:rPr>
      </w:pPr>
      <w:r>
        <w:rPr>
          <w:rFonts w:eastAsia="Calibri"/>
        </w:rPr>
        <w:t>W</w:t>
      </w:r>
      <w:r>
        <w:rPr>
          <w:rFonts w:eastAsia="Calibri"/>
        </w:rPr>
        <w:t>e therefore request OMB approval of the revised information collection, as discussed in this supporting statement.</w:t>
      </w:r>
    </w:p>
    <w:p w:rsidR="00642952" w:rsidRPr="00642952" w:rsidP="00642952" w14:paraId="4AB2AAD5" w14:textId="77777777">
      <w:pPr>
        <w:rPr>
          <w:spacing w:val="-1"/>
        </w:rPr>
      </w:pPr>
    </w:p>
    <w:p w:rsidR="00357C8A" w:rsidP="00642952" w14:paraId="27E2F81F" w14:textId="1516BEAE">
      <w:pPr>
        <w:numPr>
          <w:ilvl w:val="0"/>
          <w:numId w:val="6"/>
        </w:numPr>
        <w:spacing w:after="200"/>
        <w:rPr>
          <w:rFonts w:eastAsia="Calibri"/>
          <w:u w:val="single"/>
        </w:rPr>
      </w:pPr>
      <w:r w:rsidRPr="00357C8A">
        <w:rPr>
          <w:rFonts w:eastAsia="Calibri"/>
          <w:u w:val="single"/>
        </w:rPr>
        <w:t xml:space="preserve">Purpose and Use of the Information Collection </w:t>
      </w:r>
    </w:p>
    <w:p w:rsidR="00357001" w:rsidP="00DC55B9" w14:paraId="59C1B9DC" w14:textId="5DBD761C">
      <w:pPr>
        <w:spacing w:after="200"/>
      </w:pPr>
      <w:r w:rsidRPr="00865D72">
        <w:rPr>
          <w:rFonts w:eastAsia="Calibri"/>
        </w:rPr>
        <w:t xml:space="preserve">FDA </w:t>
      </w:r>
      <w:r>
        <w:rPr>
          <w:rFonts w:eastAsia="Calibri"/>
        </w:rPr>
        <w:t xml:space="preserve">uses the information collected </w:t>
      </w:r>
      <w:r w:rsidRPr="00865D72">
        <w:rPr>
          <w:rFonts w:eastAsia="Calibri"/>
        </w:rPr>
        <w:t xml:space="preserve">to </w:t>
      </w:r>
      <w:r w:rsidR="00D96B1D">
        <w:rPr>
          <w:rFonts w:eastAsia="Calibri"/>
        </w:rPr>
        <w:t xml:space="preserve">ensure the safety of infant formula and to </w:t>
      </w:r>
      <w:r w:rsidRPr="00865D72">
        <w:rPr>
          <w:rFonts w:eastAsia="Calibri"/>
        </w:rPr>
        <w:t xml:space="preserve">monitor the </w:t>
      </w:r>
      <w:r w:rsidR="0085340A">
        <w:rPr>
          <w:rFonts w:eastAsia="Calibri"/>
        </w:rPr>
        <w:t xml:space="preserve">necessity for and </w:t>
      </w:r>
      <w:r w:rsidRPr="00865D72">
        <w:rPr>
          <w:rFonts w:eastAsia="Calibri"/>
        </w:rPr>
        <w:t>effectiveness of infant formula recalls</w:t>
      </w:r>
      <w:r w:rsidR="00DC55B9">
        <w:rPr>
          <w:rFonts w:eastAsia="Calibri"/>
        </w:rPr>
        <w:t>.</w:t>
      </w:r>
    </w:p>
    <w:p w:rsidR="00357C8A" w:rsidRPr="00357C8A" w:rsidP="00D86999" w14:paraId="7587499D" w14:textId="48009786">
      <w:pPr>
        <w:spacing w:after="200"/>
        <w:rPr>
          <w:rFonts w:eastAsia="Calibri"/>
          <w:u w:val="single"/>
        </w:rPr>
      </w:pPr>
      <w:r>
        <w:t xml:space="preserve">3.  </w:t>
      </w:r>
      <w:r w:rsidRPr="00357C8A">
        <w:rPr>
          <w:rFonts w:eastAsia="Calibri"/>
          <w:u w:val="single"/>
        </w:rPr>
        <w:t>Use of Improved Information Technology and Burden Reduction</w:t>
      </w:r>
    </w:p>
    <w:p w:rsidR="00357C8A" w:rsidRPr="00357C8A" w:rsidP="0022425B" w14:paraId="621FFB14" w14:textId="315E34A1">
      <w:pPr>
        <w:spacing w:after="200"/>
        <w:rPr>
          <w:rFonts w:eastAsia="Calibri"/>
        </w:rPr>
      </w:pPr>
      <w:r>
        <w:rPr>
          <w:rFonts w:eastAsia="Calibri"/>
        </w:rPr>
        <w:t xml:space="preserve">The information </w:t>
      </w:r>
      <w:r w:rsidR="002D4E10">
        <w:rPr>
          <w:rFonts w:eastAsia="Calibri"/>
        </w:rPr>
        <w:t xml:space="preserve">collection utilizes FDA automated systems.  </w:t>
      </w:r>
      <w:r w:rsidR="00563FF8">
        <w:rPr>
          <w:rFonts w:eastAsia="Calibri"/>
        </w:rPr>
        <w:t xml:space="preserve">We continue to enhance our collection technologies as our limited resources permit. </w:t>
      </w:r>
    </w:p>
    <w:p w:rsidR="008923E9" w:rsidP="00E430CC" w14:paraId="3793388C" w14:textId="46AA023E">
      <w:pPr>
        <w:spacing w:after="200"/>
        <w:rPr>
          <w:rFonts w:eastAsia="Calibri"/>
        </w:rPr>
      </w:pPr>
      <w:r>
        <w:rPr>
          <w:rFonts w:eastAsia="Calibri"/>
        </w:rPr>
        <w:t xml:space="preserve">4.  </w:t>
      </w:r>
      <w:r w:rsidRPr="00357C8A" w:rsidR="00357C8A">
        <w:rPr>
          <w:rFonts w:eastAsia="Calibri"/>
          <w:u w:val="single"/>
        </w:rPr>
        <w:t xml:space="preserve">Efforts to Identify Duplication and Use of Similar Information </w:t>
      </w:r>
    </w:p>
    <w:p w:rsidR="00C943B9" w:rsidP="00C943B9" w14:paraId="6DD68A09" w14:textId="6CC5A7FB">
      <w:pPr>
        <w:spacing w:after="200"/>
      </w:pPr>
      <w:r w:rsidRPr="005C71CA">
        <w:t>We are unaware of duplicative information collection.</w:t>
      </w:r>
    </w:p>
    <w:p w:rsidR="00F37061" w:rsidP="00E25B49" w14:paraId="299AC9D0" w14:textId="56C69C30">
      <w:pPr>
        <w:rPr>
          <w:rFonts w:eastAsia="Calibri"/>
          <w:u w:val="single"/>
        </w:rPr>
      </w:pPr>
      <w:r>
        <w:t>5</w:t>
      </w:r>
      <w:r w:rsidR="00C943B9">
        <w:t xml:space="preserve">.  </w:t>
      </w:r>
      <w:r w:rsidRPr="00357C8A" w:rsidR="00357C8A">
        <w:rPr>
          <w:rFonts w:eastAsia="Calibri"/>
          <w:u w:val="single"/>
        </w:rPr>
        <w:t>Impact on Small Businesses or Other Small Entities</w:t>
      </w:r>
    </w:p>
    <w:p w:rsidR="00E25B49" w:rsidRPr="00F37061" w:rsidP="007C5658" w14:paraId="7BDEB0D8" w14:textId="77777777">
      <w:pPr>
        <w:rPr>
          <w:rFonts w:eastAsia="Calibri"/>
        </w:rPr>
      </w:pPr>
    </w:p>
    <w:p w:rsidR="00773F0A" w:rsidP="00C837A3" w14:paraId="69D93318" w14:textId="42110499">
      <w:pPr>
        <w:spacing w:after="200"/>
        <w:rPr>
          <w:rFonts w:eastAsia="Calibri"/>
        </w:rPr>
      </w:pPr>
      <w:r w:rsidRPr="00137B18">
        <w:rPr>
          <w:rFonts w:eastAsia="Calibri"/>
        </w:rPr>
        <w:t xml:space="preserve">We believe no undue burden is imposed on small entities.  </w:t>
      </w:r>
      <w:r w:rsidR="00BE1BE0">
        <w:rPr>
          <w:rFonts w:eastAsia="Calibri"/>
        </w:rPr>
        <w:t>W</w:t>
      </w:r>
      <w:r w:rsidRPr="00137B18">
        <w:rPr>
          <w:rFonts w:eastAsia="Calibri"/>
        </w:rPr>
        <w:t xml:space="preserve">e assist small businesses in complying with our regulations through small business representatives, and scientific and administrative staffs within the agency.  </w:t>
      </w:r>
      <w:r w:rsidRPr="00057EFF">
        <w:rPr>
          <w:rFonts w:eastAsia="Calibri"/>
        </w:rPr>
        <w:t>A</w:t>
      </w:r>
      <w:r>
        <w:rPr>
          <w:rFonts w:eastAsia="Calibri"/>
        </w:rPr>
        <w:t>dditional a</w:t>
      </w:r>
      <w:r w:rsidRPr="00057EFF">
        <w:rPr>
          <w:rFonts w:eastAsia="Calibri"/>
        </w:rPr>
        <w:t>ssistance is available for small businesses via</w:t>
      </w:r>
      <w:r w:rsidRPr="00305BA2">
        <w:rPr>
          <w:rFonts w:eastAsia="Calibri"/>
        </w:rPr>
        <w:t xml:space="preserve"> the agency’s website at </w:t>
      </w:r>
      <w:hyperlink r:id="rId6" w:history="1">
        <w:r w:rsidRPr="00305BA2">
          <w:rPr>
            <w:rStyle w:val="Hyperlink"/>
            <w:rFonts w:eastAsia="Calibri"/>
          </w:rPr>
          <w:t>https://www.fda.gov/industry/small-business-assistance</w:t>
        </w:r>
      </w:hyperlink>
      <w:r w:rsidRPr="00112807" w:rsidR="00C76419">
        <w:rPr>
          <w:rFonts w:eastAsia="Calibri"/>
        </w:rPr>
        <w:t>.</w:t>
      </w:r>
      <w:r w:rsidR="004C260C">
        <w:rPr>
          <w:rFonts w:eastAsia="Calibri"/>
        </w:rPr>
        <w:t xml:space="preserve">  We </w:t>
      </w:r>
      <w:r w:rsidR="003D1971">
        <w:rPr>
          <w:rFonts w:eastAsia="Calibri"/>
        </w:rPr>
        <w:t xml:space="preserve">provide additional resources for infant formula at </w:t>
      </w:r>
      <w:bookmarkStart w:id="0" w:name="_Hlk130285286"/>
      <w:hyperlink r:id="rId7" w:history="1">
        <w:r w:rsidRPr="00E32F9B" w:rsidR="003D1971">
          <w:rPr>
            <w:rStyle w:val="Hyperlink"/>
            <w:rFonts w:eastAsia="Calibri"/>
          </w:rPr>
          <w:t>https://www.fda.gov/food/workshops-meetings-webinars-food-and-dietary-supplements/webinar-series-discuss-infant-formula-transition-plan-exercise-enforcement-discretion-11172022</w:t>
        </w:r>
      </w:hyperlink>
      <w:bookmarkEnd w:id="0"/>
      <w:r w:rsidR="003D1971">
        <w:rPr>
          <w:rFonts w:eastAsia="Calibri"/>
        </w:rPr>
        <w:t>.</w:t>
      </w:r>
    </w:p>
    <w:p w:rsidR="00357C8A" w:rsidRPr="00112807" w:rsidP="00E430CC" w14:paraId="0C3D8112" w14:textId="5AAE34EE">
      <w:pPr>
        <w:spacing w:after="200"/>
        <w:rPr>
          <w:rFonts w:eastAsia="Calibri"/>
        </w:rPr>
      </w:pPr>
      <w:r>
        <w:rPr>
          <w:rFonts w:eastAsia="Calibri"/>
        </w:rPr>
        <w:t xml:space="preserve">6.  </w:t>
      </w:r>
      <w:r w:rsidRPr="00112807">
        <w:rPr>
          <w:rFonts w:eastAsia="Calibri"/>
          <w:u w:val="single"/>
        </w:rPr>
        <w:t>Consequences of Collecting the Information Less Frequently</w:t>
      </w:r>
    </w:p>
    <w:p w:rsidR="00F37061" w:rsidP="00C837A3" w14:paraId="05B0C99E" w14:textId="52F29DD7">
      <w:pPr>
        <w:spacing w:after="200"/>
        <w:rPr>
          <w:rFonts w:eastAsia="Calibri"/>
        </w:rPr>
      </w:pPr>
      <w:r>
        <w:rPr>
          <w:rFonts w:eastAsia="Calibri"/>
        </w:rPr>
        <w:t xml:space="preserve">Information collection schedules </w:t>
      </w:r>
      <w:r w:rsidR="00C1757D">
        <w:rPr>
          <w:rFonts w:eastAsia="Calibri"/>
        </w:rPr>
        <w:t xml:space="preserve">are </w:t>
      </w:r>
      <w:r>
        <w:rPr>
          <w:rFonts w:eastAsia="Calibri"/>
        </w:rPr>
        <w:t xml:space="preserve">consistent with </w:t>
      </w:r>
      <w:r w:rsidR="00C1757D">
        <w:rPr>
          <w:rFonts w:eastAsia="Calibri"/>
        </w:rPr>
        <w:t xml:space="preserve">applicable </w:t>
      </w:r>
      <w:r>
        <w:rPr>
          <w:rFonts w:eastAsia="Calibri"/>
        </w:rPr>
        <w:t>statutory and regulatory requirements</w:t>
      </w:r>
      <w:r w:rsidR="00AE2FE8">
        <w:rPr>
          <w:rFonts w:eastAsia="Calibri"/>
        </w:rPr>
        <w:t>.</w:t>
      </w:r>
    </w:p>
    <w:p w:rsidR="00773F0A" w:rsidRPr="00E430CC" w:rsidP="00E430CC" w14:paraId="4CD906FA" w14:textId="6FD4D28B">
      <w:pPr>
        <w:spacing w:after="200"/>
        <w:rPr>
          <w:rFonts w:eastAsia="Calibri"/>
          <w:u w:val="single"/>
        </w:rPr>
      </w:pPr>
      <w:r>
        <w:rPr>
          <w:rFonts w:eastAsia="Calibri"/>
        </w:rPr>
        <w:t xml:space="preserve">7.  </w:t>
      </w:r>
      <w:r w:rsidRPr="00E430CC" w:rsidR="00357C8A">
        <w:rPr>
          <w:rFonts w:eastAsia="Calibri"/>
          <w:u w:val="single"/>
        </w:rPr>
        <w:t>Special Circumstances Relating to the Guidelines of 5 CFR 1320.5</w:t>
      </w:r>
      <w:r w:rsidRPr="00E430CC">
        <w:rPr>
          <w:rFonts w:eastAsia="Calibri"/>
          <w:u w:val="single"/>
        </w:rPr>
        <w:t>.</w:t>
      </w:r>
    </w:p>
    <w:p w:rsidR="00A77393" w:rsidP="00EA1279" w14:paraId="3A2ED97B" w14:textId="0B90B1E0">
      <w:pPr>
        <w:spacing w:after="200"/>
        <w:rPr>
          <w:rFonts w:eastAsia="Calibri"/>
        </w:rPr>
      </w:pPr>
      <w:r>
        <w:rPr>
          <w:rFonts w:eastAsia="Calibri"/>
        </w:rPr>
        <w:t>There are no special circumstances associated with this information collection.</w:t>
      </w:r>
    </w:p>
    <w:p w:rsidR="00357C8A" w:rsidRPr="00357C8A" w:rsidP="007C5658" w14:paraId="404EACEE" w14:textId="35B34A1C">
      <w:pPr>
        <w:spacing w:after="200"/>
        <w:ind w:left="270" w:hanging="270"/>
        <w:rPr>
          <w:rFonts w:eastAsia="Calibri"/>
        </w:rPr>
      </w:pPr>
      <w:r>
        <w:rPr>
          <w:rFonts w:eastAsia="Calibri"/>
        </w:rPr>
        <w:t xml:space="preserve">8.  </w:t>
      </w:r>
      <w:r w:rsidRPr="00357C8A">
        <w:rPr>
          <w:rFonts w:eastAsia="Calibri"/>
          <w:u w:val="single"/>
        </w:rPr>
        <w:t xml:space="preserve">Comments in Response to the Federal Register Notice and Efforts to Consult Outside the </w:t>
      </w:r>
      <w:r w:rsidR="00ED7CA1">
        <w:rPr>
          <w:rFonts w:eastAsia="Calibri"/>
          <w:u w:val="single"/>
        </w:rPr>
        <w:t xml:space="preserve">       </w:t>
      </w:r>
      <w:r w:rsidRPr="00357C8A">
        <w:rPr>
          <w:rFonts w:eastAsia="Calibri"/>
          <w:u w:val="single"/>
        </w:rPr>
        <w:t>Agency</w:t>
      </w:r>
    </w:p>
    <w:p w:rsidR="00A94D4D" w:rsidP="00CC6834" w14:paraId="3E1E7545" w14:textId="0F1220F1">
      <w:pPr>
        <w:spacing w:after="200"/>
      </w:pPr>
      <w:r w:rsidRPr="00154889">
        <w:t xml:space="preserve">In the </w:t>
      </w:r>
      <w:r w:rsidRPr="00154889">
        <w:rPr>
          <w:i/>
        </w:rPr>
        <w:t>Federal Register</w:t>
      </w:r>
      <w:r w:rsidRPr="00154889">
        <w:t xml:space="preserve"> of July 17, 2026 (91 FR 44859), we published a 60-day notice requesting public comment on the proposed collections of information.  Two comments were received.  Both comments supported FDA’s need for the information collections established by the regulatory requirements and recommended in associated guidance, as well as the Agency’s use of IFTRACK and other electronic mechanisms utilized for collection.  The comments also encouraged the continued development of automated collection techniques that would enhance our ability to efficiently receive and evaluate information.  We appreciate all comments and will continue to explore enhanced collection methods and upgrade respective IT systems as our limited resources permit.  Finally, while both comments discussed specific considerations and criteria FDA should apply in evaluating the safety of infant formula products and in assessing effort necessary to complete the required recordkeeping tasks, they suggested no change to the burden estimates proffered in our 60-day notice.</w:t>
      </w:r>
    </w:p>
    <w:p w:rsidR="00357C8A" w:rsidRPr="00357C8A" w:rsidP="00CC6834" w14:paraId="551DE688" w14:textId="580F470E">
      <w:pPr>
        <w:spacing w:after="200"/>
        <w:rPr>
          <w:rFonts w:eastAsia="Calibri"/>
        </w:rPr>
      </w:pPr>
      <w:r>
        <w:t xml:space="preserve">9. </w:t>
      </w:r>
      <w:r>
        <w:t xml:space="preserve"> </w:t>
      </w:r>
      <w:r w:rsidRPr="00357C8A">
        <w:rPr>
          <w:rFonts w:eastAsia="Calibri"/>
          <w:u w:val="single"/>
        </w:rPr>
        <w:t>Explanation of Any</w:t>
      </w:r>
      <w:r w:rsidRPr="00357C8A">
        <w:rPr>
          <w:rFonts w:eastAsia="Calibri"/>
          <w:u w:val="single"/>
        </w:rPr>
        <w:t xml:space="preserve"> Payment or Gift to Respondents</w:t>
      </w:r>
    </w:p>
    <w:p w:rsidR="00357C8A" w:rsidRPr="00C211C6" w:rsidP="00357C8A" w14:paraId="7721C220" w14:textId="77777777">
      <w:pPr>
        <w:spacing w:after="200"/>
        <w:rPr>
          <w:rFonts w:eastAsia="Calibri"/>
          <w:i/>
        </w:rPr>
      </w:pPr>
      <w:r w:rsidRPr="002074FE">
        <w:rPr>
          <w:rFonts w:eastAsia="Calibri"/>
        </w:rPr>
        <w:t>There are no incentives, payments or gifts associated with this information collection.</w:t>
      </w:r>
    </w:p>
    <w:p w:rsidR="00357C8A" w:rsidRPr="00357C8A" w:rsidP="00CC6834" w14:paraId="652133D8" w14:textId="77777777">
      <w:pPr>
        <w:numPr>
          <w:ilvl w:val="0"/>
          <w:numId w:val="9"/>
        </w:numPr>
        <w:spacing w:after="200" w:line="276" w:lineRule="auto"/>
        <w:rPr>
          <w:rFonts w:eastAsia="Calibri"/>
        </w:rPr>
      </w:pPr>
      <w:r w:rsidRPr="00357C8A">
        <w:rPr>
          <w:rFonts w:eastAsia="Calibri"/>
          <w:u w:val="single"/>
        </w:rPr>
        <w:t>Assurance of Confidentiality Provided to Respondents</w:t>
      </w:r>
    </w:p>
    <w:p w:rsidR="0090566C" w:rsidRPr="0090566C" w:rsidP="00F422EE" w14:paraId="2A6C6564" w14:textId="77777777">
      <w:pPr>
        <w:rPr>
          <w:i/>
          <w:iCs/>
        </w:rPr>
      </w:pPr>
      <w:r w:rsidRPr="0090566C">
        <w:rPr>
          <w:i/>
          <w:iCs/>
        </w:rPr>
        <w:t>The Privacy Act of 1974</w:t>
      </w:r>
    </w:p>
    <w:p w:rsidR="0090566C" w:rsidP="00F422EE" w14:paraId="4621D3FC" w14:textId="77777777"/>
    <w:p w:rsidR="0090566C" w:rsidP="00F422EE" w14:paraId="076C28D0" w14:textId="5F139F74">
      <w:r>
        <w:t>In preparing this supporting statement, we consulted our Privacy Office to ensure appropriate identification and handling of information collected.</w:t>
      </w:r>
      <w:r w:rsidR="00F422EE">
        <w:t xml:space="preserve">  Although </w:t>
      </w:r>
      <w:r w:rsidRPr="006926BB" w:rsidR="006926BB">
        <w:t xml:space="preserve">personally identifiable information (PII) or information of a personal nature </w:t>
      </w:r>
      <w:r w:rsidR="00F422EE">
        <w:t>is collected, i</w:t>
      </w:r>
      <w:r w:rsidRPr="00F422EE" w:rsidR="00F422EE">
        <w:t>t is collected in the context of the subject individuals’ professional capacity and the FDA-related work performed for their employer (e.g., point of contact at a regulated entity).</w:t>
      </w:r>
      <w:r w:rsidRPr="006926BB" w:rsidR="006926BB">
        <w:t xml:space="preserve">collected.  In this collection, the PII collected is for business contact purposes only and includes business name, business address, and business telephone numbers.  The business contact information is maintained and stored at the vendor facility.  We further determined that although PII is collected and stored at the vendor facility, the collection is not subject to the Privacy Act of 1974, and the particular notice and other requirements of the </w:t>
      </w:r>
      <w:r w:rsidR="00F422EE">
        <w:t xml:space="preserve">Privacy </w:t>
      </w:r>
      <w:r w:rsidRPr="006926BB" w:rsidR="006926BB">
        <w:t>Act do not apply.  Specifically, we (including vendors or service providers acting on behalf of FDA) do not use name or any other personal identifier to retrieve records from the information collected.  We also minimized the PII to be collected to protect the privacy of the individuals.</w:t>
      </w:r>
    </w:p>
    <w:p w:rsidR="00F422EE" w:rsidP="00F422EE" w14:paraId="0ED916E3" w14:textId="77777777"/>
    <w:p w:rsidR="0090566C" w:rsidRPr="0090566C" w:rsidP="00FD475A" w14:paraId="0399F027" w14:textId="45ACF708">
      <w:pPr>
        <w:rPr>
          <w:i/>
          <w:iCs/>
        </w:rPr>
      </w:pPr>
      <w:r w:rsidRPr="0090566C">
        <w:rPr>
          <w:i/>
          <w:iCs/>
        </w:rPr>
        <w:t>The Freedom of Information Act (FOIA)</w:t>
      </w:r>
    </w:p>
    <w:p w:rsidR="00FD475A" w:rsidP="00FD475A" w14:paraId="58965040" w14:textId="77777777"/>
    <w:p w:rsidR="00424006" w:rsidP="00FD475A" w14:paraId="268983C3" w14:textId="6C7A5F28">
      <w:r>
        <w:t>Under FOIA</w:t>
      </w:r>
      <w:r w:rsidR="0090566C">
        <w:t xml:space="preserve"> </w:t>
      </w:r>
      <w:r>
        <w:t xml:space="preserve">(5 U.S.C. 552), the public has broad access to government documents. </w:t>
      </w:r>
      <w:r w:rsidR="00C7283E">
        <w:t xml:space="preserve"> </w:t>
      </w:r>
      <w:r>
        <w:t>However, FOIA provides certain exemptions from mandatory public disclosure of government records (5 U.S.C. 552(b)(1-9)).  FDA will make the fullest possible disclosure of records to the public, consistent with the rights of individuals to privacy, the property rights of persons in trade and confidential commercial or financial information.</w:t>
      </w:r>
    </w:p>
    <w:p w:rsidR="00424006" w:rsidP="00424006" w14:paraId="5C4412AB" w14:textId="77777777">
      <w:pPr>
        <w:rPr>
          <w:sz w:val="22"/>
          <w:szCs w:val="22"/>
        </w:rPr>
      </w:pPr>
    </w:p>
    <w:p w:rsidR="00357C8A" w:rsidRPr="00357C8A" w:rsidP="00CC6834" w14:paraId="5D4B6818" w14:textId="77777777">
      <w:pPr>
        <w:numPr>
          <w:ilvl w:val="0"/>
          <w:numId w:val="9"/>
        </w:numPr>
        <w:spacing w:after="200" w:line="276" w:lineRule="auto"/>
        <w:rPr>
          <w:rFonts w:eastAsia="Calibri"/>
        </w:rPr>
      </w:pPr>
      <w:r w:rsidRPr="00357C8A">
        <w:rPr>
          <w:rFonts w:eastAsia="Calibri"/>
          <w:u w:val="single"/>
        </w:rPr>
        <w:t>Justification for Sensitive Questions</w:t>
      </w:r>
    </w:p>
    <w:p w:rsidR="0034669D" w:rsidRPr="00CF6EBF" w:rsidP="0022425B" w14:paraId="22635A4B" w14:textId="075EAAC9">
      <w:pPr>
        <w:spacing w:after="200"/>
        <w:rPr>
          <w:rFonts w:eastAsia="Calibri"/>
          <w:iCs/>
        </w:rPr>
      </w:pPr>
      <w:r w:rsidRPr="00CF6EBF">
        <w:rPr>
          <w:rFonts w:eastAsia="Calibri"/>
          <w:iCs/>
        </w:rPr>
        <w:t>The collection of information does not involve sensitive questions.</w:t>
      </w:r>
    </w:p>
    <w:p w:rsidR="002F7012" w:rsidP="005A3F95" w14:paraId="0B140FB3" w14:textId="539659F6">
      <w:pPr>
        <w:numPr>
          <w:ilvl w:val="0"/>
          <w:numId w:val="9"/>
        </w:numPr>
        <w:spacing w:after="200" w:line="276" w:lineRule="auto"/>
        <w:rPr>
          <w:rFonts w:eastAsia="Calibri"/>
          <w:u w:val="single"/>
        </w:rPr>
      </w:pPr>
      <w:r w:rsidRPr="00357C8A">
        <w:rPr>
          <w:rFonts w:eastAsia="Calibri"/>
          <w:u w:val="single"/>
        </w:rPr>
        <w:t>Estimates of Annualized Burden Hours</w:t>
      </w:r>
    </w:p>
    <w:p w:rsidR="008E1378" w:rsidRPr="00154889" w:rsidP="00154889" w14:paraId="72A0A523" w14:textId="2CD3CC07">
      <w:pPr>
        <w:ind w:firstLine="360"/>
        <w:rPr>
          <w:i/>
          <w:iCs/>
          <w:szCs w:val="20"/>
        </w:rPr>
      </w:pPr>
      <w:r w:rsidRPr="00154889">
        <w:rPr>
          <w:i/>
          <w:iCs/>
          <w:szCs w:val="20"/>
        </w:rPr>
        <w:t>12a.  Annualized Hourly Burden Estimate</w:t>
      </w:r>
    </w:p>
    <w:p w:rsidR="00154889" w:rsidP="00BB17F3" w14:paraId="435B7977" w14:textId="77777777">
      <w:pPr>
        <w:rPr>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1"/>
        <w:gridCol w:w="1258"/>
        <w:gridCol w:w="1441"/>
        <w:gridCol w:w="1169"/>
        <w:gridCol w:w="1121"/>
        <w:gridCol w:w="914"/>
      </w:tblGrid>
      <w:tr w14:paraId="52C418F3" w14:textId="77777777" w:rsidTr="00AE1695">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Height w:val="20"/>
        </w:trPr>
        <w:tc>
          <w:tcPr>
            <w:tcW w:w="5000" w:type="pct"/>
            <w:gridSpan w:val="6"/>
            <w:tcBorders>
              <w:top w:val="nil"/>
              <w:left w:val="nil"/>
              <w:right w:val="nil"/>
            </w:tcBorders>
          </w:tcPr>
          <w:p w:rsidR="00AA005A" w:rsidRPr="00AA005A" w:rsidP="00AA005A" w14:paraId="697F4698" w14:textId="77777777">
            <w:pPr>
              <w:jc w:val="center"/>
              <w:rPr>
                <w:sz w:val="20"/>
                <w:szCs w:val="20"/>
              </w:rPr>
            </w:pPr>
            <w:r w:rsidRPr="00AA005A">
              <w:rPr>
                <w:sz w:val="20"/>
                <w:szCs w:val="20"/>
              </w:rPr>
              <w:t>Table 1.--Estimated Annual Reporting Burden</w:t>
            </w:r>
            <w:r w:rsidRPr="00AA005A">
              <w:rPr>
                <w:sz w:val="20"/>
                <w:szCs w:val="20"/>
                <w:vertAlign w:val="superscript"/>
              </w:rPr>
              <w:t>1</w:t>
            </w:r>
          </w:p>
        </w:tc>
      </w:tr>
      <w:tr w14:paraId="35869E61" w14:textId="77777777" w:rsidTr="000A56D3">
        <w:tblPrEx>
          <w:tblW w:w="5000" w:type="pct"/>
          <w:tblLayout w:type="fixed"/>
          <w:tblLook w:val="01E0"/>
        </w:tblPrEx>
        <w:trPr>
          <w:cantSplit/>
          <w:trHeight w:val="20"/>
        </w:trPr>
        <w:tc>
          <w:tcPr>
            <w:tcW w:w="1894" w:type="pct"/>
          </w:tcPr>
          <w:p w:rsidR="000A56D3" w:rsidP="00AA005A" w14:paraId="1116ED34" w14:textId="77777777">
            <w:pPr>
              <w:jc w:val="center"/>
              <w:rPr>
                <w:sz w:val="20"/>
                <w:szCs w:val="20"/>
              </w:rPr>
            </w:pPr>
            <w:r>
              <w:rPr>
                <w:sz w:val="20"/>
                <w:szCs w:val="20"/>
              </w:rPr>
              <w:t xml:space="preserve">Collection Activity; </w:t>
            </w:r>
          </w:p>
          <w:p w:rsidR="00AA005A" w:rsidRPr="00AA005A" w:rsidP="00AA005A" w14:paraId="47FDF30D" w14:textId="7DDFE311">
            <w:pPr>
              <w:jc w:val="center"/>
              <w:rPr>
                <w:sz w:val="20"/>
                <w:szCs w:val="20"/>
              </w:rPr>
            </w:pPr>
            <w:r>
              <w:rPr>
                <w:sz w:val="20"/>
                <w:szCs w:val="20"/>
              </w:rPr>
              <w:t>Regulatory Authority</w:t>
            </w:r>
          </w:p>
        </w:tc>
        <w:tc>
          <w:tcPr>
            <w:tcW w:w="662" w:type="pct"/>
          </w:tcPr>
          <w:p w:rsidR="00AA005A" w:rsidRPr="00AA005A" w:rsidP="00AA005A" w14:paraId="74620C37" w14:textId="77777777">
            <w:pPr>
              <w:jc w:val="center"/>
              <w:rPr>
                <w:sz w:val="20"/>
                <w:szCs w:val="20"/>
              </w:rPr>
            </w:pPr>
            <w:r w:rsidRPr="00AA005A">
              <w:rPr>
                <w:sz w:val="20"/>
                <w:szCs w:val="20"/>
              </w:rPr>
              <w:t>No. of Respondents</w:t>
            </w:r>
          </w:p>
        </w:tc>
        <w:tc>
          <w:tcPr>
            <w:tcW w:w="758" w:type="pct"/>
          </w:tcPr>
          <w:p w:rsidR="00AA005A" w:rsidRPr="00AA005A" w:rsidP="00AA005A" w14:paraId="707B99A8" w14:textId="77777777">
            <w:pPr>
              <w:jc w:val="center"/>
              <w:rPr>
                <w:sz w:val="20"/>
                <w:szCs w:val="20"/>
              </w:rPr>
            </w:pPr>
            <w:r w:rsidRPr="00AA005A">
              <w:rPr>
                <w:bCs/>
                <w:sz w:val="20"/>
                <w:szCs w:val="20"/>
              </w:rPr>
              <w:t>No. of Responses per Respondent</w:t>
            </w:r>
          </w:p>
        </w:tc>
        <w:tc>
          <w:tcPr>
            <w:tcW w:w="615" w:type="pct"/>
          </w:tcPr>
          <w:p w:rsidR="00AA005A" w:rsidRPr="00AA005A" w:rsidP="00AA005A" w14:paraId="50C2AFA7" w14:textId="77777777">
            <w:pPr>
              <w:jc w:val="center"/>
              <w:rPr>
                <w:sz w:val="20"/>
                <w:szCs w:val="20"/>
              </w:rPr>
            </w:pPr>
            <w:r w:rsidRPr="00AA005A">
              <w:rPr>
                <w:sz w:val="20"/>
                <w:szCs w:val="20"/>
              </w:rPr>
              <w:t>Total Annual Responses</w:t>
            </w:r>
          </w:p>
        </w:tc>
        <w:tc>
          <w:tcPr>
            <w:tcW w:w="590" w:type="pct"/>
          </w:tcPr>
          <w:p w:rsidR="00AA005A" w:rsidRPr="00AA005A" w:rsidP="00AA005A" w14:paraId="57D9699E" w14:textId="77777777">
            <w:pPr>
              <w:jc w:val="center"/>
              <w:rPr>
                <w:sz w:val="20"/>
                <w:szCs w:val="20"/>
              </w:rPr>
            </w:pPr>
            <w:r w:rsidRPr="00AA005A">
              <w:rPr>
                <w:bCs/>
                <w:sz w:val="20"/>
                <w:szCs w:val="20"/>
              </w:rPr>
              <w:t>Average Burden per Response</w:t>
            </w:r>
          </w:p>
        </w:tc>
        <w:tc>
          <w:tcPr>
            <w:tcW w:w="481" w:type="pct"/>
          </w:tcPr>
          <w:p w:rsidR="00AA005A" w:rsidRPr="00AA005A" w:rsidP="00AA005A" w14:paraId="4AB5A4F8" w14:textId="77777777">
            <w:pPr>
              <w:jc w:val="center"/>
              <w:rPr>
                <w:sz w:val="20"/>
                <w:szCs w:val="20"/>
              </w:rPr>
            </w:pPr>
            <w:r w:rsidRPr="00AA005A">
              <w:rPr>
                <w:sz w:val="20"/>
                <w:szCs w:val="20"/>
              </w:rPr>
              <w:t>Total Hours</w:t>
            </w:r>
          </w:p>
        </w:tc>
      </w:tr>
      <w:tr w14:paraId="3CA17C66" w14:textId="77777777" w:rsidTr="000A56D3">
        <w:tblPrEx>
          <w:tblW w:w="5000" w:type="pct"/>
          <w:tblLayout w:type="fixed"/>
          <w:tblLook w:val="01E0"/>
        </w:tblPrEx>
        <w:trPr>
          <w:cantSplit/>
          <w:trHeight w:val="20"/>
        </w:trPr>
        <w:tc>
          <w:tcPr>
            <w:tcW w:w="1894" w:type="pct"/>
          </w:tcPr>
          <w:p w:rsidR="00AA005A" w:rsidRPr="00AA005A" w:rsidP="00AA005A" w14:paraId="0876B261" w14:textId="77777777">
            <w:pPr>
              <w:rPr>
                <w:sz w:val="20"/>
                <w:szCs w:val="20"/>
              </w:rPr>
            </w:pPr>
            <w:r w:rsidRPr="00AA005A">
              <w:rPr>
                <w:sz w:val="20"/>
                <w:szCs w:val="20"/>
              </w:rPr>
              <w:t>Reports; Section 412(d) of the FD&amp;C Act</w:t>
            </w:r>
          </w:p>
        </w:tc>
        <w:tc>
          <w:tcPr>
            <w:tcW w:w="662" w:type="pct"/>
          </w:tcPr>
          <w:p w:rsidR="00AA005A" w:rsidRPr="00AA005A" w:rsidP="00AA005A" w14:paraId="4CA5DD1F" w14:textId="77777777">
            <w:pPr>
              <w:jc w:val="right"/>
              <w:rPr>
                <w:sz w:val="20"/>
                <w:szCs w:val="20"/>
              </w:rPr>
            </w:pPr>
            <w:r w:rsidRPr="00AA005A">
              <w:rPr>
                <w:sz w:val="20"/>
                <w:szCs w:val="20"/>
              </w:rPr>
              <w:t>5</w:t>
            </w:r>
          </w:p>
        </w:tc>
        <w:tc>
          <w:tcPr>
            <w:tcW w:w="758" w:type="pct"/>
          </w:tcPr>
          <w:p w:rsidR="00AA005A" w:rsidRPr="00AA005A" w:rsidP="00AA005A" w14:paraId="1220DCB6" w14:textId="77777777">
            <w:pPr>
              <w:jc w:val="right"/>
              <w:rPr>
                <w:sz w:val="20"/>
                <w:szCs w:val="20"/>
              </w:rPr>
            </w:pPr>
            <w:r w:rsidRPr="00AA005A">
              <w:rPr>
                <w:sz w:val="20"/>
                <w:szCs w:val="20"/>
              </w:rPr>
              <w:t>13</w:t>
            </w:r>
          </w:p>
        </w:tc>
        <w:tc>
          <w:tcPr>
            <w:tcW w:w="615" w:type="pct"/>
          </w:tcPr>
          <w:p w:rsidR="00AA005A" w:rsidRPr="00AA005A" w:rsidP="00AA005A" w14:paraId="11BFDB8E" w14:textId="77777777">
            <w:pPr>
              <w:jc w:val="right"/>
              <w:rPr>
                <w:sz w:val="20"/>
                <w:szCs w:val="20"/>
              </w:rPr>
            </w:pPr>
            <w:r w:rsidRPr="00AA005A">
              <w:rPr>
                <w:sz w:val="20"/>
                <w:szCs w:val="20"/>
              </w:rPr>
              <w:t>65</w:t>
            </w:r>
          </w:p>
        </w:tc>
        <w:tc>
          <w:tcPr>
            <w:tcW w:w="590" w:type="pct"/>
          </w:tcPr>
          <w:p w:rsidR="00AA005A" w:rsidRPr="00AA005A" w:rsidP="00AA005A" w14:paraId="08569B39" w14:textId="77777777">
            <w:pPr>
              <w:jc w:val="right"/>
              <w:rPr>
                <w:sz w:val="20"/>
                <w:szCs w:val="20"/>
              </w:rPr>
            </w:pPr>
            <w:r w:rsidRPr="00AA005A">
              <w:rPr>
                <w:sz w:val="20"/>
                <w:szCs w:val="20"/>
              </w:rPr>
              <w:t>10</w:t>
            </w:r>
          </w:p>
        </w:tc>
        <w:tc>
          <w:tcPr>
            <w:tcW w:w="481" w:type="pct"/>
          </w:tcPr>
          <w:p w:rsidR="00AA005A" w:rsidRPr="00AA005A" w:rsidP="00AA005A" w14:paraId="7D8D9BDE" w14:textId="77777777">
            <w:pPr>
              <w:jc w:val="right"/>
              <w:rPr>
                <w:sz w:val="20"/>
                <w:szCs w:val="20"/>
              </w:rPr>
            </w:pPr>
            <w:r w:rsidRPr="00AA005A">
              <w:rPr>
                <w:sz w:val="20"/>
                <w:szCs w:val="20"/>
              </w:rPr>
              <w:t>650</w:t>
            </w:r>
          </w:p>
        </w:tc>
      </w:tr>
      <w:tr w14:paraId="3A1CF7DF" w14:textId="77777777" w:rsidTr="000A56D3">
        <w:tblPrEx>
          <w:tblW w:w="5000" w:type="pct"/>
          <w:tblLayout w:type="fixed"/>
          <w:tblLook w:val="01E0"/>
        </w:tblPrEx>
        <w:trPr>
          <w:cantSplit/>
          <w:trHeight w:val="20"/>
        </w:trPr>
        <w:tc>
          <w:tcPr>
            <w:tcW w:w="1894" w:type="pct"/>
          </w:tcPr>
          <w:p w:rsidR="00AA005A" w:rsidRPr="00AA005A" w:rsidP="00AA005A" w14:paraId="1A2E2C80" w14:textId="77777777">
            <w:pPr>
              <w:rPr>
                <w:sz w:val="20"/>
                <w:szCs w:val="20"/>
              </w:rPr>
            </w:pPr>
            <w:r w:rsidRPr="00AA005A">
              <w:rPr>
                <w:sz w:val="20"/>
                <w:szCs w:val="20"/>
              </w:rPr>
              <w:t>Notifications; § 106.120(b)</w:t>
            </w:r>
          </w:p>
        </w:tc>
        <w:tc>
          <w:tcPr>
            <w:tcW w:w="662" w:type="pct"/>
          </w:tcPr>
          <w:p w:rsidR="00AA005A" w:rsidRPr="00AA005A" w:rsidP="00AA005A" w14:paraId="786DDD00" w14:textId="77777777">
            <w:pPr>
              <w:jc w:val="right"/>
              <w:rPr>
                <w:sz w:val="20"/>
                <w:szCs w:val="20"/>
              </w:rPr>
            </w:pPr>
            <w:r w:rsidRPr="00AA005A">
              <w:rPr>
                <w:sz w:val="20"/>
                <w:szCs w:val="20"/>
              </w:rPr>
              <w:t>1</w:t>
            </w:r>
          </w:p>
        </w:tc>
        <w:tc>
          <w:tcPr>
            <w:tcW w:w="758" w:type="pct"/>
          </w:tcPr>
          <w:p w:rsidR="00AA005A" w:rsidRPr="00AA005A" w:rsidP="00AA005A" w14:paraId="29C4332D" w14:textId="77777777">
            <w:pPr>
              <w:jc w:val="right"/>
              <w:rPr>
                <w:sz w:val="20"/>
                <w:szCs w:val="20"/>
              </w:rPr>
            </w:pPr>
            <w:r w:rsidRPr="00AA005A">
              <w:rPr>
                <w:sz w:val="20"/>
                <w:szCs w:val="20"/>
              </w:rPr>
              <w:t>1</w:t>
            </w:r>
          </w:p>
        </w:tc>
        <w:tc>
          <w:tcPr>
            <w:tcW w:w="615" w:type="pct"/>
          </w:tcPr>
          <w:p w:rsidR="00AA005A" w:rsidRPr="00AA005A" w:rsidP="00AA005A" w14:paraId="66EC07A8" w14:textId="77777777">
            <w:pPr>
              <w:jc w:val="right"/>
              <w:rPr>
                <w:sz w:val="20"/>
                <w:szCs w:val="20"/>
              </w:rPr>
            </w:pPr>
            <w:r w:rsidRPr="00AA005A">
              <w:rPr>
                <w:sz w:val="20"/>
                <w:szCs w:val="20"/>
              </w:rPr>
              <w:t>1</w:t>
            </w:r>
          </w:p>
        </w:tc>
        <w:tc>
          <w:tcPr>
            <w:tcW w:w="590" w:type="pct"/>
          </w:tcPr>
          <w:p w:rsidR="00AA005A" w:rsidRPr="00AA005A" w:rsidP="00AA005A" w14:paraId="07EEAEB9" w14:textId="77777777">
            <w:pPr>
              <w:jc w:val="right"/>
              <w:rPr>
                <w:sz w:val="20"/>
                <w:szCs w:val="20"/>
              </w:rPr>
            </w:pPr>
            <w:r w:rsidRPr="00AA005A">
              <w:rPr>
                <w:sz w:val="20"/>
                <w:szCs w:val="20"/>
              </w:rPr>
              <w:t>4</w:t>
            </w:r>
          </w:p>
        </w:tc>
        <w:tc>
          <w:tcPr>
            <w:tcW w:w="481" w:type="pct"/>
          </w:tcPr>
          <w:p w:rsidR="00AA005A" w:rsidRPr="00AA005A" w:rsidP="00AA005A" w14:paraId="6AB197E4" w14:textId="77777777">
            <w:pPr>
              <w:jc w:val="right"/>
              <w:rPr>
                <w:sz w:val="20"/>
                <w:szCs w:val="20"/>
              </w:rPr>
            </w:pPr>
            <w:r w:rsidRPr="00AA005A">
              <w:rPr>
                <w:sz w:val="20"/>
                <w:szCs w:val="20"/>
              </w:rPr>
              <w:t>4</w:t>
            </w:r>
          </w:p>
        </w:tc>
      </w:tr>
      <w:tr w14:paraId="749B7998" w14:textId="77777777" w:rsidTr="000A56D3">
        <w:tblPrEx>
          <w:tblW w:w="5000" w:type="pct"/>
          <w:tblLayout w:type="fixed"/>
          <w:tblLook w:val="01E0"/>
        </w:tblPrEx>
        <w:trPr>
          <w:cantSplit/>
          <w:trHeight w:val="20"/>
        </w:trPr>
        <w:tc>
          <w:tcPr>
            <w:tcW w:w="1894" w:type="pct"/>
          </w:tcPr>
          <w:p w:rsidR="00AA005A" w:rsidRPr="00AA005A" w:rsidP="00AA005A" w14:paraId="045DEB06" w14:textId="77777777">
            <w:pPr>
              <w:rPr>
                <w:sz w:val="20"/>
                <w:szCs w:val="20"/>
              </w:rPr>
            </w:pPr>
            <w:r w:rsidRPr="00AA005A">
              <w:rPr>
                <w:sz w:val="20"/>
                <w:szCs w:val="20"/>
              </w:rPr>
              <w:t>Reports for exempt infant formula; § 107.50(b)(3) and (4)</w:t>
            </w:r>
          </w:p>
        </w:tc>
        <w:tc>
          <w:tcPr>
            <w:tcW w:w="662" w:type="pct"/>
          </w:tcPr>
          <w:p w:rsidR="00AA005A" w:rsidRPr="00AA005A" w:rsidP="00AA005A" w14:paraId="220E03D2" w14:textId="77777777">
            <w:pPr>
              <w:jc w:val="right"/>
              <w:rPr>
                <w:sz w:val="20"/>
                <w:szCs w:val="20"/>
              </w:rPr>
            </w:pPr>
            <w:r w:rsidRPr="00AA005A">
              <w:rPr>
                <w:sz w:val="20"/>
                <w:szCs w:val="20"/>
              </w:rPr>
              <w:t>3</w:t>
            </w:r>
          </w:p>
        </w:tc>
        <w:tc>
          <w:tcPr>
            <w:tcW w:w="758" w:type="pct"/>
          </w:tcPr>
          <w:p w:rsidR="00AA005A" w:rsidRPr="00AA005A" w:rsidP="00AA005A" w14:paraId="0EB56370" w14:textId="77777777">
            <w:pPr>
              <w:jc w:val="right"/>
              <w:rPr>
                <w:sz w:val="20"/>
                <w:szCs w:val="20"/>
              </w:rPr>
            </w:pPr>
            <w:r w:rsidRPr="00AA005A">
              <w:rPr>
                <w:sz w:val="20"/>
                <w:szCs w:val="20"/>
              </w:rPr>
              <w:t>2</w:t>
            </w:r>
          </w:p>
        </w:tc>
        <w:tc>
          <w:tcPr>
            <w:tcW w:w="615" w:type="pct"/>
          </w:tcPr>
          <w:p w:rsidR="00AA005A" w:rsidRPr="00AA005A" w:rsidP="00AA005A" w14:paraId="5FB4727D" w14:textId="77777777">
            <w:pPr>
              <w:jc w:val="right"/>
              <w:rPr>
                <w:sz w:val="20"/>
                <w:szCs w:val="20"/>
              </w:rPr>
            </w:pPr>
            <w:r w:rsidRPr="00AA005A">
              <w:rPr>
                <w:sz w:val="20"/>
                <w:szCs w:val="20"/>
              </w:rPr>
              <w:t>6</w:t>
            </w:r>
          </w:p>
        </w:tc>
        <w:tc>
          <w:tcPr>
            <w:tcW w:w="590" w:type="pct"/>
          </w:tcPr>
          <w:p w:rsidR="00AA005A" w:rsidRPr="00AA005A" w:rsidP="00AA005A" w14:paraId="28990518" w14:textId="77777777">
            <w:pPr>
              <w:jc w:val="right"/>
              <w:rPr>
                <w:sz w:val="20"/>
                <w:szCs w:val="20"/>
              </w:rPr>
            </w:pPr>
            <w:r w:rsidRPr="00AA005A">
              <w:rPr>
                <w:sz w:val="20"/>
                <w:szCs w:val="20"/>
              </w:rPr>
              <w:t>4</w:t>
            </w:r>
          </w:p>
        </w:tc>
        <w:tc>
          <w:tcPr>
            <w:tcW w:w="481" w:type="pct"/>
          </w:tcPr>
          <w:p w:rsidR="00AA005A" w:rsidRPr="00AA005A" w:rsidP="00AA005A" w14:paraId="116541D6" w14:textId="77777777">
            <w:pPr>
              <w:jc w:val="right"/>
              <w:rPr>
                <w:sz w:val="20"/>
                <w:szCs w:val="20"/>
              </w:rPr>
            </w:pPr>
            <w:r w:rsidRPr="00AA005A">
              <w:rPr>
                <w:sz w:val="20"/>
                <w:szCs w:val="20"/>
              </w:rPr>
              <w:t>24</w:t>
            </w:r>
          </w:p>
        </w:tc>
      </w:tr>
      <w:tr w14:paraId="7DE5C9D1" w14:textId="77777777" w:rsidTr="000A56D3">
        <w:tblPrEx>
          <w:tblW w:w="5000" w:type="pct"/>
          <w:tblLayout w:type="fixed"/>
          <w:tblLook w:val="01E0"/>
        </w:tblPrEx>
        <w:trPr>
          <w:cantSplit/>
          <w:trHeight w:val="20"/>
        </w:trPr>
        <w:tc>
          <w:tcPr>
            <w:tcW w:w="1894" w:type="pct"/>
          </w:tcPr>
          <w:p w:rsidR="00AA005A" w:rsidRPr="00AA005A" w:rsidP="00AA005A" w14:paraId="0B94A7AB" w14:textId="77777777">
            <w:pPr>
              <w:rPr>
                <w:sz w:val="20"/>
                <w:szCs w:val="20"/>
              </w:rPr>
            </w:pPr>
            <w:r w:rsidRPr="00AA005A">
              <w:rPr>
                <w:sz w:val="20"/>
                <w:szCs w:val="20"/>
              </w:rPr>
              <w:t>Notifications for exempt infant formula; § 107.50(e)(2)</w:t>
            </w:r>
          </w:p>
        </w:tc>
        <w:tc>
          <w:tcPr>
            <w:tcW w:w="662" w:type="pct"/>
          </w:tcPr>
          <w:p w:rsidR="00AA005A" w:rsidRPr="00AA005A" w:rsidP="00AA005A" w14:paraId="60F110E1" w14:textId="77777777">
            <w:pPr>
              <w:jc w:val="right"/>
              <w:rPr>
                <w:sz w:val="20"/>
                <w:szCs w:val="20"/>
              </w:rPr>
            </w:pPr>
            <w:r w:rsidRPr="00AA005A">
              <w:rPr>
                <w:sz w:val="20"/>
                <w:szCs w:val="20"/>
              </w:rPr>
              <w:t>1</w:t>
            </w:r>
          </w:p>
        </w:tc>
        <w:tc>
          <w:tcPr>
            <w:tcW w:w="758" w:type="pct"/>
          </w:tcPr>
          <w:p w:rsidR="00AA005A" w:rsidRPr="00AA005A" w:rsidP="00AA005A" w14:paraId="1B2165B3" w14:textId="77777777">
            <w:pPr>
              <w:jc w:val="right"/>
              <w:rPr>
                <w:sz w:val="20"/>
                <w:szCs w:val="20"/>
              </w:rPr>
            </w:pPr>
            <w:r w:rsidRPr="00AA005A">
              <w:rPr>
                <w:sz w:val="20"/>
                <w:szCs w:val="20"/>
              </w:rPr>
              <w:t>1</w:t>
            </w:r>
          </w:p>
        </w:tc>
        <w:tc>
          <w:tcPr>
            <w:tcW w:w="615" w:type="pct"/>
          </w:tcPr>
          <w:p w:rsidR="00AA005A" w:rsidRPr="00AA005A" w:rsidP="00AA005A" w14:paraId="6B475552" w14:textId="77777777">
            <w:pPr>
              <w:jc w:val="right"/>
              <w:rPr>
                <w:sz w:val="20"/>
                <w:szCs w:val="20"/>
              </w:rPr>
            </w:pPr>
            <w:r w:rsidRPr="00AA005A">
              <w:rPr>
                <w:sz w:val="20"/>
                <w:szCs w:val="20"/>
              </w:rPr>
              <w:t>1</w:t>
            </w:r>
          </w:p>
        </w:tc>
        <w:tc>
          <w:tcPr>
            <w:tcW w:w="590" w:type="pct"/>
          </w:tcPr>
          <w:p w:rsidR="00AA005A" w:rsidRPr="00AA005A" w:rsidP="00AA005A" w14:paraId="2AA12E11" w14:textId="77777777">
            <w:pPr>
              <w:jc w:val="right"/>
              <w:rPr>
                <w:sz w:val="20"/>
                <w:szCs w:val="20"/>
              </w:rPr>
            </w:pPr>
            <w:r w:rsidRPr="00AA005A">
              <w:rPr>
                <w:sz w:val="20"/>
                <w:szCs w:val="20"/>
              </w:rPr>
              <w:t>4</w:t>
            </w:r>
          </w:p>
        </w:tc>
        <w:tc>
          <w:tcPr>
            <w:tcW w:w="481" w:type="pct"/>
          </w:tcPr>
          <w:p w:rsidR="00AA005A" w:rsidRPr="00AA005A" w:rsidP="00AA005A" w14:paraId="0470FEA6" w14:textId="77777777">
            <w:pPr>
              <w:jc w:val="right"/>
              <w:rPr>
                <w:sz w:val="20"/>
                <w:szCs w:val="20"/>
              </w:rPr>
            </w:pPr>
            <w:r w:rsidRPr="00AA005A">
              <w:rPr>
                <w:sz w:val="20"/>
                <w:szCs w:val="20"/>
              </w:rPr>
              <w:t>4</w:t>
            </w:r>
          </w:p>
        </w:tc>
      </w:tr>
      <w:tr w14:paraId="62FBFC77" w14:textId="77777777" w:rsidTr="000A56D3">
        <w:tblPrEx>
          <w:tblW w:w="5000" w:type="pct"/>
          <w:tblLayout w:type="fixed"/>
          <w:tblLook w:val="01E0"/>
        </w:tblPrEx>
        <w:trPr>
          <w:cantSplit/>
          <w:trHeight w:val="20"/>
        </w:trPr>
        <w:tc>
          <w:tcPr>
            <w:tcW w:w="1894" w:type="pct"/>
          </w:tcPr>
          <w:p w:rsidR="00AA005A" w:rsidRPr="00AA005A" w:rsidP="00AA005A" w14:paraId="737C5ADF" w14:textId="77777777">
            <w:pPr>
              <w:rPr>
                <w:sz w:val="20"/>
                <w:szCs w:val="20"/>
              </w:rPr>
            </w:pPr>
            <w:r w:rsidRPr="00AA005A">
              <w:rPr>
                <w:sz w:val="20"/>
                <w:szCs w:val="20"/>
              </w:rPr>
              <w:t>Requirements for quality factors - growth monitoring study exemption; § 106.96(c)</w:t>
            </w:r>
          </w:p>
        </w:tc>
        <w:tc>
          <w:tcPr>
            <w:tcW w:w="662" w:type="pct"/>
          </w:tcPr>
          <w:p w:rsidR="00AA005A" w:rsidRPr="00AA005A" w:rsidP="00AA005A" w14:paraId="04B71846" w14:textId="77777777">
            <w:pPr>
              <w:jc w:val="right"/>
              <w:rPr>
                <w:sz w:val="20"/>
                <w:szCs w:val="20"/>
              </w:rPr>
            </w:pPr>
            <w:r w:rsidRPr="00AA005A">
              <w:rPr>
                <w:sz w:val="20"/>
                <w:szCs w:val="20"/>
              </w:rPr>
              <w:t>4</w:t>
            </w:r>
          </w:p>
        </w:tc>
        <w:tc>
          <w:tcPr>
            <w:tcW w:w="758" w:type="pct"/>
          </w:tcPr>
          <w:p w:rsidR="00AA005A" w:rsidRPr="00AA005A" w:rsidP="00AA005A" w14:paraId="7F2AE142" w14:textId="77777777">
            <w:pPr>
              <w:jc w:val="right"/>
              <w:rPr>
                <w:sz w:val="20"/>
                <w:szCs w:val="20"/>
              </w:rPr>
            </w:pPr>
            <w:r w:rsidRPr="00AA005A">
              <w:rPr>
                <w:sz w:val="20"/>
                <w:szCs w:val="20"/>
              </w:rPr>
              <w:t>9</w:t>
            </w:r>
          </w:p>
        </w:tc>
        <w:tc>
          <w:tcPr>
            <w:tcW w:w="615" w:type="pct"/>
          </w:tcPr>
          <w:p w:rsidR="00AA005A" w:rsidRPr="00AA005A" w:rsidP="00AA005A" w14:paraId="2B10AB25" w14:textId="77777777">
            <w:pPr>
              <w:jc w:val="right"/>
              <w:rPr>
                <w:sz w:val="20"/>
                <w:szCs w:val="20"/>
              </w:rPr>
            </w:pPr>
            <w:r w:rsidRPr="00AA005A">
              <w:rPr>
                <w:sz w:val="20"/>
                <w:szCs w:val="20"/>
              </w:rPr>
              <w:t>36</w:t>
            </w:r>
          </w:p>
        </w:tc>
        <w:tc>
          <w:tcPr>
            <w:tcW w:w="590" w:type="pct"/>
          </w:tcPr>
          <w:p w:rsidR="00AA005A" w:rsidRPr="00AA005A" w:rsidP="00AA005A" w14:paraId="3982822F" w14:textId="77777777">
            <w:pPr>
              <w:jc w:val="right"/>
              <w:rPr>
                <w:sz w:val="20"/>
                <w:szCs w:val="20"/>
              </w:rPr>
            </w:pPr>
            <w:r w:rsidRPr="00AA005A">
              <w:rPr>
                <w:sz w:val="20"/>
                <w:szCs w:val="20"/>
              </w:rPr>
              <w:t>20</w:t>
            </w:r>
          </w:p>
        </w:tc>
        <w:tc>
          <w:tcPr>
            <w:tcW w:w="481" w:type="pct"/>
          </w:tcPr>
          <w:p w:rsidR="00AA005A" w:rsidRPr="00AA005A" w:rsidP="00AA005A" w14:paraId="5EC91373" w14:textId="77777777">
            <w:pPr>
              <w:jc w:val="right"/>
              <w:rPr>
                <w:sz w:val="20"/>
                <w:szCs w:val="20"/>
              </w:rPr>
            </w:pPr>
            <w:r w:rsidRPr="00AA005A">
              <w:rPr>
                <w:sz w:val="20"/>
                <w:szCs w:val="20"/>
              </w:rPr>
              <w:t>720</w:t>
            </w:r>
          </w:p>
        </w:tc>
      </w:tr>
      <w:tr w14:paraId="468AD4FE" w14:textId="77777777" w:rsidTr="000A56D3">
        <w:tblPrEx>
          <w:tblW w:w="5000" w:type="pct"/>
          <w:tblLayout w:type="fixed"/>
          <w:tblLook w:val="01E0"/>
        </w:tblPrEx>
        <w:trPr>
          <w:cantSplit/>
          <w:trHeight w:val="20"/>
        </w:trPr>
        <w:tc>
          <w:tcPr>
            <w:tcW w:w="1894" w:type="pct"/>
          </w:tcPr>
          <w:p w:rsidR="00AA005A" w:rsidRPr="00AA005A" w:rsidP="00AA005A" w14:paraId="78114B53" w14:textId="77777777">
            <w:pPr>
              <w:rPr>
                <w:sz w:val="20"/>
                <w:szCs w:val="20"/>
              </w:rPr>
            </w:pPr>
            <w:r w:rsidRPr="00AA005A">
              <w:rPr>
                <w:sz w:val="20"/>
                <w:szCs w:val="20"/>
              </w:rPr>
              <w:t>Requirements for quality factors - PER exemption;</w:t>
            </w:r>
          </w:p>
          <w:p w:rsidR="00AA005A" w:rsidRPr="00AA005A" w:rsidP="00AA005A" w14:paraId="4A83B726" w14:textId="77777777">
            <w:pPr>
              <w:rPr>
                <w:sz w:val="20"/>
                <w:szCs w:val="20"/>
              </w:rPr>
            </w:pPr>
            <w:r w:rsidRPr="00AA005A">
              <w:rPr>
                <w:sz w:val="20"/>
                <w:szCs w:val="20"/>
              </w:rPr>
              <w:t>§ 106.96(g)</w:t>
            </w:r>
          </w:p>
        </w:tc>
        <w:tc>
          <w:tcPr>
            <w:tcW w:w="662" w:type="pct"/>
          </w:tcPr>
          <w:p w:rsidR="00AA005A" w:rsidRPr="00AA005A" w:rsidP="00AA005A" w14:paraId="3A15FA5B" w14:textId="77777777">
            <w:pPr>
              <w:jc w:val="right"/>
              <w:rPr>
                <w:sz w:val="20"/>
                <w:szCs w:val="20"/>
              </w:rPr>
            </w:pPr>
            <w:r w:rsidRPr="00AA005A">
              <w:rPr>
                <w:sz w:val="20"/>
                <w:szCs w:val="20"/>
              </w:rPr>
              <w:t>1</w:t>
            </w:r>
          </w:p>
        </w:tc>
        <w:tc>
          <w:tcPr>
            <w:tcW w:w="758" w:type="pct"/>
          </w:tcPr>
          <w:p w:rsidR="00AA005A" w:rsidRPr="00AA005A" w:rsidP="00AA005A" w14:paraId="78324ED2" w14:textId="77777777">
            <w:pPr>
              <w:jc w:val="right"/>
              <w:rPr>
                <w:sz w:val="20"/>
                <w:szCs w:val="20"/>
              </w:rPr>
            </w:pPr>
            <w:r w:rsidRPr="00AA005A">
              <w:rPr>
                <w:sz w:val="20"/>
                <w:szCs w:val="20"/>
              </w:rPr>
              <w:t>34</w:t>
            </w:r>
          </w:p>
        </w:tc>
        <w:tc>
          <w:tcPr>
            <w:tcW w:w="615" w:type="pct"/>
          </w:tcPr>
          <w:p w:rsidR="00AA005A" w:rsidRPr="00AA005A" w:rsidP="00AA005A" w14:paraId="3D06BF5B" w14:textId="77777777">
            <w:pPr>
              <w:jc w:val="right"/>
              <w:rPr>
                <w:sz w:val="20"/>
                <w:szCs w:val="20"/>
              </w:rPr>
            </w:pPr>
            <w:r w:rsidRPr="00AA005A">
              <w:rPr>
                <w:sz w:val="20"/>
                <w:szCs w:val="20"/>
              </w:rPr>
              <w:t>34</w:t>
            </w:r>
          </w:p>
        </w:tc>
        <w:tc>
          <w:tcPr>
            <w:tcW w:w="590" w:type="pct"/>
          </w:tcPr>
          <w:p w:rsidR="00AA005A" w:rsidRPr="00AA005A" w:rsidP="00AA005A" w14:paraId="46E7E3A5" w14:textId="77777777">
            <w:pPr>
              <w:jc w:val="right"/>
              <w:rPr>
                <w:sz w:val="20"/>
                <w:szCs w:val="20"/>
              </w:rPr>
            </w:pPr>
            <w:r w:rsidRPr="00AA005A">
              <w:rPr>
                <w:sz w:val="20"/>
                <w:szCs w:val="20"/>
              </w:rPr>
              <w:t>12</w:t>
            </w:r>
          </w:p>
        </w:tc>
        <w:tc>
          <w:tcPr>
            <w:tcW w:w="481" w:type="pct"/>
          </w:tcPr>
          <w:p w:rsidR="00AA005A" w:rsidRPr="00AA005A" w:rsidP="00AA005A" w14:paraId="491505C3" w14:textId="77777777">
            <w:pPr>
              <w:jc w:val="right"/>
              <w:rPr>
                <w:sz w:val="20"/>
                <w:szCs w:val="20"/>
              </w:rPr>
            </w:pPr>
            <w:r w:rsidRPr="00AA005A">
              <w:rPr>
                <w:sz w:val="20"/>
                <w:szCs w:val="20"/>
              </w:rPr>
              <w:t>408</w:t>
            </w:r>
          </w:p>
        </w:tc>
      </w:tr>
      <w:tr w14:paraId="4C4DD0EA" w14:textId="77777777" w:rsidTr="000A56D3">
        <w:tblPrEx>
          <w:tblW w:w="5000" w:type="pct"/>
          <w:tblLayout w:type="fixed"/>
          <w:tblLook w:val="01E0"/>
        </w:tblPrEx>
        <w:trPr>
          <w:cantSplit/>
          <w:trHeight w:val="20"/>
        </w:trPr>
        <w:tc>
          <w:tcPr>
            <w:tcW w:w="1894" w:type="pct"/>
          </w:tcPr>
          <w:p w:rsidR="00AA005A" w:rsidRPr="00AA005A" w:rsidP="00AA005A" w14:paraId="5719F53B" w14:textId="77777777">
            <w:pPr>
              <w:rPr>
                <w:sz w:val="20"/>
                <w:szCs w:val="20"/>
              </w:rPr>
            </w:pPr>
            <w:r w:rsidRPr="00AA005A">
              <w:rPr>
                <w:sz w:val="20"/>
                <w:szCs w:val="20"/>
              </w:rPr>
              <w:t>New infant formula registration; § 106.110</w:t>
            </w:r>
          </w:p>
        </w:tc>
        <w:tc>
          <w:tcPr>
            <w:tcW w:w="662" w:type="pct"/>
          </w:tcPr>
          <w:p w:rsidR="00AA005A" w:rsidRPr="00AA005A" w:rsidP="00AA005A" w14:paraId="19E1B3EC" w14:textId="77777777">
            <w:pPr>
              <w:jc w:val="right"/>
              <w:rPr>
                <w:sz w:val="20"/>
                <w:szCs w:val="20"/>
              </w:rPr>
            </w:pPr>
            <w:r w:rsidRPr="00AA005A">
              <w:rPr>
                <w:sz w:val="20"/>
                <w:szCs w:val="20"/>
              </w:rPr>
              <w:t>4</w:t>
            </w:r>
          </w:p>
        </w:tc>
        <w:tc>
          <w:tcPr>
            <w:tcW w:w="758" w:type="pct"/>
          </w:tcPr>
          <w:p w:rsidR="00AA005A" w:rsidRPr="00AA005A" w:rsidP="00AA005A" w14:paraId="02C03643" w14:textId="77777777">
            <w:pPr>
              <w:jc w:val="right"/>
              <w:rPr>
                <w:sz w:val="20"/>
                <w:szCs w:val="20"/>
              </w:rPr>
            </w:pPr>
            <w:r w:rsidRPr="00AA005A">
              <w:rPr>
                <w:sz w:val="20"/>
                <w:szCs w:val="20"/>
              </w:rPr>
              <w:t>9</w:t>
            </w:r>
          </w:p>
        </w:tc>
        <w:tc>
          <w:tcPr>
            <w:tcW w:w="615" w:type="pct"/>
          </w:tcPr>
          <w:p w:rsidR="00AA005A" w:rsidRPr="00AA005A" w:rsidP="00AA005A" w14:paraId="22EE4D6E" w14:textId="77777777">
            <w:pPr>
              <w:jc w:val="right"/>
              <w:rPr>
                <w:sz w:val="20"/>
                <w:szCs w:val="20"/>
              </w:rPr>
            </w:pPr>
            <w:r w:rsidRPr="00AA005A">
              <w:rPr>
                <w:sz w:val="20"/>
                <w:szCs w:val="20"/>
              </w:rPr>
              <w:t>36</w:t>
            </w:r>
          </w:p>
        </w:tc>
        <w:tc>
          <w:tcPr>
            <w:tcW w:w="590" w:type="pct"/>
          </w:tcPr>
          <w:p w:rsidR="00AA005A" w:rsidRPr="00AA005A" w:rsidP="00AA005A" w14:paraId="2B1D4B6F" w14:textId="77777777">
            <w:pPr>
              <w:jc w:val="right"/>
              <w:rPr>
                <w:sz w:val="20"/>
                <w:szCs w:val="20"/>
              </w:rPr>
            </w:pPr>
            <w:r w:rsidRPr="00AA005A">
              <w:rPr>
                <w:sz w:val="20"/>
                <w:szCs w:val="20"/>
              </w:rPr>
              <w:t xml:space="preserve">0.50 </w:t>
            </w:r>
          </w:p>
          <w:p w:rsidR="00AA005A" w:rsidRPr="00AA005A" w:rsidP="00AA005A" w14:paraId="1DE39CF8" w14:textId="0DA9E1CF">
            <w:pPr>
              <w:jc w:val="right"/>
              <w:rPr>
                <w:sz w:val="20"/>
                <w:szCs w:val="20"/>
              </w:rPr>
            </w:pPr>
            <w:r w:rsidRPr="00AA005A">
              <w:rPr>
                <w:sz w:val="20"/>
                <w:szCs w:val="20"/>
              </w:rPr>
              <w:t>(30 min</w:t>
            </w:r>
            <w:r w:rsidR="000A56D3">
              <w:rPr>
                <w:sz w:val="20"/>
                <w:szCs w:val="20"/>
              </w:rPr>
              <w:t>s.</w:t>
            </w:r>
            <w:r w:rsidRPr="00AA005A">
              <w:rPr>
                <w:sz w:val="20"/>
                <w:szCs w:val="20"/>
              </w:rPr>
              <w:t>)</w:t>
            </w:r>
          </w:p>
        </w:tc>
        <w:tc>
          <w:tcPr>
            <w:tcW w:w="481" w:type="pct"/>
          </w:tcPr>
          <w:p w:rsidR="00AA005A" w:rsidRPr="00AA005A" w:rsidP="00AA005A" w14:paraId="4009A00C" w14:textId="77777777">
            <w:pPr>
              <w:jc w:val="right"/>
              <w:rPr>
                <w:sz w:val="20"/>
                <w:szCs w:val="20"/>
              </w:rPr>
            </w:pPr>
            <w:r w:rsidRPr="00AA005A">
              <w:rPr>
                <w:sz w:val="20"/>
                <w:szCs w:val="20"/>
              </w:rPr>
              <w:t>18</w:t>
            </w:r>
          </w:p>
        </w:tc>
      </w:tr>
      <w:tr w14:paraId="4EBCC498" w14:textId="77777777" w:rsidTr="000A56D3">
        <w:tblPrEx>
          <w:tblW w:w="5000" w:type="pct"/>
          <w:tblLayout w:type="fixed"/>
          <w:tblLook w:val="01E0"/>
        </w:tblPrEx>
        <w:trPr>
          <w:cantSplit/>
          <w:trHeight w:val="20"/>
        </w:trPr>
        <w:tc>
          <w:tcPr>
            <w:tcW w:w="1894" w:type="pct"/>
          </w:tcPr>
          <w:p w:rsidR="00AA005A" w:rsidRPr="00AA005A" w:rsidP="00AA005A" w14:paraId="605471B4" w14:textId="77777777">
            <w:pPr>
              <w:rPr>
                <w:sz w:val="20"/>
                <w:szCs w:val="20"/>
              </w:rPr>
            </w:pPr>
            <w:r w:rsidRPr="00AA005A">
              <w:rPr>
                <w:sz w:val="20"/>
                <w:szCs w:val="20"/>
              </w:rPr>
              <w:t>New infant formula submission; § 106.120</w:t>
            </w:r>
          </w:p>
        </w:tc>
        <w:tc>
          <w:tcPr>
            <w:tcW w:w="662" w:type="pct"/>
          </w:tcPr>
          <w:p w:rsidR="00AA005A" w:rsidRPr="00AA005A" w:rsidP="00AA005A" w14:paraId="229AF849" w14:textId="77777777">
            <w:pPr>
              <w:jc w:val="right"/>
              <w:rPr>
                <w:sz w:val="20"/>
                <w:szCs w:val="20"/>
              </w:rPr>
            </w:pPr>
            <w:r w:rsidRPr="00AA005A">
              <w:rPr>
                <w:sz w:val="20"/>
                <w:szCs w:val="20"/>
              </w:rPr>
              <w:t>4</w:t>
            </w:r>
          </w:p>
        </w:tc>
        <w:tc>
          <w:tcPr>
            <w:tcW w:w="758" w:type="pct"/>
          </w:tcPr>
          <w:p w:rsidR="00AA005A" w:rsidRPr="00AA005A" w:rsidP="00AA005A" w14:paraId="2E33BF98" w14:textId="77777777">
            <w:pPr>
              <w:jc w:val="right"/>
              <w:rPr>
                <w:sz w:val="20"/>
                <w:szCs w:val="20"/>
              </w:rPr>
            </w:pPr>
            <w:r w:rsidRPr="00AA005A">
              <w:rPr>
                <w:sz w:val="20"/>
                <w:szCs w:val="20"/>
              </w:rPr>
              <w:t>9</w:t>
            </w:r>
          </w:p>
        </w:tc>
        <w:tc>
          <w:tcPr>
            <w:tcW w:w="615" w:type="pct"/>
          </w:tcPr>
          <w:p w:rsidR="00AA005A" w:rsidRPr="00AA005A" w:rsidP="00AA005A" w14:paraId="1249F11B" w14:textId="77777777">
            <w:pPr>
              <w:jc w:val="right"/>
              <w:rPr>
                <w:sz w:val="20"/>
                <w:szCs w:val="20"/>
              </w:rPr>
            </w:pPr>
            <w:r w:rsidRPr="00AA005A">
              <w:rPr>
                <w:sz w:val="20"/>
                <w:szCs w:val="20"/>
              </w:rPr>
              <w:t>36</w:t>
            </w:r>
          </w:p>
        </w:tc>
        <w:tc>
          <w:tcPr>
            <w:tcW w:w="590" w:type="pct"/>
          </w:tcPr>
          <w:p w:rsidR="00AA005A" w:rsidRPr="00AA005A" w:rsidP="00AA005A" w14:paraId="39B345D7" w14:textId="77777777">
            <w:pPr>
              <w:jc w:val="right"/>
              <w:rPr>
                <w:sz w:val="20"/>
                <w:szCs w:val="20"/>
              </w:rPr>
            </w:pPr>
            <w:r w:rsidRPr="00AA005A">
              <w:rPr>
                <w:sz w:val="20"/>
                <w:szCs w:val="20"/>
              </w:rPr>
              <w:t>10</w:t>
            </w:r>
          </w:p>
        </w:tc>
        <w:tc>
          <w:tcPr>
            <w:tcW w:w="481" w:type="pct"/>
          </w:tcPr>
          <w:p w:rsidR="00AA005A" w:rsidRPr="00AA005A" w:rsidP="00AA005A" w14:paraId="2D8B2951" w14:textId="77777777">
            <w:pPr>
              <w:jc w:val="right"/>
              <w:rPr>
                <w:sz w:val="20"/>
                <w:szCs w:val="20"/>
              </w:rPr>
            </w:pPr>
            <w:r w:rsidRPr="00AA005A">
              <w:rPr>
                <w:sz w:val="20"/>
                <w:szCs w:val="20"/>
              </w:rPr>
              <w:t>360</w:t>
            </w:r>
          </w:p>
        </w:tc>
      </w:tr>
      <w:tr w14:paraId="0307FB2E" w14:textId="77777777" w:rsidTr="000A56D3">
        <w:tblPrEx>
          <w:tblW w:w="5000" w:type="pct"/>
          <w:tblLayout w:type="fixed"/>
          <w:tblLook w:val="01E0"/>
        </w:tblPrEx>
        <w:trPr>
          <w:cantSplit/>
          <w:trHeight w:val="20"/>
        </w:trPr>
        <w:tc>
          <w:tcPr>
            <w:tcW w:w="1894" w:type="pct"/>
          </w:tcPr>
          <w:p w:rsidR="00AA005A" w:rsidRPr="00AA005A" w:rsidP="00AA005A" w14:paraId="3ACECF97" w14:textId="2D70ABA1">
            <w:pPr>
              <w:rPr>
                <w:sz w:val="20"/>
                <w:szCs w:val="20"/>
              </w:rPr>
            </w:pPr>
            <w:r>
              <w:rPr>
                <w:sz w:val="20"/>
                <w:szCs w:val="20"/>
              </w:rPr>
              <w:t>I</w:t>
            </w:r>
            <w:r w:rsidRPr="00AA005A">
              <w:rPr>
                <w:sz w:val="20"/>
                <w:szCs w:val="20"/>
              </w:rPr>
              <w:t>nfant formula recall</w:t>
            </w:r>
            <w:r>
              <w:rPr>
                <w:sz w:val="20"/>
                <w:szCs w:val="20"/>
              </w:rPr>
              <w:t>s; all elements</w:t>
            </w:r>
            <w:r w:rsidR="00FA429F">
              <w:rPr>
                <w:sz w:val="20"/>
                <w:szCs w:val="20"/>
              </w:rPr>
              <w:t xml:space="preserve"> and including associated recordkeeping</w:t>
            </w:r>
          </w:p>
        </w:tc>
        <w:tc>
          <w:tcPr>
            <w:tcW w:w="662" w:type="pct"/>
          </w:tcPr>
          <w:p w:rsidR="00AA005A" w:rsidRPr="00AA005A" w:rsidP="00AA005A" w14:paraId="2AFE9B90" w14:textId="6130A002">
            <w:pPr>
              <w:jc w:val="right"/>
              <w:rPr>
                <w:sz w:val="20"/>
                <w:szCs w:val="20"/>
              </w:rPr>
            </w:pPr>
            <w:r>
              <w:rPr>
                <w:sz w:val="20"/>
                <w:szCs w:val="20"/>
              </w:rPr>
              <w:t>10</w:t>
            </w:r>
          </w:p>
        </w:tc>
        <w:tc>
          <w:tcPr>
            <w:tcW w:w="758" w:type="pct"/>
          </w:tcPr>
          <w:p w:rsidR="00AA005A" w:rsidRPr="00AA005A" w:rsidP="00AA005A" w14:paraId="04A2B6A3" w14:textId="57364B29">
            <w:pPr>
              <w:jc w:val="right"/>
              <w:rPr>
                <w:sz w:val="20"/>
                <w:szCs w:val="20"/>
              </w:rPr>
            </w:pPr>
            <w:r>
              <w:rPr>
                <w:sz w:val="20"/>
                <w:szCs w:val="20"/>
              </w:rPr>
              <w:t>1</w:t>
            </w:r>
          </w:p>
        </w:tc>
        <w:tc>
          <w:tcPr>
            <w:tcW w:w="615" w:type="pct"/>
          </w:tcPr>
          <w:p w:rsidR="00AA005A" w:rsidRPr="00AA005A" w:rsidP="00AA005A" w14:paraId="71453E17" w14:textId="294F3B4C">
            <w:pPr>
              <w:jc w:val="right"/>
              <w:rPr>
                <w:sz w:val="20"/>
                <w:szCs w:val="20"/>
              </w:rPr>
            </w:pPr>
            <w:r>
              <w:rPr>
                <w:sz w:val="20"/>
                <w:szCs w:val="20"/>
              </w:rPr>
              <w:t>10</w:t>
            </w:r>
          </w:p>
        </w:tc>
        <w:tc>
          <w:tcPr>
            <w:tcW w:w="590" w:type="pct"/>
          </w:tcPr>
          <w:p w:rsidR="00AA005A" w:rsidRPr="00AA005A" w:rsidP="00AA005A" w14:paraId="086BDF03" w14:textId="22B2BC28">
            <w:pPr>
              <w:jc w:val="right"/>
              <w:rPr>
                <w:sz w:val="20"/>
                <w:szCs w:val="20"/>
              </w:rPr>
            </w:pPr>
            <w:r>
              <w:rPr>
                <w:sz w:val="20"/>
                <w:szCs w:val="20"/>
              </w:rPr>
              <w:t>~1,285.4 hrs.</w:t>
            </w:r>
          </w:p>
        </w:tc>
        <w:tc>
          <w:tcPr>
            <w:tcW w:w="481" w:type="pct"/>
          </w:tcPr>
          <w:p w:rsidR="00AA005A" w:rsidRPr="00AA005A" w:rsidP="00AA005A" w14:paraId="2D5723DF" w14:textId="36D5E852">
            <w:pPr>
              <w:jc w:val="right"/>
              <w:rPr>
                <w:sz w:val="20"/>
                <w:szCs w:val="20"/>
              </w:rPr>
            </w:pPr>
            <w:r>
              <w:rPr>
                <w:sz w:val="20"/>
                <w:szCs w:val="20"/>
              </w:rPr>
              <w:t>12854</w:t>
            </w:r>
          </w:p>
        </w:tc>
      </w:tr>
      <w:tr w14:paraId="63FAB639" w14:textId="77777777" w:rsidTr="000A56D3">
        <w:tblPrEx>
          <w:tblW w:w="5000" w:type="pct"/>
          <w:tblLayout w:type="fixed"/>
          <w:tblLook w:val="01E0"/>
        </w:tblPrEx>
        <w:trPr>
          <w:cantSplit/>
          <w:trHeight w:val="20"/>
        </w:trPr>
        <w:tc>
          <w:tcPr>
            <w:tcW w:w="1894" w:type="pct"/>
            <w:shd w:val="clear" w:color="auto" w:fill="CCFFCC"/>
          </w:tcPr>
          <w:p w:rsidR="00AA005A" w:rsidRPr="00AA005A" w:rsidP="00AA005A" w14:paraId="2CAC7428" w14:textId="77777777">
            <w:pPr>
              <w:rPr>
                <w:sz w:val="20"/>
                <w:szCs w:val="20"/>
              </w:rPr>
            </w:pPr>
            <w:r w:rsidRPr="00AA005A">
              <w:rPr>
                <w:sz w:val="20"/>
                <w:szCs w:val="20"/>
              </w:rPr>
              <w:t>Notification of a permanent discontinuance or an interruption of the manufacture of a critical food; draft guidance for Notifying FDA of a Permanent Discontinuance in the Manufacture or an Interruption of the Manufacture of an Infant Formula</w:t>
            </w:r>
          </w:p>
        </w:tc>
        <w:tc>
          <w:tcPr>
            <w:tcW w:w="662" w:type="pct"/>
            <w:shd w:val="clear" w:color="auto" w:fill="CCFFCC"/>
          </w:tcPr>
          <w:p w:rsidR="00AA005A" w:rsidRPr="00AA005A" w:rsidP="00AA005A" w14:paraId="6EF0E045" w14:textId="77777777">
            <w:pPr>
              <w:jc w:val="right"/>
              <w:rPr>
                <w:sz w:val="20"/>
                <w:szCs w:val="20"/>
              </w:rPr>
            </w:pPr>
            <w:r w:rsidRPr="00AA005A">
              <w:rPr>
                <w:sz w:val="20"/>
                <w:szCs w:val="20"/>
              </w:rPr>
              <w:t>8</w:t>
            </w:r>
          </w:p>
        </w:tc>
        <w:tc>
          <w:tcPr>
            <w:tcW w:w="758" w:type="pct"/>
            <w:shd w:val="clear" w:color="auto" w:fill="CCFFCC"/>
          </w:tcPr>
          <w:p w:rsidR="00AA005A" w:rsidRPr="00AA005A" w:rsidP="00AA005A" w14:paraId="29D8B62F" w14:textId="77777777">
            <w:pPr>
              <w:jc w:val="right"/>
              <w:rPr>
                <w:sz w:val="20"/>
                <w:szCs w:val="20"/>
              </w:rPr>
            </w:pPr>
            <w:r w:rsidRPr="00AA005A">
              <w:rPr>
                <w:sz w:val="20"/>
                <w:szCs w:val="20"/>
              </w:rPr>
              <w:t>1</w:t>
            </w:r>
          </w:p>
        </w:tc>
        <w:tc>
          <w:tcPr>
            <w:tcW w:w="615" w:type="pct"/>
            <w:shd w:val="clear" w:color="auto" w:fill="CCFFCC"/>
          </w:tcPr>
          <w:p w:rsidR="00AA005A" w:rsidRPr="00AA005A" w:rsidP="00AA005A" w14:paraId="79D1F5B9" w14:textId="77777777">
            <w:pPr>
              <w:jc w:val="right"/>
              <w:rPr>
                <w:sz w:val="20"/>
                <w:szCs w:val="20"/>
              </w:rPr>
            </w:pPr>
            <w:r w:rsidRPr="00AA005A">
              <w:rPr>
                <w:sz w:val="20"/>
                <w:szCs w:val="20"/>
              </w:rPr>
              <w:t>8</w:t>
            </w:r>
          </w:p>
        </w:tc>
        <w:tc>
          <w:tcPr>
            <w:tcW w:w="590" w:type="pct"/>
            <w:shd w:val="clear" w:color="auto" w:fill="CCFFCC"/>
          </w:tcPr>
          <w:p w:rsidR="00AA005A" w:rsidRPr="00AA005A" w:rsidP="00AA005A" w14:paraId="06CCB372" w14:textId="77777777">
            <w:pPr>
              <w:jc w:val="right"/>
              <w:rPr>
                <w:sz w:val="20"/>
                <w:szCs w:val="20"/>
              </w:rPr>
            </w:pPr>
            <w:r w:rsidRPr="00AA005A">
              <w:rPr>
                <w:sz w:val="20"/>
                <w:szCs w:val="20"/>
              </w:rPr>
              <w:t>2</w:t>
            </w:r>
          </w:p>
        </w:tc>
        <w:tc>
          <w:tcPr>
            <w:tcW w:w="481" w:type="pct"/>
            <w:shd w:val="clear" w:color="auto" w:fill="CCFFCC"/>
          </w:tcPr>
          <w:p w:rsidR="00AA005A" w:rsidRPr="00AA005A" w:rsidP="00AA005A" w14:paraId="760CCBFE" w14:textId="77777777">
            <w:pPr>
              <w:jc w:val="right"/>
              <w:rPr>
                <w:sz w:val="20"/>
                <w:szCs w:val="20"/>
              </w:rPr>
            </w:pPr>
            <w:r w:rsidRPr="00AA005A">
              <w:rPr>
                <w:sz w:val="20"/>
                <w:szCs w:val="20"/>
              </w:rPr>
              <w:t>16</w:t>
            </w:r>
          </w:p>
        </w:tc>
      </w:tr>
      <w:tr w14:paraId="59150821" w14:textId="77777777" w:rsidTr="000B50EB">
        <w:tblPrEx>
          <w:tblW w:w="5000" w:type="pct"/>
          <w:tblLayout w:type="fixed"/>
          <w:tblLook w:val="01E0"/>
        </w:tblPrEx>
        <w:trPr>
          <w:cantSplit/>
          <w:trHeight w:val="458"/>
        </w:trPr>
        <w:tc>
          <w:tcPr>
            <w:tcW w:w="1894" w:type="pct"/>
          </w:tcPr>
          <w:p w:rsidR="00AA005A" w:rsidRPr="00AA005A" w:rsidP="00AA005A" w14:paraId="242D98BA" w14:textId="77777777">
            <w:pPr>
              <w:rPr>
                <w:sz w:val="20"/>
                <w:szCs w:val="20"/>
              </w:rPr>
            </w:pPr>
            <w:r w:rsidRPr="00AA005A">
              <w:rPr>
                <w:sz w:val="20"/>
                <w:szCs w:val="20"/>
              </w:rPr>
              <w:t>Notify FDA of test results as discussed in constituent letter of March 8, 2023</w:t>
            </w:r>
          </w:p>
        </w:tc>
        <w:tc>
          <w:tcPr>
            <w:tcW w:w="662" w:type="pct"/>
          </w:tcPr>
          <w:p w:rsidR="00AA005A" w:rsidRPr="00AA005A" w:rsidP="00AA005A" w14:paraId="0448E041" w14:textId="77777777">
            <w:pPr>
              <w:jc w:val="right"/>
              <w:rPr>
                <w:sz w:val="20"/>
                <w:szCs w:val="20"/>
              </w:rPr>
            </w:pPr>
            <w:r w:rsidRPr="00AA005A">
              <w:rPr>
                <w:sz w:val="20"/>
                <w:szCs w:val="20"/>
              </w:rPr>
              <w:t>20</w:t>
            </w:r>
          </w:p>
        </w:tc>
        <w:tc>
          <w:tcPr>
            <w:tcW w:w="758" w:type="pct"/>
          </w:tcPr>
          <w:p w:rsidR="00AA005A" w:rsidRPr="00AA005A" w:rsidP="00AA005A" w14:paraId="7ACFD86E" w14:textId="77777777">
            <w:pPr>
              <w:jc w:val="right"/>
              <w:rPr>
                <w:sz w:val="20"/>
                <w:szCs w:val="20"/>
              </w:rPr>
            </w:pPr>
            <w:r w:rsidRPr="00AA005A">
              <w:rPr>
                <w:sz w:val="20"/>
                <w:szCs w:val="20"/>
              </w:rPr>
              <w:t>1</w:t>
            </w:r>
          </w:p>
        </w:tc>
        <w:tc>
          <w:tcPr>
            <w:tcW w:w="615" w:type="pct"/>
          </w:tcPr>
          <w:p w:rsidR="00AA005A" w:rsidRPr="00AA005A" w:rsidP="00AA005A" w14:paraId="12AEE45B" w14:textId="77777777">
            <w:pPr>
              <w:jc w:val="right"/>
              <w:rPr>
                <w:sz w:val="20"/>
                <w:szCs w:val="20"/>
              </w:rPr>
            </w:pPr>
            <w:r w:rsidRPr="00AA005A">
              <w:rPr>
                <w:sz w:val="20"/>
                <w:szCs w:val="20"/>
              </w:rPr>
              <w:t>20</w:t>
            </w:r>
          </w:p>
        </w:tc>
        <w:tc>
          <w:tcPr>
            <w:tcW w:w="590" w:type="pct"/>
          </w:tcPr>
          <w:p w:rsidR="00AA005A" w:rsidRPr="00AA005A" w:rsidP="00AA005A" w14:paraId="5A7B3C37" w14:textId="77777777">
            <w:pPr>
              <w:jc w:val="right"/>
              <w:rPr>
                <w:sz w:val="20"/>
                <w:szCs w:val="20"/>
              </w:rPr>
            </w:pPr>
            <w:r w:rsidRPr="00AA005A">
              <w:rPr>
                <w:sz w:val="20"/>
                <w:szCs w:val="20"/>
              </w:rPr>
              <w:t>0.25</w:t>
            </w:r>
          </w:p>
          <w:p w:rsidR="00AA005A" w:rsidRPr="00AA005A" w:rsidP="00AA005A" w14:paraId="44C1FCEC" w14:textId="2EA39006">
            <w:pPr>
              <w:jc w:val="right"/>
              <w:rPr>
                <w:sz w:val="20"/>
                <w:szCs w:val="20"/>
              </w:rPr>
            </w:pPr>
            <w:r w:rsidRPr="00AA005A">
              <w:rPr>
                <w:sz w:val="20"/>
                <w:szCs w:val="20"/>
              </w:rPr>
              <w:t>(15 min</w:t>
            </w:r>
            <w:r w:rsidR="000A56D3">
              <w:rPr>
                <w:sz w:val="20"/>
                <w:szCs w:val="20"/>
              </w:rPr>
              <w:t>s.</w:t>
            </w:r>
            <w:r w:rsidRPr="00AA005A">
              <w:rPr>
                <w:sz w:val="20"/>
                <w:szCs w:val="20"/>
              </w:rPr>
              <w:t>)</w:t>
            </w:r>
          </w:p>
        </w:tc>
        <w:tc>
          <w:tcPr>
            <w:tcW w:w="481" w:type="pct"/>
          </w:tcPr>
          <w:p w:rsidR="00AA005A" w:rsidRPr="00AA005A" w:rsidP="00AA005A" w14:paraId="6110B5A3" w14:textId="77777777">
            <w:pPr>
              <w:jc w:val="right"/>
              <w:rPr>
                <w:sz w:val="20"/>
                <w:szCs w:val="20"/>
              </w:rPr>
            </w:pPr>
            <w:r w:rsidRPr="00AA005A">
              <w:rPr>
                <w:sz w:val="20"/>
                <w:szCs w:val="20"/>
              </w:rPr>
              <w:t>5</w:t>
            </w:r>
          </w:p>
        </w:tc>
      </w:tr>
      <w:tr w14:paraId="3A448C8C" w14:textId="77777777" w:rsidTr="000A56D3">
        <w:tblPrEx>
          <w:tblW w:w="5000" w:type="pct"/>
          <w:tblLayout w:type="fixed"/>
          <w:tblLook w:val="01E0"/>
        </w:tblPrEx>
        <w:trPr>
          <w:cantSplit/>
          <w:trHeight w:val="287"/>
        </w:trPr>
        <w:tc>
          <w:tcPr>
            <w:tcW w:w="1894" w:type="pct"/>
          </w:tcPr>
          <w:p w:rsidR="00C35082" w:rsidRPr="00AA005A" w:rsidP="00AA005A" w14:paraId="5001946C" w14:textId="6AA14CFF">
            <w:pPr>
              <w:rPr>
                <w:sz w:val="20"/>
                <w:szCs w:val="20"/>
              </w:rPr>
            </w:pPr>
            <w:r>
              <w:rPr>
                <w:sz w:val="20"/>
                <w:szCs w:val="20"/>
              </w:rPr>
              <w:t>TOTAL</w:t>
            </w:r>
          </w:p>
        </w:tc>
        <w:tc>
          <w:tcPr>
            <w:tcW w:w="662" w:type="pct"/>
          </w:tcPr>
          <w:p w:rsidR="00C35082" w:rsidRPr="00AA005A" w:rsidP="00AA005A" w14:paraId="67A7C6B4" w14:textId="77777777">
            <w:pPr>
              <w:jc w:val="right"/>
              <w:rPr>
                <w:sz w:val="20"/>
                <w:szCs w:val="20"/>
              </w:rPr>
            </w:pPr>
          </w:p>
        </w:tc>
        <w:tc>
          <w:tcPr>
            <w:tcW w:w="758" w:type="pct"/>
          </w:tcPr>
          <w:p w:rsidR="00C35082" w:rsidRPr="00AA005A" w:rsidP="00AA005A" w14:paraId="2A7ECE92" w14:textId="77777777">
            <w:pPr>
              <w:jc w:val="right"/>
              <w:rPr>
                <w:sz w:val="20"/>
                <w:szCs w:val="20"/>
              </w:rPr>
            </w:pPr>
          </w:p>
        </w:tc>
        <w:tc>
          <w:tcPr>
            <w:tcW w:w="615" w:type="pct"/>
          </w:tcPr>
          <w:p w:rsidR="00C35082" w:rsidRPr="00AA005A" w:rsidP="00AA005A" w14:paraId="5DC76F15" w14:textId="5CBFE724">
            <w:pPr>
              <w:jc w:val="right"/>
              <w:rPr>
                <w:sz w:val="20"/>
                <w:szCs w:val="20"/>
              </w:rPr>
            </w:pPr>
            <w:r>
              <w:rPr>
                <w:sz w:val="20"/>
                <w:szCs w:val="20"/>
              </w:rPr>
              <w:fldChar w:fldCharType="begin"/>
            </w:r>
            <w:r>
              <w:rPr>
                <w:sz w:val="20"/>
                <w:szCs w:val="20"/>
              </w:rPr>
              <w:instrText xml:space="preserve"> =SUM(ABOVE) \# "#,##0" </w:instrText>
            </w:r>
            <w:r>
              <w:rPr>
                <w:sz w:val="20"/>
                <w:szCs w:val="20"/>
              </w:rPr>
              <w:fldChar w:fldCharType="separate"/>
            </w:r>
            <w:r>
              <w:rPr>
                <w:noProof/>
                <w:sz w:val="20"/>
                <w:szCs w:val="20"/>
              </w:rPr>
              <w:t xml:space="preserve"> 253</w:t>
            </w:r>
            <w:r>
              <w:rPr>
                <w:sz w:val="20"/>
                <w:szCs w:val="20"/>
              </w:rPr>
              <w:fldChar w:fldCharType="end"/>
            </w:r>
          </w:p>
        </w:tc>
        <w:tc>
          <w:tcPr>
            <w:tcW w:w="590" w:type="pct"/>
          </w:tcPr>
          <w:p w:rsidR="00C35082" w:rsidRPr="00AA005A" w:rsidP="00AA005A" w14:paraId="46FD73BC" w14:textId="77777777">
            <w:pPr>
              <w:jc w:val="right"/>
              <w:rPr>
                <w:sz w:val="20"/>
                <w:szCs w:val="20"/>
              </w:rPr>
            </w:pPr>
          </w:p>
        </w:tc>
        <w:tc>
          <w:tcPr>
            <w:tcW w:w="481" w:type="pct"/>
          </w:tcPr>
          <w:p w:rsidR="00C35082" w:rsidRPr="00AA005A" w:rsidP="00AA005A" w14:paraId="044DDDD9" w14:textId="6E88F561">
            <w:pPr>
              <w:jc w:val="right"/>
              <w:rPr>
                <w:sz w:val="20"/>
                <w:szCs w:val="20"/>
              </w:rPr>
            </w:pPr>
            <w:r>
              <w:rPr>
                <w:sz w:val="20"/>
                <w:szCs w:val="20"/>
              </w:rPr>
              <w:fldChar w:fldCharType="begin"/>
            </w:r>
            <w:r>
              <w:rPr>
                <w:sz w:val="20"/>
                <w:szCs w:val="20"/>
              </w:rPr>
              <w:instrText xml:space="preserve"> =SUM(ABOVE) \# "#,##0" </w:instrText>
            </w:r>
            <w:r>
              <w:rPr>
                <w:sz w:val="20"/>
                <w:szCs w:val="20"/>
              </w:rPr>
              <w:fldChar w:fldCharType="separate"/>
            </w:r>
            <w:r>
              <w:rPr>
                <w:noProof/>
                <w:sz w:val="20"/>
                <w:szCs w:val="20"/>
              </w:rPr>
              <w:t>15,063</w:t>
            </w:r>
            <w:r>
              <w:rPr>
                <w:sz w:val="20"/>
                <w:szCs w:val="20"/>
              </w:rPr>
              <w:fldChar w:fldCharType="end"/>
            </w:r>
          </w:p>
        </w:tc>
      </w:tr>
    </w:tbl>
    <w:p w:rsidR="00AA005A" w:rsidRPr="00AA005A" w:rsidP="00AA005A" w14:paraId="301E5B7F" w14:textId="77777777">
      <w:pPr>
        <w:rPr>
          <w:sz w:val="18"/>
          <w:szCs w:val="18"/>
        </w:rPr>
      </w:pPr>
      <w:r w:rsidRPr="00AA005A">
        <w:rPr>
          <w:sz w:val="18"/>
          <w:szCs w:val="18"/>
          <w:vertAlign w:val="superscript"/>
        </w:rPr>
        <w:t>1</w:t>
      </w:r>
      <w:r w:rsidRPr="00AA005A">
        <w:rPr>
          <w:sz w:val="18"/>
          <w:szCs w:val="18"/>
        </w:rPr>
        <w:t xml:space="preserve"> There are no capital costs or operating and maintenance costs associated with this collection of information.</w:t>
      </w:r>
    </w:p>
    <w:p w:rsidR="00AA005A" w:rsidRPr="00AA005A" w:rsidP="00AA005A" w14:paraId="17A8F4E0" w14:textId="77777777">
      <w:pPr>
        <w:jc w:val="center"/>
      </w:pPr>
    </w:p>
    <w:p w:rsidR="00AA005A" w:rsidP="00AA005A" w14:paraId="47C6F1C4" w14:textId="77777777">
      <w:pPr>
        <w:ind w:firstLine="720"/>
      </w:pPr>
      <w:r w:rsidRPr="00AA005A">
        <w:t xml:space="preserve">The estimates in table 1 are based on our experience with similar notification programs.  Regarding activities found in the draft guidance, we estimate that each year 5 manufacturers of infant formula will submit notifications in compliance with section 424(a)(1) of the FD&amp;C Act and following recommendations found in the draft guidance.  We also estimate that each year 3 manufacturers of medical foods will submit notifications in compliance with section 424(a)(1) of the FD&amp;C Act, for a total of 8 manufacturers of a critical food.  We estimate that each manufacturer will submit 1 notification for 8 total annual notifications (8 manufacturers </w:t>
      </w:r>
      <w:r w:rsidRPr="00AA005A">
        <w:rPr>
          <w:sz w:val="20"/>
          <w:szCs w:val="20"/>
        </w:rPr>
        <w:t>×</w:t>
      </w:r>
      <w:r w:rsidRPr="00AA005A">
        <w:t xml:space="preserve"> 1 notification).  Each submission will take an estimated 2 hours to complete for an annual reporting burden of 16 hours (8 notifications </w:t>
      </w:r>
      <w:r w:rsidRPr="00AA005A">
        <w:rPr>
          <w:sz w:val="20"/>
          <w:szCs w:val="20"/>
        </w:rPr>
        <w:t>×</w:t>
      </w:r>
      <w:r w:rsidRPr="00AA005A">
        <w:t xml:space="preserve"> 2 hours).</w:t>
      </w:r>
    </w:p>
    <w:p w:rsidR="00F04E56" w:rsidRPr="00AA005A" w:rsidP="00AA005A" w14:paraId="790B6473" w14:textId="77777777">
      <w:pPr>
        <w:ind w:firstLine="7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31"/>
        <w:gridCol w:w="1441"/>
        <w:gridCol w:w="1619"/>
        <w:gridCol w:w="988"/>
        <w:gridCol w:w="1123"/>
        <w:gridCol w:w="1002"/>
      </w:tblGrid>
      <w:tr w14:paraId="4A4B8B07" w14:textId="77777777" w:rsidTr="00D83B41">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0"/>
        </w:trPr>
        <w:tc>
          <w:tcPr>
            <w:tcW w:w="5000" w:type="pct"/>
            <w:gridSpan w:val="6"/>
            <w:tcBorders>
              <w:top w:val="nil"/>
              <w:left w:val="nil"/>
              <w:right w:val="nil"/>
            </w:tcBorders>
          </w:tcPr>
          <w:p w:rsidR="00AA005A" w:rsidRPr="00AA005A" w:rsidP="00AA005A" w14:paraId="3635D57A" w14:textId="77777777">
            <w:pPr>
              <w:keepNext/>
              <w:jc w:val="center"/>
              <w:rPr>
                <w:sz w:val="20"/>
                <w:szCs w:val="20"/>
              </w:rPr>
            </w:pPr>
            <w:r w:rsidRPr="00AA005A">
              <w:rPr>
                <w:sz w:val="20"/>
                <w:szCs w:val="20"/>
              </w:rPr>
              <w:t>Table 2.--Estimated Annual Recordkeeping Burden</w:t>
            </w:r>
            <w:r w:rsidRPr="00AA005A">
              <w:rPr>
                <w:sz w:val="20"/>
                <w:szCs w:val="20"/>
                <w:vertAlign w:val="superscript"/>
              </w:rPr>
              <w:t>1, 2</w:t>
            </w:r>
          </w:p>
        </w:tc>
      </w:tr>
      <w:tr w14:paraId="2E8983B2" w14:textId="77777777" w:rsidTr="00F04E56">
        <w:tblPrEx>
          <w:tblW w:w="5000" w:type="pct"/>
          <w:tblLayout w:type="fixed"/>
          <w:tblLook w:val="01E0"/>
        </w:tblPrEx>
        <w:trPr>
          <w:trHeight w:val="539"/>
        </w:trPr>
        <w:tc>
          <w:tcPr>
            <w:tcW w:w="1752" w:type="pct"/>
          </w:tcPr>
          <w:p w:rsidR="00AA005A" w:rsidRPr="00AA005A" w:rsidP="00AA005A" w14:paraId="4F215FFD" w14:textId="2B3A9601">
            <w:pPr>
              <w:keepNext/>
              <w:jc w:val="center"/>
              <w:rPr>
                <w:sz w:val="20"/>
                <w:szCs w:val="20"/>
              </w:rPr>
            </w:pPr>
            <w:r>
              <w:rPr>
                <w:sz w:val="20"/>
                <w:szCs w:val="20"/>
              </w:rPr>
              <w:t>Information Collection Activity; Regulatory Authority</w:t>
            </w:r>
          </w:p>
        </w:tc>
        <w:tc>
          <w:tcPr>
            <w:tcW w:w="758" w:type="pct"/>
          </w:tcPr>
          <w:p w:rsidR="00AA005A" w:rsidRPr="00AA005A" w:rsidP="00AA005A" w14:paraId="4E6C3B96" w14:textId="77777777">
            <w:pPr>
              <w:keepNext/>
              <w:jc w:val="center"/>
              <w:rPr>
                <w:sz w:val="20"/>
                <w:szCs w:val="20"/>
              </w:rPr>
            </w:pPr>
            <w:r w:rsidRPr="00AA005A">
              <w:rPr>
                <w:sz w:val="20"/>
                <w:szCs w:val="20"/>
              </w:rPr>
              <w:t>No. of Recordkeepers</w:t>
            </w:r>
          </w:p>
        </w:tc>
        <w:tc>
          <w:tcPr>
            <w:tcW w:w="852" w:type="pct"/>
          </w:tcPr>
          <w:p w:rsidR="00AA005A" w:rsidRPr="00AA005A" w:rsidP="00AA005A" w14:paraId="2936B8B1" w14:textId="77777777">
            <w:pPr>
              <w:keepNext/>
              <w:jc w:val="center"/>
              <w:rPr>
                <w:sz w:val="20"/>
                <w:szCs w:val="20"/>
              </w:rPr>
            </w:pPr>
            <w:r w:rsidRPr="00AA005A">
              <w:rPr>
                <w:bCs/>
                <w:sz w:val="20"/>
                <w:szCs w:val="20"/>
              </w:rPr>
              <w:t>No. of Records per Recordkeeper</w:t>
            </w:r>
          </w:p>
        </w:tc>
        <w:tc>
          <w:tcPr>
            <w:tcW w:w="520" w:type="pct"/>
          </w:tcPr>
          <w:p w:rsidR="00AA005A" w:rsidRPr="00AA005A" w:rsidP="00AA005A" w14:paraId="335837EB" w14:textId="77777777">
            <w:pPr>
              <w:keepNext/>
              <w:jc w:val="center"/>
              <w:rPr>
                <w:sz w:val="20"/>
                <w:szCs w:val="20"/>
              </w:rPr>
            </w:pPr>
            <w:r w:rsidRPr="00AA005A">
              <w:rPr>
                <w:sz w:val="20"/>
                <w:szCs w:val="20"/>
              </w:rPr>
              <w:t>Total Annual Records</w:t>
            </w:r>
          </w:p>
        </w:tc>
        <w:tc>
          <w:tcPr>
            <w:tcW w:w="591" w:type="pct"/>
          </w:tcPr>
          <w:p w:rsidR="00AA005A" w:rsidRPr="00AA005A" w:rsidP="00AA005A" w14:paraId="5A65EF23" w14:textId="03F9E1B2">
            <w:pPr>
              <w:keepNext/>
              <w:jc w:val="center"/>
              <w:rPr>
                <w:sz w:val="20"/>
                <w:szCs w:val="20"/>
              </w:rPr>
            </w:pPr>
            <w:r w:rsidRPr="00AA005A">
              <w:rPr>
                <w:bCs/>
                <w:sz w:val="20"/>
                <w:szCs w:val="20"/>
              </w:rPr>
              <w:t>Av</w:t>
            </w:r>
            <w:r w:rsidR="00F04E56">
              <w:rPr>
                <w:bCs/>
                <w:sz w:val="20"/>
                <w:szCs w:val="20"/>
              </w:rPr>
              <w:t>g.</w:t>
            </w:r>
            <w:r w:rsidRPr="00AA005A">
              <w:rPr>
                <w:bCs/>
                <w:sz w:val="20"/>
                <w:szCs w:val="20"/>
              </w:rPr>
              <w:t xml:space="preserve"> Burden per Record</w:t>
            </w:r>
          </w:p>
        </w:tc>
        <w:tc>
          <w:tcPr>
            <w:tcW w:w="528" w:type="pct"/>
          </w:tcPr>
          <w:p w:rsidR="00AA005A" w:rsidRPr="00AA005A" w:rsidP="00AA005A" w14:paraId="1393F778" w14:textId="77777777">
            <w:pPr>
              <w:keepNext/>
              <w:jc w:val="center"/>
              <w:rPr>
                <w:sz w:val="20"/>
                <w:szCs w:val="20"/>
              </w:rPr>
            </w:pPr>
            <w:r w:rsidRPr="00AA005A">
              <w:rPr>
                <w:sz w:val="20"/>
                <w:szCs w:val="20"/>
              </w:rPr>
              <w:t>Total Hours</w:t>
            </w:r>
          </w:p>
        </w:tc>
      </w:tr>
      <w:tr w14:paraId="4B8349F4" w14:textId="77777777" w:rsidTr="00F04E56">
        <w:tblPrEx>
          <w:tblW w:w="5000" w:type="pct"/>
          <w:tblLayout w:type="fixed"/>
          <w:tblLook w:val="01E0"/>
        </w:tblPrEx>
        <w:trPr>
          <w:trHeight w:val="458"/>
        </w:trPr>
        <w:tc>
          <w:tcPr>
            <w:tcW w:w="1752" w:type="pct"/>
          </w:tcPr>
          <w:p w:rsidR="00AA005A" w:rsidRPr="00AA005A" w:rsidP="00AA005A" w14:paraId="6C8E19FB" w14:textId="0D15CCD8">
            <w:pPr>
              <w:keepNext/>
              <w:rPr>
                <w:sz w:val="20"/>
                <w:szCs w:val="20"/>
              </w:rPr>
            </w:pPr>
            <w:r w:rsidRPr="00AA005A">
              <w:rPr>
                <w:sz w:val="20"/>
                <w:szCs w:val="20"/>
              </w:rPr>
              <w:t xml:space="preserve">CGMP Requirements; </w:t>
            </w:r>
            <w:r w:rsidR="00DA2469">
              <w:rPr>
                <w:sz w:val="20"/>
                <w:szCs w:val="20"/>
              </w:rPr>
              <w:t>21 CFR p</w:t>
            </w:r>
            <w:r w:rsidRPr="00AA005A">
              <w:rPr>
                <w:sz w:val="20"/>
                <w:szCs w:val="20"/>
              </w:rPr>
              <w:t xml:space="preserve">art 106 </w:t>
            </w:r>
            <w:r w:rsidR="00090334">
              <w:rPr>
                <w:sz w:val="20"/>
                <w:szCs w:val="20"/>
              </w:rPr>
              <w:t>subpart B</w:t>
            </w:r>
          </w:p>
        </w:tc>
        <w:tc>
          <w:tcPr>
            <w:tcW w:w="758" w:type="pct"/>
          </w:tcPr>
          <w:p w:rsidR="00AA005A" w:rsidRPr="00AA005A" w:rsidP="00AA005A" w14:paraId="2287959E" w14:textId="77777777">
            <w:pPr>
              <w:keepNext/>
              <w:jc w:val="right"/>
              <w:rPr>
                <w:sz w:val="20"/>
                <w:szCs w:val="20"/>
              </w:rPr>
            </w:pPr>
            <w:r w:rsidRPr="00AA005A">
              <w:rPr>
                <w:sz w:val="20"/>
                <w:szCs w:val="20"/>
              </w:rPr>
              <w:t>5</w:t>
            </w:r>
          </w:p>
        </w:tc>
        <w:tc>
          <w:tcPr>
            <w:tcW w:w="852" w:type="pct"/>
          </w:tcPr>
          <w:p w:rsidR="00AA005A" w:rsidRPr="00AA005A" w:rsidP="00AA005A" w14:paraId="4683835F" w14:textId="77777777">
            <w:pPr>
              <w:keepNext/>
              <w:jc w:val="right"/>
              <w:rPr>
                <w:sz w:val="20"/>
                <w:szCs w:val="20"/>
              </w:rPr>
            </w:pPr>
            <w:r w:rsidRPr="00AA005A">
              <w:rPr>
                <w:sz w:val="20"/>
                <w:szCs w:val="20"/>
              </w:rPr>
              <w:t>429.8</w:t>
            </w:r>
          </w:p>
        </w:tc>
        <w:tc>
          <w:tcPr>
            <w:tcW w:w="520" w:type="pct"/>
          </w:tcPr>
          <w:p w:rsidR="00AA005A" w:rsidRPr="00AA005A" w:rsidP="00AA005A" w14:paraId="3E53BD76" w14:textId="77777777">
            <w:pPr>
              <w:keepNext/>
              <w:jc w:val="right"/>
              <w:rPr>
                <w:sz w:val="20"/>
                <w:szCs w:val="20"/>
              </w:rPr>
            </w:pPr>
            <w:r w:rsidRPr="00AA005A">
              <w:rPr>
                <w:sz w:val="20"/>
                <w:szCs w:val="20"/>
              </w:rPr>
              <w:t>2,149</w:t>
            </w:r>
          </w:p>
        </w:tc>
        <w:tc>
          <w:tcPr>
            <w:tcW w:w="591" w:type="pct"/>
          </w:tcPr>
          <w:p w:rsidR="00AA005A" w:rsidRPr="00AA005A" w:rsidP="00AA005A" w14:paraId="2D982B90" w14:textId="77777777">
            <w:pPr>
              <w:keepNext/>
              <w:jc w:val="right"/>
              <w:rPr>
                <w:sz w:val="20"/>
                <w:szCs w:val="20"/>
              </w:rPr>
            </w:pPr>
            <w:r w:rsidRPr="00AA005A">
              <w:rPr>
                <w:sz w:val="20"/>
                <w:szCs w:val="20"/>
              </w:rPr>
              <w:t>4.4</w:t>
            </w:r>
          </w:p>
        </w:tc>
        <w:tc>
          <w:tcPr>
            <w:tcW w:w="528" w:type="pct"/>
          </w:tcPr>
          <w:p w:rsidR="00AA005A" w:rsidRPr="00AA005A" w:rsidP="00AA005A" w14:paraId="41CC0908" w14:textId="77777777">
            <w:pPr>
              <w:keepNext/>
              <w:jc w:val="right"/>
              <w:rPr>
                <w:sz w:val="20"/>
                <w:szCs w:val="20"/>
              </w:rPr>
            </w:pPr>
            <w:r w:rsidRPr="00AA005A">
              <w:rPr>
                <w:sz w:val="20"/>
                <w:szCs w:val="20"/>
              </w:rPr>
              <w:t>9,414</w:t>
            </w:r>
          </w:p>
        </w:tc>
      </w:tr>
      <w:tr w14:paraId="0A119313" w14:textId="77777777" w:rsidTr="00F04E56">
        <w:tblPrEx>
          <w:tblW w:w="5000" w:type="pct"/>
          <w:tblLayout w:type="fixed"/>
          <w:tblLook w:val="01E0"/>
        </w:tblPrEx>
        <w:trPr>
          <w:trHeight w:val="647"/>
        </w:trPr>
        <w:tc>
          <w:tcPr>
            <w:tcW w:w="1752" w:type="pct"/>
          </w:tcPr>
          <w:p w:rsidR="00AA005A" w:rsidRPr="00AA005A" w:rsidP="00AA005A" w14:paraId="06B8EB83" w14:textId="20BF3F61">
            <w:pPr>
              <w:keepNext/>
              <w:rPr>
                <w:sz w:val="20"/>
                <w:szCs w:val="20"/>
              </w:rPr>
            </w:pPr>
            <w:r w:rsidRPr="00AA005A">
              <w:rPr>
                <w:sz w:val="20"/>
                <w:szCs w:val="20"/>
              </w:rPr>
              <w:t xml:space="preserve">Quality control; audits; quality factors; records and reports; </w:t>
            </w:r>
            <w:r w:rsidR="00090334">
              <w:rPr>
                <w:sz w:val="20"/>
                <w:szCs w:val="20"/>
              </w:rPr>
              <w:t>21 CFR p</w:t>
            </w:r>
            <w:r w:rsidRPr="00AA005A">
              <w:rPr>
                <w:sz w:val="20"/>
                <w:szCs w:val="20"/>
              </w:rPr>
              <w:t xml:space="preserve">art 106 </w:t>
            </w:r>
            <w:r w:rsidR="00090334">
              <w:rPr>
                <w:sz w:val="20"/>
                <w:szCs w:val="20"/>
              </w:rPr>
              <w:t xml:space="preserve">subparts </w:t>
            </w:r>
            <w:r w:rsidR="003069D2">
              <w:rPr>
                <w:sz w:val="20"/>
                <w:szCs w:val="20"/>
              </w:rPr>
              <w:t>C-E</w:t>
            </w:r>
          </w:p>
        </w:tc>
        <w:tc>
          <w:tcPr>
            <w:tcW w:w="758" w:type="pct"/>
          </w:tcPr>
          <w:p w:rsidR="00AA005A" w:rsidRPr="00AA005A" w:rsidP="00AA005A" w14:paraId="7F2FBA35" w14:textId="77777777">
            <w:pPr>
              <w:keepNext/>
              <w:jc w:val="right"/>
              <w:rPr>
                <w:sz w:val="20"/>
                <w:szCs w:val="20"/>
              </w:rPr>
            </w:pPr>
            <w:r w:rsidRPr="00AA005A">
              <w:rPr>
                <w:sz w:val="20"/>
                <w:szCs w:val="20"/>
              </w:rPr>
              <w:t>5</w:t>
            </w:r>
          </w:p>
        </w:tc>
        <w:tc>
          <w:tcPr>
            <w:tcW w:w="852" w:type="pct"/>
          </w:tcPr>
          <w:p w:rsidR="00AA005A" w:rsidRPr="00AA005A" w:rsidP="00AA005A" w14:paraId="6507773E" w14:textId="77777777">
            <w:pPr>
              <w:keepNext/>
              <w:jc w:val="right"/>
              <w:rPr>
                <w:sz w:val="20"/>
                <w:szCs w:val="20"/>
              </w:rPr>
            </w:pPr>
            <w:r w:rsidRPr="00AA005A">
              <w:rPr>
                <w:sz w:val="20"/>
                <w:szCs w:val="20"/>
              </w:rPr>
              <w:t>726.8</w:t>
            </w:r>
          </w:p>
        </w:tc>
        <w:tc>
          <w:tcPr>
            <w:tcW w:w="520" w:type="pct"/>
          </w:tcPr>
          <w:p w:rsidR="00AA005A" w:rsidRPr="00AA005A" w:rsidP="00AA005A" w14:paraId="6A766641" w14:textId="77777777">
            <w:pPr>
              <w:keepNext/>
              <w:jc w:val="right"/>
              <w:rPr>
                <w:sz w:val="20"/>
                <w:szCs w:val="20"/>
              </w:rPr>
            </w:pPr>
            <w:r w:rsidRPr="00AA005A">
              <w:rPr>
                <w:sz w:val="20"/>
                <w:szCs w:val="20"/>
              </w:rPr>
              <w:t>3,634</w:t>
            </w:r>
          </w:p>
        </w:tc>
        <w:tc>
          <w:tcPr>
            <w:tcW w:w="591" w:type="pct"/>
          </w:tcPr>
          <w:p w:rsidR="00AA005A" w:rsidRPr="00AA005A" w:rsidP="00AA005A" w14:paraId="5B3DB88F" w14:textId="77777777">
            <w:pPr>
              <w:jc w:val="right"/>
              <w:rPr>
                <w:sz w:val="20"/>
                <w:szCs w:val="20"/>
              </w:rPr>
            </w:pPr>
            <w:r w:rsidRPr="00AA005A">
              <w:rPr>
                <w:sz w:val="20"/>
                <w:szCs w:val="20"/>
              </w:rPr>
              <w:t>6</w:t>
            </w:r>
          </w:p>
        </w:tc>
        <w:tc>
          <w:tcPr>
            <w:tcW w:w="528" w:type="pct"/>
          </w:tcPr>
          <w:p w:rsidR="00AA005A" w:rsidRPr="00AA005A" w:rsidP="00AA005A" w14:paraId="69DE23D5" w14:textId="77777777">
            <w:pPr>
              <w:keepNext/>
              <w:jc w:val="right"/>
              <w:rPr>
                <w:sz w:val="20"/>
                <w:szCs w:val="20"/>
              </w:rPr>
            </w:pPr>
            <w:r w:rsidRPr="00AA005A">
              <w:rPr>
                <w:sz w:val="20"/>
                <w:szCs w:val="20"/>
              </w:rPr>
              <w:t>21,818</w:t>
            </w:r>
          </w:p>
        </w:tc>
      </w:tr>
      <w:tr w14:paraId="1461ABB3" w14:textId="77777777" w:rsidTr="00F04E56">
        <w:tblPrEx>
          <w:tblW w:w="5000" w:type="pct"/>
          <w:tblLayout w:type="fixed"/>
          <w:tblLook w:val="01E0"/>
        </w:tblPrEx>
        <w:trPr>
          <w:trHeight w:val="359"/>
        </w:trPr>
        <w:tc>
          <w:tcPr>
            <w:tcW w:w="1752" w:type="pct"/>
          </w:tcPr>
          <w:p w:rsidR="00AA005A" w:rsidRPr="00AA005A" w:rsidP="00AA005A" w14:paraId="5F43FA92" w14:textId="141EA9E0">
            <w:pPr>
              <w:keepNext/>
              <w:rPr>
                <w:sz w:val="20"/>
                <w:szCs w:val="20"/>
              </w:rPr>
            </w:pPr>
            <w:r w:rsidRPr="00AA005A">
              <w:rPr>
                <w:sz w:val="20"/>
                <w:szCs w:val="20"/>
              </w:rPr>
              <w:t xml:space="preserve">Exempt infant formulas; </w:t>
            </w:r>
            <w:r w:rsidR="00016DA6">
              <w:rPr>
                <w:sz w:val="20"/>
                <w:szCs w:val="20"/>
              </w:rPr>
              <w:t>21 CFR p</w:t>
            </w:r>
            <w:r w:rsidRPr="00AA005A">
              <w:rPr>
                <w:sz w:val="20"/>
                <w:szCs w:val="20"/>
              </w:rPr>
              <w:t>art 107</w:t>
            </w:r>
            <w:r w:rsidR="00016DA6">
              <w:rPr>
                <w:sz w:val="20"/>
                <w:szCs w:val="20"/>
              </w:rPr>
              <w:t xml:space="preserve"> subpart C</w:t>
            </w:r>
          </w:p>
        </w:tc>
        <w:tc>
          <w:tcPr>
            <w:tcW w:w="758" w:type="pct"/>
          </w:tcPr>
          <w:p w:rsidR="00AA005A" w:rsidRPr="00AA005A" w:rsidP="00AA005A" w14:paraId="4DF0957F" w14:textId="77777777">
            <w:pPr>
              <w:keepNext/>
              <w:jc w:val="right"/>
              <w:rPr>
                <w:sz w:val="20"/>
                <w:szCs w:val="20"/>
              </w:rPr>
            </w:pPr>
            <w:r w:rsidRPr="00AA005A">
              <w:rPr>
                <w:sz w:val="20"/>
                <w:szCs w:val="20"/>
              </w:rPr>
              <w:t>3</w:t>
            </w:r>
          </w:p>
        </w:tc>
        <w:tc>
          <w:tcPr>
            <w:tcW w:w="852" w:type="pct"/>
          </w:tcPr>
          <w:p w:rsidR="00AA005A" w:rsidRPr="00AA005A" w:rsidP="00AA005A" w14:paraId="21A3F68A" w14:textId="77777777">
            <w:pPr>
              <w:keepNext/>
              <w:jc w:val="right"/>
              <w:rPr>
                <w:sz w:val="20"/>
                <w:szCs w:val="20"/>
              </w:rPr>
            </w:pPr>
            <w:r w:rsidRPr="00AA005A">
              <w:rPr>
                <w:sz w:val="20"/>
                <w:szCs w:val="20"/>
              </w:rPr>
              <w:t>10</w:t>
            </w:r>
          </w:p>
        </w:tc>
        <w:tc>
          <w:tcPr>
            <w:tcW w:w="520" w:type="pct"/>
          </w:tcPr>
          <w:p w:rsidR="00AA005A" w:rsidRPr="00AA005A" w:rsidP="00AA005A" w14:paraId="2A35D7F6" w14:textId="77777777">
            <w:pPr>
              <w:keepNext/>
              <w:jc w:val="right"/>
              <w:rPr>
                <w:sz w:val="20"/>
                <w:szCs w:val="20"/>
              </w:rPr>
            </w:pPr>
            <w:r w:rsidRPr="00AA005A">
              <w:rPr>
                <w:sz w:val="20"/>
                <w:szCs w:val="20"/>
              </w:rPr>
              <w:t>30</w:t>
            </w:r>
          </w:p>
        </w:tc>
        <w:tc>
          <w:tcPr>
            <w:tcW w:w="591" w:type="pct"/>
          </w:tcPr>
          <w:p w:rsidR="00AA005A" w:rsidRPr="00AA005A" w:rsidP="00AA005A" w14:paraId="6EAACB4F" w14:textId="77777777">
            <w:pPr>
              <w:jc w:val="right"/>
              <w:rPr>
                <w:sz w:val="20"/>
                <w:szCs w:val="20"/>
              </w:rPr>
            </w:pPr>
            <w:r w:rsidRPr="00AA005A">
              <w:rPr>
                <w:sz w:val="20"/>
                <w:szCs w:val="20"/>
              </w:rPr>
              <w:t>300</w:t>
            </w:r>
          </w:p>
        </w:tc>
        <w:tc>
          <w:tcPr>
            <w:tcW w:w="528" w:type="pct"/>
          </w:tcPr>
          <w:p w:rsidR="00AA005A" w:rsidRPr="00AA005A" w:rsidP="00AA005A" w14:paraId="294698D3" w14:textId="77777777">
            <w:pPr>
              <w:keepNext/>
              <w:jc w:val="right"/>
              <w:rPr>
                <w:sz w:val="20"/>
                <w:szCs w:val="20"/>
              </w:rPr>
            </w:pPr>
            <w:r w:rsidRPr="00AA005A">
              <w:rPr>
                <w:sz w:val="20"/>
                <w:szCs w:val="20"/>
              </w:rPr>
              <w:t>9,000</w:t>
            </w:r>
          </w:p>
        </w:tc>
      </w:tr>
      <w:tr w14:paraId="0662C02A" w14:textId="77777777" w:rsidTr="00F04E56">
        <w:tblPrEx>
          <w:tblW w:w="5000" w:type="pct"/>
          <w:tblLayout w:type="fixed"/>
          <w:tblLook w:val="01E0"/>
        </w:tblPrEx>
        <w:trPr>
          <w:trHeight w:val="629"/>
        </w:trPr>
        <w:tc>
          <w:tcPr>
            <w:tcW w:w="1752" w:type="pct"/>
          </w:tcPr>
          <w:p w:rsidR="00AA005A" w:rsidRPr="00AA005A" w:rsidP="00AA005A" w14:paraId="0204ABBA" w14:textId="77777777">
            <w:pPr>
              <w:keepNext/>
              <w:rPr>
                <w:sz w:val="20"/>
                <w:szCs w:val="20"/>
              </w:rPr>
            </w:pPr>
            <w:r w:rsidRPr="00AA005A">
              <w:rPr>
                <w:sz w:val="20"/>
                <w:szCs w:val="20"/>
              </w:rPr>
              <w:t>Exempt infant formula production; GMP; audits, recordkeeping, &amp; reports</w:t>
            </w:r>
          </w:p>
        </w:tc>
        <w:tc>
          <w:tcPr>
            <w:tcW w:w="758" w:type="pct"/>
          </w:tcPr>
          <w:p w:rsidR="00AA005A" w:rsidRPr="00AA005A" w:rsidP="00AA005A" w14:paraId="083CACCE" w14:textId="77777777">
            <w:pPr>
              <w:keepNext/>
              <w:jc w:val="right"/>
              <w:rPr>
                <w:sz w:val="20"/>
                <w:szCs w:val="20"/>
              </w:rPr>
            </w:pPr>
            <w:r w:rsidRPr="00AA005A">
              <w:rPr>
                <w:sz w:val="20"/>
                <w:szCs w:val="20"/>
              </w:rPr>
              <w:t>3</w:t>
            </w:r>
          </w:p>
        </w:tc>
        <w:tc>
          <w:tcPr>
            <w:tcW w:w="852" w:type="pct"/>
          </w:tcPr>
          <w:p w:rsidR="00AA005A" w:rsidRPr="00AA005A" w:rsidP="00AA005A" w14:paraId="1ABE1117" w14:textId="77777777">
            <w:pPr>
              <w:keepNext/>
              <w:jc w:val="right"/>
              <w:rPr>
                <w:sz w:val="20"/>
                <w:szCs w:val="20"/>
              </w:rPr>
            </w:pPr>
            <w:r w:rsidRPr="00AA005A">
              <w:rPr>
                <w:sz w:val="20"/>
                <w:szCs w:val="20"/>
              </w:rPr>
              <w:t>634</w:t>
            </w:r>
          </w:p>
        </w:tc>
        <w:tc>
          <w:tcPr>
            <w:tcW w:w="520" w:type="pct"/>
          </w:tcPr>
          <w:p w:rsidR="00AA005A" w:rsidRPr="00AA005A" w:rsidP="00AA005A" w14:paraId="08A256F2" w14:textId="77777777">
            <w:pPr>
              <w:keepNext/>
              <w:jc w:val="right"/>
              <w:rPr>
                <w:sz w:val="20"/>
                <w:szCs w:val="20"/>
              </w:rPr>
            </w:pPr>
            <w:r w:rsidRPr="00AA005A">
              <w:rPr>
                <w:sz w:val="20"/>
                <w:szCs w:val="20"/>
              </w:rPr>
              <w:t>1,902</w:t>
            </w:r>
          </w:p>
        </w:tc>
        <w:tc>
          <w:tcPr>
            <w:tcW w:w="591" w:type="pct"/>
          </w:tcPr>
          <w:p w:rsidR="00AA005A" w:rsidRPr="00AA005A" w:rsidP="00AA005A" w14:paraId="56EE43F6" w14:textId="77777777">
            <w:pPr>
              <w:jc w:val="right"/>
              <w:rPr>
                <w:sz w:val="20"/>
                <w:szCs w:val="20"/>
              </w:rPr>
            </w:pPr>
            <w:r w:rsidRPr="00AA005A">
              <w:rPr>
                <w:sz w:val="20"/>
                <w:szCs w:val="20"/>
              </w:rPr>
              <w:t>45</w:t>
            </w:r>
          </w:p>
        </w:tc>
        <w:tc>
          <w:tcPr>
            <w:tcW w:w="528" w:type="pct"/>
          </w:tcPr>
          <w:p w:rsidR="00AA005A" w:rsidRPr="00AA005A" w:rsidP="00AA005A" w14:paraId="0DB225D9" w14:textId="77777777">
            <w:pPr>
              <w:keepNext/>
              <w:jc w:val="right"/>
              <w:rPr>
                <w:sz w:val="20"/>
                <w:szCs w:val="20"/>
              </w:rPr>
            </w:pPr>
            <w:r w:rsidRPr="00AA005A">
              <w:rPr>
                <w:sz w:val="20"/>
                <w:szCs w:val="20"/>
              </w:rPr>
              <w:t>85,590</w:t>
            </w:r>
          </w:p>
        </w:tc>
      </w:tr>
      <w:tr w14:paraId="11C0C7A4" w14:textId="77777777" w:rsidTr="00F04E56">
        <w:tblPrEx>
          <w:tblW w:w="5000" w:type="pct"/>
          <w:tblLayout w:type="fixed"/>
          <w:tblLook w:val="01E0"/>
        </w:tblPrEx>
        <w:trPr>
          <w:trHeight w:val="980"/>
        </w:trPr>
        <w:tc>
          <w:tcPr>
            <w:tcW w:w="1752" w:type="pct"/>
            <w:shd w:val="clear" w:color="auto" w:fill="CCFFCC"/>
          </w:tcPr>
          <w:p w:rsidR="00AA005A" w:rsidRPr="00AA005A" w:rsidP="00AA005A" w14:paraId="1572C5EE" w14:textId="77777777">
            <w:pPr>
              <w:keepNext/>
              <w:rPr>
                <w:sz w:val="20"/>
                <w:szCs w:val="20"/>
              </w:rPr>
            </w:pPr>
            <w:r w:rsidRPr="00AA005A">
              <w:rPr>
                <w:sz w:val="20"/>
                <w:szCs w:val="20"/>
              </w:rPr>
              <w:t xml:space="preserve">Risk management plan; draft guidance for </w:t>
            </w:r>
            <w:bookmarkStart w:id="1" w:name="_Hlk231894283"/>
            <w:r w:rsidRPr="00AA005A">
              <w:rPr>
                <w:sz w:val="20"/>
                <w:szCs w:val="20"/>
              </w:rPr>
              <w:t>Notifying FDA of a Permanent Discontinuance in the Manufacture or an Interruption of the Manufacture of an Infant Formula</w:t>
            </w:r>
            <w:bookmarkEnd w:id="1"/>
            <w:r w:rsidRPr="00AA005A">
              <w:rPr>
                <w:sz w:val="20"/>
                <w:szCs w:val="20"/>
              </w:rPr>
              <w:t xml:space="preserve"> </w:t>
            </w:r>
          </w:p>
        </w:tc>
        <w:tc>
          <w:tcPr>
            <w:tcW w:w="758" w:type="pct"/>
            <w:shd w:val="clear" w:color="auto" w:fill="CCFFCC"/>
          </w:tcPr>
          <w:p w:rsidR="00AA005A" w:rsidRPr="00AA005A" w:rsidP="00AA005A" w14:paraId="6F1FF78D" w14:textId="77777777">
            <w:pPr>
              <w:keepNext/>
              <w:jc w:val="right"/>
              <w:rPr>
                <w:sz w:val="20"/>
                <w:szCs w:val="20"/>
              </w:rPr>
            </w:pPr>
            <w:r w:rsidRPr="00AA005A">
              <w:rPr>
                <w:sz w:val="20"/>
                <w:szCs w:val="20"/>
              </w:rPr>
              <w:t>11</w:t>
            </w:r>
          </w:p>
        </w:tc>
        <w:tc>
          <w:tcPr>
            <w:tcW w:w="852" w:type="pct"/>
            <w:shd w:val="clear" w:color="auto" w:fill="CCFFCC"/>
          </w:tcPr>
          <w:p w:rsidR="00AA005A" w:rsidRPr="00AA005A" w:rsidP="00AA005A" w14:paraId="3868CFFD" w14:textId="77777777">
            <w:pPr>
              <w:keepNext/>
              <w:jc w:val="right"/>
              <w:rPr>
                <w:sz w:val="20"/>
                <w:szCs w:val="20"/>
              </w:rPr>
            </w:pPr>
            <w:r w:rsidRPr="00AA005A">
              <w:rPr>
                <w:sz w:val="20"/>
                <w:szCs w:val="20"/>
              </w:rPr>
              <w:t>1</w:t>
            </w:r>
          </w:p>
        </w:tc>
        <w:tc>
          <w:tcPr>
            <w:tcW w:w="520" w:type="pct"/>
            <w:shd w:val="clear" w:color="auto" w:fill="CCFFCC"/>
          </w:tcPr>
          <w:p w:rsidR="00AA005A" w:rsidRPr="00AA005A" w:rsidP="00AA005A" w14:paraId="27FFE8D0" w14:textId="77777777">
            <w:pPr>
              <w:keepNext/>
              <w:jc w:val="right"/>
              <w:rPr>
                <w:sz w:val="20"/>
                <w:szCs w:val="20"/>
              </w:rPr>
            </w:pPr>
            <w:r w:rsidRPr="00AA005A">
              <w:rPr>
                <w:sz w:val="20"/>
                <w:szCs w:val="20"/>
              </w:rPr>
              <w:t>11</w:t>
            </w:r>
          </w:p>
        </w:tc>
        <w:tc>
          <w:tcPr>
            <w:tcW w:w="591" w:type="pct"/>
            <w:shd w:val="clear" w:color="auto" w:fill="CCFFCC"/>
          </w:tcPr>
          <w:p w:rsidR="00AA005A" w:rsidRPr="00AA005A" w:rsidP="00AA005A" w14:paraId="1F934D7B" w14:textId="77777777">
            <w:pPr>
              <w:jc w:val="right"/>
              <w:rPr>
                <w:sz w:val="20"/>
                <w:szCs w:val="20"/>
              </w:rPr>
            </w:pPr>
            <w:r w:rsidRPr="00AA005A">
              <w:rPr>
                <w:sz w:val="20"/>
                <w:szCs w:val="20"/>
              </w:rPr>
              <w:t>60</w:t>
            </w:r>
          </w:p>
        </w:tc>
        <w:tc>
          <w:tcPr>
            <w:tcW w:w="528" w:type="pct"/>
            <w:shd w:val="clear" w:color="auto" w:fill="CCFFCC"/>
          </w:tcPr>
          <w:p w:rsidR="00AA005A" w:rsidRPr="00AA005A" w:rsidP="00AA005A" w14:paraId="711019F5" w14:textId="77777777">
            <w:pPr>
              <w:keepNext/>
              <w:jc w:val="right"/>
              <w:rPr>
                <w:sz w:val="20"/>
                <w:szCs w:val="20"/>
              </w:rPr>
            </w:pPr>
            <w:r w:rsidRPr="00AA005A">
              <w:rPr>
                <w:sz w:val="20"/>
                <w:szCs w:val="20"/>
              </w:rPr>
              <w:t>660</w:t>
            </w:r>
          </w:p>
        </w:tc>
      </w:tr>
      <w:tr w14:paraId="2D87580D" w14:textId="77777777" w:rsidTr="00AE1695">
        <w:tblPrEx>
          <w:tblW w:w="5000" w:type="pct"/>
          <w:tblLayout w:type="fixed"/>
          <w:tblLook w:val="01E0"/>
        </w:tblPrEx>
        <w:trPr>
          <w:trHeight w:val="287"/>
        </w:trPr>
        <w:tc>
          <w:tcPr>
            <w:tcW w:w="4472" w:type="pct"/>
            <w:gridSpan w:val="5"/>
          </w:tcPr>
          <w:p w:rsidR="00AA005A" w:rsidRPr="00AA005A" w:rsidP="00AA005A" w14:paraId="2BB786F7" w14:textId="77777777">
            <w:pPr>
              <w:keepNext/>
              <w:rPr>
                <w:sz w:val="20"/>
                <w:szCs w:val="20"/>
              </w:rPr>
            </w:pPr>
            <w:r w:rsidRPr="00AA005A">
              <w:rPr>
                <w:sz w:val="20"/>
                <w:szCs w:val="20"/>
              </w:rPr>
              <w:t>Total</w:t>
            </w:r>
            <w:r w:rsidRPr="00AA005A">
              <w:rPr>
                <w:sz w:val="20"/>
                <w:szCs w:val="20"/>
                <w:vertAlign w:val="superscript"/>
              </w:rPr>
              <w:t>2</w:t>
            </w:r>
          </w:p>
        </w:tc>
        <w:tc>
          <w:tcPr>
            <w:tcW w:w="528" w:type="pct"/>
          </w:tcPr>
          <w:p w:rsidR="00AA005A" w:rsidRPr="00AA005A" w:rsidP="00AA005A" w14:paraId="3AC187E6" w14:textId="77777777">
            <w:pPr>
              <w:keepNext/>
              <w:jc w:val="right"/>
              <w:rPr>
                <w:sz w:val="20"/>
                <w:szCs w:val="20"/>
              </w:rPr>
            </w:pPr>
            <w:r w:rsidRPr="00AA005A">
              <w:rPr>
                <w:sz w:val="20"/>
                <w:szCs w:val="20"/>
              </w:rPr>
              <w:t>126,482</w:t>
            </w:r>
          </w:p>
        </w:tc>
      </w:tr>
    </w:tbl>
    <w:p w:rsidR="00AA005A" w:rsidRPr="00AA005A" w:rsidP="00AA005A" w14:paraId="3C49A7DD" w14:textId="77777777">
      <w:pPr>
        <w:rPr>
          <w:sz w:val="20"/>
          <w:szCs w:val="20"/>
        </w:rPr>
      </w:pPr>
      <w:r w:rsidRPr="00AA005A">
        <w:rPr>
          <w:sz w:val="20"/>
          <w:szCs w:val="20"/>
          <w:vertAlign w:val="superscript"/>
        </w:rPr>
        <w:t>1</w:t>
      </w:r>
      <w:r w:rsidRPr="00AA005A">
        <w:rPr>
          <w:sz w:val="20"/>
          <w:szCs w:val="20"/>
        </w:rPr>
        <w:t xml:space="preserve"> There are no capital costs or operating and maintenance costs associated with this collection of information.</w:t>
      </w:r>
    </w:p>
    <w:p w:rsidR="00AA005A" w:rsidRPr="00AA005A" w:rsidP="00AA005A" w14:paraId="70B9AB83" w14:textId="77777777">
      <w:pPr>
        <w:rPr>
          <w:sz w:val="20"/>
          <w:szCs w:val="20"/>
        </w:rPr>
      </w:pPr>
      <w:r w:rsidRPr="00AA005A">
        <w:rPr>
          <w:sz w:val="20"/>
          <w:szCs w:val="20"/>
          <w:vertAlign w:val="superscript"/>
        </w:rPr>
        <w:t>2</w:t>
      </w:r>
      <w:r w:rsidRPr="00AA005A">
        <w:rPr>
          <w:sz w:val="20"/>
          <w:szCs w:val="20"/>
        </w:rPr>
        <w:t xml:space="preserve"> Figures have been rounded.</w:t>
      </w:r>
    </w:p>
    <w:p w:rsidR="00AA005A" w:rsidRPr="00AA005A" w:rsidP="00AA005A" w14:paraId="1DF5C5D1" w14:textId="77777777">
      <w:pPr>
        <w:rPr>
          <w:szCs w:val="20"/>
        </w:rPr>
      </w:pPr>
    </w:p>
    <w:p w:rsidR="00AA005A" w:rsidRPr="00AA005A" w:rsidP="00AA005A" w14:paraId="78B294E6" w14:textId="77777777">
      <w:pPr>
        <w:ind w:firstLine="720"/>
        <w:rPr>
          <w:szCs w:val="20"/>
        </w:rPr>
      </w:pPr>
      <w:r w:rsidRPr="00AA005A">
        <w:t>Regarding recordkeeping found in the draft guidance, w</w:t>
      </w:r>
      <w:r w:rsidRPr="00AA005A">
        <w:rPr>
          <w:szCs w:val="20"/>
        </w:rPr>
        <w:t xml:space="preserve">e estimate that each year 11 manufacturers of critical foods will create and maintain a risk management plan in compliance with section 424(b) of the FD&amp;C Act.  We estimate that each risk management plan will take an estimated 60 hours to create and maintain for an annual recordkeeping burden of 660 hours (11 records </w:t>
      </w:r>
      <w:bookmarkStart w:id="2" w:name="_Hlk231996080"/>
      <w:r w:rsidRPr="00AA005A">
        <w:rPr>
          <w:szCs w:val="20"/>
        </w:rPr>
        <w:t>×</w:t>
      </w:r>
      <w:bookmarkEnd w:id="2"/>
      <w:r w:rsidRPr="00AA005A">
        <w:rPr>
          <w:szCs w:val="20"/>
        </w:rPr>
        <w:t xml:space="preserve"> 60 hours).</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6"/>
        <w:gridCol w:w="1280"/>
        <w:gridCol w:w="1827"/>
        <w:gridCol w:w="1462"/>
        <w:gridCol w:w="1643"/>
        <w:gridCol w:w="920"/>
      </w:tblGrid>
      <w:tr w14:paraId="0F6F6916" w14:textId="77777777" w:rsidTr="00AE1695">
        <w:tblPrEx>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trHeight w:val="251"/>
        </w:trPr>
        <w:tc>
          <w:tcPr>
            <w:tcW w:w="5000" w:type="pct"/>
            <w:gridSpan w:val="6"/>
            <w:tcBorders>
              <w:top w:val="nil"/>
              <w:left w:val="nil"/>
              <w:right w:val="nil"/>
            </w:tcBorders>
          </w:tcPr>
          <w:p w:rsidR="00AA005A" w:rsidRPr="00AA005A" w:rsidP="00AA005A" w14:paraId="760741AC" w14:textId="77777777">
            <w:pPr>
              <w:jc w:val="center"/>
              <w:rPr>
                <w:sz w:val="20"/>
                <w:szCs w:val="20"/>
              </w:rPr>
            </w:pPr>
            <w:r w:rsidRPr="00AA005A">
              <w:rPr>
                <w:sz w:val="20"/>
                <w:szCs w:val="20"/>
              </w:rPr>
              <w:t>Table 3.--Estimated Annual Third-Party Disclosure Burden</w:t>
            </w:r>
            <w:r w:rsidRPr="00AA005A">
              <w:rPr>
                <w:sz w:val="20"/>
                <w:szCs w:val="20"/>
                <w:vertAlign w:val="superscript"/>
              </w:rPr>
              <w:t>1</w:t>
            </w:r>
          </w:p>
        </w:tc>
      </w:tr>
      <w:tr w14:paraId="1D540D77" w14:textId="77777777" w:rsidTr="00AE1695">
        <w:tblPrEx>
          <w:tblW w:w="5002" w:type="pct"/>
          <w:tblLook w:val="01E0"/>
        </w:tblPrEx>
        <w:trPr>
          <w:cantSplit/>
          <w:trHeight w:val="539"/>
        </w:trPr>
        <w:tc>
          <w:tcPr>
            <w:tcW w:w="1249" w:type="pct"/>
          </w:tcPr>
          <w:p w:rsidR="00AA005A" w:rsidRPr="00AA005A" w:rsidP="00AA005A" w14:paraId="401F1F60" w14:textId="77777777">
            <w:pPr>
              <w:jc w:val="center"/>
              <w:rPr>
                <w:sz w:val="20"/>
                <w:szCs w:val="20"/>
              </w:rPr>
            </w:pPr>
            <w:r w:rsidRPr="00AA005A">
              <w:rPr>
                <w:sz w:val="20"/>
                <w:szCs w:val="20"/>
              </w:rPr>
              <w:t xml:space="preserve"> Activity; 21 CFR Section</w:t>
            </w:r>
          </w:p>
        </w:tc>
        <w:tc>
          <w:tcPr>
            <w:tcW w:w="673" w:type="pct"/>
          </w:tcPr>
          <w:p w:rsidR="00AA005A" w:rsidRPr="00AA005A" w:rsidP="00AA005A" w14:paraId="05036A10" w14:textId="77777777">
            <w:pPr>
              <w:jc w:val="center"/>
              <w:rPr>
                <w:sz w:val="20"/>
                <w:szCs w:val="20"/>
              </w:rPr>
            </w:pPr>
            <w:r w:rsidRPr="00AA005A">
              <w:rPr>
                <w:sz w:val="20"/>
                <w:szCs w:val="20"/>
              </w:rPr>
              <w:t>No. of Respondents</w:t>
            </w:r>
          </w:p>
        </w:tc>
        <w:tc>
          <w:tcPr>
            <w:tcW w:w="961" w:type="pct"/>
          </w:tcPr>
          <w:p w:rsidR="00AA005A" w:rsidRPr="00AA005A" w:rsidP="00AA005A" w14:paraId="6F08A686" w14:textId="77777777">
            <w:pPr>
              <w:jc w:val="center"/>
              <w:rPr>
                <w:sz w:val="20"/>
                <w:szCs w:val="20"/>
              </w:rPr>
            </w:pPr>
            <w:r w:rsidRPr="00AA005A">
              <w:rPr>
                <w:bCs/>
                <w:sz w:val="20"/>
                <w:szCs w:val="20"/>
              </w:rPr>
              <w:t>No. of Disclosures per Respondent</w:t>
            </w:r>
          </w:p>
        </w:tc>
        <w:tc>
          <w:tcPr>
            <w:tcW w:w="769" w:type="pct"/>
          </w:tcPr>
          <w:p w:rsidR="00AA005A" w:rsidRPr="00AA005A" w:rsidP="00AA005A" w14:paraId="39E96428" w14:textId="77777777">
            <w:pPr>
              <w:jc w:val="center"/>
              <w:rPr>
                <w:sz w:val="20"/>
                <w:szCs w:val="20"/>
              </w:rPr>
            </w:pPr>
            <w:r w:rsidRPr="00AA005A">
              <w:rPr>
                <w:sz w:val="20"/>
                <w:szCs w:val="20"/>
              </w:rPr>
              <w:t>Total Annual Disclosures</w:t>
            </w:r>
          </w:p>
        </w:tc>
        <w:tc>
          <w:tcPr>
            <w:tcW w:w="864" w:type="pct"/>
          </w:tcPr>
          <w:p w:rsidR="00AA005A" w:rsidRPr="00AA005A" w:rsidP="00AA005A" w14:paraId="49B42793" w14:textId="77777777">
            <w:pPr>
              <w:jc w:val="center"/>
              <w:rPr>
                <w:sz w:val="20"/>
                <w:szCs w:val="20"/>
              </w:rPr>
            </w:pPr>
            <w:r w:rsidRPr="00AA005A">
              <w:rPr>
                <w:bCs/>
                <w:sz w:val="20"/>
                <w:szCs w:val="20"/>
              </w:rPr>
              <w:t>Average Burden per Disclosure</w:t>
            </w:r>
          </w:p>
        </w:tc>
        <w:tc>
          <w:tcPr>
            <w:tcW w:w="484" w:type="pct"/>
          </w:tcPr>
          <w:p w:rsidR="00AA005A" w:rsidRPr="00AA005A" w:rsidP="00AA005A" w14:paraId="1F5F1276" w14:textId="77777777">
            <w:pPr>
              <w:jc w:val="center"/>
              <w:rPr>
                <w:sz w:val="20"/>
                <w:szCs w:val="20"/>
              </w:rPr>
            </w:pPr>
            <w:r w:rsidRPr="00AA005A">
              <w:rPr>
                <w:sz w:val="20"/>
                <w:szCs w:val="20"/>
              </w:rPr>
              <w:t>Total Hours</w:t>
            </w:r>
          </w:p>
        </w:tc>
      </w:tr>
      <w:tr w14:paraId="04D248A4" w14:textId="77777777" w:rsidTr="00AE1695">
        <w:tblPrEx>
          <w:tblW w:w="5002" w:type="pct"/>
          <w:tblLook w:val="01E0"/>
        </w:tblPrEx>
        <w:trPr>
          <w:cantSplit/>
          <w:trHeight w:val="575"/>
        </w:trPr>
        <w:tc>
          <w:tcPr>
            <w:tcW w:w="1249" w:type="pct"/>
          </w:tcPr>
          <w:p w:rsidR="00AA005A" w:rsidRPr="00AA005A" w:rsidP="00AA005A" w14:paraId="3C95447B" w14:textId="77777777">
            <w:pPr>
              <w:rPr>
                <w:sz w:val="20"/>
                <w:szCs w:val="20"/>
              </w:rPr>
            </w:pPr>
            <w:r w:rsidRPr="00AA005A">
              <w:rPr>
                <w:sz w:val="20"/>
                <w:szCs w:val="20"/>
              </w:rPr>
              <w:t>Nutrient labeling; §§ 107.10(a) and 107.20</w:t>
            </w:r>
          </w:p>
        </w:tc>
        <w:tc>
          <w:tcPr>
            <w:tcW w:w="673" w:type="pct"/>
          </w:tcPr>
          <w:p w:rsidR="00AA005A" w:rsidRPr="00AA005A" w:rsidP="00AA005A" w14:paraId="4570E9A4" w14:textId="77777777">
            <w:pPr>
              <w:jc w:val="right"/>
              <w:rPr>
                <w:sz w:val="20"/>
                <w:szCs w:val="20"/>
              </w:rPr>
            </w:pPr>
            <w:r w:rsidRPr="00AA005A">
              <w:rPr>
                <w:sz w:val="20"/>
                <w:szCs w:val="20"/>
              </w:rPr>
              <w:t>5</w:t>
            </w:r>
          </w:p>
        </w:tc>
        <w:tc>
          <w:tcPr>
            <w:tcW w:w="961" w:type="pct"/>
          </w:tcPr>
          <w:p w:rsidR="00AA005A" w:rsidRPr="00AA005A" w:rsidP="00AA005A" w14:paraId="17C012F2" w14:textId="77777777">
            <w:pPr>
              <w:jc w:val="right"/>
              <w:rPr>
                <w:sz w:val="20"/>
                <w:szCs w:val="20"/>
              </w:rPr>
            </w:pPr>
            <w:r w:rsidRPr="00AA005A">
              <w:rPr>
                <w:sz w:val="20"/>
                <w:szCs w:val="20"/>
              </w:rPr>
              <w:t>13</w:t>
            </w:r>
          </w:p>
        </w:tc>
        <w:tc>
          <w:tcPr>
            <w:tcW w:w="769" w:type="pct"/>
          </w:tcPr>
          <w:p w:rsidR="00AA005A" w:rsidRPr="00AA005A" w:rsidP="00AA005A" w14:paraId="3EA383A3" w14:textId="77777777">
            <w:pPr>
              <w:jc w:val="right"/>
              <w:rPr>
                <w:sz w:val="20"/>
                <w:szCs w:val="20"/>
              </w:rPr>
            </w:pPr>
            <w:r w:rsidRPr="00AA005A">
              <w:rPr>
                <w:sz w:val="20"/>
                <w:szCs w:val="20"/>
              </w:rPr>
              <w:t>65</w:t>
            </w:r>
          </w:p>
        </w:tc>
        <w:tc>
          <w:tcPr>
            <w:tcW w:w="864" w:type="pct"/>
          </w:tcPr>
          <w:p w:rsidR="00AA005A" w:rsidRPr="00AA005A" w:rsidP="00AA005A" w14:paraId="21FDE71F" w14:textId="77777777">
            <w:pPr>
              <w:jc w:val="right"/>
              <w:rPr>
                <w:sz w:val="20"/>
                <w:szCs w:val="20"/>
              </w:rPr>
            </w:pPr>
            <w:r w:rsidRPr="00AA005A">
              <w:rPr>
                <w:sz w:val="20"/>
                <w:szCs w:val="20"/>
              </w:rPr>
              <w:t>8</w:t>
            </w:r>
          </w:p>
        </w:tc>
        <w:tc>
          <w:tcPr>
            <w:tcW w:w="484" w:type="pct"/>
          </w:tcPr>
          <w:p w:rsidR="00AA005A" w:rsidRPr="00AA005A" w:rsidP="00AA005A" w14:paraId="2498611D" w14:textId="77777777">
            <w:pPr>
              <w:jc w:val="right"/>
              <w:rPr>
                <w:sz w:val="20"/>
                <w:szCs w:val="20"/>
              </w:rPr>
            </w:pPr>
            <w:r w:rsidRPr="00AA005A">
              <w:rPr>
                <w:sz w:val="20"/>
                <w:szCs w:val="20"/>
              </w:rPr>
              <w:t>520</w:t>
            </w:r>
          </w:p>
        </w:tc>
      </w:tr>
    </w:tbl>
    <w:p w:rsidR="000A56D3" w:rsidP="00AA005A" w14:paraId="275C4145" w14:textId="605DA347">
      <w:pPr>
        <w:rPr>
          <w:szCs w:val="20"/>
        </w:rPr>
      </w:pPr>
      <w:r w:rsidRPr="00AA005A">
        <w:rPr>
          <w:sz w:val="20"/>
          <w:szCs w:val="20"/>
          <w:vertAlign w:val="superscript"/>
        </w:rPr>
        <w:t>1</w:t>
      </w:r>
      <w:r w:rsidRPr="00AA005A">
        <w:rPr>
          <w:sz w:val="20"/>
          <w:szCs w:val="20"/>
        </w:rPr>
        <w:t xml:space="preserve"> There are no capital costs or operating and maintenance costs associated with this collection of information.</w:t>
      </w:r>
    </w:p>
    <w:p w:rsidR="000A56D3" w:rsidRPr="008E1378" w:rsidP="00AA005A" w14:paraId="59C39DBE" w14:textId="77777777">
      <w:pPr>
        <w:rPr>
          <w:szCs w:val="20"/>
        </w:rPr>
      </w:pPr>
    </w:p>
    <w:p w:rsidR="008E1378" w:rsidRPr="003A2E85" w:rsidP="008E1378" w14:paraId="46E3737A" w14:textId="77777777">
      <w:pPr>
        <w:spacing w:after="200"/>
        <w:rPr>
          <w:rFonts w:eastAsia="Calibri"/>
          <w:i/>
        </w:rPr>
      </w:pPr>
      <w:r>
        <w:rPr>
          <w:rFonts w:eastAsia="Calibri"/>
        </w:rPr>
        <w:tab/>
      </w:r>
      <w:r w:rsidRPr="003A2E85">
        <w:rPr>
          <w:rFonts w:eastAsia="Calibri"/>
          <w:i/>
        </w:rPr>
        <w:t>12b.  Annualized Cost Burden Estimate</w:t>
      </w:r>
    </w:p>
    <w:p w:rsidR="00A30A12" w:rsidP="00A30A12" w14:paraId="66E6DF6B" w14:textId="0312D2C9">
      <w:pPr>
        <w:pStyle w:val="BodyText2"/>
        <w:rPr>
          <w:rFonts w:eastAsia="Calibri"/>
        </w:rPr>
      </w:pPr>
      <w:r>
        <w:tab/>
      </w:r>
      <w:r w:rsidRPr="00A80686" w:rsidR="00A80686">
        <w:t xml:space="preserve">To calculate the </w:t>
      </w:r>
      <w:r w:rsidRPr="00A80686">
        <w:t>annual hour cost burden to respondents</w:t>
      </w:r>
      <w:r w:rsidRPr="00A80686" w:rsidR="00A80686">
        <w:t xml:space="preserve">, we assume </w:t>
      </w:r>
      <w:r w:rsidR="00A80686">
        <w:t xml:space="preserve">the </w:t>
      </w:r>
      <w:r w:rsidRPr="00A80686">
        <w:t xml:space="preserve">average hourly wage for </w:t>
      </w:r>
      <w:r w:rsidR="00A80686">
        <w:t xml:space="preserve">an </w:t>
      </w:r>
      <w:r w:rsidRPr="00A80686">
        <w:t xml:space="preserve">employee preparing and submitting the request for certification </w:t>
      </w:r>
      <w:r w:rsidRPr="00A80686" w:rsidR="00A80686">
        <w:t xml:space="preserve">to be that </w:t>
      </w:r>
      <w:r w:rsidRPr="00A80686">
        <w:t>equivalent to a GS-14/Step-4 level in the locality pay area of Washington-Baltimore</w:t>
      </w:r>
      <w:r w:rsidRPr="00A80686" w:rsidR="00A80686">
        <w:t xml:space="preserve"> (</w:t>
      </w:r>
      <w:r w:rsidRPr="00A80686">
        <w:t>$63.94/hour</w:t>
      </w:r>
      <w:r w:rsidRPr="00A80686" w:rsidR="00A80686">
        <w:t>)</w:t>
      </w:r>
      <w:r w:rsidRPr="00A80686">
        <w:t>.</w:t>
      </w:r>
      <w:r w:rsidR="003516BB">
        <w:t xml:space="preserve">  W</w:t>
      </w:r>
      <w:r w:rsidRPr="00A80686">
        <w:t>e</w:t>
      </w:r>
      <w:r w:rsidRPr="00A80686" w:rsidR="00A80686">
        <w:t xml:space="preserve"> multiply th</w:t>
      </w:r>
      <w:r w:rsidR="00C805D3">
        <w:t>is factor</w:t>
      </w:r>
      <w:r w:rsidRPr="00A80686" w:rsidR="00A80686">
        <w:t xml:space="preserve"> by the annual </w:t>
      </w:r>
      <w:r w:rsidR="007D2E5A">
        <w:t xml:space="preserve">recordkeeping </w:t>
      </w:r>
      <w:r w:rsidRPr="00A80686" w:rsidR="00A80686">
        <w:t>burden hours</w:t>
      </w:r>
      <w:r w:rsidR="00C805D3">
        <w:t xml:space="preserve"> [</w:t>
      </w:r>
      <w:r w:rsidR="00252F05">
        <w:t>126,482</w:t>
      </w:r>
      <w:r w:rsidR="000E41E7">
        <w:t>]</w:t>
      </w:r>
      <w:r>
        <w:t xml:space="preserve">, resulting </w:t>
      </w:r>
      <w:r w:rsidRPr="00A80686" w:rsidR="00A80686">
        <w:t xml:space="preserve">in an estimated annual cost to respondents of </w:t>
      </w:r>
      <w:r w:rsidRPr="00A30A12">
        <w:t>$</w:t>
      </w:r>
      <w:r w:rsidR="000E41E7">
        <w:t xml:space="preserve">8,087,259.08 </w:t>
      </w:r>
      <w:r>
        <w:t>annually</w:t>
      </w:r>
      <w:r w:rsidRPr="00A80686" w:rsidR="00E04A61">
        <w:rPr>
          <w:rFonts w:eastAsia="Calibri"/>
        </w:rPr>
        <w:t>.</w:t>
      </w:r>
    </w:p>
    <w:p w:rsidR="00C14387" w:rsidRPr="002E1CE3" w:rsidP="00A30A12" w14:paraId="66C759CD" w14:textId="3DA7BC12">
      <w:pPr>
        <w:pStyle w:val="BodyText2"/>
        <w:rPr>
          <w:rFonts w:eastAsia="Calibri"/>
        </w:rPr>
      </w:pPr>
      <w:r>
        <w:rPr>
          <w:rFonts w:eastAsia="Calibri"/>
        </w:rPr>
        <w:t xml:space="preserve"> </w:t>
      </w:r>
    </w:p>
    <w:p w:rsidR="00357C8A" w:rsidRPr="003A7AC3" w:rsidP="003A7AC3" w14:paraId="6DD32024" w14:textId="3D5DE987">
      <w:pPr>
        <w:numPr>
          <w:ilvl w:val="0"/>
          <w:numId w:val="9"/>
        </w:numPr>
        <w:spacing w:after="200"/>
        <w:rPr>
          <w:rFonts w:eastAsia="Calibri"/>
        </w:rPr>
      </w:pPr>
      <w:r w:rsidRPr="003A7AC3">
        <w:rPr>
          <w:rFonts w:eastAsia="Calibri"/>
          <w:u w:val="single"/>
        </w:rPr>
        <w:t xml:space="preserve">Estimates of Other Total Annual Costs </w:t>
      </w:r>
      <w:r w:rsidRPr="003A7AC3" w:rsidR="00590E90">
        <w:rPr>
          <w:rFonts w:eastAsia="Calibri"/>
          <w:u w:val="single"/>
        </w:rPr>
        <w:t xml:space="preserve">to Respondents/Recordkeepers or </w:t>
      </w:r>
      <w:r w:rsidRPr="003A7AC3">
        <w:rPr>
          <w:rFonts w:eastAsia="Calibri"/>
          <w:u w:val="single"/>
        </w:rPr>
        <w:t xml:space="preserve">Capital Costs </w:t>
      </w:r>
    </w:p>
    <w:p w:rsidR="0022425B" w:rsidP="00A00BE3" w14:paraId="20C47F66" w14:textId="634CB696">
      <w:pPr>
        <w:autoSpaceDE w:val="0"/>
        <w:autoSpaceDN w:val="0"/>
        <w:adjustRightInd w:val="0"/>
      </w:pPr>
      <w:r>
        <w:t>There are no capital, start-up, operating, or maintenance costs associated with this information collection.</w:t>
      </w:r>
    </w:p>
    <w:p w:rsidR="00A00BE3" w:rsidRPr="00A00BE3" w:rsidP="007C5658" w14:paraId="2445C2EE" w14:textId="77777777"/>
    <w:p w:rsidR="000E41E7" w14:paraId="51A26633" w14:textId="77777777">
      <w:pPr>
        <w:rPr>
          <w:rFonts w:eastAsia="Calibri"/>
          <w:u w:val="single"/>
        </w:rPr>
      </w:pPr>
      <w:r>
        <w:rPr>
          <w:rFonts w:eastAsia="Calibri"/>
          <w:u w:val="single"/>
        </w:rPr>
        <w:br w:type="page"/>
      </w:r>
    </w:p>
    <w:p w:rsidR="00357C8A" w:rsidRPr="00357C8A" w:rsidP="00CC6834" w14:paraId="2D581F28" w14:textId="042D1C46">
      <w:pPr>
        <w:numPr>
          <w:ilvl w:val="0"/>
          <w:numId w:val="9"/>
        </w:numPr>
        <w:spacing w:after="200"/>
        <w:rPr>
          <w:rFonts w:eastAsia="Calibri"/>
          <w:u w:val="single"/>
        </w:rPr>
      </w:pPr>
      <w:r w:rsidRPr="00357C8A">
        <w:rPr>
          <w:rFonts w:eastAsia="Calibri"/>
          <w:u w:val="single"/>
        </w:rPr>
        <w:t>Annualized Cost to the Federal Government</w:t>
      </w:r>
    </w:p>
    <w:p w:rsidR="00C200AF" w:rsidP="00334453" w14:paraId="7C675ADE" w14:textId="60E59F7E">
      <w:pPr>
        <w:spacing w:after="200"/>
        <w:rPr>
          <w:rFonts w:eastAsia="Calibri"/>
        </w:rPr>
      </w:pPr>
      <w:r>
        <w:rPr>
          <w:rFonts w:eastAsia="Calibri"/>
        </w:rPr>
        <w:t xml:space="preserve">Upon </w:t>
      </w:r>
      <w:r w:rsidR="00CE063B">
        <w:rPr>
          <w:rFonts w:eastAsia="Calibri"/>
        </w:rPr>
        <w:t xml:space="preserve">evaluation, </w:t>
      </w:r>
      <w:r>
        <w:rPr>
          <w:rFonts w:eastAsia="Calibri"/>
        </w:rPr>
        <w:t xml:space="preserve">we </w:t>
      </w:r>
      <w:r w:rsidR="006C1ECC">
        <w:rPr>
          <w:rFonts w:eastAsia="Calibri"/>
        </w:rPr>
        <w:t xml:space="preserve">estimate </w:t>
      </w:r>
      <w:r w:rsidR="002D7AA3">
        <w:rPr>
          <w:rFonts w:eastAsia="Calibri"/>
        </w:rPr>
        <w:t xml:space="preserve">Federal costs </w:t>
      </w:r>
      <w:r w:rsidR="006C1ECC">
        <w:rPr>
          <w:rFonts w:eastAsia="Calibri"/>
        </w:rPr>
        <w:t>for</w:t>
      </w:r>
      <w:r w:rsidR="00CE063B">
        <w:rPr>
          <w:rFonts w:eastAsia="Calibri"/>
        </w:rPr>
        <w:t xml:space="preserve"> </w:t>
      </w:r>
      <w:r w:rsidR="002D7AA3">
        <w:rPr>
          <w:rFonts w:eastAsia="Calibri"/>
        </w:rPr>
        <w:t xml:space="preserve">implementing </w:t>
      </w:r>
      <w:r w:rsidR="00CE063B">
        <w:rPr>
          <w:rFonts w:eastAsia="Calibri"/>
        </w:rPr>
        <w:t>the infant formula</w:t>
      </w:r>
      <w:r w:rsidR="00483FCA">
        <w:rPr>
          <w:rFonts w:eastAsia="Calibri"/>
        </w:rPr>
        <w:t xml:space="preserve"> provisions in 21 CFR parts 106 and 107</w:t>
      </w:r>
      <w:r w:rsidR="006C1ECC">
        <w:rPr>
          <w:rFonts w:eastAsia="Calibri"/>
        </w:rPr>
        <w:t xml:space="preserve"> to be</w:t>
      </w:r>
      <w:r w:rsidR="00B870AC">
        <w:rPr>
          <w:rFonts w:eastAsia="Calibri"/>
        </w:rPr>
        <w:t xml:space="preserve"> $2</w:t>
      </w:r>
      <w:r w:rsidR="004C549C">
        <w:rPr>
          <w:rFonts w:eastAsia="Calibri"/>
        </w:rPr>
        <w:t>72,773</w:t>
      </w:r>
      <w:r w:rsidR="00306A24">
        <w:rPr>
          <w:rFonts w:eastAsia="Calibri"/>
        </w:rPr>
        <w:t>.</w:t>
      </w:r>
    </w:p>
    <w:p w:rsidR="00357C8A" w:rsidP="00CC6834" w14:paraId="5E22883E" w14:textId="672F700C">
      <w:pPr>
        <w:numPr>
          <w:ilvl w:val="0"/>
          <w:numId w:val="9"/>
        </w:numPr>
        <w:spacing w:after="200"/>
        <w:rPr>
          <w:rFonts w:eastAsia="Calibri"/>
          <w:u w:val="single"/>
        </w:rPr>
      </w:pPr>
      <w:r w:rsidRPr="00357C8A">
        <w:rPr>
          <w:rFonts w:eastAsia="Calibri"/>
          <w:u w:val="single"/>
        </w:rPr>
        <w:t>Explanation for Program Changes or Adjustments</w:t>
      </w:r>
    </w:p>
    <w:p w:rsidR="008175AE" w:rsidP="00334453" w14:paraId="25C71BF4" w14:textId="700855BF">
      <w:pPr>
        <w:spacing w:after="200"/>
        <w:rPr>
          <w:rFonts w:eastAsia="Calibri"/>
        </w:rPr>
      </w:pPr>
      <w:r>
        <w:rPr>
          <w:rFonts w:eastAsia="Calibri"/>
        </w:rPr>
        <w:t>W</w:t>
      </w:r>
      <w:r w:rsidRPr="001B1AF0">
        <w:rPr>
          <w:rFonts w:eastAsia="Calibri"/>
        </w:rPr>
        <w:t xml:space="preserve">e </w:t>
      </w:r>
      <w:r>
        <w:rPr>
          <w:rFonts w:eastAsia="Calibri"/>
        </w:rPr>
        <w:t xml:space="preserve">have </w:t>
      </w:r>
      <w:r w:rsidRPr="001B1AF0">
        <w:rPr>
          <w:rFonts w:eastAsia="Calibri"/>
        </w:rPr>
        <w:t>revis</w:t>
      </w:r>
      <w:r w:rsidR="00FB1D24">
        <w:rPr>
          <w:rFonts w:eastAsia="Calibri"/>
        </w:rPr>
        <w:t>ed</w:t>
      </w:r>
      <w:r w:rsidRPr="001B1AF0">
        <w:rPr>
          <w:rFonts w:eastAsia="Calibri"/>
        </w:rPr>
        <w:t xml:space="preserve"> the information collection to include </w:t>
      </w:r>
      <w:r w:rsidR="008C7B61">
        <w:rPr>
          <w:rFonts w:eastAsia="Calibri"/>
        </w:rPr>
        <w:t xml:space="preserve">recommended </w:t>
      </w:r>
      <w:r w:rsidRPr="001B1AF0">
        <w:rPr>
          <w:rFonts w:eastAsia="Calibri"/>
        </w:rPr>
        <w:t>activities</w:t>
      </w:r>
      <w:r w:rsidR="008869CC">
        <w:rPr>
          <w:rFonts w:eastAsia="Calibri"/>
        </w:rPr>
        <w:t xml:space="preserve"> and</w:t>
      </w:r>
      <w:r w:rsidR="008C7B61">
        <w:rPr>
          <w:rFonts w:eastAsia="Calibri"/>
        </w:rPr>
        <w:t xml:space="preserve"> attendant</w:t>
      </w:r>
      <w:r w:rsidR="008869CC">
        <w:rPr>
          <w:rFonts w:eastAsia="Calibri"/>
        </w:rPr>
        <w:t xml:space="preserve"> burden</w:t>
      </w:r>
      <w:r w:rsidRPr="001B1AF0">
        <w:rPr>
          <w:rFonts w:eastAsia="Calibri"/>
        </w:rPr>
        <w:t xml:space="preserve"> </w:t>
      </w:r>
      <w:r w:rsidR="008C7B61">
        <w:rPr>
          <w:rFonts w:eastAsia="Calibri"/>
        </w:rPr>
        <w:t xml:space="preserve">found </w:t>
      </w:r>
      <w:r w:rsidRPr="001B1AF0">
        <w:rPr>
          <w:rFonts w:eastAsia="Calibri"/>
        </w:rPr>
        <w:t>in the draft guidance titled “</w:t>
      </w:r>
      <w:r w:rsidRPr="00FB1D24">
        <w:rPr>
          <w:rFonts w:eastAsia="Calibri"/>
          <w:i/>
          <w:iCs/>
        </w:rPr>
        <w:t>Notifying FDA of a Permanent Discontinuance in the Manufacture or an Interruption of the Manufacture of an Infant Formula</w:t>
      </w:r>
      <w:r w:rsidRPr="001B1AF0">
        <w:rPr>
          <w:rFonts w:eastAsia="Calibri"/>
        </w:rPr>
        <w:t>”</w:t>
      </w:r>
      <w:r w:rsidR="008869CC">
        <w:rPr>
          <w:rFonts w:eastAsia="Calibri"/>
        </w:rPr>
        <w:t xml:space="preserve"> (December 2024).  At the same time, we have removed burden attributable to </w:t>
      </w:r>
      <w:r w:rsidRPr="001B1AF0">
        <w:rPr>
          <w:rFonts w:eastAsia="Calibri"/>
        </w:rPr>
        <w:t>the guidance “</w:t>
      </w:r>
      <w:r w:rsidRPr="008869CC">
        <w:rPr>
          <w:rFonts w:eastAsia="Calibri"/>
          <w:i/>
          <w:iCs/>
        </w:rPr>
        <w:t>Infant Formula Transition Plan for Exercise of Enforcement Discretion</w:t>
      </w:r>
      <w:r w:rsidRPr="001B1AF0">
        <w:rPr>
          <w:rFonts w:eastAsia="Calibri"/>
        </w:rPr>
        <w:t>” (September 2022) as we are no longer experiencing disruptions in the supply of infant formula in the United States and therefore did not extend the guidance’s end date.</w:t>
      </w:r>
      <w:r w:rsidR="00BD4CEC">
        <w:rPr>
          <w:rFonts w:eastAsia="Calibri"/>
        </w:rPr>
        <w:t xml:space="preserve">  Cumulatively the change results in</w:t>
      </w:r>
      <w:r w:rsidR="002C7680">
        <w:rPr>
          <w:rFonts w:eastAsia="Calibri"/>
        </w:rPr>
        <w:t xml:space="preserve"> 96 fewer</w:t>
      </w:r>
      <w:r w:rsidR="00743076">
        <w:rPr>
          <w:rFonts w:eastAsia="Calibri"/>
        </w:rPr>
        <w:t xml:space="preserve"> responses</w:t>
      </w:r>
      <w:r w:rsidR="002C7680">
        <w:rPr>
          <w:rFonts w:eastAsia="Calibri"/>
        </w:rPr>
        <w:t xml:space="preserve"> and 3,12</w:t>
      </w:r>
      <w:r w:rsidR="00743076">
        <w:rPr>
          <w:rFonts w:eastAsia="Calibri"/>
        </w:rPr>
        <w:t>9 fewer burden hours annually.  We have made no adjustments or changes to any other of the information collection elements.</w:t>
      </w:r>
    </w:p>
    <w:p w:rsidR="00357C8A" w:rsidRPr="00357C8A" w:rsidP="00CC6834" w14:paraId="1B89B762" w14:textId="77777777">
      <w:pPr>
        <w:numPr>
          <w:ilvl w:val="0"/>
          <w:numId w:val="9"/>
        </w:numPr>
        <w:spacing w:after="200"/>
        <w:rPr>
          <w:rFonts w:eastAsia="Calibri"/>
          <w:u w:val="single"/>
        </w:rPr>
      </w:pPr>
      <w:r w:rsidRPr="00357C8A">
        <w:rPr>
          <w:rFonts w:eastAsia="Calibri"/>
          <w:u w:val="single"/>
        </w:rPr>
        <w:t>Plans for Tabulation and Publication and Project Time Schedule</w:t>
      </w:r>
    </w:p>
    <w:p w:rsidR="00357C8A" w:rsidRPr="00357C8A" w:rsidP="00A00BE3" w14:paraId="0D4CDBD5" w14:textId="77777777">
      <w:pPr>
        <w:spacing w:after="200"/>
        <w:rPr>
          <w:rFonts w:eastAsia="Calibri"/>
          <w:color w:val="FF0000"/>
        </w:rPr>
      </w:pPr>
      <w:r w:rsidRPr="005C71CA">
        <w:rPr>
          <w:rFonts w:eastAsia="Calibri"/>
        </w:rPr>
        <w:t>This information collected will not be published or tabulated.</w:t>
      </w:r>
    </w:p>
    <w:p w:rsidR="00357C8A" w:rsidRPr="00357C8A" w:rsidP="00CC6834" w14:paraId="589A3AD1" w14:textId="000A3D3F">
      <w:pPr>
        <w:numPr>
          <w:ilvl w:val="0"/>
          <w:numId w:val="9"/>
        </w:numPr>
        <w:spacing w:after="200"/>
        <w:rPr>
          <w:rFonts w:eastAsia="Calibri"/>
          <w:u w:val="single"/>
        </w:rPr>
      </w:pPr>
      <w:r w:rsidRPr="00357C8A">
        <w:rPr>
          <w:rFonts w:eastAsia="Calibri"/>
          <w:u w:val="single"/>
        </w:rPr>
        <w:t>Reason(s) Display of OMB Expiration Date is Inappropriate</w:t>
      </w:r>
    </w:p>
    <w:p w:rsidR="00A2759D" w:rsidP="00A00BE3" w14:paraId="2FCF45DC" w14:textId="3CE54954">
      <w:pPr>
        <w:spacing w:after="200"/>
        <w:rPr>
          <w:rFonts w:eastAsia="Calibri"/>
        </w:rPr>
      </w:pPr>
      <w:r>
        <w:rPr>
          <w:rFonts w:eastAsia="Calibri"/>
        </w:rPr>
        <w:t xml:space="preserve">FDA continues to display the OMB control number, its </w:t>
      </w:r>
      <w:r w:rsidR="0032177F">
        <w:rPr>
          <w:rFonts w:eastAsia="Calibri"/>
        </w:rPr>
        <w:t>expiration dat</w:t>
      </w:r>
      <w:r w:rsidR="00326D66">
        <w:rPr>
          <w:rFonts w:eastAsia="Calibri"/>
        </w:rPr>
        <w:t>e</w:t>
      </w:r>
      <w:r w:rsidR="0032177F">
        <w:rPr>
          <w:rFonts w:eastAsia="Calibri"/>
        </w:rPr>
        <w:t xml:space="preserve">, and </w:t>
      </w:r>
      <w:r w:rsidR="00326D66">
        <w:rPr>
          <w:rFonts w:eastAsia="Calibri"/>
        </w:rPr>
        <w:t xml:space="preserve">communicates </w:t>
      </w:r>
      <w:r w:rsidR="0032177F">
        <w:rPr>
          <w:rFonts w:eastAsia="Calibri"/>
        </w:rPr>
        <w:t>the significance of this information to respondents of the information collection.</w:t>
      </w:r>
      <w:r w:rsidR="00193821">
        <w:rPr>
          <w:rFonts w:eastAsia="Calibri"/>
        </w:rPr>
        <w:t xml:space="preserve"> </w:t>
      </w:r>
    </w:p>
    <w:p w:rsidR="00A2759D" w:rsidRPr="00357C8A" w:rsidP="00CC6834" w14:paraId="3DB7CBE9" w14:textId="77777777">
      <w:pPr>
        <w:keepNext/>
        <w:keepLines/>
        <w:numPr>
          <w:ilvl w:val="0"/>
          <w:numId w:val="9"/>
        </w:numPr>
        <w:spacing w:after="200" w:line="276" w:lineRule="auto"/>
        <w:rPr>
          <w:rFonts w:eastAsia="Calibri"/>
          <w:u w:val="single"/>
        </w:rPr>
      </w:pPr>
      <w:r w:rsidRPr="00357C8A">
        <w:rPr>
          <w:rFonts w:eastAsia="Calibri"/>
          <w:u w:val="single"/>
        </w:rPr>
        <w:t>Exceptions to Certification for Paperwork Reduction Act Submissions</w:t>
      </w:r>
    </w:p>
    <w:p w:rsidR="00A2759D" w:rsidP="00A00BE3" w14:paraId="4F166BF5" w14:textId="77777777">
      <w:pPr>
        <w:keepNext/>
        <w:keepLines/>
        <w:spacing w:after="200"/>
        <w:rPr>
          <w:rFonts w:eastAsia="Calibri"/>
        </w:rPr>
      </w:pPr>
      <w:r w:rsidRPr="007E59A8">
        <w:rPr>
          <w:rFonts w:eastAsia="Calibri"/>
        </w:rPr>
        <w:t>There are no exceptions to the certification</w:t>
      </w:r>
      <w:r>
        <w:rPr>
          <w:rFonts w:eastAsia="Calibri"/>
        </w:rPr>
        <w:t>.</w:t>
      </w:r>
    </w:p>
    <w:sectPr w:rsidSect="00724FB7">
      <w:footerReference w:type="even" r:id="rId8"/>
      <w:footerReference w:type="default" r:id="rId9"/>
      <w:pgSz w:w="12240" w:h="15840" w:code="1"/>
      <w:pgMar w:top="1296" w:right="1296"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78FF663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3DE5" w14:paraId="79027EB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407105" w14:paraId="4E6CFF4B" w14:textId="77777777">
    <w:pPr>
      <w:pStyle w:val="Footer"/>
      <w:framePr w:wrap="around" w:vAnchor="text" w:hAnchor="margin" w:xAlign="center" w:y="-83"/>
      <w:rPr>
        <w:rStyle w:val="PageNumber"/>
      </w:rPr>
    </w:pPr>
    <w:r>
      <w:rPr>
        <w:rStyle w:val="PageNumber"/>
      </w:rPr>
      <w:fldChar w:fldCharType="begin"/>
    </w:r>
    <w:r>
      <w:rPr>
        <w:rStyle w:val="PageNumber"/>
      </w:rPr>
      <w:instrText xml:space="preserve">PAGE  </w:instrText>
    </w:r>
    <w:r>
      <w:rPr>
        <w:rStyle w:val="PageNumber"/>
      </w:rPr>
      <w:fldChar w:fldCharType="separate"/>
    </w:r>
    <w:r w:rsidR="00297FFD">
      <w:rPr>
        <w:rStyle w:val="PageNumber"/>
        <w:noProof/>
      </w:rPr>
      <w:t>7</w:t>
    </w:r>
    <w:r>
      <w:rPr>
        <w:rStyle w:val="PageNumber"/>
      </w:rPr>
      <w:fldChar w:fldCharType="end"/>
    </w:r>
  </w:p>
  <w:p w:rsidR="00E63DE5" w14:paraId="468AD1C3"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5567B5"/>
    <w:multiLevelType w:val="hybridMultilevel"/>
    <w:tmpl w:val="D4649FC0"/>
    <w:lvl w:ilvl="0">
      <w:start w:val="1"/>
      <w:numFmt w:val="decimal"/>
      <w:lvlText w:val="%1."/>
      <w:lvlJc w:val="left"/>
      <w:pPr>
        <w:ind w:left="360" w:hanging="360"/>
      </w:p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C496F72"/>
    <w:multiLevelType w:val="hybridMultilevel"/>
    <w:tmpl w:val="E7C614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7B65BAA"/>
    <w:multiLevelType w:val="hybridMultilevel"/>
    <w:tmpl w:val="A5E844D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1B507DAF"/>
    <w:multiLevelType w:val="hybridMultilevel"/>
    <w:tmpl w:val="5F744CAC"/>
    <w:lvl w:ilvl="0">
      <w:start w:val="1"/>
      <w:numFmt w:val="bullet"/>
      <w:lvlText w:val="o"/>
      <w:lvlJc w:val="left"/>
      <w:pPr>
        <w:ind w:left="720" w:hanging="360"/>
      </w:pPr>
      <w:rPr>
        <w:rFonts w:ascii="Courier New" w:hAnsi="Courier New"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4">
    <w:nsid w:val="3A231CE8"/>
    <w:multiLevelType w:val="hybridMultilevel"/>
    <w:tmpl w:val="3EB40746"/>
    <w:lvl w:ilvl="0">
      <w:start w:val="10"/>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BEE557C"/>
    <w:multiLevelType w:val="hybridMultilevel"/>
    <w:tmpl w:val="B024C990"/>
    <w:lvl w:ilvl="0">
      <w:start w:val="1"/>
      <w:numFmt w:val="decimal"/>
      <w:lvlText w:val="%1."/>
      <w:lvlJc w:val="left"/>
      <w:pPr>
        <w:ind w:left="360" w:hanging="360"/>
      </w:p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51C66BF9"/>
    <w:multiLevelType w:val="hybridMultilevel"/>
    <w:tmpl w:val="0468771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DC55C4D"/>
    <w:multiLevelType w:val="hybridMultilevel"/>
    <w:tmpl w:val="8F8A4D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704B3A7E"/>
    <w:multiLevelType w:val="hybridMultilevel"/>
    <w:tmpl w:val="F0964A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A5A208E"/>
    <w:multiLevelType w:val="hybridMultilevel"/>
    <w:tmpl w:val="4AA4EDD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701971490">
    <w:abstractNumId w:val="7"/>
  </w:num>
  <w:num w:numId="2" w16cid:durableId="621031736">
    <w:abstractNumId w:val="2"/>
  </w:num>
  <w:num w:numId="3" w16cid:durableId="1959602790">
    <w:abstractNumId w:val="8"/>
  </w:num>
  <w:num w:numId="4" w16cid:durableId="1887526632">
    <w:abstractNumId w:val="5"/>
  </w:num>
  <w:num w:numId="5" w16cid:durableId="2023042508">
    <w:abstractNumId w:val="9"/>
  </w:num>
  <w:num w:numId="6" w16cid:durableId="976909189">
    <w:abstractNumId w:val="0"/>
  </w:num>
  <w:num w:numId="7" w16cid:durableId="1614241380">
    <w:abstractNumId w:val="3"/>
  </w:num>
  <w:num w:numId="8" w16cid:durableId="1095445703">
    <w:abstractNumId w:val="6"/>
  </w:num>
  <w:num w:numId="9" w16cid:durableId="1060907635">
    <w:abstractNumId w:val="4"/>
  </w:num>
  <w:num w:numId="10" w16cid:durableId="27205768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538"/>
    <w:rsid w:val="00000A7A"/>
    <w:rsid w:val="00005117"/>
    <w:rsid w:val="000074C9"/>
    <w:rsid w:val="00011ADA"/>
    <w:rsid w:val="000122D7"/>
    <w:rsid w:val="00014F42"/>
    <w:rsid w:val="00016DA6"/>
    <w:rsid w:val="000176C8"/>
    <w:rsid w:val="000222C2"/>
    <w:rsid w:val="00022C62"/>
    <w:rsid w:val="0002551E"/>
    <w:rsid w:val="00031A2C"/>
    <w:rsid w:val="00042B93"/>
    <w:rsid w:val="00043C7F"/>
    <w:rsid w:val="000443AD"/>
    <w:rsid w:val="000467A8"/>
    <w:rsid w:val="00047BC0"/>
    <w:rsid w:val="00054FCF"/>
    <w:rsid w:val="00056B7D"/>
    <w:rsid w:val="00057EFF"/>
    <w:rsid w:val="0006570F"/>
    <w:rsid w:val="00066D75"/>
    <w:rsid w:val="00073CA6"/>
    <w:rsid w:val="00075DE8"/>
    <w:rsid w:val="00085274"/>
    <w:rsid w:val="00087439"/>
    <w:rsid w:val="00090334"/>
    <w:rsid w:val="000912E5"/>
    <w:rsid w:val="0009130D"/>
    <w:rsid w:val="00095E05"/>
    <w:rsid w:val="000A0794"/>
    <w:rsid w:val="000A3F2F"/>
    <w:rsid w:val="000A56D3"/>
    <w:rsid w:val="000B002A"/>
    <w:rsid w:val="000B1661"/>
    <w:rsid w:val="000B50EB"/>
    <w:rsid w:val="000B60DF"/>
    <w:rsid w:val="000B703B"/>
    <w:rsid w:val="000C1085"/>
    <w:rsid w:val="000C1260"/>
    <w:rsid w:val="000C41CC"/>
    <w:rsid w:val="000C42AE"/>
    <w:rsid w:val="000C5383"/>
    <w:rsid w:val="000C560C"/>
    <w:rsid w:val="000D080B"/>
    <w:rsid w:val="000D48FD"/>
    <w:rsid w:val="000D505C"/>
    <w:rsid w:val="000D5900"/>
    <w:rsid w:val="000D79CC"/>
    <w:rsid w:val="000D7EC3"/>
    <w:rsid w:val="000E0DC8"/>
    <w:rsid w:val="000E13F3"/>
    <w:rsid w:val="000E1C64"/>
    <w:rsid w:val="000E338F"/>
    <w:rsid w:val="000E37D0"/>
    <w:rsid w:val="000E41E7"/>
    <w:rsid w:val="000E4582"/>
    <w:rsid w:val="000F0EE2"/>
    <w:rsid w:val="000F31A9"/>
    <w:rsid w:val="000F38BD"/>
    <w:rsid w:val="000F48C7"/>
    <w:rsid w:val="000F6333"/>
    <w:rsid w:val="000F6D97"/>
    <w:rsid w:val="000F7119"/>
    <w:rsid w:val="00100739"/>
    <w:rsid w:val="0010493E"/>
    <w:rsid w:val="00106C6A"/>
    <w:rsid w:val="0010732D"/>
    <w:rsid w:val="001075D3"/>
    <w:rsid w:val="00107885"/>
    <w:rsid w:val="00111C0A"/>
    <w:rsid w:val="00111CED"/>
    <w:rsid w:val="00112807"/>
    <w:rsid w:val="00113AC0"/>
    <w:rsid w:val="00114FC4"/>
    <w:rsid w:val="0012329C"/>
    <w:rsid w:val="00125C56"/>
    <w:rsid w:val="00131CA1"/>
    <w:rsid w:val="00132AE8"/>
    <w:rsid w:val="00134EA0"/>
    <w:rsid w:val="00134FA7"/>
    <w:rsid w:val="00135DD8"/>
    <w:rsid w:val="00135F99"/>
    <w:rsid w:val="00137950"/>
    <w:rsid w:val="00137B18"/>
    <w:rsid w:val="001410AB"/>
    <w:rsid w:val="00141BA7"/>
    <w:rsid w:val="00151882"/>
    <w:rsid w:val="00152160"/>
    <w:rsid w:val="00152F29"/>
    <w:rsid w:val="00154889"/>
    <w:rsid w:val="00155ED7"/>
    <w:rsid w:val="00155F4B"/>
    <w:rsid w:val="001560CB"/>
    <w:rsid w:val="00161AB4"/>
    <w:rsid w:val="00163A80"/>
    <w:rsid w:val="00164FAF"/>
    <w:rsid w:val="0016623F"/>
    <w:rsid w:val="00166438"/>
    <w:rsid w:val="00174D54"/>
    <w:rsid w:val="0017702C"/>
    <w:rsid w:val="00180439"/>
    <w:rsid w:val="00185217"/>
    <w:rsid w:val="00185270"/>
    <w:rsid w:val="00190DCF"/>
    <w:rsid w:val="00191BA6"/>
    <w:rsid w:val="00193821"/>
    <w:rsid w:val="001A32FD"/>
    <w:rsid w:val="001A3B5A"/>
    <w:rsid w:val="001A7784"/>
    <w:rsid w:val="001A7DA3"/>
    <w:rsid w:val="001B058E"/>
    <w:rsid w:val="001B088E"/>
    <w:rsid w:val="001B1AF0"/>
    <w:rsid w:val="001B4EF1"/>
    <w:rsid w:val="001B7CE9"/>
    <w:rsid w:val="001C1794"/>
    <w:rsid w:val="001D2477"/>
    <w:rsid w:val="001D495A"/>
    <w:rsid w:val="001D5022"/>
    <w:rsid w:val="001E244C"/>
    <w:rsid w:val="001E4ABC"/>
    <w:rsid w:val="001E61FA"/>
    <w:rsid w:val="001E658D"/>
    <w:rsid w:val="001E798B"/>
    <w:rsid w:val="001F0796"/>
    <w:rsid w:val="001F0DAF"/>
    <w:rsid w:val="001F1437"/>
    <w:rsid w:val="00200265"/>
    <w:rsid w:val="00206799"/>
    <w:rsid w:val="002074FE"/>
    <w:rsid w:val="00214A84"/>
    <w:rsid w:val="00214DD9"/>
    <w:rsid w:val="00215134"/>
    <w:rsid w:val="0021537D"/>
    <w:rsid w:val="00220DF2"/>
    <w:rsid w:val="00222A8F"/>
    <w:rsid w:val="0022425B"/>
    <w:rsid w:val="0022559B"/>
    <w:rsid w:val="002259EF"/>
    <w:rsid w:val="00235BBD"/>
    <w:rsid w:val="00242ED1"/>
    <w:rsid w:val="002444BB"/>
    <w:rsid w:val="0024470F"/>
    <w:rsid w:val="00246914"/>
    <w:rsid w:val="00252BD3"/>
    <w:rsid w:val="00252F05"/>
    <w:rsid w:val="00254069"/>
    <w:rsid w:val="002638DF"/>
    <w:rsid w:val="00270748"/>
    <w:rsid w:val="002720D8"/>
    <w:rsid w:val="0027328F"/>
    <w:rsid w:val="002734E5"/>
    <w:rsid w:val="002746DB"/>
    <w:rsid w:val="0027490E"/>
    <w:rsid w:val="00280CAF"/>
    <w:rsid w:val="00281412"/>
    <w:rsid w:val="0028253D"/>
    <w:rsid w:val="00282F09"/>
    <w:rsid w:val="00283E8A"/>
    <w:rsid w:val="00287BF2"/>
    <w:rsid w:val="00291810"/>
    <w:rsid w:val="00294D62"/>
    <w:rsid w:val="002954AE"/>
    <w:rsid w:val="00296E17"/>
    <w:rsid w:val="00297532"/>
    <w:rsid w:val="00297DFE"/>
    <w:rsid w:val="00297FFD"/>
    <w:rsid w:val="002A1210"/>
    <w:rsid w:val="002A47D2"/>
    <w:rsid w:val="002A73B3"/>
    <w:rsid w:val="002A7FB5"/>
    <w:rsid w:val="002B0FFB"/>
    <w:rsid w:val="002B2074"/>
    <w:rsid w:val="002B272C"/>
    <w:rsid w:val="002B2B3C"/>
    <w:rsid w:val="002B3941"/>
    <w:rsid w:val="002B5C38"/>
    <w:rsid w:val="002C13B8"/>
    <w:rsid w:val="002C2ED8"/>
    <w:rsid w:val="002C3A63"/>
    <w:rsid w:val="002C3B82"/>
    <w:rsid w:val="002C4220"/>
    <w:rsid w:val="002C594F"/>
    <w:rsid w:val="002C7680"/>
    <w:rsid w:val="002D0590"/>
    <w:rsid w:val="002D14D8"/>
    <w:rsid w:val="002D277D"/>
    <w:rsid w:val="002D4799"/>
    <w:rsid w:val="002D4E10"/>
    <w:rsid w:val="002D54DF"/>
    <w:rsid w:val="002D5EC8"/>
    <w:rsid w:val="002D7AA3"/>
    <w:rsid w:val="002E1CE3"/>
    <w:rsid w:val="002E3FA4"/>
    <w:rsid w:val="002E43E3"/>
    <w:rsid w:val="002E53A5"/>
    <w:rsid w:val="002E64B8"/>
    <w:rsid w:val="002E6834"/>
    <w:rsid w:val="002F3FD9"/>
    <w:rsid w:val="002F50D6"/>
    <w:rsid w:val="002F7012"/>
    <w:rsid w:val="002F7094"/>
    <w:rsid w:val="003003C5"/>
    <w:rsid w:val="00301C07"/>
    <w:rsid w:val="00301EF5"/>
    <w:rsid w:val="00305508"/>
    <w:rsid w:val="00305BA2"/>
    <w:rsid w:val="00305C89"/>
    <w:rsid w:val="003069D2"/>
    <w:rsid w:val="00306A24"/>
    <w:rsid w:val="00310529"/>
    <w:rsid w:val="003113FF"/>
    <w:rsid w:val="003120ED"/>
    <w:rsid w:val="00312622"/>
    <w:rsid w:val="00314B8B"/>
    <w:rsid w:val="003175B9"/>
    <w:rsid w:val="00317C9B"/>
    <w:rsid w:val="0032056D"/>
    <w:rsid w:val="0032177F"/>
    <w:rsid w:val="0032277F"/>
    <w:rsid w:val="0032354E"/>
    <w:rsid w:val="00323EEA"/>
    <w:rsid w:val="00324DBD"/>
    <w:rsid w:val="00326D66"/>
    <w:rsid w:val="00327BC5"/>
    <w:rsid w:val="0033379B"/>
    <w:rsid w:val="00334453"/>
    <w:rsid w:val="00335D96"/>
    <w:rsid w:val="00336B69"/>
    <w:rsid w:val="003410A0"/>
    <w:rsid w:val="0034302B"/>
    <w:rsid w:val="0034669D"/>
    <w:rsid w:val="00350523"/>
    <w:rsid w:val="003516BB"/>
    <w:rsid w:val="0035189D"/>
    <w:rsid w:val="00355B62"/>
    <w:rsid w:val="00357001"/>
    <w:rsid w:val="00357C8A"/>
    <w:rsid w:val="00362DF6"/>
    <w:rsid w:val="003674D9"/>
    <w:rsid w:val="00372393"/>
    <w:rsid w:val="003727D9"/>
    <w:rsid w:val="003731EC"/>
    <w:rsid w:val="003740BC"/>
    <w:rsid w:val="0037456B"/>
    <w:rsid w:val="003746D8"/>
    <w:rsid w:val="00375E70"/>
    <w:rsid w:val="00377BA3"/>
    <w:rsid w:val="003801A3"/>
    <w:rsid w:val="00380DF3"/>
    <w:rsid w:val="00382205"/>
    <w:rsid w:val="0038234C"/>
    <w:rsid w:val="003839AB"/>
    <w:rsid w:val="00383B15"/>
    <w:rsid w:val="00383D90"/>
    <w:rsid w:val="00384251"/>
    <w:rsid w:val="003870AE"/>
    <w:rsid w:val="00387A99"/>
    <w:rsid w:val="00393370"/>
    <w:rsid w:val="003953FB"/>
    <w:rsid w:val="003967A6"/>
    <w:rsid w:val="003A0582"/>
    <w:rsid w:val="003A1A27"/>
    <w:rsid w:val="003A2BD2"/>
    <w:rsid w:val="003A2E85"/>
    <w:rsid w:val="003A3460"/>
    <w:rsid w:val="003A50CC"/>
    <w:rsid w:val="003A7AC3"/>
    <w:rsid w:val="003B42B3"/>
    <w:rsid w:val="003B6384"/>
    <w:rsid w:val="003C0FE2"/>
    <w:rsid w:val="003C2182"/>
    <w:rsid w:val="003C2F7A"/>
    <w:rsid w:val="003C4EBB"/>
    <w:rsid w:val="003C541C"/>
    <w:rsid w:val="003D1531"/>
    <w:rsid w:val="003D1971"/>
    <w:rsid w:val="003D3E5E"/>
    <w:rsid w:val="003D611D"/>
    <w:rsid w:val="003E02DC"/>
    <w:rsid w:val="003E4EC6"/>
    <w:rsid w:val="003E527E"/>
    <w:rsid w:val="003E5414"/>
    <w:rsid w:val="003E553E"/>
    <w:rsid w:val="003E7078"/>
    <w:rsid w:val="003F3DF5"/>
    <w:rsid w:val="003F73B8"/>
    <w:rsid w:val="0040003B"/>
    <w:rsid w:val="00402421"/>
    <w:rsid w:val="0040297E"/>
    <w:rsid w:val="00403D46"/>
    <w:rsid w:val="0040683B"/>
    <w:rsid w:val="00407105"/>
    <w:rsid w:val="00410B77"/>
    <w:rsid w:val="00411D11"/>
    <w:rsid w:val="004137C8"/>
    <w:rsid w:val="00414494"/>
    <w:rsid w:val="00415E23"/>
    <w:rsid w:val="0041670D"/>
    <w:rsid w:val="00423272"/>
    <w:rsid w:val="00424006"/>
    <w:rsid w:val="00424061"/>
    <w:rsid w:val="00425D8E"/>
    <w:rsid w:val="004347E6"/>
    <w:rsid w:val="0043480A"/>
    <w:rsid w:val="00435907"/>
    <w:rsid w:val="0043605D"/>
    <w:rsid w:val="00436419"/>
    <w:rsid w:val="00437FDE"/>
    <w:rsid w:val="00440B9D"/>
    <w:rsid w:val="00442A3C"/>
    <w:rsid w:val="00443969"/>
    <w:rsid w:val="00447D74"/>
    <w:rsid w:val="00450A68"/>
    <w:rsid w:val="00450A74"/>
    <w:rsid w:val="004546BF"/>
    <w:rsid w:val="00456DA1"/>
    <w:rsid w:val="00465350"/>
    <w:rsid w:val="00471F67"/>
    <w:rsid w:val="004753CC"/>
    <w:rsid w:val="004766DC"/>
    <w:rsid w:val="00476B91"/>
    <w:rsid w:val="00483FCA"/>
    <w:rsid w:val="004846BF"/>
    <w:rsid w:val="0048663C"/>
    <w:rsid w:val="00493B40"/>
    <w:rsid w:val="004946B4"/>
    <w:rsid w:val="00494912"/>
    <w:rsid w:val="00495FA9"/>
    <w:rsid w:val="004A0C38"/>
    <w:rsid w:val="004A5323"/>
    <w:rsid w:val="004A5A99"/>
    <w:rsid w:val="004A6D19"/>
    <w:rsid w:val="004A6E81"/>
    <w:rsid w:val="004B263B"/>
    <w:rsid w:val="004B6AC1"/>
    <w:rsid w:val="004C260C"/>
    <w:rsid w:val="004C549C"/>
    <w:rsid w:val="004C6979"/>
    <w:rsid w:val="004D13A2"/>
    <w:rsid w:val="004D3E7A"/>
    <w:rsid w:val="004D4459"/>
    <w:rsid w:val="004D69B0"/>
    <w:rsid w:val="004E390C"/>
    <w:rsid w:val="004E418D"/>
    <w:rsid w:val="004E7136"/>
    <w:rsid w:val="004F220E"/>
    <w:rsid w:val="004F255A"/>
    <w:rsid w:val="004F4D37"/>
    <w:rsid w:val="004F594B"/>
    <w:rsid w:val="004F61E1"/>
    <w:rsid w:val="00502805"/>
    <w:rsid w:val="00505A0F"/>
    <w:rsid w:val="00517540"/>
    <w:rsid w:val="00520C9C"/>
    <w:rsid w:val="00522C0D"/>
    <w:rsid w:val="00525EE2"/>
    <w:rsid w:val="005264C6"/>
    <w:rsid w:val="00532D2B"/>
    <w:rsid w:val="00533216"/>
    <w:rsid w:val="0053380B"/>
    <w:rsid w:val="0053419E"/>
    <w:rsid w:val="00543194"/>
    <w:rsid w:val="00543E76"/>
    <w:rsid w:val="00544138"/>
    <w:rsid w:val="00550718"/>
    <w:rsid w:val="00554626"/>
    <w:rsid w:val="00554E34"/>
    <w:rsid w:val="005579F1"/>
    <w:rsid w:val="00561C82"/>
    <w:rsid w:val="0056260D"/>
    <w:rsid w:val="005636CD"/>
    <w:rsid w:val="00563A3E"/>
    <w:rsid w:val="00563FF8"/>
    <w:rsid w:val="00564905"/>
    <w:rsid w:val="00564B04"/>
    <w:rsid w:val="0056661F"/>
    <w:rsid w:val="0056691A"/>
    <w:rsid w:val="005719AE"/>
    <w:rsid w:val="005722B6"/>
    <w:rsid w:val="00573161"/>
    <w:rsid w:val="005743FC"/>
    <w:rsid w:val="005760DD"/>
    <w:rsid w:val="005807F0"/>
    <w:rsid w:val="00583DD6"/>
    <w:rsid w:val="00584583"/>
    <w:rsid w:val="005859B7"/>
    <w:rsid w:val="00586B59"/>
    <w:rsid w:val="00590E90"/>
    <w:rsid w:val="00590EEB"/>
    <w:rsid w:val="00591EFF"/>
    <w:rsid w:val="00592EF8"/>
    <w:rsid w:val="00594A80"/>
    <w:rsid w:val="005975DA"/>
    <w:rsid w:val="005A07D8"/>
    <w:rsid w:val="005A1C27"/>
    <w:rsid w:val="005A2E1B"/>
    <w:rsid w:val="005A3F95"/>
    <w:rsid w:val="005A4099"/>
    <w:rsid w:val="005A4E51"/>
    <w:rsid w:val="005A71D9"/>
    <w:rsid w:val="005B0FA7"/>
    <w:rsid w:val="005C1998"/>
    <w:rsid w:val="005C1CE3"/>
    <w:rsid w:val="005C38B2"/>
    <w:rsid w:val="005C4ABA"/>
    <w:rsid w:val="005C5029"/>
    <w:rsid w:val="005C55C2"/>
    <w:rsid w:val="005C71CA"/>
    <w:rsid w:val="005C745C"/>
    <w:rsid w:val="005D4DF5"/>
    <w:rsid w:val="005E172C"/>
    <w:rsid w:val="005E1F35"/>
    <w:rsid w:val="005E3244"/>
    <w:rsid w:val="005E42BA"/>
    <w:rsid w:val="005E55A5"/>
    <w:rsid w:val="005E7F52"/>
    <w:rsid w:val="005F0F26"/>
    <w:rsid w:val="005F2C36"/>
    <w:rsid w:val="005F3C93"/>
    <w:rsid w:val="005F3E32"/>
    <w:rsid w:val="005F3F78"/>
    <w:rsid w:val="005F4543"/>
    <w:rsid w:val="005F65F0"/>
    <w:rsid w:val="006057D9"/>
    <w:rsid w:val="00606221"/>
    <w:rsid w:val="00611D6B"/>
    <w:rsid w:val="006130AE"/>
    <w:rsid w:val="00613297"/>
    <w:rsid w:val="00613CD6"/>
    <w:rsid w:val="0061465A"/>
    <w:rsid w:val="006227A2"/>
    <w:rsid w:val="006227A8"/>
    <w:rsid w:val="00625860"/>
    <w:rsid w:val="00625CFD"/>
    <w:rsid w:val="0062614F"/>
    <w:rsid w:val="00627C32"/>
    <w:rsid w:val="006326EC"/>
    <w:rsid w:val="00632BDC"/>
    <w:rsid w:val="00634DCA"/>
    <w:rsid w:val="00642952"/>
    <w:rsid w:val="006441A5"/>
    <w:rsid w:val="00645F6D"/>
    <w:rsid w:val="00647189"/>
    <w:rsid w:val="00662AD2"/>
    <w:rsid w:val="006636D4"/>
    <w:rsid w:val="00663A42"/>
    <w:rsid w:val="006641C7"/>
    <w:rsid w:val="00666012"/>
    <w:rsid w:val="0066621A"/>
    <w:rsid w:val="006705EA"/>
    <w:rsid w:val="00670BE2"/>
    <w:rsid w:val="0067163E"/>
    <w:rsid w:val="00673776"/>
    <w:rsid w:val="006762D2"/>
    <w:rsid w:val="00682780"/>
    <w:rsid w:val="00682BFD"/>
    <w:rsid w:val="006904C5"/>
    <w:rsid w:val="00690B89"/>
    <w:rsid w:val="006916A8"/>
    <w:rsid w:val="006916D9"/>
    <w:rsid w:val="006926BB"/>
    <w:rsid w:val="006947DC"/>
    <w:rsid w:val="00696DA6"/>
    <w:rsid w:val="00697965"/>
    <w:rsid w:val="006A0E05"/>
    <w:rsid w:val="006A26C6"/>
    <w:rsid w:val="006A2B8D"/>
    <w:rsid w:val="006A2F41"/>
    <w:rsid w:val="006A320F"/>
    <w:rsid w:val="006A465A"/>
    <w:rsid w:val="006A58E1"/>
    <w:rsid w:val="006A5E61"/>
    <w:rsid w:val="006A7D5D"/>
    <w:rsid w:val="006A7F9C"/>
    <w:rsid w:val="006B1001"/>
    <w:rsid w:val="006B2422"/>
    <w:rsid w:val="006B2B84"/>
    <w:rsid w:val="006B6882"/>
    <w:rsid w:val="006B692C"/>
    <w:rsid w:val="006C1ECC"/>
    <w:rsid w:val="006C4FFB"/>
    <w:rsid w:val="006D0C12"/>
    <w:rsid w:val="006D1676"/>
    <w:rsid w:val="006D36DB"/>
    <w:rsid w:val="006D5D57"/>
    <w:rsid w:val="006E2538"/>
    <w:rsid w:val="006E302F"/>
    <w:rsid w:val="006E485C"/>
    <w:rsid w:val="006E76E3"/>
    <w:rsid w:val="006E7F19"/>
    <w:rsid w:val="006F2E97"/>
    <w:rsid w:val="006F4D6D"/>
    <w:rsid w:val="006F5C81"/>
    <w:rsid w:val="0070197D"/>
    <w:rsid w:val="00704B63"/>
    <w:rsid w:val="00705086"/>
    <w:rsid w:val="0070646C"/>
    <w:rsid w:val="0071114D"/>
    <w:rsid w:val="007124F5"/>
    <w:rsid w:val="007152C9"/>
    <w:rsid w:val="00716FC3"/>
    <w:rsid w:val="007203D3"/>
    <w:rsid w:val="00722001"/>
    <w:rsid w:val="0072403B"/>
    <w:rsid w:val="007248DB"/>
    <w:rsid w:val="00724FB7"/>
    <w:rsid w:val="00725F70"/>
    <w:rsid w:val="007356FE"/>
    <w:rsid w:val="007416E3"/>
    <w:rsid w:val="00743076"/>
    <w:rsid w:val="007449D7"/>
    <w:rsid w:val="00747452"/>
    <w:rsid w:val="00751E64"/>
    <w:rsid w:val="00751E66"/>
    <w:rsid w:val="00752BCB"/>
    <w:rsid w:val="00752F18"/>
    <w:rsid w:val="0075311E"/>
    <w:rsid w:val="00754497"/>
    <w:rsid w:val="00755F5D"/>
    <w:rsid w:val="007562E8"/>
    <w:rsid w:val="00763D4E"/>
    <w:rsid w:val="0076612F"/>
    <w:rsid w:val="00766349"/>
    <w:rsid w:val="00767110"/>
    <w:rsid w:val="0077149A"/>
    <w:rsid w:val="00773A94"/>
    <w:rsid w:val="00773F0A"/>
    <w:rsid w:val="00774419"/>
    <w:rsid w:val="00776BC7"/>
    <w:rsid w:val="00777363"/>
    <w:rsid w:val="00784586"/>
    <w:rsid w:val="007858D3"/>
    <w:rsid w:val="00787C39"/>
    <w:rsid w:val="00790DA9"/>
    <w:rsid w:val="007915BD"/>
    <w:rsid w:val="00792947"/>
    <w:rsid w:val="00795DF3"/>
    <w:rsid w:val="007A373C"/>
    <w:rsid w:val="007A3B64"/>
    <w:rsid w:val="007A5D04"/>
    <w:rsid w:val="007B225C"/>
    <w:rsid w:val="007B27FF"/>
    <w:rsid w:val="007B7AD1"/>
    <w:rsid w:val="007C5658"/>
    <w:rsid w:val="007C75B1"/>
    <w:rsid w:val="007D03C3"/>
    <w:rsid w:val="007D2E5A"/>
    <w:rsid w:val="007D3DFC"/>
    <w:rsid w:val="007E05CA"/>
    <w:rsid w:val="007E0DC8"/>
    <w:rsid w:val="007E0E62"/>
    <w:rsid w:val="007E10F4"/>
    <w:rsid w:val="007E2F07"/>
    <w:rsid w:val="007E59A8"/>
    <w:rsid w:val="007E74D5"/>
    <w:rsid w:val="007F1A10"/>
    <w:rsid w:val="007F4BC8"/>
    <w:rsid w:val="007F6811"/>
    <w:rsid w:val="00802963"/>
    <w:rsid w:val="008044CC"/>
    <w:rsid w:val="00805B0A"/>
    <w:rsid w:val="0080776D"/>
    <w:rsid w:val="00810145"/>
    <w:rsid w:val="008108FA"/>
    <w:rsid w:val="00810DE6"/>
    <w:rsid w:val="00810FF1"/>
    <w:rsid w:val="00812961"/>
    <w:rsid w:val="00812D14"/>
    <w:rsid w:val="008175AE"/>
    <w:rsid w:val="008201F8"/>
    <w:rsid w:val="008211B4"/>
    <w:rsid w:val="00821C5B"/>
    <w:rsid w:val="00822336"/>
    <w:rsid w:val="00823DFA"/>
    <w:rsid w:val="0082577A"/>
    <w:rsid w:val="0082619E"/>
    <w:rsid w:val="008422F8"/>
    <w:rsid w:val="008428EF"/>
    <w:rsid w:val="00842DB7"/>
    <w:rsid w:val="00842E24"/>
    <w:rsid w:val="00843752"/>
    <w:rsid w:val="00844602"/>
    <w:rsid w:val="0084479F"/>
    <w:rsid w:val="00845EDE"/>
    <w:rsid w:val="008465D3"/>
    <w:rsid w:val="00851BCA"/>
    <w:rsid w:val="0085340A"/>
    <w:rsid w:val="0085725E"/>
    <w:rsid w:val="00857C3B"/>
    <w:rsid w:val="00865D72"/>
    <w:rsid w:val="00872C31"/>
    <w:rsid w:val="00873D4F"/>
    <w:rsid w:val="00874050"/>
    <w:rsid w:val="0087509F"/>
    <w:rsid w:val="00876963"/>
    <w:rsid w:val="008778A5"/>
    <w:rsid w:val="00880AAE"/>
    <w:rsid w:val="00883BF8"/>
    <w:rsid w:val="008840F6"/>
    <w:rsid w:val="008855C8"/>
    <w:rsid w:val="00885B09"/>
    <w:rsid w:val="008869CC"/>
    <w:rsid w:val="008923E9"/>
    <w:rsid w:val="00892400"/>
    <w:rsid w:val="00893137"/>
    <w:rsid w:val="008937AD"/>
    <w:rsid w:val="008950C9"/>
    <w:rsid w:val="00897466"/>
    <w:rsid w:val="008A209D"/>
    <w:rsid w:val="008A22BB"/>
    <w:rsid w:val="008A4E0F"/>
    <w:rsid w:val="008B035D"/>
    <w:rsid w:val="008B0E29"/>
    <w:rsid w:val="008B0EFA"/>
    <w:rsid w:val="008B15ED"/>
    <w:rsid w:val="008B30AB"/>
    <w:rsid w:val="008C3BB8"/>
    <w:rsid w:val="008C4B65"/>
    <w:rsid w:val="008C77E2"/>
    <w:rsid w:val="008C7B61"/>
    <w:rsid w:val="008D0786"/>
    <w:rsid w:val="008D7B36"/>
    <w:rsid w:val="008E1378"/>
    <w:rsid w:val="008E5F55"/>
    <w:rsid w:val="008E7941"/>
    <w:rsid w:val="008F3B38"/>
    <w:rsid w:val="008F3FBC"/>
    <w:rsid w:val="008F7F09"/>
    <w:rsid w:val="009001ED"/>
    <w:rsid w:val="009009E7"/>
    <w:rsid w:val="00900D33"/>
    <w:rsid w:val="00904A1C"/>
    <w:rsid w:val="00904FAA"/>
    <w:rsid w:val="0090566C"/>
    <w:rsid w:val="00905DEF"/>
    <w:rsid w:val="00906056"/>
    <w:rsid w:val="0090616D"/>
    <w:rsid w:val="00911219"/>
    <w:rsid w:val="009122AE"/>
    <w:rsid w:val="0091267E"/>
    <w:rsid w:val="00913B43"/>
    <w:rsid w:val="00913FC8"/>
    <w:rsid w:val="00920FC7"/>
    <w:rsid w:val="009265E5"/>
    <w:rsid w:val="009278E4"/>
    <w:rsid w:val="00930203"/>
    <w:rsid w:val="009311D2"/>
    <w:rsid w:val="009311E6"/>
    <w:rsid w:val="00931275"/>
    <w:rsid w:val="00931B51"/>
    <w:rsid w:val="00934D8A"/>
    <w:rsid w:val="00936AC7"/>
    <w:rsid w:val="00943AC5"/>
    <w:rsid w:val="00953439"/>
    <w:rsid w:val="00953B64"/>
    <w:rsid w:val="00960143"/>
    <w:rsid w:val="009646A7"/>
    <w:rsid w:val="00970A88"/>
    <w:rsid w:val="009818A1"/>
    <w:rsid w:val="00984A71"/>
    <w:rsid w:val="00985BA7"/>
    <w:rsid w:val="009874A7"/>
    <w:rsid w:val="00997841"/>
    <w:rsid w:val="009A1674"/>
    <w:rsid w:val="009A4564"/>
    <w:rsid w:val="009A597A"/>
    <w:rsid w:val="009B38BE"/>
    <w:rsid w:val="009B4DF2"/>
    <w:rsid w:val="009C180D"/>
    <w:rsid w:val="009C53BE"/>
    <w:rsid w:val="009C684F"/>
    <w:rsid w:val="009C6898"/>
    <w:rsid w:val="009D074C"/>
    <w:rsid w:val="009D4F4A"/>
    <w:rsid w:val="009D5451"/>
    <w:rsid w:val="009D5A55"/>
    <w:rsid w:val="009D6E73"/>
    <w:rsid w:val="009D77C2"/>
    <w:rsid w:val="009E2144"/>
    <w:rsid w:val="009E2B44"/>
    <w:rsid w:val="009E46FC"/>
    <w:rsid w:val="009E57C7"/>
    <w:rsid w:val="009E59D2"/>
    <w:rsid w:val="009E5BDA"/>
    <w:rsid w:val="009E623F"/>
    <w:rsid w:val="009E7052"/>
    <w:rsid w:val="009F09DC"/>
    <w:rsid w:val="009F1F1D"/>
    <w:rsid w:val="009F2AEE"/>
    <w:rsid w:val="009F2B4F"/>
    <w:rsid w:val="009F3C63"/>
    <w:rsid w:val="009F66B5"/>
    <w:rsid w:val="00A00BE3"/>
    <w:rsid w:val="00A01607"/>
    <w:rsid w:val="00A016B3"/>
    <w:rsid w:val="00A02F10"/>
    <w:rsid w:val="00A05DCE"/>
    <w:rsid w:val="00A1060C"/>
    <w:rsid w:val="00A119CD"/>
    <w:rsid w:val="00A16221"/>
    <w:rsid w:val="00A17A9A"/>
    <w:rsid w:val="00A20A7D"/>
    <w:rsid w:val="00A24918"/>
    <w:rsid w:val="00A2759D"/>
    <w:rsid w:val="00A3087E"/>
    <w:rsid w:val="00A30A12"/>
    <w:rsid w:val="00A34830"/>
    <w:rsid w:val="00A35D42"/>
    <w:rsid w:val="00A425C2"/>
    <w:rsid w:val="00A43D36"/>
    <w:rsid w:val="00A460AE"/>
    <w:rsid w:val="00A46AC4"/>
    <w:rsid w:val="00A46CCF"/>
    <w:rsid w:val="00A506DE"/>
    <w:rsid w:val="00A51897"/>
    <w:rsid w:val="00A53451"/>
    <w:rsid w:val="00A56FBA"/>
    <w:rsid w:val="00A70426"/>
    <w:rsid w:val="00A707CC"/>
    <w:rsid w:val="00A71410"/>
    <w:rsid w:val="00A71732"/>
    <w:rsid w:val="00A71C36"/>
    <w:rsid w:val="00A720CB"/>
    <w:rsid w:val="00A721CD"/>
    <w:rsid w:val="00A74A6A"/>
    <w:rsid w:val="00A7694B"/>
    <w:rsid w:val="00A76F3D"/>
    <w:rsid w:val="00A77393"/>
    <w:rsid w:val="00A80686"/>
    <w:rsid w:val="00A870D9"/>
    <w:rsid w:val="00A917AB"/>
    <w:rsid w:val="00A91E9A"/>
    <w:rsid w:val="00A93ED9"/>
    <w:rsid w:val="00A94D4D"/>
    <w:rsid w:val="00A96221"/>
    <w:rsid w:val="00AA005A"/>
    <w:rsid w:val="00AA5310"/>
    <w:rsid w:val="00AB0E47"/>
    <w:rsid w:val="00AB6151"/>
    <w:rsid w:val="00AB755B"/>
    <w:rsid w:val="00AC19A9"/>
    <w:rsid w:val="00AC2DBB"/>
    <w:rsid w:val="00AC3AA2"/>
    <w:rsid w:val="00AC3CA8"/>
    <w:rsid w:val="00AC4AFF"/>
    <w:rsid w:val="00AC5E74"/>
    <w:rsid w:val="00AC67ED"/>
    <w:rsid w:val="00AC6A99"/>
    <w:rsid w:val="00AC6FC7"/>
    <w:rsid w:val="00AD6048"/>
    <w:rsid w:val="00AD61D4"/>
    <w:rsid w:val="00AE1A2C"/>
    <w:rsid w:val="00AE2FE8"/>
    <w:rsid w:val="00AF0F73"/>
    <w:rsid w:val="00AF6C71"/>
    <w:rsid w:val="00B055EF"/>
    <w:rsid w:val="00B06B5B"/>
    <w:rsid w:val="00B10A26"/>
    <w:rsid w:val="00B10E82"/>
    <w:rsid w:val="00B112E4"/>
    <w:rsid w:val="00B11702"/>
    <w:rsid w:val="00B11976"/>
    <w:rsid w:val="00B11B06"/>
    <w:rsid w:val="00B12931"/>
    <w:rsid w:val="00B13177"/>
    <w:rsid w:val="00B14082"/>
    <w:rsid w:val="00B157C4"/>
    <w:rsid w:val="00B207A6"/>
    <w:rsid w:val="00B20EC8"/>
    <w:rsid w:val="00B216C3"/>
    <w:rsid w:val="00B2241C"/>
    <w:rsid w:val="00B23769"/>
    <w:rsid w:val="00B249BC"/>
    <w:rsid w:val="00B25158"/>
    <w:rsid w:val="00B25D8C"/>
    <w:rsid w:val="00B27BFB"/>
    <w:rsid w:val="00B27CA8"/>
    <w:rsid w:val="00B324D9"/>
    <w:rsid w:val="00B32B88"/>
    <w:rsid w:val="00B32F42"/>
    <w:rsid w:val="00B33676"/>
    <w:rsid w:val="00B34041"/>
    <w:rsid w:val="00B34441"/>
    <w:rsid w:val="00B37093"/>
    <w:rsid w:val="00B37258"/>
    <w:rsid w:val="00B41789"/>
    <w:rsid w:val="00B50955"/>
    <w:rsid w:val="00B521FF"/>
    <w:rsid w:val="00B5402A"/>
    <w:rsid w:val="00B54400"/>
    <w:rsid w:val="00B56D1D"/>
    <w:rsid w:val="00B7231F"/>
    <w:rsid w:val="00B747B0"/>
    <w:rsid w:val="00B772E7"/>
    <w:rsid w:val="00B81808"/>
    <w:rsid w:val="00B827D8"/>
    <w:rsid w:val="00B856E4"/>
    <w:rsid w:val="00B86DFA"/>
    <w:rsid w:val="00B870AC"/>
    <w:rsid w:val="00B90569"/>
    <w:rsid w:val="00B936D0"/>
    <w:rsid w:val="00B938F2"/>
    <w:rsid w:val="00B966D0"/>
    <w:rsid w:val="00BA0840"/>
    <w:rsid w:val="00BA4AF5"/>
    <w:rsid w:val="00BA6A8E"/>
    <w:rsid w:val="00BB15FB"/>
    <w:rsid w:val="00BB17F3"/>
    <w:rsid w:val="00BB228F"/>
    <w:rsid w:val="00BC13B2"/>
    <w:rsid w:val="00BD3D5B"/>
    <w:rsid w:val="00BD4CEC"/>
    <w:rsid w:val="00BD5DE8"/>
    <w:rsid w:val="00BD5EAD"/>
    <w:rsid w:val="00BD6115"/>
    <w:rsid w:val="00BD72DA"/>
    <w:rsid w:val="00BE1BE0"/>
    <w:rsid w:val="00BE3600"/>
    <w:rsid w:val="00BE3A67"/>
    <w:rsid w:val="00BF1696"/>
    <w:rsid w:val="00BF7BB8"/>
    <w:rsid w:val="00C00D3B"/>
    <w:rsid w:val="00C01D3A"/>
    <w:rsid w:val="00C01F6F"/>
    <w:rsid w:val="00C02186"/>
    <w:rsid w:val="00C041EA"/>
    <w:rsid w:val="00C0518F"/>
    <w:rsid w:val="00C10583"/>
    <w:rsid w:val="00C13BBD"/>
    <w:rsid w:val="00C14387"/>
    <w:rsid w:val="00C149AB"/>
    <w:rsid w:val="00C16929"/>
    <w:rsid w:val="00C1734F"/>
    <w:rsid w:val="00C1757D"/>
    <w:rsid w:val="00C200AF"/>
    <w:rsid w:val="00C20690"/>
    <w:rsid w:val="00C211C6"/>
    <w:rsid w:val="00C240AF"/>
    <w:rsid w:val="00C246A5"/>
    <w:rsid w:val="00C33D1B"/>
    <w:rsid w:val="00C35082"/>
    <w:rsid w:val="00C36020"/>
    <w:rsid w:val="00C4041E"/>
    <w:rsid w:val="00C40694"/>
    <w:rsid w:val="00C418FC"/>
    <w:rsid w:val="00C46E8F"/>
    <w:rsid w:val="00C479BF"/>
    <w:rsid w:val="00C5124B"/>
    <w:rsid w:val="00C517A1"/>
    <w:rsid w:val="00C540C5"/>
    <w:rsid w:val="00C5694D"/>
    <w:rsid w:val="00C57335"/>
    <w:rsid w:val="00C60536"/>
    <w:rsid w:val="00C62948"/>
    <w:rsid w:val="00C70542"/>
    <w:rsid w:val="00C7283E"/>
    <w:rsid w:val="00C75CBF"/>
    <w:rsid w:val="00C7608E"/>
    <w:rsid w:val="00C76419"/>
    <w:rsid w:val="00C768A0"/>
    <w:rsid w:val="00C805D3"/>
    <w:rsid w:val="00C81F88"/>
    <w:rsid w:val="00C837A3"/>
    <w:rsid w:val="00C85206"/>
    <w:rsid w:val="00C852D7"/>
    <w:rsid w:val="00C853B7"/>
    <w:rsid w:val="00C943B9"/>
    <w:rsid w:val="00C953E6"/>
    <w:rsid w:val="00C97182"/>
    <w:rsid w:val="00CA4151"/>
    <w:rsid w:val="00CA691A"/>
    <w:rsid w:val="00CA7E48"/>
    <w:rsid w:val="00CB2C3A"/>
    <w:rsid w:val="00CB2EA4"/>
    <w:rsid w:val="00CB3316"/>
    <w:rsid w:val="00CB7BE4"/>
    <w:rsid w:val="00CC01B5"/>
    <w:rsid w:val="00CC2894"/>
    <w:rsid w:val="00CC5367"/>
    <w:rsid w:val="00CC6834"/>
    <w:rsid w:val="00CD1669"/>
    <w:rsid w:val="00CD25F4"/>
    <w:rsid w:val="00CD77C3"/>
    <w:rsid w:val="00CE063B"/>
    <w:rsid w:val="00CE112C"/>
    <w:rsid w:val="00CE16F3"/>
    <w:rsid w:val="00CE4200"/>
    <w:rsid w:val="00CE5F4C"/>
    <w:rsid w:val="00CF0623"/>
    <w:rsid w:val="00CF55D4"/>
    <w:rsid w:val="00CF6AB1"/>
    <w:rsid w:val="00CF6EBF"/>
    <w:rsid w:val="00D00645"/>
    <w:rsid w:val="00D03643"/>
    <w:rsid w:val="00D0414F"/>
    <w:rsid w:val="00D06DDC"/>
    <w:rsid w:val="00D110F0"/>
    <w:rsid w:val="00D1129C"/>
    <w:rsid w:val="00D13BAB"/>
    <w:rsid w:val="00D15BB8"/>
    <w:rsid w:val="00D20272"/>
    <w:rsid w:val="00D2182E"/>
    <w:rsid w:val="00D250C2"/>
    <w:rsid w:val="00D26AA9"/>
    <w:rsid w:val="00D278E2"/>
    <w:rsid w:val="00D30D96"/>
    <w:rsid w:val="00D36E5C"/>
    <w:rsid w:val="00D4427A"/>
    <w:rsid w:val="00D51E2C"/>
    <w:rsid w:val="00D522D8"/>
    <w:rsid w:val="00D53013"/>
    <w:rsid w:val="00D535AB"/>
    <w:rsid w:val="00D55C00"/>
    <w:rsid w:val="00D608DA"/>
    <w:rsid w:val="00D6546A"/>
    <w:rsid w:val="00D656CE"/>
    <w:rsid w:val="00D65D46"/>
    <w:rsid w:val="00D66C44"/>
    <w:rsid w:val="00D730BF"/>
    <w:rsid w:val="00D77784"/>
    <w:rsid w:val="00D7793C"/>
    <w:rsid w:val="00D83B41"/>
    <w:rsid w:val="00D848BD"/>
    <w:rsid w:val="00D852F4"/>
    <w:rsid w:val="00D86454"/>
    <w:rsid w:val="00D8697B"/>
    <w:rsid w:val="00D86999"/>
    <w:rsid w:val="00D87AB6"/>
    <w:rsid w:val="00D9306E"/>
    <w:rsid w:val="00D94E2D"/>
    <w:rsid w:val="00D9667F"/>
    <w:rsid w:val="00D96B1D"/>
    <w:rsid w:val="00DA1351"/>
    <w:rsid w:val="00DA2469"/>
    <w:rsid w:val="00DA3F73"/>
    <w:rsid w:val="00DB1110"/>
    <w:rsid w:val="00DB1E36"/>
    <w:rsid w:val="00DB3730"/>
    <w:rsid w:val="00DB4C54"/>
    <w:rsid w:val="00DB7773"/>
    <w:rsid w:val="00DC0F77"/>
    <w:rsid w:val="00DC13F5"/>
    <w:rsid w:val="00DC1680"/>
    <w:rsid w:val="00DC371B"/>
    <w:rsid w:val="00DC3788"/>
    <w:rsid w:val="00DC55B9"/>
    <w:rsid w:val="00DC73C8"/>
    <w:rsid w:val="00DC76C7"/>
    <w:rsid w:val="00DD09F5"/>
    <w:rsid w:val="00DD0E02"/>
    <w:rsid w:val="00DD3311"/>
    <w:rsid w:val="00DD4201"/>
    <w:rsid w:val="00DD5E9F"/>
    <w:rsid w:val="00DD64D1"/>
    <w:rsid w:val="00DE1B56"/>
    <w:rsid w:val="00DE1E83"/>
    <w:rsid w:val="00DE2AB0"/>
    <w:rsid w:val="00DE3964"/>
    <w:rsid w:val="00DE5711"/>
    <w:rsid w:val="00DE62C5"/>
    <w:rsid w:val="00DF230D"/>
    <w:rsid w:val="00DF2BEE"/>
    <w:rsid w:val="00DF48DE"/>
    <w:rsid w:val="00E00EA0"/>
    <w:rsid w:val="00E021CB"/>
    <w:rsid w:val="00E03514"/>
    <w:rsid w:val="00E04A61"/>
    <w:rsid w:val="00E04ACA"/>
    <w:rsid w:val="00E10AF8"/>
    <w:rsid w:val="00E10BD7"/>
    <w:rsid w:val="00E10FAB"/>
    <w:rsid w:val="00E13885"/>
    <w:rsid w:val="00E138F1"/>
    <w:rsid w:val="00E141EC"/>
    <w:rsid w:val="00E15258"/>
    <w:rsid w:val="00E20EEF"/>
    <w:rsid w:val="00E2309D"/>
    <w:rsid w:val="00E24197"/>
    <w:rsid w:val="00E255E1"/>
    <w:rsid w:val="00E25ADF"/>
    <w:rsid w:val="00E25B49"/>
    <w:rsid w:val="00E26758"/>
    <w:rsid w:val="00E32F9B"/>
    <w:rsid w:val="00E371C2"/>
    <w:rsid w:val="00E37467"/>
    <w:rsid w:val="00E42713"/>
    <w:rsid w:val="00E430CC"/>
    <w:rsid w:val="00E434B2"/>
    <w:rsid w:val="00E4357B"/>
    <w:rsid w:val="00E443A7"/>
    <w:rsid w:val="00E45904"/>
    <w:rsid w:val="00E46200"/>
    <w:rsid w:val="00E50C76"/>
    <w:rsid w:val="00E526B7"/>
    <w:rsid w:val="00E52AB4"/>
    <w:rsid w:val="00E63DE5"/>
    <w:rsid w:val="00E647AF"/>
    <w:rsid w:val="00E647C7"/>
    <w:rsid w:val="00E65A37"/>
    <w:rsid w:val="00E65EF7"/>
    <w:rsid w:val="00E664FB"/>
    <w:rsid w:val="00E67C38"/>
    <w:rsid w:val="00E75782"/>
    <w:rsid w:val="00E758CA"/>
    <w:rsid w:val="00E77B48"/>
    <w:rsid w:val="00E77BCD"/>
    <w:rsid w:val="00E77FA9"/>
    <w:rsid w:val="00E84B9B"/>
    <w:rsid w:val="00E857FB"/>
    <w:rsid w:val="00E91799"/>
    <w:rsid w:val="00E922B4"/>
    <w:rsid w:val="00E923BC"/>
    <w:rsid w:val="00E93744"/>
    <w:rsid w:val="00E97DF8"/>
    <w:rsid w:val="00EA1279"/>
    <w:rsid w:val="00EA21FC"/>
    <w:rsid w:val="00EA21FE"/>
    <w:rsid w:val="00EA34E3"/>
    <w:rsid w:val="00EB005C"/>
    <w:rsid w:val="00EB0CB0"/>
    <w:rsid w:val="00EB1744"/>
    <w:rsid w:val="00EB3495"/>
    <w:rsid w:val="00EB7538"/>
    <w:rsid w:val="00EC1868"/>
    <w:rsid w:val="00EC1C2D"/>
    <w:rsid w:val="00EC38FE"/>
    <w:rsid w:val="00EC3FEB"/>
    <w:rsid w:val="00EC7A89"/>
    <w:rsid w:val="00ED3328"/>
    <w:rsid w:val="00ED3F63"/>
    <w:rsid w:val="00ED4131"/>
    <w:rsid w:val="00ED636D"/>
    <w:rsid w:val="00ED6BEE"/>
    <w:rsid w:val="00ED7CA1"/>
    <w:rsid w:val="00EE6468"/>
    <w:rsid w:val="00EF1927"/>
    <w:rsid w:val="00EF27DA"/>
    <w:rsid w:val="00EF7A87"/>
    <w:rsid w:val="00F04E56"/>
    <w:rsid w:val="00F07C19"/>
    <w:rsid w:val="00F116B9"/>
    <w:rsid w:val="00F1299B"/>
    <w:rsid w:val="00F153F4"/>
    <w:rsid w:val="00F1798C"/>
    <w:rsid w:val="00F207A4"/>
    <w:rsid w:val="00F25173"/>
    <w:rsid w:val="00F31ABA"/>
    <w:rsid w:val="00F355AC"/>
    <w:rsid w:val="00F37061"/>
    <w:rsid w:val="00F371EE"/>
    <w:rsid w:val="00F406E3"/>
    <w:rsid w:val="00F40CF7"/>
    <w:rsid w:val="00F422EE"/>
    <w:rsid w:val="00F44194"/>
    <w:rsid w:val="00F536A2"/>
    <w:rsid w:val="00F66986"/>
    <w:rsid w:val="00F7187B"/>
    <w:rsid w:val="00F71A5A"/>
    <w:rsid w:val="00F73A1A"/>
    <w:rsid w:val="00F769E0"/>
    <w:rsid w:val="00F81F75"/>
    <w:rsid w:val="00F83BF7"/>
    <w:rsid w:val="00F87BEB"/>
    <w:rsid w:val="00F93EA9"/>
    <w:rsid w:val="00F94511"/>
    <w:rsid w:val="00F95385"/>
    <w:rsid w:val="00F97FA4"/>
    <w:rsid w:val="00FA3C65"/>
    <w:rsid w:val="00FA429F"/>
    <w:rsid w:val="00FA4A46"/>
    <w:rsid w:val="00FA5D60"/>
    <w:rsid w:val="00FA75FE"/>
    <w:rsid w:val="00FA7B7B"/>
    <w:rsid w:val="00FB1032"/>
    <w:rsid w:val="00FB1B77"/>
    <w:rsid w:val="00FB1D24"/>
    <w:rsid w:val="00FB39BC"/>
    <w:rsid w:val="00FB6A53"/>
    <w:rsid w:val="00FC0FCF"/>
    <w:rsid w:val="00FC11CA"/>
    <w:rsid w:val="00FC19A4"/>
    <w:rsid w:val="00FC38CA"/>
    <w:rsid w:val="00FC4E4A"/>
    <w:rsid w:val="00FC6BDE"/>
    <w:rsid w:val="00FC6DFE"/>
    <w:rsid w:val="00FC7F4E"/>
    <w:rsid w:val="00FD2DFF"/>
    <w:rsid w:val="00FD475A"/>
    <w:rsid w:val="00FD65BD"/>
    <w:rsid w:val="00FD7C6E"/>
    <w:rsid w:val="00FE7AAA"/>
    <w:rsid w:val="00FF4727"/>
    <w:rsid w:val="00FF6138"/>
    <w:rsid w:val="00FF673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56111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6CCF"/>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B7538"/>
    <w:pPr>
      <w:spacing w:before="100" w:beforeAutospacing="1" w:after="100" w:afterAutospacing="1"/>
    </w:pPr>
  </w:style>
  <w:style w:type="paragraph" w:styleId="BodyText2">
    <w:name w:val="Body Text 2"/>
    <w:basedOn w:val="Normal"/>
    <w:rsid w:val="00CD77C3"/>
    <w:rPr>
      <w:szCs w:val="20"/>
    </w:rPr>
  </w:style>
  <w:style w:type="paragraph" w:styleId="BodyTextIndent">
    <w:name w:val="Body Text Indent"/>
    <w:basedOn w:val="Normal"/>
    <w:rsid w:val="00CD77C3"/>
    <w:pPr>
      <w:spacing w:after="120"/>
      <w:ind w:left="360"/>
    </w:pPr>
  </w:style>
  <w:style w:type="paragraph" w:styleId="BodyTextIndent2">
    <w:name w:val="Body Text Indent 2"/>
    <w:basedOn w:val="Normal"/>
    <w:rsid w:val="00CD77C3"/>
    <w:pPr>
      <w:spacing w:after="120" w:line="480" w:lineRule="auto"/>
      <w:ind w:left="360"/>
    </w:pPr>
  </w:style>
  <w:style w:type="character" w:styleId="HTMLAcronym">
    <w:name w:val="HTML Acronym"/>
    <w:basedOn w:val="DefaultParagraphFont"/>
    <w:rsid w:val="00A35D42"/>
  </w:style>
  <w:style w:type="paragraph" w:styleId="HTMLTopofForm">
    <w:name w:val="HTML Top of Form"/>
    <w:basedOn w:val="Normal"/>
    <w:next w:val="Normal"/>
    <w:hidden/>
    <w:rsid w:val="00584583"/>
    <w:pPr>
      <w:pBdr>
        <w:bottom w:val="single" w:sz="6" w:space="1" w:color="auto"/>
      </w:pBdr>
      <w:jc w:val="center"/>
    </w:pPr>
    <w:rPr>
      <w:rFonts w:ascii="Arial" w:hAnsi="Arial" w:cs="Arial"/>
      <w:vanish/>
      <w:sz w:val="16"/>
      <w:szCs w:val="16"/>
    </w:rPr>
  </w:style>
  <w:style w:type="paragraph" w:styleId="HTMLBottomofForm">
    <w:name w:val="HTML Bottom of Form"/>
    <w:basedOn w:val="Normal"/>
    <w:next w:val="Normal"/>
    <w:hidden/>
    <w:rsid w:val="00584583"/>
    <w:pPr>
      <w:pBdr>
        <w:top w:val="single" w:sz="6" w:space="1" w:color="auto"/>
      </w:pBdr>
      <w:jc w:val="center"/>
    </w:pPr>
    <w:rPr>
      <w:rFonts w:ascii="Arial" w:hAnsi="Arial" w:cs="Arial"/>
      <w:vanish/>
      <w:sz w:val="16"/>
      <w:szCs w:val="16"/>
    </w:rPr>
  </w:style>
  <w:style w:type="paragraph" w:styleId="BalloonText">
    <w:name w:val="Balloon Text"/>
    <w:basedOn w:val="Normal"/>
    <w:semiHidden/>
    <w:rsid w:val="00254069"/>
    <w:rPr>
      <w:rFonts w:ascii="Tahoma" w:hAnsi="Tahoma" w:cs="Tahoma"/>
      <w:sz w:val="16"/>
      <w:szCs w:val="16"/>
    </w:rPr>
  </w:style>
  <w:style w:type="table" w:styleId="TableGrid">
    <w:name w:val="Table Grid"/>
    <w:basedOn w:val="TableNormal"/>
    <w:rsid w:val="009F2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11D6B"/>
    <w:pPr>
      <w:tabs>
        <w:tab w:val="center" w:pos="4320"/>
        <w:tab w:val="right" w:pos="8640"/>
      </w:tabs>
    </w:pPr>
  </w:style>
  <w:style w:type="character" w:styleId="PageNumber">
    <w:name w:val="page number"/>
    <w:basedOn w:val="DefaultParagraphFont"/>
    <w:rsid w:val="00611D6B"/>
  </w:style>
  <w:style w:type="paragraph" w:styleId="ListParagraph">
    <w:name w:val="List Paragraph"/>
    <w:basedOn w:val="Normal"/>
    <w:uiPriority w:val="34"/>
    <w:qFormat/>
    <w:rsid w:val="009D6E73"/>
    <w:pPr>
      <w:ind w:left="720"/>
    </w:pPr>
  </w:style>
  <w:style w:type="character" w:styleId="Hyperlink">
    <w:name w:val="Hyperlink"/>
    <w:rsid w:val="0010493E"/>
    <w:rPr>
      <w:color w:val="0563C1"/>
      <w:u w:val="single"/>
    </w:rPr>
  </w:style>
  <w:style w:type="character" w:styleId="UnresolvedMention">
    <w:name w:val="Unresolved Mention"/>
    <w:uiPriority w:val="99"/>
    <w:semiHidden/>
    <w:unhideWhenUsed/>
    <w:rsid w:val="0010493E"/>
    <w:rPr>
      <w:color w:val="605E5C"/>
      <w:shd w:val="clear" w:color="auto" w:fill="E1DFDD"/>
    </w:rPr>
  </w:style>
  <w:style w:type="character" w:styleId="FollowedHyperlink">
    <w:name w:val="FollowedHyperlink"/>
    <w:rsid w:val="00A506DE"/>
    <w:rPr>
      <w:color w:val="954F72"/>
      <w:u w:val="single"/>
    </w:rPr>
  </w:style>
  <w:style w:type="paragraph" w:customStyle="1" w:styleId="Default">
    <w:name w:val="Default"/>
    <w:rsid w:val="00A506DE"/>
    <w:pPr>
      <w:autoSpaceDE w:val="0"/>
      <w:autoSpaceDN w:val="0"/>
      <w:adjustRightInd w:val="0"/>
    </w:pPr>
    <w:rPr>
      <w:color w:val="000000"/>
      <w:sz w:val="24"/>
      <w:szCs w:val="24"/>
    </w:rPr>
  </w:style>
  <w:style w:type="paragraph" w:styleId="Header">
    <w:name w:val="header"/>
    <w:basedOn w:val="Normal"/>
    <w:link w:val="HeaderChar"/>
    <w:uiPriority w:val="99"/>
    <w:rsid w:val="003C0FE2"/>
    <w:pPr>
      <w:tabs>
        <w:tab w:val="center" w:pos="4680"/>
        <w:tab w:val="right" w:pos="9360"/>
      </w:tabs>
    </w:pPr>
  </w:style>
  <w:style w:type="character" w:customStyle="1" w:styleId="HeaderChar">
    <w:name w:val="Header Char"/>
    <w:link w:val="Header"/>
    <w:uiPriority w:val="99"/>
    <w:rsid w:val="003C0FE2"/>
    <w:rPr>
      <w:sz w:val="24"/>
      <w:szCs w:val="24"/>
    </w:rPr>
  </w:style>
  <w:style w:type="character" w:styleId="CommentReference">
    <w:name w:val="annotation reference"/>
    <w:rsid w:val="00627C32"/>
    <w:rPr>
      <w:sz w:val="16"/>
      <w:szCs w:val="16"/>
    </w:rPr>
  </w:style>
  <w:style w:type="paragraph" w:styleId="CommentText">
    <w:name w:val="annotation text"/>
    <w:basedOn w:val="Normal"/>
    <w:link w:val="CommentTextChar"/>
    <w:rsid w:val="00627C32"/>
    <w:rPr>
      <w:sz w:val="20"/>
      <w:szCs w:val="20"/>
    </w:rPr>
  </w:style>
  <w:style w:type="character" w:customStyle="1" w:styleId="CommentTextChar">
    <w:name w:val="Comment Text Char"/>
    <w:basedOn w:val="DefaultParagraphFont"/>
    <w:link w:val="CommentText"/>
    <w:rsid w:val="00627C32"/>
  </w:style>
  <w:style w:type="paragraph" w:styleId="FootnoteText">
    <w:name w:val="footnote text"/>
    <w:basedOn w:val="Normal"/>
    <w:link w:val="FootnoteTextChar"/>
    <w:uiPriority w:val="99"/>
    <w:unhideWhenUsed/>
    <w:rsid w:val="008923E9"/>
    <w:pPr>
      <w:widowControl w:val="0"/>
    </w:pPr>
    <w:rPr>
      <w:rFonts w:eastAsia="Calibri" w:cs="Arial"/>
      <w:sz w:val="20"/>
      <w:szCs w:val="20"/>
    </w:rPr>
  </w:style>
  <w:style w:type="character" w:customStyle="1" w:styleId="FootnoteTextChar">
    <w:name w:val="Footnote Text Char"/>
    <w:link w:val="FootnoteText"/>
    <w:uiPriority w:val="99"/>
    <w:rsid w:val="008923E9"/>
    <w:rPr>
      <w:rFonts w:eastAsia="Calibri" w:cs="Arial"/>
    </w:rPr>
  </w:style>
  <w:style w:type="character" w:styleId="FootnoteReference">
    <w:name w:val="footnote reference"/>
    <w:uiPriority w:val="99"/>
    <w:unhideWhenUsed/>
    <w:rsid w:val="008923E9"/>
    <w:rPr>
      <w:vertAlign w:val="superscript"/>
    </w:rPr>
  </w:style>
  <w:style w:type="character" w:customStyle="1" w:styleId="tgc">
    <w:name w:val="_tgc"/>
    <w:basedOn w:val="DefaultParagraphFont"/>
    <w:rsid w:val="008923E9"/>
  </w:style>
  <w:style w:type="paragraph" w:styleId="NoSpacing">
    <w:name w:val="No Spacing"/>
    <w:uiPriority w:val="1"/>
    <w:qFormat/>
    <w:rsid w:val="00CF6EBF"/>
    <w:rPr>
      <w:rFonts w:ascii="Calibri" w:eastAsia="Calibri" w:hAnsi="Calibri"/>
      <w:sz w:val="22"/>
      <w:szCs w:val="22"/>
    </w:rPr>
  </w:style>
  <w:style w:type="paragraph" w:styleId="CommentSubject">
    <w:name w:val="annotation subject"/>
    <w:basedOn w:val="CommentText"/>
    <w:next w:val="CommentText"/>
    <w:link w:val="CommentSubjectChar"/>
    <w:rsid w:val="00A2759D"/>
    <w:rPr>
      <w:b/>
      <w:bCs/>
    </w:rPr>
  </w:style>
  <w:style w:type="character" w:customStyle="1" w:styleId="CommentSubjectChar">
    <w:name w:val="Comment Subject Char"/>
    <w:link w:val="CommentSubject"/>
    <w:rsid w:val="00A2759D"/>
    <w:rPr>
      <w:b/>
      <w:bCs/>
    </w:rPr>
  </w:style>
  <w:style w:type="paragraph" w:styleId="Revision">
    <w:name w:val="Revision"/>
    <w:hidden/>
    <w:uiPriority w:val="99"/>
    <w:semiHidden/>
    <w:rsid w:val="00F66986"/>
    <w:rPr>
      <w:sz w:val="24"/>
      <w:szCs w:val="24"/>
    </w:rPr>
  </w:style>
  <w:style w:type="character" w:styleId="Strong">
    <w:name w:val="Strong"/>
    <w:basedOn w:val="DefaultParagraphFont"/>
    <w:uiPriority w:val="22"/>
    <w:qFormat/>
    <w:rsid w:val="006A2F41"/>
    <w:rPr>
      <w:b/>
      <w:bCs/>
    </w:rPr>
  </w:style>
  <w:style w:type="paragraph" w:styleId="BodyText">
    <w:name w:val="Body Text"/>
    <w:basedOn w:val="Normal"/>
    <w:link w:val="BodyTextChar"/>
    <w:rsid w:val="009E2B44"/>
    <w:pPr>
      <w:spacing w:after="120"/>
    </w:pPr>
  </w:style>
  <w:style w:type="character" w:customStyle="1" w:styleId="BodyTextChar">
    <w:name w:val="Body Text Char"/>
    <w:basedOn w:val="DefaultParagraphFont"/>
    <w:link w:val="BodyText"/>
    <w:rsid w:val="009E2B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da.gov/food/infant-formula-guidance-documents-regulatory-information/regulations-and-information-manufacture-and-distribution-infant-formula" TargetMode="External" /><Relationship Id="rId5" Type="http://schemas.openxmlformats.org/officeDocument/2006/relationships/hyperlink" Target="https://www.govinfo.gov/content/pkg/FR-2024-12-04/pdf/2024-28230.pdf" TargetMode="External" /><Relationship Id="rId6" Type="http://schemas.openxmlformats.org/officeDocument/2006/relationships/hyperlink" Target="https://www.fda.gov/industry/small-business-assistance" TargetMode="External" /><Relationship Id="rId7" Type="http://schemas.openxmlformats.org/officeDocument/2006/relationships/hyperlink" Target="https://www.fda.gov/food/workshops-meetings-webinars-food-and-dietary-supplements/webinar-series-discuss-infant-formula-transition-plan-exercise-enforcement-discretion-11172022" TargetMode="Externa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2371</Words>
  <Characters>13519</Characters>
  <Application>Microsoft Office Word</Application>
  <DocSecurity>0</DocSecurity>
  <Lines>112</Lines>
  <Paragraphs>31</Paragraphs>
  <ScaleCrop>false</ScaleCrop>
  <Company/>
  <LinksUpToDate>false</LinksUpToDate>
  <CharactersWithSpaces>15859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2026-10-16T15:39:00Z</dcterms:created>
  <dcterms:modified xsi:type="dcterms:W3CDTF">2026-10-16T15:39:00Z</dcterms:modified>
</cp:coreProperties>
</file>