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pPr>
        <w:pStyle w:val="Heading1"/>
        <w:spacing w:before="79"/>
        <w:ind w:left="362"/>
        <w:jc w:val="center"/>
      </w:pPr>
      <w:bookmarkStart w:id="0" w:name="Appendix 8"/>
      <w:bookmarkEnd w:id="0"/>
      <w:r>
        <w:rPr>
          <w:u w:val="single"/>
        </w:rPr>
        <w:t xml:space="preserve">Appendix </w:t>
      </w:r>
      <w:r>
        <w:rPr>
          <w:spacing w:val="-10"/>
          <w:u w:val="single"/>
        </w:rPr>
        <w:t>8</w:t>
      </w:r>
    </w:p>
    <w:p>
      <w:pPr>
        <w:spacing w:before="43" w:line="278" w:lineRule="auto"/>
        <w:ind w:left="2733" w:right="2371" w:hanging="1"/>
        <w:jc w:val="center"/>
        <w:rPr>
          <w:b/>
          <w:sz w:val="24"/>
        </w:rPr>
      </w:pPr>
      <w:r>
        <w:rPr>
          <w:b/>
          <w:sz w:val="24"/>
        </w:rPr>
        <w:t>2026 Transparency in Coverage Final Rules NPRM Comments &amp; Response Summary CMS-10715/OMB</w:t>
      </w:r>
      <w:r>
        <w:rPr>
          <w:b/>
          <w:spacing w:val="-15"/>
          <w:sz w:val="24"/>
        </w:rPr>
        <w:t xml:space="preserve"> </w:t>
      </w:r>
      <w:r>
        <w:rPr>
          <w:b/>
          <w:sz w:val="24"/>
        </w:rPr>
        <w:t>control</w:t>
      </w:r>
      <w:r>
        <w:rPr>
          <w:b/>
          <w:spacing w:val="-14"/>
          <w:sz w:val="24"/>
        </w:rPr>
        <w:t xml:space="preserve"> </w:t>
      </w:r>
      <w:r>
        <w:rPr>
          <w:b/>
          <w:sz w:val="24"/>
        </w:rPr>
        <w:t>number</w:t>
      </w:r>
      <w:r>
        <w:rPr>
          <w:b/>
          <w:spacing w:val="-15"/>
          <w:sz w:val="24"/>
        </w:rPr>
        <w:t xml:space="preserve"> </w:t>
      </w:r>
      <w:r>
        <w:rPr>
          <w:b/>
          <w:sz w:val="24"/>
        </w:rPr>
        <w:t>0938-1429</w:t>
      </w:r>
    </w:p>
    <w:p>
      <w:pPr>
        <w:pStyle w:val="BodyText"/>
        <w:spacing w:before="43"/>
        <w:ind w:left="0"/>
        <w:rPr>
          <w:b/>
        </w:rPr>
      </w:pPr>
    </w:p>
    <w:p>
      <w:pPr>
        <w:pStyle w:val="BodyText"/>
        <w:spacing w:before="0" w:line="278" w:lineRule="auto"/>
      </w:pPr>
      <w:r>
        <w:t>The Departments received several comments in response to the information collection request (ICR), CMS-10715, associated with the 2025 Transparency in Coverage proposed rules, from plans</w:t>
      </w:r>
      <w:r>
        <w:rPr>
          <w:spacing w:val="-4"/>
        </w:rPr>
        <w:t xml:space="preserve"> </w:t>
      </w:r>
      <w:r>
        <w:t>and</w:t>
      </w:r>
      <w:r>
        <w:rPr>
          <w:spacing w:val="-4"/>
        </w:rPr>
        <w:t xml:space="preserve"> </w:t>
      </w:r>
      <w:r>
        <w:t>issuers,</w:t>
      </w:r>
      <w:r>
        <w:rPr>
          <w:spacing w:val="-4"/>
        </w:rPr>
        <w:t xml:space="preserve"> </w:t>
      </w:r>
      <w:r>
        <w:t>consumer</w:t>
      </w:r>
      <w:r>
        <w:rPr>
          <w:spacing w:val="-5"/>
        </w:rPr>
        <w:t xml:space="preserve"> </w:t>
      </w:r>
      <w:r>
        <w:t>and</w:t>
      </w:r>
      <w:r>
        <w:rPr>
          <w:spacing w:val="-4"/>
        </w:rPr>
        <w:t xml:space="preserve"> </w:t>
      </w:r>
      <w:r>
        <w:t>patient</w:t>
      </w:r>
      <w:r>
        <w:rPr>
          <w:spacing w:val="-4"/>
        </w:rPr>
        <w:t xml:space="preserve"> </w:t>
      </w:r>
      <w:r>
        <w:t>advocacy</w:t>
      </w:r>
      <w:r>
        <w:rPr>
          <w:spacing w:val="-4"/>
        </w:rPr>
        <w:t xml:space="preserve"> </w:t>
      </w:r>
      <w:r>
        <w:t>organizations,</w:t>
      </w:r>
      <w:r>
        <w:rPr>
          <w:spacing w:val="-4"/>
        </w:rPr>
        <w:t xml:space="preserve"> </w:t>
      </w:r>
      <w:r>
        <w:t>data</w:t>
      </w:r>
      <w:r>
        <w:rPr>
          <w:spacing w:val="-5"/>
        </w:rPr>
        <w:t xml:space="preserve"> </w:t>
      </w:r>
      <w:r>
        <w:t>analytics</w:t>
      </w:r>
      <w:r>
        <w:rPr>
          <w:spacing w:val="-4"/>
        </w:rPr>
        <w:t xml:space="preserve"> </w:t>
      </w:r>
      <w:r>
        <w:t>and</w:t>
      </w:r>
      <w:r>
        <w:rPr>
          <w:spacing w:val="-4"/>
        </w:rPr>
        <w:t xml:space="preserve"> </w:t>
      </w:r>
      <w:r>
        <w:t>informatics companies, and professional trade associations. The following summarizes the comments received and the Departments’ responses.</w:t>
      </w:r>
    </w:p>
    <w:p>
      <w:pPr>
        <w:pStyle w:val="Heading1"/>
      </w:pPr>
      <w:r>
        <w:rPr>
          <w:spacing w:val="-2"/>
          <w:u w:val="single"/>
        </w:rPr>
        <w:t>Comment</w:t>
      </w:r>
    </w:p>
    <w:p>
      <w:pPr>
        <w:pStyle w:val="BodyText"/>
        <w:spacing w:line="278" w:lineRule="auto"/>
      </w:pPr>
      <w:r>
        <w:t>The</w:t>
      </w:r>
      <w:r>
        <w:rPr>
          <w:spacing w:val="-5"/>
        </w:rPr>
        <w:t xml:space="preserve"> </w:t>
      </w:r>
      <w:r>
        <w:t>Departments</w:t>
      </w:r>
      <w:r>
        <w:rPr>
          <w:spacing w:val="-4"/>
        </w:rPr>
        <w:t xml:space="preserve"> </w:t>
      </w:r>
      <w:r>
        <w:t>received</w:t>
      </w:r>
      <w:r>
        <w:rPr>
          <w:spacing w:val="-4"/>
        </w:rPr>
        <w:t xml:space="preserve"> </w:t>
      </w:r>
      <w:r>
        <w:t>several</w:t>
      </w:r>
      <w:r>
        <w:rPr>
          <w:spacing w:val="-3"/>
        </w:rPr>
        <w:t xml:space="preserve"> </w:t>
      </w:r>
      <w:r>
        <w:t>comments</w:t>
      </w:r>
      <w:r>
        <w:rPr>
          <w:spacing w:val="-4"/>
        </w:rPr>
        <w:t xml:space="preserve"> </w:t>
      </w:r>
      <w:r>
        <w:t>addressing</w:t>
      </w:r>
      <w:r>
        <w:rPr>
          <w:spacing w:val="-4"/>
        </w:rPr>
        <w:t xml:space="preserve"> </w:t>
      </w:r>
      <w:r>
        <w:t>the</w:t>
      </w:r>
      <w:r>
        <w:rPr>
          <w:spacing w:val="-5"/>
        </w:rPr>
        <w:t xml:space="preserve"> </w:t>
      </w:r>
      <w:r>
        <w:t>information</w:t>
      </w:r>
      <w:r>
        <w:rPr>
          <w:spacing w:val="-4"/>
        </w:rPr>
        <w:t xml:space="preserve"> </w:t>
      </w:r>
      <w:r>
        <w:t>collection</w:t>
      </w:r>
      <w:r>
        <w:rPr>
          <w:spacing w:val="-4"/>
        </w:rPr>
        <w:t xml:space="preserve"> </w:t>
      </w:r>
      <w:r>
        <w:t>request</w:t>
      </w:r>
      <w:r>
        <w:rPr>
          <w:spacing w:val="-4"/>
        </w:rPr>
        <w:t xml:space="preserve"> </w:t>
      </w:r>
      <w:r>
        <w:t>from plans and issuers, consumer and patient advocacy organizations, data analytics and informatics companies, and professional trade associations.</w:t>
      </w:r>
      <w:r>
        <w:rPr>
          <w:spacing w:val="-8"/>
        </w:rPr>
        <w:t xml:space="preserve"> </w:t>
      </w:r>
      <w:r>
        <w:t>A</w:t>
      </w:r>
      <w:r>
        <w:rPr>
          <w:spacing w:val="-4"/>
        </w:rPr>
        <w:t xml:space="preserve"> </w:t>
      </w:r>
      <w:r>
        <w:t>few commenters noted that burden estimates should better reflect real-world implementation costs and highlighted potential operational impacts associated with specific provisions, including changes to reporting thresholds and data requirements, as well as the need to account for continuous maintenance activities.</w:t>
      </w:r>
      <w:r>
        <w:rPr>
          <w:spacing w:val="-11"/>
        </w:rPr>
        <w:t xml:space="preserve"> </w:t>
      </w:r>
      <w:r>
        <w:t>A</w:t>
      </w:r>
      <w:r>
        <w:rPr>
          <w:spacing w:val="-9"/>
        </w:rPr>
        <w:t xml:space="preserve"> </w:t>
      </w:r>
      <w:r>
        <w:t>few other commenters also indicated that recurring burdens are undercounted, emphasizing that many requirements involve continuous maintenance and that some annual costs (such as those associated with Taxonomy Files) are not fully captured.</w:t>
      </w:r>
      <w:r>
        <w:rPr>
          <w:spacing w:val="-6"/>
        </w:rPr>
        <w:t xml:space="preserve"> </w:t>
      </w:r>
      <w:r>
        <w:t>A</w:t>
      </w:r>
      <w:r>
        <w:rPr>
          <w:spacing w:val="-4"/>
        </w:rPr>
        <w:t xml:space="preserve"> </w:t>
      </w:r>
      <w:r>
        <w:t>few commenters provided recommendations related to wage assumptions, consumer support burden estimates, and the overall methodology used to estimate burden.</w:t>
      </w:r>
    </w:p>
    <w:p>
      <w:pPr>
        <w:pStyle w:val="BodyText"/>
        <w:spacing w:before="153" w:line="278" w:lineRule="auto"/>
        <w:ind w:right="29"/>
      </w:pPr>
      <w:r>
        <w:t>Several commenters expressed concern that increased transparency requirements may create significant</w:t>
      </w:r>
      <w:r>
        <w:rPr>
          <w:spacing w:val="-3"/>
        </w:rPr>
        <w:t xml:space="preserve"> </w:t>
      </w:r>
      <w:r>
        <w:t>administrative</w:t>
      </w:r>
      <w:r>
        <w:rPr>
          <w:spacing w:val="-4"/>
        </w:rPr>
        <w:t xml:space="preserve"> </w:t>
      </w:r>
      <w:r>
        <w:t>and</w:t>
      </w:r>
      <w:r>
        <w:rPr>
          <w:spacing w:val="-3"/>
        </w:rPr>
        <w:t xml:space="preserve"> </w:t>
      </w:r>
      <w:r>
        <w:t>financial</w:t>
      </w:r>
      <w:r>
        <w:rPr>
          <w:spacing w:val="-3"/>
        </w:rPr>
        <w:t xml:space="preserve"> </w:t>
      </w:r>
      <w:r>
        <w:t>burdens</w:t>
      </w:r>
      <w:r>
        <w:rPr>
          <w:spacing w:val="-3"/>
        </w:rPr>
        <w:t xml:space="preserve"> </w:t>
      </w:r>
      <w:r>
        <w:t>that</w:t>
      </w:r>
      <w:r>
        <w:rPr>
          <w:spacing w:val="-3"/>
        </w:rPr>
        <w:t xml:space="preserve"> </w:t>
      </w:r>
      <w:r>
        <w:t>could</w:t>
      </w:r>
      <w:r>
        <w:rPr>
          <w:spacing w:val="-3"/>
        </w:rPr>
        <w:t xml:space="preserve"> </w:t>
      </w:r>
      <w:r>
        <w:t>be</w:t>
      </w:r>
      <w:r>
        <w:rPr>
          <w:spacing w:val="-4"/>
        </w:rPr>
        <w:t xml:space="preserve"> </w:t>
      </w:r>
      <w:r>
        <w:t>passed</w:t>
      </w:r>
      <w:r>
        <w:rPr>
          <w:spacing w:val="-3"/>
        </w:rPr>
        <w:t xml:space="preserve"> </w:t>
      </w:r>
      <w:r>
        <w:t>on</w:t>
      </w:r>
      <w:r>
        <w:rPr>
          <w:spacing w:val="-3"/>
        </w:rPr>
        <w:t xml:space="preserve"> </w:t>
      </w:r>
      <w:r>
        <w:t>to</w:t>
      </w:r>
      <w:r>
        <w:rPr>
          <w:spacing w:val="-1"/>
        </w:rPr>
        <w:t xml:space="preserve"> </w:t>
      </w:r>
      <w:r>
        <w:t>consumers</w:t>
      </w:r>
      <w:r>
        <w:rPr>
          <w:spacing w:val="-3"/>
        </w:rPr>
        <w:t xml:space="preserve"> </w:t>
      </w:r>
      <w:r>
        <w:t>in</w:t>
      </w:r>
      <w:r>
        <w:rPr>
          <w:spacing w:val="-3"/>
        </w:rPr>
        <w:t xml:space="preserve"> </w:t>
      </w:r>
      <w:r>
        <w:t>the</w:t>
      </w:r>
      <w:r>
        <w:rPr>
          <w:spacing w:val="-4"/>
        </w:rPr>
        <w:t xml:space="preserve"> </w:t>
      </w:r>
      <w:r>
        <w:t>form of higher premiums or costs if not paired with meaningful usability improvements.</w:t>
      </w:r>
      <w:r>
        <w:rPr>
          <w:spacing w:val="-7"/>
        </w:rPr>
        <w:t xml:space="preserve"> </w:t>
      </w:r>
      <w:r>
        <w:t>A</w:t>
      </w:r>
      <w:r>
        <w:rPr>
          <w:spacing w:val="-4"/>
        </w:rPr>
        <w:t xml:space="preserve"> </w:t>
      </w:r>
      <w:r>
        <w:t>few commenters noted that implementation burden could be substantial, potentially exceeding prior Transparency in Coverage updates, and recommended prioritizing high-value requirements and streamlining timelines and guidance.</w:t>
      </w:r>
    </w:p>
    <w:p>
      <w:pPr>
        <w:pStyle w:val="Heading1"/>
      </w:pPr>
      <w:r>
        <w:rPr>
          <w:spacing w:val="-2"/>
        </w:rPr>
        <w:t>Response</w:t>
      </w:r>
    </w:p>
    <w:p>
      <w:pPr>
        <w:pStyle w:val="BodyText"/>
        <w:spacing w:line="278" w:lineRule="auto"/>
        <w:ind w:left="359" w:right="4"/>
      </w:pPr>
      <w:r>
        <w:t>The</w:t>
      </w:r>
      <w:r>
        <w:rPr>
          <w:spacing w:val="-5"/>
        </w:rPr>
        <w:t xml:space="preserve"> </w:t>
      </w:r>
      <w:r>
        <w:t>Departments</w:t>
      </w:r>
      <w:r>
        <w:rPr>
          <w:spacing w:val="-5"/>
        </w:rPr>
        <w:t xml:space="preserve"> </w:t>
      </w:r>
      <w:r>
        <w:t>acknowledge</w:t>
      </w:r>
      <w:r>
        <w:rPr>
          <w:spacing w:val="-5"/>
        </w:rPr>
        <w:t xml:space="preserve"> </w:t>
      </w:r>
      <w:r>
        <w:t>these</w:t>
      </w:r>
      <w:r>
        <w:rPr>
          <w:spacing w:val="-4"/>
        </w:rPr>
        <w:t xml:space="preserve"> </w:t>
      </w:r>
      <w:r>
        <w:t>concerns,</w:t>
      </w:r>
      <w:r>
        <w:rPr>
          <w:spacing w:val="-5"/>
        </w:rPr>
        <w:t xml:space="preserve"> </w:t>
      </w:r>
      <w:r>
        <w:t>including</w:t>
      </w:r>
      <w:r>
        <w:rPr>
          <w:spacing w:val="-5"/>
        </w:rPr>
        <w:t xml:space="preserve"> </w:t>
      </w:r>
      <w:r>
        <w:t>that</w:t>
      </w:r>
      <w:r>
        <w:rPr>
          <w:spacing w:val="-5"/>
        </w:rPr>
        <w:t xml:space="preserve"> </w:t>
      </w:r>
      <w:r>
        <w:t>estimated</w:t>
      </w:r>
      <w:r>
        <w:rPr>
          <w:spacing w:val="-5"/>
        </w:rPr>
        <w:t xml:space="preserve"> </w:t>
      </w:r>
      <w:r>
        <w:t>one-time</w:t>
      </w:r>
      <w:r>
        <w:rPr>
          <w:spacing w:val="-5"/>
        </w:rPr>
        <w:t xml:space="preserve"> </w:t>
      </w:r>
      <w:r>
        <w:t>implementation costs in the proposed rules may be substantial and that ongoing compliance may require additional effort and resources.</w:t>
      </w:r>
      <w:r>
        <w:rPr>
          <w:spacing w:val="-2"/>
        </w:rPr>
        <w:t xml:space="preserve"> </w:t>
      </w:r>
      <w:r>
        <w:t>After consideration of the comments regarding significant</w:t>
      </w:r>
      <w:r>
        <w:t xml:space="preserve"> burden, the Departments have decided not to finalize certain requirements, including the requirement to add a Change-log File related to the In-network Rate File disclosures and the requirement to include the current enrollment totals for each coverage option associated with the applicable</w:t>
      </w:r>
      <w:r>
        <w:rPr>
          <w:spacing w:val="-7"/>
        </w:rPr>
        <w:t xml:space="preserve"> </w:t>
      </w:r>
      <w:r>
        <w:t>In-network</w:t>
      </w:r>
      <w:r>
        <w:rPr>
          <w:spacing w:val="-3"/>
        </w:rPr>
        <w:t xml:space="preserve"> </w:t>
      </w:r>
      <w:r>
        <w:t>Rate</w:t>
      </w:r>
      <w:r>
        <w:rPr>
          <w:spacing w:val="-4"/>
        </w:rPr>
        <w:t xml:space="preserve"> </w:t>
      </w:r>
      <w:r>
        <w:t>File.</w:t>
      </w:r>
      <w:r>
        <w:rPr>
          <w:spacing w:val="-15"/>
        </w:rPr>
        <w:t xml:space="preserve"> </w:t>
      </w:r>
      <w:r>
        <w:t>As</w:t>
      </w:r>
      <w:r>
        <w:rPr>
          <w:spacing w:val="-3"/>
        </w:rPr>
        <w:t xml:space="preserve"> </w:t>
      </w:r>
      <w:r>
        <w:t>a</w:t>
      </w:r>
      <w:r>
        <w:rPr>
          <w:spacing w:val="-4"/>
        </w:rPr>
        <w:t xml:space="preserve"> </w:t>
      </w:r>
      <w:r>
        <w:t>result,</w:t>
      </w:r>
      <w:r>
        <w:rPr>
          <w:spacing w:val="-3"/>
        </w:rPr>
        <w:t xml:space="preserve"> </w:t>
      </w:r>
      <w:r>
        <w:t>the</w:t>
      </w:r>
      <w:r>
        <w:rPr>
          <w:spacing w:val="-4"/>
        </w:rPr>
        <w:t xml:space="preserve"> </w:t>
      </w:r>
      <w:r>
        <w:t>2026</w:t>
      </w:r>
      <w:r>
        <w:rPr>
          <w:spacing w:val="-8"/>
        </w:rPr>
        <w:t xml:space="preserve"> </w:t>
      </w:r>
      <w:r>
        <w:t>Transparency</w:t>
      </w:r>
      <w:r>
        <w:rPr>
          <w:spacing w:val="-3"/>
        </w:rPr>
        <w:t xml:space="preserve"> </w:t>
      </w:r>
      <w:r>
        <w:t>in</w:t>
      </w:r>
      <w:r>
        <w:rPr>
          <w:spacing w:val="-3"/>
        </w:rPr>
        <w:t xml:space="preserve"> </w:t>
      </w:r>
      <w:r>
        <w:t>Coverage</w:t>
      </w:r>
      <w:r>
        <w:rPr>
          <w:spacing w:val="-4"/>
        </w:rPr>
        <w:t xml:space="preserve"> </w:t>
      </w:r>
      <w:r>
        <w:t>final</w:t>
      </w:r>
      <w:r>
        <w:rPr>
          <w:spacing w:val="-3"/>
        </w:rPr>
        <w:t xml:space="preserve"> </w:t>
      </w:r>
      <w:r>
        <w:t>rules</w:t>
      </w:r>
      <w:r>
        <w:rPr>
          <w:spacing w:val="-3"/>
        </w:rPr>
        <w:t xml:space="preserve"> </w:t>
      </w:r>
      <w:r>
        <w:t>(2026 final rules) reduce compliance burdens on plans and issuers while continuing to advance the Departments’ underlying policy goals.</w:t>
      </w:r>
    </w:p>
    <w:p>
      <w:pPr>
        <w:pStyle w:val="BodyText"/>
        <w:spacing w:after="0" w:line="278" w:lineRule="auto"/>
        <w:sectPr>
          <w:footerReference w:type="default" r:id="rId4"/>
          <w:type w:val="continuous"/>
          <w:pgSz w:w="12240" w:h="15840"/>
          <w:pgMar w:top="1360" w:right="1440" w:bottom="1260" w:left="1080" w:header="0" w:footer="1079"/>
          <w:pgNumType w:start="1"/>
          <w:cols w:space="720"/>
        </w:sectPr>
      </w:pPr>
    </w:p>
    <w:p>
      <w:pPr>
        <w:pStyle w:val="BodyText"/>
        <w:spacing w:before="79" w:line="278" w:lineRule="auto"/>
        <w:ind w:left="359"/>
      </w:pPr>
      <w:r>
        <w:t>In addition, in response</w:t>
      </w:r>
      <w:r>
        <w:rPr>
          <w:spacing w:val="-1"/>
        </w:rPr>
        <w:t xml:space="preserve"> </w:t>
      </w:r>
      <w:r>
        <w:t>to public</w:t>
      </w:r>
      <w:r>
        <w:rPr>
          <w:spacing w:val="-1"/>
        </w:rPr>
        <w:t xml:space="preserve"> </w:t>
      </w:r>
      <w:r>
        <w:t>comments and as discussed in sections III.C.9. and III.C.7. of the</w:t>
      </w:r>
      <w:r>
        <w:rPr>
          <w:spacing w:val="-1"/>
        </w:rPr>
        <w:t xml:space="preserve"> </w:t>
      </w:r>
      <w:r>
        <w:t>preamble</w:t>
      </w:r>
      <w:r>
        <w:rPr>
          <w:spacing w:val="-1"/>
        </w:rPr>
        <w:t xml:space="preserve"> </w:t>
      </w:r>
      <w:r>
        <w:t>to the</w:t>
      </w:r>
      <w:r>
        <w:rPr>
          <w:spacing w:val="-1"/>
        </w:rPr>
        <w:t xml:space="preserve"> </w:t>
      </w:r>
      <w:r>
        <w:t>2026 final rules, respectively, the</w:t>
      </w:r>
      <w:r>
        <w:rPr>
          <w:spacing w:val="-1"/>
        </w:rPr>
        <w:t xml:space="preserve"> </w:t>
      </w:r>
      <w:r>
        <w:t>Departments are finalizing a</w:t>
      </w:r>
      <w:r>
        <w:rPr>
          <w:spacing w:val="-1"/>
        </w:rPr>
        <w:t xml:space="preserve"> </w:t>
      </w:r>
      <w:r>
        <w:t>requirement for plans and issuers to publish machine-readable files in a single non-proprietary, open-standards</w:t>
      </w:r>
      <w:r>
        <w:rPr>
          <w:spacing w:val="-3"/>
        </w:rPr>
        <w:t xml:space="preserve"> </w:t>
      </w:r>
      <w:r>
        <w:t>format,</w:t>
      </w:r>
      <w:r>
        <w:rPr>
          <w:spacing w:val="-3"/>
        </w:rPr>
        <w:t xml:space="preserve"> </w:t>
      </w:r>
      <w:r>
        <w:t>as</w:t>
      </w:r>
      <w:r>
        <w:rPr>
          <w:spacing w:val="-3"/>
        </w:rPr>
        <w:t xml:space="preserve"> </w:t>
      </w:r>
      <w:r>
        <w:t>well</w:t>
      </w:r>
      <w:r>
        <w:rPr>
          <w:spacing w:val="-1"/>
        </w:rPr>
        <w:t xml:space="preserve"> </w:t>
      </w:r>
      <w:r>
        <w:t>as</w:t>
      </w:r>
      <w:r>
        <w:rPr>
          <w:spacing w:val="-3"/>
        </w:rPr>
        <w:t xml:space="preserve"> </w:t>
      </w:r>
      <w:r>
        <w:t>a</w:t>
      </w:r>
      <w:r>
        <w:rPr>
          <w:spacing w:val="-3"/>
        </w:rPr>
        <w:t xml:space="preserve"> </w:t>
      </w:r>
      <w:r>
        <w:t>requirement</w:t>
      </w:r>
      <w:r>
        <w:rPr>
          <w:spacing w:val="-3"/>
        </w:rPr>
        <w:t xml:space="preserve"> </w:t>
      </w:r>
      <w:r>
        <w:t>to</w:t>
      </w:r>
      <w:r>
        <w:rPr>
          <w:spacing w:val="-3"/>
        </w:rPr>
        <w:t xml:space="preserve"> </w:t>
      </w:r>
      <w:r>
        <w:t>attest,</w:t>
      </w:r>
      <w:r>
        <w:rPr>
          <w:spacing w:val="-3"/>
        </w:rPr>
        <w:t xml:space="preserve"> </w:t>
      </w:r>
      <w:r>
        <w:t>to</w:t>
      </w:r>
      <w:r>
        <w:rPr>
          <w:spacing w:val="-3"/>
        </w:rPr>
        <w:t xml:space="preserve"> </w:t>
      </w:r>
      <w:r>
        <w:t>the</w:t>
      </w:r>
      <w:r>
        <w:rPr>
          <w:spacing w:val="-3"/>
        </w:rPr>
        <w:t xml:space="preserve"> </w:t>
      </w:r>
      <w:r>
        <w:t>best</w:t>
      </w:r>
      <w:r>
        <w:rPr>
          <w:spacing w:val="-3"/>
        </w:rPr>
        <w:t xml:space="preserve"> </w:t>
      </w:r>
      <w:r>
        <w:t>of</w:t>
      </w:r>
      <w:r>
        <w:rPr>
          <w:spacing w:val="-3"/>
        </w:rPr>
        <w:t xml:space="preserve"> </w:t>
      </w:r>
      <w:r>
        <w:t>their</w:t>
      </w:r>
      <w:r>
        <w:rPr>
          <w:spacing w:val="-3"/>
        </w:rPr>
        <w:t xml:space="preserve"> </w:t>
      </w:r>
      <w:r>
        <w:t>knowledge</w:t>
      </w:r>
      <w:r>
        <w:rPr>
          <w:spacing w:val="-3"/>
        </w:rPr>
        <w:t xml:space="preserve"> </w:t>
      </w:r>
      <w:r>
        <w:t>and</w:t>
      </w:r>
      <w:r>
        <w:rPr>
          <w:spacing w:val="-3"/>
        </w:rPr>
        <w:t xml:space="preserve"> </w:t>
      </w:r>
      <w:r>
        <w:t>belief,</w:t>
      </w:r>
      <w:r>
        <w:rPr>
          <w:spacing w:val="-3"/>
        </w:rPr>
        <w:t xml:space="preserve"> </w:t>
      </w:r>
      <w:r>
        <w:t>to the accuracy and completeness of the information contained in their machine-readable files.</w:t>
      </w:r>
    </w:p>
    <w:p>
      <w:pPr>
        <w:pStyle w:val="BodyText"/>
        <w:spacing w:before="0" w:line="278" w:lineRule="auto"/>
        <w:ind w:right="29"/>
      </w:pPr>
      <w:r>
        <w:t>These</w:t>
      </w:r>
      <w:r>
        <w:rPr>
          <w:spacing w:val="-5"/>
        </w:rPr>
        <w:t xml:space="preserve"> </w:t>
      </w:r>
      <w:r>
        <w:t>requirements</w:t>
      </w:r>
      <w:r>
        <w:rPr>
          <w:spacing w:val="-4"/>
        </w:rPr>
        <w:t xml:space="preserve"> </w:t>
      </w:r>
      <w:r>
        <w:t>are</w:t>
      </w:r>
      <w:r>
        <w:rPr>
          <w:spacing w:val="-5"/>
        </w:rPr>
        <w:t xml:space="preserve"> </w:t>
      </w:r>
      <w:r>
        <w:t>intended</w:t>
      </w:r>
      <w:r>
        <w:rPr>
          <w:spacing w:val="-4"/>
        </w:rPr>
        <w:t xml:space="preserve"> </w:t>
      </w:r>
      <w:r>
        <w:t>to</w:t>
      </w:r>
      <w:r>
        <w:rPr>
          <w:spacing w:val="-4"/>
        </w:rPr>
        <w:t xml:space="preserve"> </w:t>
      </w:r>
      <w:r>
        <w:t>improve</w:t>
      </w:r>
      <w:r>
        <w:rPr>
          <w:spacing w:val="-5"/>
        </w:rPr>
        <w:t xml:space="preserve"> </w:t>
      </w:r>
      <w:r>
        <w:t>the</w:t>
      </w:r>
      <w:r>
        <w:rPr>
          <w:spacing w:val="-5"/>
        </w:rPr>
        <w:t xml:space="preserve"> </w:t>
      </w:r>
      <w:r>
        <w:t>consistency</w:t>
      </w:r>
      <w:r>
        <w:rPr>
          <w:spacing w:val="-4"/>
        </w:rPr>
        <w:t xml:space="preserve"> </w:t>
      </w:r>
      <w:r>
        <w:t>and</w:t>
      </w:r>
      <w:r>
        <w:rPr>
          <w:spacing w:val="-4"/>
        </w:rPr>
        <w:t xml:space="preserve"> </w:t>
      </w:r>
      <w:r>
        <w:t>reliability</w:t>
      </w:r>
      <w:r>
        <w:rPr>
          <w:spacing w:val="-4"/>
        </w:rPr>
        <w:t xml:space="preserve"> </w:t>
      </w:r>
      <w:r>
        <w:t>of</w:t>
      </w:r>
      <w:r>
        <w:rPr>
          <w:spacing w:val="-5"/>
        </w:rPr>
        <w:t xml:space="preserve"> </w:t>
      </w:r>
      <w:r>
        <w:t>machine-readable file disclosures while advancing the Departments’</w:t>
      </w:r>
      <w:r>
        <w:rPr>
          <w:spacing w:val="-1"/>
        </w:rPr>
        <w:t xml:space="preserve"> </w:t>
      </w:r>
      <w:r>
        <w:t>transparency objectives.</w:t>
      </w:r>
    </w:p>
    <w:p>
      <w:pPr>
        <w:pStyle w:val="Heading1"/>
        <w:spacing w:before="157"/>
      </w:pPr>
      <w:r>
        <w:rPr>
          <w:spacing w:val="-2"/>
          <w:u w:val="single"/>
        </w:rPr>
        <w:t>Comment</w:t>
      </w:r>
    </w:p>
    <w:p>
      <w:pPr>
        <w:pStyle w:val="BodyText"/>
        <w:spacing w:line="278" w:lineRule="auto"/>
        <w:ind w:left="359"/>
      </w:pPr>
      <w:r>
        <w:t>One</w:t>
      </w:r>
      <w:r>
        <w:rPr>
          <w:spacing w:val="-6"/>
        </w:rPr>
        <w:t xml:space="preserve"> </w:t>
      </w:r>
      <w:r>
        <w:t>commenter</w:t>
      </w:r>
      <w:r>
        <w:rPr>
          <w:spacing w:val="-5"/>
        </w:rPr>
        <w:t xml:space="preserve"> </w:t>
      </w:r>
      <w:r>
        <w:t>recommended</w:t>
      </w:r>
      <w:r>
        <w:rPr>
          <w:spacing w:val="-6"/>
        </w:rPr>
        <w:t xml:space="preserve"> </w:t>
      </w:r>
      <w:r>
        <w:t>applying</w:t>
      </w:r>
      <w:r>
        <w:rPr>
          <w:spacing w:val="-6"/>
        </w:rPr>
        <w:t xml:space="preserve"> </w:t>
      </w:r>
      <w:r>
        <w:t>stronger</w:t>
      </w:r>
      <w:r>
        <w:rPr>
          <w:spacing w:val="-5"/>
        </w:rPr>
        <w:t xml:space="preserve"> </w:t>
      </w:r>
      <w:r>
        <w:t>PRA-based</w:t>
      </w:r>
      <w:r>
        <w:rPr>
          <w:spacing w:val="-6"/>
        </w:rPr>
        <w:t xml:space="preserve"> </w:t>
      </w:r>
      <w:r>
        <w:t>burden</w:t>
      </w:r>
      <w:r>
        <w:rPr>
          <w:spacing w:val="-6"/>
        </w:rPr>
        <w:t xml:space="preserve"> </w:t>
      </w:r>
      <w:r>
        <w:t>governance,</w:t>
      </w:r>
      <w:r>
        <w:rPr>
          <w:spacing w:val="-6"/>
        </w:rPr>
        <w:t xml:space="preserve"> </w:t>
      </w:r>
      <w:r>
        <w:t xml:space="preserve">including evaluating the marginal utility of each requirement and conducting post-implementation </w:t>
      </w:r>
      <w:r>
        <w:rPr>
          <w:spacing w:val="-2"/>
        </w:rPr>
        <w:t>reassessments.</w:t>
      </w:r>
    </w:p>
    <w:p>
      <w:pPr>
        <w:pStyle w:val="Heading1"/>
        <w:ind w:left="359"/>
      </w:pPr>
      <w:r>
        <w:rPr>
          <w:spacing w:val="-2"/>
        </w:rPr>
        <w:t>Response</w:t>
      </w:r>
    </w:p>
    <w:p>
      <w:pPr>
        <w:pStyle w:val="BodyText"/>
        <w:spacing w:line="278" w:lineRule="auto"/>
        <w:ind w:left="359"/>
      </w:pPr>
      <w:r>
        <w:t>The Departments acknowledge this perspective but have determined that a requirement-by-requirement marginal utility analysis would be complex and impractical given data limitations and the interrelated nature of the provisions. The Departments acknowledge the value of post-implementation evaluation and will continue to consider interested parties’</w:t>
      </w:r>
      <w:r>
        <w:rPr>
          <w:spacing w:val="-6"/>
        </w:rPr>
        <w:t xml:space="preserve"> </w:t>
      </w:r>
      <w:r>
        <w:t>feedback and implementation experience in future policymaking efforts. In accordance with Executive Order 12866</w:t>
      </w:r>
      <w:hyperlink w:anchor="_bookmark0" w:history="1">
        <w:r>
          <w:rPr>
            <w:vertAlign w:val="superscript"/>
          </w:rPr>
          <w:t>1</w:t>
        </w:r>
      </w:hyperlink>
      <w:r>
        <w:rPr>
          <w:vertAlign w:val="baseline"/>
        </w:rPr>
        <w:t xml:space="preserve"> and Executive Order 14192</w:t>
      </w:r>
      <w:hyperlink w:anchor="_bookmark1" w:history="1">
        <w:r>
          <w:rPr>
            <w:vertAlign w:val="superscript"/>
          </w:rPr>
          <w:t>2</w:t>
        </w:r>
      </w:hyperlink>
      <w:r>
        <w:rPr>
          <w:vertAlign w:val="baseline"/>
        </w:rPr>
        <w:t>, the Departments have evaluated the overall costs, cost savings</w:t>
      </w:r>
      <w:r>
        <w:rPr>
          <w:spacing w:val="-3"/>
          <w:vertAlign w:val="baseline"/>
        </w:rPr>
        <w:t xml:space="preserve"> </w:t>
      </w:r>
      <w:r>
        <w:rPr>
          <w:vertAlign w:val="baseline"/>
        </w:rPr>
        <w:t>and</w:t>
      </w:r>
      <w:r>
        <w:rPr>
          <w:spacing w:val="-3"/>
          <w:vertAlign w:val="baseline"/>
        </w:rPr>
        <w:t xml:space="preserve"> </w:t>
      </w:r>
      <w:r>
        <w:rPr>
          <w:vertAlign w:val="baseline"/>
        </w:rPr>
        <w:t>benefits</w:t>
      </w:r>
      <w:r>
        <w:rPr>
          <w:spacing w:val="-3"/>
          <w:vertAlign w:val="baseline"/>
        </w:rPr>
        <w:t xml:space="preserve"> </w:t>
      </w:r>
      <w:r>
        <w:rPr>
          <w:vertAlign w:val="baseline"/>
        </w:rPr>
        <w:t>of</w:t>
      </w:r>
      <w:r>
        <w:rPr>
          <w:spacing w:val="-4"/>
          <w:vertAlign w:val="baseline"/>
        </w:rPr>
        <w:t xml:space="preserve"> </w:t>
      </w:r>
      <w:r>
        <w:rPr>
          <w:vertAlign w:val="baseline"/>
        </w:rPr>
        <w:t>the</w:t>
      </w:r>
      <w:r>
        <w:rPr>
          <w:spacing w:val="-4"/>
          <w:vertAlign w:val="baseline"/>
        </w:rPr>
        <w:t xml:space="preserve"> </w:t>
      </w:r>
      <w:r>
        <w:rPr>
          <w:vertAlign w:val="baseline"/>
        </w:rPr>
        <w:t>2026</w:t>
      </w:r>
      <w:r>
        <w:rPr>
          <w:spacing w:val="-3"/>
          <w:vertAlign w:val="baseline"/>
        </w:rPr>
        <w:t xml:space="preserve"> </w:t>
      </w:r>
      <w:r>
        <w:rPr>
          <w:vertAlign w:val="baseline"/>
        </w:rPr>
        <w:t>final</w:t>
      </w:r>
      <w:r>
        <w:rPr>
          <w:spacing w:val="-3"/>
          <w:vertAlign w:val="baseline"/>
        </w:rPr>
        <w:t xml:space="preserve"> </w:t>
      </w:r>
      <w:r>
        <w:rPr>
          <w:vertAlign w:val="baseline"/>
        </w:rPr>
        <w:t>rules</w:t>
      </w:r>
      <w:r>
        <w:rPr>
          <w:spacing w:val="-3"/>
          <w:vertAlign w:val="baseline"/>
        </w:rPr>
        <w:t xml:space="preserve"> </w:t>
      </w:r>
      <w:r>
        <w:rPr>
          <w:vertAlign w:val="baseline"/>
        </w:rPr>
        <w:t>and</w:t>
      </w:r>
      <w:r>
        <w:rPr>
          <w:spacing w:val="-3"/>
          <w:vertAlign w:val="baseline"/>
        </w:rPr>
        <w:t xml:space="preserve"> </w:t>
      </w:r>
      <w:r>
        <w:rPr>
          <w:vertAlign w:val="baseline"/>
        </w:rPr>
        <w:t>determined</w:t>
      </w:r>
      <w:r>
        <w:rPr>
          <w:spacing w:val="-3"/>
          <w:vertAlign w:val="baseline"/>
        </w:rPr>
        <w:t xml:space="preserve"> </w:t>
      </w:r>
      <w:r>
        <w:rPr>
          <w:vertAlign w:val="baseline"/>
        </w:rPr>
        <w:t>that</w:t>
      </w:r>
      <w:r>
        <w:rPr>
          <w:spacing w:val="-3"/>
          <w:vertAlign w:val="baseline"/>
        </w:rPr>
        <w:t xml:space="preserve"> </w:t>
      </w:r>
      <w:r>
        <w:rPr>
          <w:vertAlign w:val="baseline"/>
        </w:rPr>
        <w:t>they</w:t>
      </w:r>
      <w:r>
        <w:rPr>
          <w:spacing w:val="-4"/>
          <w:vertAlign w:val="baseline"/>
        </w:rPr>
        <w:t xml:space="preserve"> </w:t>
      </w:r>
      <w:r>
        <w:rPr>
          <w:vertAlign w:val="baseline"/>
        </w:rPr>
        <w:t>are</w:t>
      </w:r>
      <w:r>
        <w:rPr>
          <w:spacing w:val="-4"/>
          <w:vertAlign w:val="baseline"/>
        </w:rPr>
        <w:t xml:space="preserve"> </w:t>
      </w:r>
      <w:r>
        <w:rPr>
          <w:vertAlign w:val="baseline"/>
        </w:rPr>
        <w:t>expected</w:t>
      </w:r>
      <w:r>
        <w:rPr>
          <w:spacing w:val="-3"/>
          <w:vertAlign w:val="baseline"/>
        </w:rPr>
        <w:t xml:space="preserve"> </w:t>
      </w:r>
      <w:r>
        <w:rPr>
          <w:vertAlign w:val="baseline"/>
        </w:rPr>
        <w:t>to</w:t>
      </w:r>
      <w:r>
        <w:rPr>
          <w:spacing w:val="-3"/>
          <w:vertAlign w:val="baseline"/>
        </w:rPr>
        <w:t xml:space="preserve"> </w:t>
      </w:r>
      <w:r>
        <w:rPr>
          <w:vertAlign w:val="baseline"/>
        </w:rPr>
        <w:t>result</w:t>
      </w:r>
      <w:r>
        <w:rPr>
          <w:spacing w:val="-3"/>
          <w:vertAlign w:val="baseline"/>
        </w:rPr>
        <w:t xml:space="preserve"> </w:t>
      </w:r>
      <w:r>
        <w:rPr>
          <w:vertAlign w:val="baseline"/>
        </w:rPr>
        <w:t>in</w:t>
      </w:r>
      <w:r>
        <w:rPr>
          <w:spacing w:val="-3"/>
          <w:vertAlign w:val="baseline"/>
        </w:rPr>
        <w:t xml:space="preserve"> </w:t>
      </w:r>
      <w:r>
        <w:rPr>
          <w:vertAlign w:val="baseline"/>
        </w:rPr>
        <w:t>net cost savings over time, reflecting that aggregate cost savings outweigh the aggregate costs.</w:t>
      </w:r>
    </w:p>
    <w:p>
      <w:pPr>
        <w:pStyle w:val="Heading1"/>
        <w:spacing w:before="155"/>
      </w:pPr>
      <w:r>
        <w:rPr>
          <w:spacing w:val="-2"/>
          <w:u w:val="single"/>
        </w:rPr>
        <w:t>Comment</w:t>
      </w:r>
    </w:p>
    <w:p>
      <w:pPr>
        <w:pStyle w:val="BodyText"/>
        <w:spacing w:line="278" w:lineRule="auto"/>
        <w:ind w:right="29"/>
      </w:pPr>
      <w:r>
        <w:t>One</w:t>
      </w:r>
      <w:r>
        <w:rPr>
          <w:spacing w:val="-6"/>
        </w:rPr>
        <w:t xml:space="preserve"> </w:t>
      </w:r>
      <w:r>
        <w:t>commenter</w:t>
      </w:r>
      <w:r>
        <w:rPr>
          <w:spacing w:val="-6"/>
        </w:rPr>
        <w:t xml:space="preserve"> </w:t>
      </w:r>
      <w:r>
        <w:t>urged</w:t>
      </w:r>
      <w:r>
        <w:rPr>
          <w:spacing w:val="-5"/>
        </w:rPr>
        <w:t xml:space="preserve"> </w:t>
      </w:r>
      <w:r>
        <w:t>the</w:t>
      </w:r>
      <w:r>
        <w:rPr>
          <w:spacing w:val="-6"/>
        </w:rPr>
        <w:t xml:space="preserve"> </w:t>
      </w:r>
      <w:r>
        <w:t>Departments</w:t>
      </w:r>
      <w:r>
        <w:rPr>
          <w:spacing w:val="-5"/>
        </w:rPr>
        <w:t xml:space="preserve"> </w:t>
      </w:r>
      <w:r>
        <w:t>to</w:t>
      </w:r>
      <w:r>
        <w:rPr>
          <w:spacing w:val="-5"/>
        </w:rPr>
        <w:t xml:space="preserve"> </w:t>
      </w:r>
      <w:r>
        <w:t>consider</w:t>
      </w:r>
      <w:r>
        <w:rPr>
          <w:spacing w:val="-6"/>
        </w:rPr>
        <w:t xml:space="preserve"> </w:t>
      </w:r>
      <w:r>
        <w:t>the</w:t>
      </w:r>
      <w:r>
        <w:rPr>
          <w:spacing w:val="-6"/>
        </w:rPr>
        <w:t xml:space="preserve"> </w:t>
      </w:r>
      <w:r>
        <w:t>rule’s</w:t>
      </w:r>
      <w:r>
        <w:rPr>
          <w:spacing w:val="-5"/>
        </w:rPr>
        <w:t xml:space="preserve"> </w:t>
      </w:r>
      <w:r>
        <w:t>impact</w:t>
      </w:r>
      <w:r>
        <w:rPr>
          <w:spacing w:val="-5"/>
        </w:rPr>
        <w:t xml:space="preserve"> </w:t>
      </w:r>
      <w:r>
        <w:t>on</w:t>
      </w:r>
      <w:r>
        <w:rPr>
          <w:spacing w:val="-5"/>
        </w:rPr>
        <w:t xml:space="preserve"> </w:t>
      </w:r>
      <w:r>
        <w:t>physicians,</w:t>
      </w:r>
      <w:r>
        <w:rPr>
          <w:spacing w:val="-5"/>
        </w:rPr>
        <w:t xml:space="preserve"> </w:t>
      </w:r>
      <w:r>
        <w:t>particularly solo and small physician practices, and explore future actions to address policies that may increase costs and limit access to care.</w:t>
      </w:r>
    </w:p>
    <w:p>
      <w:pPr>
        <w:pStyle w:val="Heading1"/>
      </w:pPr>
      <w:r>
        <w:rPr>
          <w:spacing w:val="-2"/>
        </w:rPr>
        <w:t>Response</w:t>
      </w:r>
    </w:p>
    <w:p>
      <w:pPr>
        <w:pStyle w:val="BodyText"/>
        <w:spacing w:line="278" w:lineRule="auto"/>
      </w:pPr>
      <w:r>
        <w:t>The</w:t>
      </w:r>
      <w:r>
        <w:rPr>
          <w:spacing w:val="-4"/>
        </w:rPr>
        <w:t xml:space="preserve"> </w:t>
      </w:r>
      <w:r>
        <w:t>Departments</w:t>
      </w:r>
      <w:r>
        <w:rPr>
          <w:spacing w:val="-3"/>
        </w:rPr>
        <w:t xml:space="preserve"> </w:t>
      </w:r>
      <w:r>
        <w:t>acknowledge</w:t>
      </w:r>
      <w:r>
        <w:rPr>
          <w:spacing w:val="-4"/>
        </w:rPr>
        <w:t xml:space="preserve"> </w:t>
      </w:r>
      <w:r>
        <w:t>this</w:t>
      </w:r>
      <w:r>
        <w:rPr>
          <w:spacing w:val="-3"/>
        </w:rPr>
        <w:t xml:space="preserve"> </w:t>
      </w:r>
      <w:r>
        <w:t>concern</w:t>
      </w:r>
      <w:r>
        <w:rPr>
          <w:spacing w:val="-3"/>
        </w:rPr>
        <w:t xml:space="preserve"> </w:t>
      </w:r>
      <w:r>
        <w:t>but</w:t>
      </w:r>
      <w:r>
        <w:rPr>
          <w:spacing w:val="-1"/>
        </w:rPr>
        <w:t xml:space="preserve"> </w:t>
      </w:r>
      <w:r>
        <w:t>note</w:t>
      </w:r>
      <w:r>
        <w:rPr>
          <w:spacing w:val="-4"/>
        </w:rPr>
        <w:t xml:space="preserve"> </w:t>
      </w:r>
      <w:r>
        <w:t>that</w:t>
      </w:r>
      <w:r>
        <w:rPr>
          <w:spacing w:val="-3"/>
        </w:rPr>
        <w:t xml:space="preserve"> </w:t>
      </w:r>
      <w:r>
        <w:t>the</w:t>
      </w:r>
      <w:r>
        <w:rPr>
          <w:spacing w:val="-4"/>
        </w:rPr>
        <w:t xml:space="preserve"> </w:t>
      </w:r>
      <w:r>
        <w:t>2026</w:t>
      </w:r>
      <w:r>
        <w:rPr>
          <w:spacing w:val="-3"/>
        </w:rPr>
        <w:t xml:space="preserve"> </w:t>
      </w:r>
      <w:r>
        <w:t>final</w:t>
      </w:r>
      <w:r>
        <w:rPr>
          <w:spacing w:val="-3"/>
        </w:rPr>
        <w:t xml:space="preserve"> </w:t>
      </w:r>
      <w:r>
        <w:t>rules</w:t>
      </w:r>
      <w:r>
        <w:rPr>
          <w:spacing w:val="-3"/>
        </w:rPr>
        <w:t xml:space="preserve"> </w:t>
      </w:r>
      <w:r>
        <w:t>apply</w:t>
      </w:r>
      <w:r>
        <w:rPr>
          <w:spacing w:val="-3"/>
        </w:rPr>
        <w:t xml:space="preserve"> </w:t>
      </w:r>
      <w:r>
        <w:t>to</w:t>
      </w:r>
      <w:r>
        <w:rPr>
          <w:spacing w:val="-3"/>
        </w:rPr>
        <w:t xml:space="preserve"> </w:t>
      </w:r>
      <w:r>
        <w:t>plans</w:t>
      </w:r>
      <w:r>
        <w:rPr>
          <w:spacing w:val="-3"/>
        </w:rPr>
        <w:t xml:space="preserve"> </w:t>
      </w:r>
      <w:r>
        <w:t>and issuers rather than providers. The potential impact on applicable small entities is addressed in section V.F. of the preamble to the 2026 final rules.</w:t>
      </w:r>
    </w:p>
    <w:p>
      <w:pPr>
        <w:pStyle w:val="BodyText"/>
        <w:spacing w:before="161" w:line="278" w:lineRule="auto"/>
        <w:ind w:left="359" w:right="71"/>
      </w:pPr>
      <w:r>
        <w:t>Taking</w:t>
      </w:r>
      <w:r>
        <w:rPr>
          <w:spacing w:val="-4"/>
        </w:rPr>
        <w:t xml:space="preserve"> </w:t>
      </w:r>
      <w:r>
        <w:t>these</w:t>
      </w:r>
      <w:r>
        <w:rPr>
          <w:spacing w:val="-5"/>
        </w:rPr>
        <w:t xml:space="preserve"> </w:t>
      </w:r>
      <w:r>
        <w:t>considerations</w:t>
      </w:r>
      <w:r>
        <w:rPr>
          <w:spacing w:val="-4"/>
        </w:rPr>
        <w:t xml:space="preserve"> </w:t>
      </w:r>
      <w:r>
        <w:t>into</w:t>
      </w:r>
      <w:r>
        <w:rPr>
          <w:spacing w:val="-4"/>
        </w:rPr>
        <w:t xml:space="preserve"> </w:t>
      </w:r>
      <w:r>
        <w:t>account,</w:t>
      </w:r>
      <w:r>
        <w:rPr>
          <w:spacing w:val="-4"/>
        </w:rPr>
        <w:t xml:space="preserve"> </w:t>
      </w:r>
      <w:r>
        <w:t>the</w:t>
      </w:r>
      <w:r>
        <w:rPr>
          <w:spacing w:val="-5"/>
        </w:rPr>
        <w:t xml:space="preserve"> </w:t>
      </w:r>
      <w:r>
        <w:t>Departments</w:t>
      </w:r>
      <w:r>
        <w:rPr>
          <w:spacing w:val="-4"/>
        </w:rPr>
        <w:t xml:space="preserve"> </w:t>
      </w:r>
      <w:r>
        <w:t>have</w:t>
      </w:r>
      <w:r>
        <w:rPr>
          <w:spacing w:val="-5"/>
        </w:rPr>
        <w:t xml:space="preserve"> </w:t>
      </w:r>
      <w:r>
        <w:t>evaluated</w:t>
      </w:r>
      <w:r>
        <w:rPr>
          <w:spacing w:val="-4"/>
        </w:rPr>
        <w:t xml:space="preserve"> </w:t>
      </w:r>
      <w:r>
        <w:t>these</w:t>
      </w:r>
      <w:r>
        <w:rPr>
          <w:spacing w:val="-5"/>
        </w:rPr>
        <w:t xml:space="preserve"> </w:t>
      </w:r>
      <w:r>
        <w:t>final</w:t>
      </w:r>
      <w:r>
        <w:rPr>
          <w:spacing w:val="-4"/>
        </w:rPr>
        <w:t xml:space="preserve"> </w:t>
      </w:r>
      <w:r>
        <w:t>rules</w:t>
      </w:r>
      <w:r>
        <w:rPr>
          <w:spacing w:val="-4"/>
        </w:rPr>
        <w:t xml:space="preserve"> </w:t>
      </w:r>
      <w:r>
        <w:t>in</w:t>
      </w:r>
      <w:r>
        <w:rPr>
          <w:spacing w:val="-4"/>
        </w:rPr>
        <w:t xml:space="preserve"> </w:t>
      </w:r>
      <w:r>
        <w:t>the broader context of their anticipated effects, including overall costs and benefits. The Departments</w:t>
      </w:r>
      <w:r>
        <w:rPr>
          <w:spacing w:val="-3"/>
        </w:rPr>
        <w:t xml:space="preserve"> </w:t>
      </w:r>
      <w:r>
        <w:t>have</w:t>
      </w:r>
      <w:r>
        <w:rPr>
          <w:spacing w:val="-4"/>
        </w:rPr>
        <w:t xml:space="preserve"> </w:t>
      </w:r>
      <w:r>
        <w:t>determined</w:t>
      </w:r>
      <w:r>
        <w:rPr>
          <w:spacing w:val="-3"/>
        </w:rPr>
        <w:t xml:space="preserve"> </w:t>
      </w:r>
      <w:r>
        <w:t>that</w:t>
      </w:r>
      <w:r>
        <w:rPr>
          <w:spacing w:val="-3"/>
        </w:rPr>
        <w:t xml:space="preserve"> </w:t>
      </w:r>
      <w:r>
        <w:t>these</w:t>
      </w:r>
      <w:r>
        <w:rPr>
          <w:spacing w:val="-4"/>
        </w:rPr>
        <w:t xml:space="preserve"> </w:t>
      </w:r>
      <w:r>
        <w:t>final</w:t>
      </w:r>
      <w:r>
        <w:rPr>
          <w:spacing w:val="-3"/>
        </w:rPr>
        <w:t xml:space="preserve"> </w:t>
      </w:r>
      <w:r>
        <w:t>rules</w:t>
      </w:r>
      <w:r>
        <w:rPr>
          <w:spacing w:val="-3"/>
        </w:rPr>
        <w:t xml:space="preserve"> </w:t>
      </w:r>
      <w:r>
        <w:t>will</w:t>
      </w:r>
      <w:r>
        <w:rPr>
          <w:spacing w:val="-3"/>
        </w:rPr>
        <w:t xml:space="preserve"> </w:t>
      </w:r>
      <w:r>
        <w:t>improve</w:t>
      </w:r>
      <w:r>
        <w:rPr>
          <w:spacing w:val="-4"/>
        </w:rPr>
        <w:t xml:space="preserve"> </w:t>
      </w:r>
      <w:r>
        <w:t>transparency</w:t>
      </w:r>
      <w:r>
        <w:rPr>
          <w:spacing w:val="-3"/>
        </w:rPr>
        <w:t xml:space="preserve"> </w:t>
      </w:r>
      <w:r>
        <w:t>and</w:t>
      </w:r>
      <w:r>
        <w:rPr>
          <w:spacing w:val="-3"/>
        </w:rPr>
        <w:t xml:space="preserve"> </w:t>
      </w:r>
      <w:r>
        <w:t>promote</w:t>
      </w:r>
      <w:r>
        <w:rPr>
          <w:spacing w:val="-4"/>
        </w:rPr>
        <w:t xml:space="preserve"> </w:t>
      </w:r>
      <w:r>
        <w:t>more efficient markets, support informed decision-making, and help mitigate potential cost pass-through</w:t>
      </w:r>
      <w:r>
        <w:rPr>
          <w:spacing w:val="-1"/>
        </w:rPr>
        <w:t xml:space="preserve"> </w:t>
      </w:r>
      <w:r>
        <w:t>to</w:t>
      </w:r>
      <w:r>
        <w:rPr>
          <w:spacing w:val="-1"/>
        </w:rPr>
        <w:t xml:space="preserve"> </w:t>
      </w:r>
      <w:r>
        <w:t>consumers</w:t>
      </w:r>
      <w:r>
        <w:rPr>
          <w:spacing w:val="-1"/>
        </w:rPr>
        <w:t xml:space="preserve"> </w:t>
      </w:r>
      <w:r>
        <w:t>over</w:t>
      </w:r>
      <w:r>
        <w:rPr>
          <w:spacing w:val="-2"/>
        </w:rPr>
        <w:t xml:space="preserve"> </w:t>
      </w:r>
      <w:r>
        <w:t>time.</w:t>
      </w:r>
      <w:r>
        <w:rPr>
          <w:spacing w:val="-1"/>
        </w:rPr>
        <w:t xml:space="preserve"> </w:t>
      </w:r>
      <w:r>
        <w:t>Furthermore, as discussed</w:t>
      </w:r>
      <w:r>
        <w:rPr>
          <w:spacing w:val="-1"/>
        </w:rPr>
        <w:t xml:space="preserve"> </w:t>
      </w:r>
      <w:r>
        <w:t>in</w:t>
      </w:r>
      <w:r>
        <w:rPr>
          <w:spacing w:val="-1"/>
        </w:rPr>
        <w:t xml:space="preserve"> </w:t>
      </w:r>
      <w:r>
        <w:t>section</w:t>
      </w:r>
      <w:r>
        <w:rPr>
          <w:spacing w:val="-6"/>
        </w:rPr>
        <w:t xml:space="preserve"> </w:t>
      </w:r>
      <w:r>
        <w:t>V.I. of</w:t>
      </w:r>
      <w:r>
        <w:rPr>
          <w:spacing w:val="-2"/>
        </w:rPr>
        <w:t xml:space="preserve"> </w:t>
      </w:r>
      <w:r>
        <w:t>the</w:t>
      </w:r>
      <w:r>
        <w:rPr>
          <w:spacing w:val="-2"/>
        </w:rPr>
        <w:t xml:space="preserve"> </w:t>
      </w:r>
      <w:r>
        <w:t>preamble</w:t>
      </w:r>
      <w:r>
        <w:rPr>
          <w:spacing w:val="-2"/>
        </w:rPr>
        <w:t xml:space="preserve"> </w:t>
      </w:r>
      <w:r>
        <w:t>to</w:t>
      </w:r>
      <w:r>
        <w:rPr>
          <w:spacing w:val="-1"/>
        </w:rPr>
        <w:t xml:space="preserve"> </w:t>
      </w:r>
      <w:r>
        <w:t>the</w:t>
      </w:r>
    </w:p>
    <w:p>
      <w:pPr>
        <w:pStyle w:val="BodyText"/>
        <w:spacing w:before="99"/>
        <w:ind w:left="0"/>
        <w:rPr>
          <w:sz w:val="20"/>
        </w:rPr>
      </w:pPr>
      <w:r>
        <w:rPr>
          <w:sz w:val="20"/>
        </w:rPr>
        <mc:AlternateContent>
          <mc:Choice Requires="wps">
            <w:drawing>
              <wp:anchor distT="0" distB="0" distL="0" distR="0" simplePos="0" relativeHeight="251658240" behindDoc="1" locked="0" layoutInCell="1" allowOverlap="1">
                <wp:simplePos x="0" y="0"/>
                <wp:positionH relativeFrom="page">
                  <wp:posOffset>914400</wp:posOffset>
                </wp:positionH>
                <wp:positionV relativeFrom="paragraph">
                  <wp:posOffset>224702</wp:posOffset>
                </wp:positionV>
                <wp:extent cx="1828800" cy="7620"/>
                <wp:effectExtent l="0" t="0" r="0" b="0"/>
                <wp:wrapTopAndBottom/>
                <wp:docPr id="2" name="Graphic 2"/>
                <wp:cNvGraphicFramePr/>
                <a:graphic xmlns:a="http://schemas.openxmlformats.org/drawingml/2006/main">
                  <a:graphicData uri="http://schemas.microsoft.com/office/word/2010/wordprocessingShape">
                    <wps:wsp xmlns:wps="http://schemas.microsoft.com/office/word/2010/wordprocessingShape">
                      <wps:cNvSpPr/>
                      <wps:spPr>
                        <a:xfrm>
                          <a:off x="0" y="0"/>
                          <a:ext cx="1828800" cy="7620"/>
                        </a:xfrm>
                        <a:custGeom>
                          <a:avLst/>
                          <a:gdLst/>
                          <a:rect l="l" t="t" r="r" b="b"/>
                          <a:pathLst>
                            <a:path fill="norm" h="7620" w="1828800" stroke="1">
                              <a:moveTo>
                                <a:pt x="1828800" y="0"/>
                              </a:moveTo>
                              <a:lnTo>
                                <a:pt x="0" y="0"/>
                              </a:lnTo>
                              <a:lnTo>
                                <a:pt x="0" y="7607"/>
                              </a:lnTo>
                              <a:lnTo>
                                <a:pt x="1828800" y="7607"/>
                              </a:lnTo>
                              <a:lnTo>
                                <a:pt x="1828800" y="0"/>
                              </a:lnTo>
                              <a:close/>
                            </a:path>
                          </a:pathLst>
                        </a:custGeom>
                        <a:solidFill>
                          <a:srgbClr val="000000"/>
                        </a:solidFill>
                      </wps:spPr>
                      <wps:bodyPr wrap="square" lIns="0" tIns="0" rIns="0" bIns="0" rtlCol="0">
                        <a:prstTxWarp prst="textNoShape">
                          <a:avLst/>
                        </a:prstTxWarp>
                      </wps:bodyPr>
                    </wps:wsp>
                  </a:graphicData>
                </a:graphic>
              </wp:anchor>
            </w:drawing>
          </mc:Choice>
          <mc:Fallback>
            <w:pict>
              <v:rect id="_x0000_s1025" style="width:2in;height:0.6pt;margin-top:17.69pt;margin-left:1in;mso-position-horizontal-relative:page;mso-wrap-distance-left:0;mso-wrap-distance-right:0;position:absolute;z-index:-251657216" filled="t" fillcolor="black" stroked="f">
                <v:fill type="solid"/>
                <w10:wrap type="topAndBottom"/>
              </v:rect>
            </w:pict>
          </mc:Fallback>
        </mc:AlternateContent>
      </w:r>
    </w:p>
    <w:p>
      <w:pPr>
        <w:spacing w:before="142"/>
        <w:ind w:left="360" w:right="0" w:firstLine="0"/>
        <w:jc w:val="left"/>
        <w:rPr>
          <w:sz w:val="20"/>
        </w:rPr>
      </w:pPr>
      <w:bookmarkStart w:id="1" w:name="_bookmark0"/>
      <w:bookmarkEnd w:id="1"/>
      <w:r>
        <w:rPr>
          <w:sz w:val="20"/>
          <w:vertAlign w:val="superscript"/>
        </w:rPr>
        <w:t>1</w:t>
      </w:r>
      <w:r>
        <w:rPr>
          <w:spacing w:val="-4"/>
          <w:sz w:val="20"/>
          <w:vertAlign w:val="baseline"/>
        </w:rPr>
        <w:t xml:space="preserve"> </w:t>
      </w:r>
      <w:r>
        <w:rPr>
          <w:sz w:val="20"/>
          <w:vertAlign w:val="baseline"/>
        </w:rPr>
        <w:t>Exec.</w:t>
      </w:r>
      <w:r>
        <w:rPr>
          <w:spacing w:val="-2"/>
          <w:sz w:val="20"/>
          <w:vertAlign w:val="baseline"/>
        </w:rPr>
        <w:t xml:space="preserve"> </w:t>
      </w:r>
      <w:r>
        <w:rPr>
          <w:sz w:val="20"/>
          <w:vertAlign w:val="baseline"/>
        </w:rPr>
        <w:t>Order</w:t>
      </w:r>
      <w:r>
        <w:rPr>
          <w:spacing w:val="-2"/>
          <w:sz w:val="20"/>
          <w:vertAlign w:val="baseline"/>
        </w:rPr>
        <w:t xml:space="preserve"> </w:t>
      </w:r>
      <w:r>
        <w:rPr>
          <w:sz w:val="20"/>
          <w:vertAlign w:val="baseline"/>
        </w:rPr>
        <w:t>No.</w:t>
      </w:r>
      <w:r>
        <w:rPr>
          <w:spacing w:val="-6"/>
          <w:sz w:val="20"/>
          <w:vertAlign w:val="baseline"/>
        </w:rPr>
        <w:t xml:space="preserve"> </w:t>
      </w:r>
      <w:r>
        <w:rPr>
          <w:sz w:val="20"/>
          <w:vertAlign w:val="baseline"/>
        </w:rPr>
        <w:t>12866,</w:t>
      </w:r>
      <w:r>
        <w:rPr>
          <w:spacing w:val="-5"/>
          <w:sz w:val="20"/>
          <w:vertAlign w:val="baseline"/>
        </w:rPr>
        <w:t xml:space="preserve"> </w:t>
      </w:r>
      <w:r>
        <w:rPr>
          <w:sz w:val="20"/>
          <w:vertAlign w:val="baseline"/>
        </w:rPr>
        <w:t>58</w:t>
      </w:r>
      <w:r>
        <w:rPr>
          <w:spacing w:val="-2"/>
          <w:sz w:val="20"/>
          <w:vertAlign w:val="baseline"/>
        </w:rPr>
        <w:t xml:space="preserve"> </w:t>
      </w:r>
      <w:r>
        <w:rPr>
          <w:sz w:val="20"/>
          <w:vertAlign w:val="baseline"/>
        </w:rPr>
        <w:t>FR</w:t>
      </w:r>
      <w:r>
        <w:rPr>
          <w:spacing w:val="-4"/>
          <w:sz w:val="20"/>
          <w:vertAlign w:val="baseline"/>
        </w:rPr>
        <w:t xml:space="preserve"> </w:t>
      </w:r>
      <w:r>
        <w:rPr>
          <w:sz w:val="20"/>
          <w:vertAlign w:val="baseline"/>
        </w:rPr>
        <w:t>51735</w:t>
      </w:r>
      <w:r>
        <w:rPr>
          <w:spacing w:val="-5"/>
          <w:sz w:val="20"/>
          <w:vertAlign w:val="baseline"/>
        </w:rPr>
        <w:t xml:space="preserve"> </w:t>
      </w:r>
      <w:r>
        <w:rPr>
          <w:sz w:val="20"/>
          <w:vertAlign w:val="baseline"/>
        </w:rPr>
        <w:t>(September</w:t>
      </w:r>
      <w:r>
        <w:rPr>
          <w:spacing w:val="-5"/>
          <w:sz w:val="20"/>
          <w:vertAlign w:val="baseline"/>
        </w:rPr>
        <w:t xml:space="preserve"> </w:t>
      </w:r>
      <w:r>
        <w:rPr>
          <w:sz w:val="20"/>
          <w:vertAlign w:val="baseline"/>
        </w:rPr>
        <w:t>30,</w:t>
      </w:r>
      <w:r>
        <w:rPr>
          <w:spacing w:val="-5"/>
          <w:sz w:val="20"/>
          <w:vertAlign w:val="baseline"/>
        </w:rPr>
        <w:t xml:space="preserve"> </w:t>
      </w:r>
      <w:r>
        <w:rPr>
          <w:spacing w:val="-2"/>
          <w:sz w:val="20"/>
          <w:vertAlign w:val="baseline"/>
        </w:rPr>
        <w:t>1993).</w:t>
      </w:r>
    </w:p>
    <w:p>
      <w:pPr>
        <w:spacing w:before="0"/>
        <w:ind w:left="360" w:right="0" w:firstLine="0"/>
        <w:jc w:val="left"/>
        <w:rPr>
          <w:sz w:val="20"/>
        </w:rPr>
      </w:pPr>
      <w:bookmarkStart w:id="2" w:name="_bookmark1"/>
      <w:bookmarkEnd w:id="2"/>
      <w:r>
        <w:rPr>
          <w:sz w:val="20"/>
          <w:vertAlign w:val="superscript"/>
        </w:rPr>
        <w:t>2</w:t>
      </w:r>
      <w:r>
        <w:rPr>
          <w:spacing w:val="-4"/>
          <w:sz w:val="20"/>
          <w:vertAlign w:val="baseline"/>
        </w:rPr>
        <w:t xml:space="preserve"> </w:t>
      </w:r>
      <w:r>
        <w:rPr>
          <w:sz w:val="20"/>
          <w:vertAlign w:val="baseline"/>
        </w:rPr>
        <w:t>Exec.</w:t>
      </w:r>
      <w:r>
        <w:rPr>
          <w:spacing w:val="-2"/>
          <w:sz w:val="20"/>
          <w:vertAlign w:val="baseline"/>
        </w:rPr>
        <w:t xml:space="preserve"> </w:t>
      </w:r>
      <w:r>
        <w:rPr>
          <w:sz w:val="20"/>
          <w:vertAlign w:val="baseline"/>
        </w:rPr>
        <w:t>Order</w:t>
      </w:r>
      <w:r>
        <w:rPr>
          <w:spacing w:val="-3"/>
          <w:sz w:val="20"/>
          <w:vertAlign w:val="baseline"/>
        </w:rPr>
        <w:t xml:space="preserve"> </w:t>
      </w:r>
      <w:r>
        <w:rPr>
          <w:sz w:val="20"/>
          <w:vertAlign w:val="baseline"/>
        </w:rPr>
        <w:t>No.</w:t>
      </w:r>
      <w:r>
        <w:rPr>
          <w:spacing w:val="-5"/>
          <w:sz w:val="20"/>
          <w:vertAlign w:val="baseline"/>
        </w:rPr>
        <w:t xml:space="preserve"> </w:t>
      </w:r>
      <w:r>
        <w:rPr>
          <w:sz w:val="20"/>
          <w:vertAlign w:val="baseline"/>
        </w:rPr>
        <w:t>14192,</w:t>
      </w:r>
      <w:r>
        <w:rPr>
          <w:spacing w:val="-5"/>
          <w:sz w:val="20"/>
          <w:vertAlign w:val="baseline"/>
        </w:rPr>
        <w:t xml:space="preserve"> </w:t>
      </w:r>
      <w:r>
        <w:rPr>
          <w:sz w:val="20"/>
          <w:vertAlign w:val="baseline"/>
        </w:rPr>
        <w:t>90</w:t>
      </w:r>
      <w:r>
        <w:rPr>
          <w:spacing w:val="-2"/>
          <w:sz w:val="20"/>
          <w:vertAlign w:val="baseline"/>
        </w:rPr>
        <w:t xml:space="preserve"> </w:t>
      </w:r>
      <w:r>
        <w:rPr>
          <w:sz w:val="20"/>
          <w:vertAlign w:val="baseline"/>
        </w:rPr>
        <w:t>FR</w:t>
      </w:r>
      <w:r>
        <w:rPr>
          <w:spacing w:val="-5"/>
          <w:sz w:val="20"/>
          <w:vertAlign w:val="baseline"/>
        </w:rPr>
        <w:t xml:space="preserve"> </w:t>
      </w:r>
      <w:r>
        <w:rPr>
          <w:sz w:val="20"/>
          <w:vertAlign w:val="baseline"/>
        </w:rPr>
        <w:t>9065</w:t>
      </w:r>
      <w:r>
        <w:rPr>
          <w:spacing w:val="-2"/>
          <w:sz w:val="20"/>
          <w:vertAlign w:val="baseline"/>
        </w:rPr>
        <w:t xml:space="preserve"> </w:t>
      </w:r>
      <w:r>
        <w:rPr>
          <w:sz w:val="20"/>
          <w:vertAlign w:val="baseline"/>
        </w:rPr>
        <w:t>(January</w:t>
      </w:r>
      <w:r>
        <w:rPr>
          <w:spacing w:val="-4"/>
          <w:sz w:val="20"/>
          <w:vertAlign w:val="baseline"/>
        </w:rPr>
        <w:t xml:space="preserve"> </w:t>
      </w:r>
      <w:r>
        <w:rPr>
          <w:sz w:val="20"/>
          <w:vertAlign w:val="baseline"/>
        </w:rPr>
        <w:t>31,</w:t>
      </w:r>
      <w:r>
        <w:rPr>
          <w:spacing w:val="-6"/>
          <w:sz w:val="20"/>
          <w:vertAlign w:val="baseline"/>
        </w:rPr>
        <w:t xml:space="preserve"> </w:t>
      </w:r>
      <w:r>
        <w:rPr>
          <w:spacing w:val="-2"/>
          <w:sz w:val="20"/>
          <w:vertAlign w:val="baseline"/>
        </w:rPr>
        <w:t>2025).</w:t>
      </w:r>
    </w:p>
    <w:p>
      <w:pPr>
        <w:spacing w:after="0"/>
        <w:jc w:val="left"/>
        <w:rPr>
          <w:sz w:val="20"/>
        </w:rPr>
        <w:sectPr>
          <w:pgSz w:w="12240" w:h="15840"/>
          <w:pgMar w:top="1360" w:right="1440" w:bottom="1260" w:left="1080" w:header="0" w:footer="1079"/>
          <w:cols w:space="720"/>
        </w:sectPr>
      </w:pPr>
    </w:p>
    <w:p>
      <w:pPr>
        <w:pStyle w:val="BodyText"/>
        <w:spacing w:before="79" w:line="278" w:lineRule="auto"/>
      </w:pPr>
      <w:r>
        <w:t>2026 final rules, the Departments expect the requirements in these final rules to yield net cost savings over the long term. Therefore, the Departments have determined that these final rules, and</w:t>
      </w:r>
      <w:r>
        <w:rPr>
          <w:spacing w:val="-3"/>
        </w:rPr>
        <w:t xml:space="preserve"> </w:t>
      </w:r>
      <w:r>
        <w:t>the</w:t>
      </w:r>
      <w:r>
        <w:rPr>
          <w:spacing w:val="-4"/>
        </w:rPr>
        <w:t xml:space="preserve"> </w:t>
      </w:r>
      <w:r>
        <w:t>refinements</w:t>
      </w:r>
      <w:r>
        <w:rPr>
          <w:spacing w:val="-3"/>
        </w:rPr>
        <w:t xml:space="preserve"> </w:t>
      </w:r>
      <w:r>
        <w:t>made</w:t>
      </w:r>
      <w:r>
        <w:rPr>
          <w:spacing w:val="-4"/>
        </w:rPr>
        <w:t xml:space="preserve"> </w:t>
      </w:r>
      <w:r>
        <w:t>in</w:t>
      </w:r>
      <w:r>
        <w:rPr>
          <w:spacing w:val="-3"/>
        </w:rPr>
        <w:t xml:space="preserve"> </w:t>
      </w:r>
      <w:r>
        <w:t>response</w:t>
      </w:r>
      <w:r>
        <w:rPr>
          <w:spacing w:val="-4"/>
        </w:rPr>
        <w:t xml:space="preserve"> </w:t>
      </w:r>
      <w:r>
        <w:t>to</w:t>
      </w:r>
      <w:r>
        <w:rPr>
          <w:spacing w:val="-3"/>
        </w:rPr>
        <w:t xml:space="preserve"> </w:t>
      </w:r>
      <w:r>
        <w:t>comments,</w:t>
      </w:r>
      <w:r>
        <w:rPr>
          <w:spacing w:val="-3"/>
        </w:rPr>
        <w:t xml:space="preserve"> </w:t>
      </w:r>
      <w:r>
        <w:t>appropriately</w:t>
      </w:r>
      <w:r>
        <w:rPr>
          <w:spacing w:val="-3"/>
        </w:rPr>
        <w:t xml:space="preserve"> </w:t>
      </w:r>
      <w:r>
        <w:t>balance</w:t>
      </w:r>
      <w:r>
        <w:rPr>
          <w:spacing w:val="-4"/>
        </w:rPr>
        <w:t xml:space="preserve"> </w:t>
      </w:r>
      <w:r>
        <w:t>the</w:t>
      </w:r>
      <w:r>
        <w:rPr>
          <w:spacing w:val="-4"/>
        </w:rPr>
        <w:t xml:space="preserve"> </w:t>
      </w:r>
      <w:r>
        <w:t>goal</w:t>
      </w:r>
      <w:r>
        <w:rPr>
          <w:spacing w:val="-3"/>
        </w:rPr>
        <w:t xml:space="preserve"> </w:t>
      </w:r>
      <w:r>
        <w:t>of</w:t>
      </w:r>
      <w:r>
        <w:rPr>
          <w:spacing w:val="-4"/>
        </w:rPr>
        <w:t xml:space="preserve"> </w:t>
      </w:r>
      <w:r>
        <w:t>minimizing administrative burden with maximizing the impact and value of transparency requirements.</w:t>
      </w:r>
    </w:p>
    <w:p>
      <w:pPr>
        <w:pStyle w:val="Heading1"/>
        <w:spacing w:before="157"/>
      </w:pPr>
      <w:r>
        <w:rPr>
          <w:spacing w:val="-2"/>
          <w:u w:val="single"/>
        </w:rPr>
        <w:t>Comment</w:t>
      </w:r>
    </w:p>
    <w:p>
      <w:pPr>
        <w:pStyle w:val="BodyText"/>
        <w:spacing w:line="280" w:lineRule="auto"/>
      </w:pPr>
      <w:r>
        <w:t>A</w:t>
      </w:r>
      <w:r>
        <w:rPr>
          <w:spacing w:val="-15"/>
        </w:rPr>
        <w:t xml:space="preserve"> </w:t>
      </w:r>
      <w:r>
        <w:t>few</w:t>
      </w:r>
      <w:r>
        <w:rPr>
          <w:spacing w:val="-9"/>
        </w:rPr>
        <w:t xml:space="preserve"> </w:t>
      </w:r>
      <w:r>
        <w:t>commenters</w:t>
      </w:r>
      <w:r>
        <w:rPr>
          <w:spacing w:val="-2"/>
        </w:rPr>
        <w:t xml:space="preserve"> </w:t>
      </w:r>
      <w:r>
        <w:t>recommended</w:t>
      </w:r>
      <w:r>
        <w:rPr>
          <w:spacing w:val="-4"/>
        </w:rPr>
        <w:t xml:space="preserve"> </w:t>
      </w:r>
      <w:r>
        <w:t>that</w:t>
      </w:r>
      <w:r>
        <w:rPr>
          <w:spacing w:val="-4"/>
        </w:rPr>
        <w:t xml:space="preserve"> </w:t>
      </w:r>
      <w:r>
        <w:t>the</w:t>
      </w:r>
      <w:r>
        <w:rPr>
          <w:spacing w:val="-5"/>
        </w:rPr>
        <w:t xml:space="preserve"> </w:t>
      </w:r>
      <w:r>
        <w:t>Departments’</w:t>
      </w:r>
      <w:r>
        <w:rPr>
          <w:spacing w:val="-18"/>
        </w:rPr>
        <w:t xml:space="preserve"> </w:t>
      </w:r>
      <w:r>
        <w:t>burden</w:t>
      </w:r>
      <w:r>
        <w:rPr>
          <w:spacing w:val="-4"/>
        </w:rPr>
        <w:t xml:space="preserve"> </w:t>
      </w:r>
      <w:r>
        <w:t>estimates</w:t>
      </w:r>
      <w:r>
        <w:rPr>
          <w:spacing w:val="-4"/>
        </w:rPr>
        <w:t xml:space="preserve"> </w:t>
      </w:r>
      <w:r>
        <w:t>reflect</w:t>
      </w:r>
      <w:r>
        <w:rPr>
          <w:spacing w:val="-4"/>
        </w:rPr>
        <w:t xml:space="preserve"> </w:t>
      </w:r>
      <w:r>
        <w:t>prevailing</w:t>
      </w:r>
      <w:r>
        <w:rPr>
          <w:spacing w:val="-4"/>
        </w:rPr>
        <w:t xml:space="preserve"> </w:t>
      </w:r>
      <w:r>
        <w:t>wage rates for relevant personnel.</w:t>
      </w:r>
    </w:p>
    <w:p>
      <w:pPr>
        <w:pStyle w:val="Heading1"/>
        <w:spacing w:before="153"/>
      </w:pPr>
      <w:r>
        <w:rPr>
          <w:spacing w:val="-2"/>
        </w:rPr>
        <w:t>Response</w:t>
      </w:r>
    </w:p>
    <w:p>
      <w:pPr>
        <w:pStyle w:val="BodyText"/>
        <w:spacing w:line="278" w:lineRule="auto"/>
        <w:ind w:right="33"/>
      </w:pPr>
      <w:r>
        <w:t>The</w:t>
      </w:r>
      <w:r>
        <w:rPr>
          <w:spacing w:val="-4"/>
        </w:rPr>
        <w:t xml:space="preserve"> </w:t>
      </w:r>
      <w:r>
        <w:t>Departments</w:t>
      </w:r>
      <w:r>
        <w:rPr>
          <w:spacing w:val="-3"/>
        </w:rPr>
        <w:t xml:space="preserve"> </w:t>
      </w:r>
      <w:r>
        <w:t>appreciate</w:t>
      </w:r>
      <w:r>
        <w:rPr>
          <w:spacing w:val="-4"/>
        </w:rPr>
        <w:t xml:space="preserve"> </w:t>
      </w:r>
      <w:r>
        <w:t>these</w:t>
      </w:r>
      <w:r>
        <w:rPr>
          <w:spacing w:val="-4"/>
        </w:rPr>
        <w:t xml:space="preserve"> </w:t>
      </w:r>
      <w:r>
        <w:t>comments</w:t>
      </w:r>
      <w:r>
        <w:rPr>
          <w:spacing w:val="-1"/>
        </w:rPr>
        <w:t xml:space="preserve"> </w:t>
      </w:r>
      <w:r>
        <w:t>and</w:t>
      </w:r>
      <w:r>
        <w:rPr>
          <w:spacing w:val="-1"/>
        </w:rPr>
        <w:t xml:space="preserve"> </w:t>
      </w:r>
      <w:r>
        <w:t>have</w:t>
      </w:r>
      <w:r>
        <w:rPr>
          <w:spacing w:val="-4"/>
        </w:rPr>
        <w:t xml:space="preserve"> </w:t>
      </w:r>
      <w:r>
        <w:t>revised</w:t>
      </w:r>
      <w:r>
        <w:rPr>
          <w:spacing w:val="-3"/>
        </w:rPr>
        <w:t xml:space="preserve"> </w:t>
      </w:r>
      <w:r>
        <w:t>the</w:t>
      </w:r>
      <w:r>
        <w:rPr>
          <w:spacing w:val="-4"/>
        </w:rPr>
        <w:t xml:space="preserve"> </w:t>
      </w:r>
      <w:r>
        <w:t>wage</w:t>
      </w:r>
      <w:r>
        <w:rPr>
          <w:spacing w:val="-4"/>
        </w:rPr>
        <w:t xml:space="preserve"> </w:t>
      </w:r>
      <w:r>
        <w:t>rate</w:t>
      </w:r>
      <w:r>
        <w:rPr>
          <w:spacing w:val="-4"/>
        </w:rPr>
        <w:t xml:space="preserve"> </w:t>
      </w:r>
      <w:r>
        <w:t>assumptions</w:t>
      </w:r>
      <w:r>
        <w:rPr>
          <w:spacing w:val="-3"/>
        </w:rPr>
        <w:t xml:space="preserve"> </w:t>
      </w:r>
      <w:r>
        <w:t>used</w:t>
      </w:r>
      <w:r>
        <w:rPr>
          <w:spacing w:val="-3"/>
        </w:rPr>
        <w:t xml:space="preserve"> </w:t>
      </w:r>
      <w:r>
        <w:t>in the burden estimates to better reflect prevailing market rates.</w:t>
      </w:r>
      <w:r>
        <w:rPr>
          <w:spacing w:val="-2"/>
        </w:rPr>
        <w:t xml:space="preserve"> </w:t>
      </w:r>
      <w:r>
        <w:t xml:space="preserve">The Departments have updated the wage assumptions used in the burden estimates by adopting median wages instead of the mean wages used in the proposed rules, as median wages are less influenced by outliers and better reflect typical compensation, resulting in more representative and reliable estimates of labor </w:t>
      </w:r>
      <w:r>
        <w:rPr>
          <w:spacing w:val="-2"/>
        </w:rPr>
        <w:t>costs.</w:t>
      </w:r>
    </w:p>
    <w:p>
      <w:pPr>
        <w:pStyle w:val="Heading1"/>
      </w:pPr>
      <w:r>
        <w:rPr>
          <w:spacing w:val="-2"/>
          <w:u w:val="single"/>
        </w:rPr>
        <w:t>Comment</w:t>
      </w:r>
    </w:p>
    <w:p>
      <w:pPr>
        <w:pStyle w:val="BodyText"/>
        <w:spacing w:line="278" w:lineRule="auto"/>
        <w:ind w:left="359"/>
      </w:pPr>
      <w:r>
        <w:t>In the proposed rules, the Departments estimated that, under high- and low-impact scenarios, a customer service representative would require 10 and 9 minutes per interaction, respectively, to provide the requested information and complete post-call documentation. However, one commenter expressed concern that these consumer-support burden assumptions are underestimated,</w:t>
      </w:r>
      <w:r>
        <w:rPr>
          <w:spacing w:val="-3"/>
        </w:rPr>
        <w:t xml:space="preserve"> </w:t>
      </w:r>
      <w:r>
        <w:t>noting</w:t>
      </w:r>
      <w:r>
        <w:rPr>
          <w:spacing w:val="-3"/>
        </w:rPr>
        <w:t xml:space="preserve"> </w:t>
      </w:r>
      <w:r>
        <w:t>that</w:t>
      </w:r>
      <w:r>
        <w:rPr>
          <w:spacing w:val="-3"/>
        </w:rPr>
        <w:t xml:space="preserve"> </w:t>
      </w:r>
      <w:r>
        <w:t>call</w:t>
      </w:r>
      <w:r>
        <w:rPr>
          <w:spacing w:val="-3"/>
        </w:rPr>
        <w:t xml:space="preserve"> </w:t>
      </w:r>
      <w:r>
        <w:t>center</w:t>
      </w:r>
      <w:r>
        <w:rPr>
          <w:spacing w:val="-4"/>
        </w:rPr>
        <w:t xml:space="preserve"> </w:t>
      </w:r>
      <w:r>
        <w:t>interactions</w:t>
      </w:r>
      <w:r>
        <w:rPr>
          <w:spacing w:val="-3"/>
        </w:rPr>
        <w:t xml:space="preserve"> </w:t>
      </w:r>
      <w:r>
        <w:t>are</w:t>
      </w:r>
      <w:r>
        <w:rPr>
          <w:spacing w:val="-4"/>
        </w:rPr>
        <w:t xml:space="preserve"> </w:t>
      </w:r>
      <w:r>
        <w:t>likely</w:t>
      </w:r>
      <w:r>
        <w:rPr>
          <w:spacing w:val="-3"/>
        </w:rPr>
        <w:t xml:space="preserve"> </w:t>
      </w:r>
      <w:r>
        <w:t>to</w:t>
      </w:r>
      <w:r>
        <w:rPr>
          <w:spacing w:val="-3"/>
        </w:rPr>
        <w:t xml:space="preserve"> </w:t>
      </w:r>
      <w:r>
        <w:t>be</w:t>
      </w:r>
      <w:r>
        <w:rPr>
          <w:spacing w:val="-4"/>
        </w:rPr>
        <w:t xml:space="preserve"> </w:t>
      </w:r>
      <w:r>
        <w:t>longer</w:t>
      </w:r>
      <w:r>
        <w:rPr>
          <w:spacing w:val="-4"/>
        </w:rPr>
        <w:t xml:space="preserve"> </w:t>
      </w:r>
      <w:r>
        <w:t>and</w:t>
      </w:r>
      <w:r>
        <w:rPr>
          <w:spacing w:val="-3"/>
        </w:rPr>
        <w:t xml:space="preserve"> </w:t>
      </w:r>
      <w:r>
        <w:t>more</w:t>
      </w:r>
      <w:r>
        <w:rPr>
          <w:spacing w:val="-4"/>
        </w:rPr>
        <w:t xml:space="preserve"> </w:t>
      </w:r>
      <w:r>
        <w:t>complex</w:t>
      </w:r>
      <w:r>
        <w:rPr>
          <w:spacing w:val="-3"/>
        </w:rPr>
        <w:t xml:space="preserve"> </w:t>
      </w:r>
      <w:r>
        <w:t>than estimated and that consumers typically compare fewer providers in practice.</w:t>
      </w:r>
    </w:p>
    <w:p>
      <w:pPr>
        <w:pStyle w:val="Heading1"/>
        <w:ind w:left="359"/>
      </w:pPr>
      <w:r>
        <w:rPr>
          <w:spacing w:val="-2"/>
        </w:rPr>
        <w:t>Response</w:t>
      </w:r>
    </w:p>
    <w:p>
      <w:pPr>
        <w:pStyle w:val="BodyText"/>
        <w:spacing w:line="278" w:lineRule="auto"/>
        <w:ind w:left="359" w:right="2"/>
      </w:pPr>
      <w:r>
        <w:t>The Departments acknowledge the commenter’s concern that the consumer-support burden assumptions may be underestimated. However, the Departments have determined that the cost-sharing</w:t>
      </w:r>
      <w:r>
        <w:rPr>
          <w:spacing w:val="-3"/>
        </w:rPr>
        <w:t xml:space="preserve"> </w:t>
      </w:r>
      <w:r>
        <w:t>information</w:t>
      </w:r>
      <w:r>
        <w:rPr>
          <w:spacing w:val="-3"/>
        </w:rPr>
        <w:t xml:space="preserve"> </w:t>
      </w:r>
      <w:r>
        <w:t>requested</w:t>
      </w:r>
      <w:r>
        <w:rPr>
          <w:spacing w:val="-3"/>
        </w:rPr>
        <w:t xml:space="preserve"> </w:t>
      </w:r>
      <w:r>
        <w:t>over</w:t>
      </w:r>
      <w:r>
        <w:rPr>
          <w:spacing w:val="-4"/>
        </w:rPr>
        <w:t xml:space="preserve"> </w:t>
      </w:r>
      <w:r>
        <w:t>the</w:t>
      </w:r>
      <w:r>
        <w:rPr>
          <w:spacing w:val="-4"/>
        </w:rPr>
        <w:t xml:space="preserve"> </w:t>
      </w:r>
      <w:r>
        <w:t>phone</w:t>
      </w:r>
      <w:r>
        <w:rPr>
          <w:spacing w:val="-4"/>
        </w:rPr>
        <w:t xml:space="preserve"> </w:t>
      </w:r>
      <w:r>
        <w:t>is</w:t>
      </w:r>
      <w:r>
        <w:rPr>
          <w:spacing w:val="-3"/>
        </w:rPr>
        <w:t xml:space="preserve"> </w:t>
      </w:r>
      <w:r>
        <w:t>generally</w:t>
      </w:r>
      <w:r>
        <w:rPr>
          <w:spacing w:val="-3"/>
        </w:rPr>
        <w:t xml:space="preserve"> </w:t>
      </w:r>
      <w:r>
        <w:t>readily</w:t>
      </w:r>
      <w:r>
        <w:rPr>
          <w:spacing w:val="-3"/>
        </w:rPr>
        <w:t xml:space="preserve"> </w:t>
      </w:r>
      <w:r>
        <w:t>available</w:t>
      </w:r>
      <w:r>
        <w:rPr>
          <w:spacing w:val="-2"/>
        </w:rPr>
        <w:t xml:space="preserve"> </w:t>
      </w:r>
      <w:r>
        <w:t>through</w:t>
      </w:r>
      <w:r>
        <w:rPr>
          <w:spacing w:val="-3"/>
        </w:rPr>
        <w:t xml:space="preserve"> </w:t>
      </w:r>
      <w:r>
        <w:t>existing</w:t>
      </w:r>
      <w:r>
        <w:rPr>
          <w:spacing w:val="-3"/>
        </w:rPr>
        <w:t xml:space="preserve"> </w:t>
      </w:r>
      <w:r>
        <w:t>price comparison tools, and customer service representatives should be able to access and communicate that information without significant additional time.</w:t>
      </w:r>
    </w:p>
    <w:p>
      <w:pPr>
        <w:pStyle w:val="BodyText"/>
        <w:spacing w:before="156" w:line="278" w:lineRule="auto"/>
        <w:ind w:left="359"/>
      </w:pPr>
      <w:r>
        <w:t>Accordingly, the Departments have determined that the estimated average call duration of approximately 9 to 10 minutes, including post-call documentation, as presented in the</w:t>
      </w:r>
      <w:r>
        <w:rPr>
          <w:spacing w:val="-1"/>
        </w:rPr>
        <w:t xml:space="preserve"> </w:t>
      </w:r>
      <w:r>
        <w:t>proposed rules, is reasonable. The Departments recognize that call times may vary depending on the complexity of the inquiry; however, they have determined that, in many cases, consumers will seek</w:t>
      </w:r>
      <w:r>
        <w:rPr>
          <w:spacing w:val="-3"/>
        </w:rPr>
        <w:t xml:space="preserve"> </w:t>
      </w:r>
      <w:r>
        <w:t>relatively</w:t>
      </w:r>
      <w:r>
        <w:rPr>
          <w:spacing w:val="-3"/>
        </w:rPr>
        <w:t xml:space="preserve"> </w:t>
      </w:r>
      <w:r>
        <w:t>straightforward</w:t>
      </w:r>
      <w:r>
        <w:rPr>
          <w:spacing w:val="-3"/>
        </w:rPr>
        <w:t xml:space="preserve"> </w:t>
      </w:r>
      <w:r>
        <w:t>information,</w:t>
      </w:r>
      <w:r>
        <w:rPr>
          <w:spacing w:val="-3"/>
        </w:rPr>
        <w:t xml:space="preserve"> </w:t>
      </w:r>
      <w:r>
        <w:t>such</w:t>
      </w:r>
      <w:r>
        <w:rPr>
          <w:spacing w:val="-1"/>
        </w:rPr>
        <w:t xml:space="preserve"> </w:t>
      </w:r>
      <w:r>
        <w:t>as</w:t>
      </w:r>
      <w:r>
        <w:rPr>
          <w:spacing w:val="-3"/>
        </w:rPr>
        <w:t xml:space="preserve"> </w:t>
      </w:r>
      <w:r>
        <w:t>the</w:t>
      </w:r>
      <w:r>
        <w:rPr>
          <w:spacing w:val="-4"/>
        </w:rPr>
        <w:t xml:space="preserve"> </w:t>
      </w:r>
      <w:r>
        <w:t>cost</w:t>
      </w:r>
      <w:r>
        <w:rPr>
          <w:spacing w:val="-3"/>
        </w:rPr>
        <w:t xml:space="preserve"> </w:t>
      </w:r>
      <w:r>
        <w:t>of</w:t>
      </w:r>
      <w:r>
        <w:rPr>
          <w:spacing w:val="-4"/>
        </w:rPr>
        <w:t xml:space="preserve"> </w:t>
      </w:r>
      <w:r>
        <w:t>services</w:t>
      </w:r>
      <w:r>
        <w:rPr>
          <w:spacing w:val="-3"/>
        </w:rPr>
        <w:t xml:space="preserve"> </w:t>
      </w:r>
      <w:r>
        <w:t>from</w:t>
      </w:r>
      <w:r>
        <w:rPr>
          <w:spacing w:val="-3"/>
        </w:rPr>
        <w:t xml:space="preserve"> </w:t>
      </w:r>
      <w:r>
        <w:t>a</w:t>
      </w:r>
      <w:r>
        <w:rPr>
          <w:spacing w:val="-4"/>
        </w:rPr>
        <w:t xml:space="preserve"> </w:t>
      </w:r>
      <w:r>
        <w:t>specific</w:t>
      </w:r>
      <w:r>
        <w:rPr>
          <w:spacing w:val="-4"/>
        </w:rPr>
        <w:t xml:space="preserve"> </w:t>
      </w:r>
      <w:r>
        <w:t>provider and their expected out-of-pocket responsibility.</w:t>
      </w:r>
    </w:p>
    <w:p>
      <w:pPr>
        <w:pStyle w:val="BodyText"/>
        <w:spacing w:after="0" w:line="278" w:lineRule="auto"/>
        <w:sectPr>
          <w:pgSz w:w="12240" w:h="15840"/>
          <w:pgMar w:top="1360" w:right="1440" w:bottom="1260" w:left="1080" w:header="0" w:footer="1079"/>
          <w:cols w:space="720"/>
        </w:sectPr>
      </w:pPr>
    </w:p>
    <w:p>
      <w:pPr>
        <w:pStyle w:val="BodyText"/>
        <w:spacing w:before="79" w:line="278" w:lineRule="auto"/>
        <w:ind w:left="359" w:right="29"/>
      </w:pPr>
      <w:r>
        <w:t>In</w:t>
      </w:r>
      <w:r>
        <w:rPr>
          <w:spacing w:val="-3"/>
        </w:rPr>
        <w:t xml:space="preserve"> </w:t>
      </w:r>
      <w:r>
        <w:t>addition,</w:t>
      </w:r>
      <w:r>
        <w:rPr>
          <w:spacing w:val="-3"/>
        </w:rPr>
        <w:t xml:space="preserve"> </w:t>
      </w:r>
      <w:r>
        <w:t>available</w:t>
      </w:r>
      <w:r>
        <w:rPr>
          <w:spacing w:val="-4"/>
        </w:rPr>
        <w:t xml:space="preserve"> </w:t>
      </w:r>
      <w:r>
        <w:t>data</w:t>
      </w:r>
      <w:r>
        <w:rPr>
          <w:spacing w:val="-4"/>
        </w:rPr>
        <w:t xml:space="preserve"> </w:t>
      </w:r>
      <w:r>
        <w:t>on</w:t>
      </w:r>
      <w:r>
        <w:rPr>
          <w:spacing w:val="-3"/>
        </w:rPr>
        <w:t xml:space="preserve"> </w:t>
      </w:r>
      <w:r>
        <w:t>customer</w:t>
      </w:r>
      <w:r>
        <w:rPr>
          <w:spacing w:val="-4"/>
        </w:rPr>
        <w:t xml:space="preserve"> </w:t>
      </w:r>
      <w:r>
        <w:t>service</w:t>
      </w:r>
      <w:r>
        <w:rPr>
          <w:spacing w:val="-4"/>
        </w:rPr>
        <w:t xml:space="preserve"> </w:t>
      </w:r>
      <w:r>
        <w:t>interactions</w:t>
      </w:r>
      <w:r>
        <w:rPr>
          <w:spacing w:val="-3"/>
        </w:rPr>
        <w:t xml:space="preserve"> </w:t>
      </w:r>
      <w:r>
        <w:t>related</w:t>
      </w:r>
      <w:r>
        <w:rPr>
          <w:spacing w:val="-3"/>
        </w:rPr>
        <w:t xml:space="preserve"> </w:t>
      </w:r>
      <w:r>
        <w:t>to</w:t>
      </w:r>
      <w:r>
        <w:rPr>
          <w:spacing w:val="-3"/>
        </w:rPr>
        <w:t xml:space="preserve"> </w:t>
      </w:r>
      <w:r>
        <w:t>health</w:t>
      </w:r>
      <w:r>
        <w:rPr>
          <w:spacing w:val="-3"/>
        </w:rPr>
        <w:t xml:space="preserve"> </w:t>
      </w:r>
      <w:r>
        <w:t>care</w:t>
      </w:r>
      <w:r>
        <w:rPr>
          <w:spacing w:val="-4"/>
        </w:rPr>
        <w:t xml:space="preserve"> </w:t>
      </w:r>
      <w:r>
        <w:t>services</w:t>
      </w:r>
      <w:r>
        <w:rPr>
          <w:spacing w:val="-3"/>
        </w:rPr>
        <w:t xml:space="preserve"> </w:t>
      </w:r>
      <w:r>
        <w:t>suggest that average call times are often shorter, typically ranging from approximately 4 to 8 minutes.</w:t>
      </w:r>
      <w:hyperlink w:anchor="_bookmark2" w:history="1">
        <w:r>
          <w:rPr>
            <w:vertAlign w:val="superscript"/>
          </w:rPr>
          <w:t>3</w:t>
        </w:r>
      </w:hyperlink>
      <w:r>
        <w:rPr>
          <w:vertAlign w:val="baseline"/>
        </w:rPr>
        <w:t xml:space="preserve"> Although commenters stated that cost-sharing inquiries may involve greater complexity than typical health plan customer service calls, the Departments have determined that the higher estimated average call duration reasonably accounts for inquiries involving cost-sharing estimates that may be more complex than routine customer service calls. Taken together, these considerations support the reasonableness of the Departments’</w:t>
      </w:r>
      <w:r>
        <w:rPr>
          <w:spacing w:val="-8"/>
          <w:vertAlign w:val="baseline"/>
        </w:rPr>
        <w:t xml:space="preserve"> </w:t>
      </w:r>
      <w:r>
        <w:rPr>
          <w:vertAlign w:val="baseline"/>
        </w:rPr>
        <w:t>estimated average call duration.</w:t>
      </w:r>
    </w:p>
    <w:p>
      <w:pPr>
        <w:pStyle w:val="Heading1"/>
        <w:spacing w:before="157"/>
      </w:pPr>
      <w:r>
        <w:rPr>
          <w:spacing w:val="-2"/>
          <w:u w:val="single"/>
        </w:rPr>
        <w:t>Comment</w:t>
      </w:r>
    </w:p>
    <w:p>
      <w:pPr>
        <w:pStyle w:val="BodyText"/>
        <w:spacing w:line="278" w:lineRule="auto"/>
        <w:ind w:right="29"/>
      </w:pPr>
      <w:r>
        <w:t>One</w:t>
      </w:r>
      <w:r>
        <w:rPr>
          <w:spacing w:val="-6"/>
        </w:rPr>
        <w:t xml:space="preserve"> </w:t>
      </w:r>
      <w:r>
        <w:t>commenter</w:t>
      </w:r>
      <w:r>
        <w:rPr>
          <w:spacing w:val="-6"/>
        </w:rPr>
        <w:t xml:space="preserve"> </w:t>
      </w:r>
      <w:r>
        <w:t>noted</w:t>
      </w:r>
      <w:r>
        <w:rPr>
          <w:spacing w:val="-5"/>
        </w:rPr>
        <w:t xml:space="preserve"> </w:t>
      </w:r>
      <w:r>
        <w:t>that</w:t>
      </w:r>
      <w:r>
        <w:rPr>
          <w:spacing w:val="-5"/>
        </w:rPr>
        <w:t xml:space="preserve"> </w:t>
      </w:r>
      <w:r>
        <w:t>the</w:t>
      </w:r>
      <w:r>
        <w:rPr>
          <w:spacing w:val="-6"/>
        </w:rPr>
        <w:t xml:space="preserve"> </w:t>
      </w:r>
      <w:r>
        <w:t>ongoing</w:t>
      </w:r>
      <w:r>
        <w:rPr>
          <w:spacing w:val="-5"/>
        </w:rPr>
        <w:t xml:space="preserve"> </w:t>
      </w:r>
      <w:r>
        <w:t>costs</w:t>
      </w:r>
      <w:r>
        <w:rPr>
          <w:spacing w:val="-5"/>
        </w:rPr>
        <w:t xml:space="preserve"> </w:t>
      </w:r>
      <w:r>
        <w:t>associated</w:t>
      </w:r>
      <w:r>
        <w:rPr>
          <w:spacing w:val="-5"/>
        </w:rPr>
        <w:t xml:space="preserve"> </w:t>
      </w:r>
      <w:r>
        <w:t>with</w:t>
      </w:r>
      <w:r>
        <w:rPr>
          <w:spacing w:val="-9"/>
        </w:rPr>
        <w:t xml:space="preserve"> </w:t>
      </w:r>
      <w:r>
        <w:t>Taxonomy</w:t>
      </w:r>
      <w:r>
        <w:rPr>
          <w:spacing w:val="-5"/>
        </w:rPr>
        <w:t xml:space="preserve"> </w:t>
      </w:r>
      <w:r>
        <w:t>Files</w:t>
      </w:r>
      <w:r>
        <w:rPr>
          <w:spacing w:val="-5"/>
        </w:rPr>
        <w:t xml:space="preserve"> </w:t>
      </w:r>
      <w:r>
        <w:t>are</w:t>
      </w:r>
      <w:r>
        <w:rPr>
          <w:spacing w:val="-6"/>
        </w:rPr>
        <w:t xml:space="preserve"> </w:t>
      </w:r>
      <w:r>
        <w:t>not</w:t>
      </w:r>
      <w:r>
        <w:rPr>
          <w:spacing w:val="-5"/>
        </w:rPr>
        <w:t xml:space="preserve"> </w:t>
      </w:r>
      <w:r>
        <w:t xml:space="preserve">accounted </w:t>
      </w:r>
      <w:r>
        <w:rPr>
          <w:spacing w:val="-4"/>
        </w:rPr>
        <w:t>for.</w:t>
      </w:r>
    </w:p>
    <w:p>
      <w:pPr>
        <w:pStyle w:val="Heading1"/>
      </w:pPr>
      <w:r>
        <w:rPr>
          <w:spacing w:val="-2"/>
        </w:rPr>
        <w:t>Response</w:t>
      </w:r>
    </w:p>
    <w:p>
      <w:pPr>
        <w:pStyle w:val="BodyText"/>
        <w:spacing w:line="278" w:lineRule="auto"/>
      </w:pPr>
      <w:r>
        <w:t>The Departments acknowledge this comment but expect that any additional ongoing costs associated with maintaining Taxonomy Files will be minimal because the files are expected to rely</w:t>
      </w:r>
      <w:r>
        <w:rPr>
          <w:spacing w:val="-5"/>
        </w:rPr>
        <w:t xml:space="preserve"> </w:t>
      </w:r>
      <w:r>
        <w:t>primarily</w:t>
      </w:r>
      <w:r>
        <w:rPr>
          <w:spacing w:val="-5"/>
        </w:rPr>
        <w:t xml:space="preserve"> </w:t>
      </w:r>
      <w:r>
        <w:t>on</w:t>
      </w:r>
      <w:r>
        <w:rPr>
          <w:spacing w:val="-5"/>
        </w:rPr>
        <w:t xml:space="preserve"> </w:t>
      </w:r>
      <w:r>
        <w:t>existing</w:t>
      </w:r>
      <w:r>
        <w:rPr>
          <w:spacing w:val="-5"/>
        </w:rPr>
        <w:t xml:space="preserve"> </w:t>
      </w:r>
      <w:r>
        <w:t>data,</w:t>
      </w:r>
      <w:r>
        <w:rPr>
          <w:spacing w:val="-5"/>
        </w:rPr>
        <w:t xml:space="preserve"> </w:t>
      </w:r>
      <w:r>
        <w:t>mappings,</w:t>
      </w:r>
      <w:r>
        <w:rPr>
          <w:spacing w:val="-5"/>
        </w:rPr>
        <w:t xml:space="preserve"> </w:t>
      </w:r>
      <w:r>
        <w:t>code</w:t>
      </w:r>
      <w:r>
        <w:rPr>
          <w:spacing w:val="-6"/>
        </w:rPr>
        <w:t xml:space="preserve"> </w:t>
      </w:r>
      <w:r>
        <w:t>sets,</w:t>
      </w:r>
      <w:r>
        <w:rPr>
          <w:spacing w:val="-5"/>
        </w:rPr>
        <w:t xml:space="preserve"> </w:t>
      </w:r>
      <w:r>
        <w:t>and</w:t>
      </w:r>
      <w:r>
        <w:rPr>
          <w:spacing w:val="-5"/>
        </w:rPr>
        <w:t xml:space="preserve"> </w:t>
      </w:r>
      <w:r>
        <w:t>other</w:t>
      </w:r>
      <w:r>
        <w:rPr>
          <w:spacing w:val="-6"/>
        </w:rPr>
        <w:t xml:space="preserve"> </w:t>
      </w:r>
      <w:r>
        <w:t>internal</w:t>
      </w:r>
      <w:r>
        <w:rPr>
          <w:spacing w:val="-3"/>
        </w:rPr>
        <w:t xml:space="preserve"> </w:t>
      </w:r>
      <w:r>
        <w:t>rules</w:t>
      </w:r>
      <w:r>
        <w:rPr>
          <w:spacing w:val="-3"/>
        </w:rPr>
        <w:t xml:space="preserve"> </w:t>
      </w:r>
      <w:r>
        <w:t>that</w:t>
      </w:r>
      <w:r>
        <w:rPr>
          <w:spacing w:val="-5"/>
        </w:rPr>
        <w:t xml:space="preserve"> </w:t>
      </w:r>
      <w:r>
        <w:t>plans</w:t>
      </w:r>
      <w:r>
        <w:rPr>
          <w:spacing w:val="-5"/>
        </w:rPr>
        <w:t xml:space="preserve"> </w:t>
      </w:r>
      <w:r>
        <w:t>(or</w:t>
      </w:r>
      <w:r>
        <w:rPr>
          <w:spacing w:val="-10"/>
        </w:rPr>
        <w:t xml:space="preserve"> </w:t>
      </w:r>
      <w:r>
        <w:t>TPAs on behalf of plans) and issuers maintain and periodically update as part of their normal claims adjudication and operational processes. These existing resources may include listings of in-network providers and their specialties and internal provider taxonomies or other internal rules used to map provider specialties to appropriate billing codes, as well as similar programming logic</w:t>
      </w:r>
      <w:r>
        <w:rPr>
          <w:spacing w:val="-4"/>
        </w:rPr>
        <w:t xml:space="preserve"> </w:t>
      </w:r>
      <w:r>
        <w:t>used</w:t>
      </w:r>
      <w:r>
        <w:rPr>
          <w:spacing w:val="-3"/>
        </w:rPr>
        <w:t xml:space="preserve"> </w:t>
      </w:r>
      <w:r>
        <w:t>within</w:t>
      </w:r>
      <w:r>
        <w:rPr>
          <w:spacing w:val="-3"/>
        </w:rPr>
        <w:t xml:space="preserve"> </w:t>
      </w:r>
      <w:r>
        <w:t>claims</w:t>
      </w:r>
      <w:r>
        <w:rPr>
          <w:spacing w:val="-3"/>
        </w:rPr>
        <w:t xml:space="preserve"> </w:t>
      </w:r>
      <w:r>
        <w:t>adjudication</w:t>
      </w:r>
      <w:r>
        <w:rPr>
          <w:spacing w:val="-3"/>
        </w:rPr>
        <w:t xml:space="preserve"> </w:t>
      </w:r>
      <w:r>
        <w:t>systems</w:t>
      </w:r>
      <w:r>
        <w:rPr>
          <w:spacing w:val="-3"/>
        </w:rPr>
        <w:t xml:space="preserve"> </w:t>
      </w:r>
      <w:r>
        <w:t>to</w:t>
      </w:r>
      <w:r>
        <w:rPr>
          <w:spacing w:val="-4"/>
        </w:rPr>
        <w:t xml:space="preserve"> </w:t>
      </w:r>
      <w:r>
        <w:t>identify</w:t>
      </w:r>
      <w:r>
        <w:rPr>
          <w:spacing w:val="-3"/>
        </w:rPr>
        <w:t xml:space="preserve"> </w:t>
      </w:r>
      <w:r>
        <w:t>claims</w:t>
      </w:r>
      <w:r>
        <w:rPr>
          <w:spacing w:val="-3"/>
        </w:rPr>
        <w:t xml:space="preserve"> </w:t>
      </w:r>
      <w:r>
        <w:t>for</w:t>
      </w:r>
      <w:r>
        <w:rPr>
          <w:spacing w:val="-4"/>
        </w:rPr>
        <w:t xml:space="preserve"> </w:t>
      </w:r>
      <w:r>
        <w:t>items</w:t>
      </w:r>
      <w:r>
        <w:rPr>
          <w:spacing w:val="-3"/>
        </w:rPr>
        <w:t xml:space="preserve"> </w:t>
      </w:r>
      <w:r>
        <w:t>and</w:t>
      </w:r>
      <w:r>
        <w:rPr>
          <w:spacing w:val="-3"/>
        </w:rPr>
        <w:t xml:space="preserve"> </w:t>
      </w:r>
      <w:r>
        <w:t>services</w:t>
      </w:r>
      <w:r>
        <w:rPr>
          <w:spacing w:val="-3"/>
        </w:rPr>
        <w:t xml:space="preserve"> </w:t>
      </w:r>
      <w:r>
        <w:t>that</w:t>
      </w:r>
      <w:r>
        <w:rPr>
          <w:spacing w:val="-3"/>
        </w:rPr>
        <w:t xml:space="preserve"> </w:t>
      </w:r>
      <w:r>
        <w:t>may fall outside a provider’s scope of practice.</w:t>
      </w:r>
    </w:p>
    <w:p>
      <w:pPr>
        <w:pStyle w:val="Heading1"/>
        <w:spacing w:before="155"/>
      </w:pPr>
      <w:r>
        <w:rPr>
          <w:spacing w:val="-2"/>
          <w:u w:val="single"/>
        </w:rPr>
        <w:t>Comment</w:t>
      </w:r>
    </w:p>
    <w:p>
      <w:pPr>
        <w:pStyle w:val="BodyText"/>
        <w:spacing w:line="278" w:lineRule="auto"/>
      </w:pPr>
      <w:r>
        <w:t>One commenter expressed concern that lowering the claims threshold would significantly increase</w:t>
      </w:r>
      <w:r>
        <w:rPr>
          <w:spacing w:val="-6"/>
        </w:rPr>
        <w:t xml:space="preserve"> </w:t>
      </w:r>
      <w:r>
        <w:t>operational</w:t>
      </w:r>
      <w:r>
        <w:rPr>
          <w:spacing w:val="-5"/>
        </w:rPr>
        <w:t xml:space="preserve"> </w:t>
      </w:r>
      <w:r>
        <w:t>burden</w:t>
      </w:r>
      <w:r>
        <w:rPr>
          <w:spacing w:val="-5"/>
        </w:rPr>
        <w:t xml:space="preserve"> </w:t>
      </w:r>
      <w:r>
        <w:t>by</w:t>
      </w:r>
      <w:r>
        <w:rPr>
          <w:spacing w:val="-5"/>
        </w:rPr>
        <w:t xml:space="preserve"> </w:t>
      </w:r>
      <w:r>
        <w:t>expanding</w:t>
      </w:r>
      <w:r>
        <w:rPr>
          <w:spacing w:val="-5"/>
        </w:rPr>
        <w:t xml:space="preserve"> </w:t>
      </w:r>
      <w:r>
        <w:t>data</w:t>
      </w:r>
      <w:r>
        <w:rPr>
          <w:spacing w:val="-6"/>
        </w:rPr>
        <w:t xml:space="preserve"> </w:t>
      </w:r>
      <w:r>
        <w:t>volume,</w:t>
      </w:r>
      <w:r>
        <w:rPr>
          <w:spacing w:val="-5"/>
        </w:rPr>
        <w:t xml:space="preserve"> </w:t>
      </w:r>
      <w:r>
        <w:t>file</w:t>
      </w:r>
      <w:r>
        <w:rPr>
          <w:spacing w:val="-6"/>
        </w:rPr>
        <w:t xml:space="preserve"> </w:t>
      </w:r>
      <w:r>
        <w:t>size,</w:t>
      </w:r>
      <w:r>
        <w:rPr>
          <w:spacing w:val="-5"/>
        </w:rPr>
        <w:t xml:space="preserve"> </w:t>
      </w:r>
      <w:r>
        <w:t>and</w:t>
      </w:r>
      <w:r>
        <w:rPr>
          <w:spacing w:val="-5"/>
        </w:rPr>
        <w:t xml:space="preserve"> </w:t>
      </w:r>
      <w:r>
        <w:t>processing</w:t>
      </w:r>
      <w:r>
        <w:rPr>
          <w:spacing w:val="-5"/>
        </w:rPr>
        <w:t xml:space="preserve"> </w:t>
      </w:r>
      <w:r>
        <w:t>complexity,</w:t>
      </w:r>
      <w:r>
        <w:rPr>
          <w:spacing w:val="-5"/>
        </w:rPr>
        <w:t xml:space="preserve"> </w:t>
      </w:r>
      <w:r>
        <w:t>and would require additional validation, monitoring, and system adjustments.</w:t>
      </w:r>
    </w:p>
    <w:p>
      <w:pPr>
        <w:pStyle w:val="Heading1"/>
      </w:pPr>
      <w:r>
        <w:rPr>
          <w:spacing w:val="-2"/>
        </w:rPr>
        <w:t>Response</w:t>
      </w:r>
    </w:p>
    <w:p>
      <w:pPr>
        <w:pStyle w:val="BodyText"/>
        <w:spacing w:line="278" w:lineRule="auto"/>
        <w:ind w:right="76"/>
        <w:jc w:val="both"/>
      </w:pPr>
      <w:r>
        <w:t>The Departments acknowledge this concern but have determined that, although the change may increase the data volume and file size for some plans and issuers, it is not expected to materially affect processing complexity given that the underlying processes for validation, monitoring, and file</w:t>
      </w:r>
      <w:r>
        <w:rPr>
          <w:spacing w:val="-5"/>
        </w:rPr>
        <w:t xml:space="preserve"> </w:t>
      </w:r>
      <w:r>
        <w:t>generation</w:t>
      </w:r>
      <w:r>
        <w:rPr>
          <w:spacing w:val="-1"/>
        </w:rPr>
        <w:t xml:space="preserve"> </w:t>
      </w:r>
      <w:r>
        <w:t>remain</w:t>
      </w:r>
      <w:r>
        <w:rPr>
          <w:spacing w:val="-1"/>
        </w:rPr>
        <w:t xml:space="preserve"> </w:t>
      </w:r>
      <w:r>
        <w:t>unchanged.</w:t>
      </w:r>
      <w:r>
        <w:rPr>
          <w:spacing w:val="-6"/>
        </w:rPr>
        <w:t xml:space="preserve"> </w:t>
      </w:r>
      <w:r>
        <w:t>Thus,</w:t>
      </w:r>
      <w:r>
        <w:rPr>
          <w:spacing w:val="-1"/>
        </w:rPr>
        <w:t xml:space="preserve"> </w:t>
      </w:r>
      <w:r>
        <w:t>the</w:t>
      </w:r>
      <w:r>
        <w:rPr>
          <w:spacing w:val="-3"/>
        </w:rPr>
        <w:t xml:space="preserve"> </w:t>
      </w:r>
      <w:r>
        <w:t>Departments</w:t>
      </w:r>
      <w:r>
        <w:rPr>
          <w:spacing w:val="-1"/>
        </w:rPr>
        <w:t xml:space="preserve"> </w:t>
      </w:r>
      <w:r>
        <w:t>have</w:t>
      </w:r>
      <w:r>
        <w:rPr>
          <w:spacing w:val="-2"/>
        </w:rPr>
        <w:t xml:space="preserve"> </w:t>
      </w:r>
      <w:r>
        <w:t>determined</w:t>
      </w:r>
      <w:r>
        <w:rPr>
          <w:spacing w:val="-1"/>
        </w:rPr>
        <w:t xml:space="preserve"> </w:t>
      </w:r>
      <w:r>
        <w:t>that</w:t>
      </w:r>
      <w:r>
        <w:rPr>
          <w:spacing w:val="-1"/>
        </w:rPr>
        <w:t xml:space="preserve"> </w:t>
      </w:r>
      <w:r>
        <w:t>this</w:t>
      </w:r>
      <w:r>
        <w:rPr>
          <w:spacing w:val="-1"/>
        </w:rPr>
        <w:t xml:space="preserve"> </w:t>
      </w:r>
      <w:r>
        <w:rPr>
          <w:spacing w:val="-2"/>
        </w:rPr>
        <w:t>modification</w:t>
      </w:r>
    </w:p>
    <w:p>
      <w:pPr>
        <w:pStyle w:val="BodyText"/>
        <w:spacing w:before="0"/>
        <w:ind w:left="0"/>
        <w:rPr>
          <w:sz w:val="20"/>
        </w:rPr>
      </w:pPr>
    </w:p>
    <w:p>
      <w:pPr>
        <w:pStyle w:val="BodyText"/>
        <w:spacing w:before="0"/>
        <w:ind w:left="0"/>
        <w:rPr>
          <w:sz w:val="20"/>
        </w:rPr>
      </w:pPr>
    </w:p>
    <w:p>
      <w:pPr>
        <w:pStyle w:val="BodyText"/>
        <w:spacing w:before="133"/>
        <w:ind w:left="0"/>
        <w:rPr>
          <w:sz w:val="20"/>
        </w:rPr>
      </w:pPr>
      <w:r>
        <w:rPr>
          <w:sz w:val="20"/>
        </w:rPr>
        <mc:AlternateContent>
          <mc:Choice Requires="wps">
            <w:drawing>
              <wp:anchor distT="0" distB="0" distL="0" distR="0" simplePos="0" relativeHeight="251660288" behindDoc="1" locked="0" layoutInCell="1" allowOverlap="1">
                <wp:simplePos x="0" y="0"/>
                <wp:positionH relativeFrom="page">
                  <wp:posOffset>914400</wp:posOffset>
                </wp:positionH>
                <wp:positionV relativeFrom="paragraph">
                  <wp:posOffset>246006</wp:posOffset>
                </wp:positionV>
                <wp:extent cx="1828800" cy="7620"/>
                <wp:effectExtent l="0" t="0" r="0" b="0"/>
                <wp:wrapTopAndBottom/>
                <wp:docPr id="3" name="Graphic 3"/>
                <wp:cNvGraphicFramePr/>
                <a:graphic xmlns:a="http://schemas.openxmlformats.org/drawingml/2006/main">
                  <a:graphicData uri="http://schemas.microsoft.com/office/word/2010/wordprocessingShape">
                    <wps:wsp xmlns:wps="http://schemas.microsoft.com/office/word/2010/wordprocessingShape">
                      <wps:cNvSpPr/>
                      <wps:spPr>
                        <a:xfrm>
                          <a:off x="0" y="0"/>
                          <a:ext cx="1828800" cy="7620"/>
                        </a:xfrm>
                        <a:custGeom>
                          <a:avLst/>
                          <a:gdLst/>
                          <a:rect l="l" t="t" r="r" b="b"/>
                          <a:pathLst>
                            <a:path fill="norm" h="7620" w="1828800" stroke="1">
                              <a:moveTo>
                                <a:pt x="1828800" y="0"/>
                              </a:moveTo>
                              <a:lnTo>
                                <a:pt x="0" y="0"/>
                              </a:lnTo>
                              <a:lnTo>
                                <a:pt x="0" y="7619"/>
                              </a:lnTo>
                              <a:lnTo>
                                <a:pt x="1828800" y="7619"/>
                              </a:lnTo>
                              <a:lnTo>
                                <a:pt x="1828800" y="0"/>
                              </a:lnTo>
                              <a:close/>
                            </a:path>
                          </a:pathLst>
                        </a:custGeom>
                        <a:solidFill>
                          <a:srgbClr val="000000"/>
                        </a:solidFill>
                      </wps:spPr>
                      <wps:bodyPr wrap="square" lIns="0" tIns="0" rIns="0" bIns="0" rtlCol="0">
                        <a:prstTxWarp prst="textNoShape">
                          <a:avLst/>
                        </a:prstTxWarp>
                      </wps:bodyPr>
                    </wps:wsp>
                  </a:graphicData>
                </a:graphic>
              </wp:anchor>
            </w:drawing>
          </mc:Choice>
          <mc:Fallback>
            <w:pict>
              <v:rect id="_x0000_s1026" style="width:2in;height:0.6pt;margin-top:19.37pt;margin-left:1in;mso-position-horizontal-relative:page;mso-wrap-distance-left:0;mso-wrap-distance-right:0;position:absolute;z-index:-251655168" filled="t" fillcolor="black" stroked="f">
                <v:fill type="solid"/>
                <w10:wrap type="topAndBottom"/>
              </v:rect>
            </w:pict>
          </mc:Fallback>
        </mc:AlternateContent>
      </w:r>
    </w:p>
    <w:p>
      <w:pPr>
        <w:spacing w:before="143" w:line="242" w:lineRule="auto"/>
        <w:ind w:left="359" w:right="205" w:firstLine="0"/>
        <w:jc w:val="left"/>
        <w:rPr>
          <w:sz w:val="20"/>
        </w:rPr>
      </w:pPr>
      <w:bookmarkStart w:id="3" w:name="_bookmark2"/>
      <w:bookmarkEnd w:id="3"/>
      <w:r>
        <w:rPr>
          <w:rFonts w:ascii="Trebuchet MS"/>
          <w:sz w:val="20"/>
          <w:vertAlign w:val="superscript"/>
        </w:rPr>
        <w:t>3</w:t>
      </w:r>
      <w:r>
        <w:rPr>
          <w:rFonts w:ascii="Trebuchet MS"/>
          <w:spacing w:val="-19"/>
          <w:sz w:val="20"/>
          <w:vertAlign w:val="baseline"/>
        </w:rPr>
        <w:t xml:space="preserve"> </w:t>
      </w:r>
      <w:r>
        <w:rPr>
          <w:sz w:val="20"/>
          <w:vertAlign w:val="baseline"/>
        </w:rPr>
        <w:t>Available</w:t>
      </w:r>
      <w:r>
        <w:rPr>
          <w:spacing w:val="-7"/>
          <w:sz w:val="20"/>
          <w:vertAlign w:val="baseline"/>
        </w:rPr>
        <w:t xml:space="preserve"> </w:t>
      </w:r>
      <w:r>
        <w:rPr>
          <w:sz w:val="20"/>
          <w:vertAlign w:val="baseline"/>
        </w:rPr>
        <w:t>industry</w:t>
      </w:r>
      <w:r>
        <w:rPr>
          <w:spacing w:val="-5"/>
          <w:sz w:val="20"/>
          <w:vertAlign w:val="baseline"/>
        </w:rPr>
        <w:t xml:space="preserve"> </w:t>
      </w:r>
      <w:r>
        <w:rPr>
          <w:sz w:val="20"/>
          <w:vertAlign w:val="baseline"/>
        </w:rPr>
        <w:t>data</w:t>
      </w:r>
      <w:r>
        <w:rPr>
          <w:spacing w:val="-4"/>
          <w:sz w:val="20"/>
          <w:vertAlign w:val="baseline"/>
        </w:rPr>
        <w:t xml:space="preserve"> </w:t>
      </w:r>
      <w:r>
        <w:rPr>
          <w:sz w:val="20"/>
          <w:vertAlign w:val="baseline"/>
        </w:rPr>
        <w:t>indicate</w:t>
      </w:r>
      <w:r>
        <w:rPr>
          <w:spacing w:val="-4"/>
          <w:sz w:val="20"/>
          <w:vertAlign w:val="baseline"/>
        </w:rPr>
        <w:t xml:space="preserve"> </w:t>
      </w:r>
      <w:r>
        <w:rPr>
          <w:sz w:val="20"/>
          <w:vertAlign w:val="baseline"/>
        </w:rPr>
        <w:t>that</w:t>
      </w:r>
      <w:r>
        <w:rPr>
          <w:spacing w:val="-4"/>
          <w:sz w:val="20"/>
          <w:vertAlign w:val="baseline"/>
        </w:rPr>
        <w:t xml:space="preserve"> </w:t>
      </w:r>
      <w:r>
        <w:rPr>
          <w:sz w:val="20"/>
          <w:vertAlign w:val="baseline"/>
        </w:rPr>
        <w:t>average</w:t>
      </w:r>
      <w:r>
        <w:rPr>
          <w:spacing w:val="-6"/>
          <w:sz w:val="20"/>
          <w:vertAlign w:val="baseline"/>
        </w:rPr>
        <w:t xml:space="preserve"> </w:t>
      </w:r>
      <w:r>
        <w:rPr>
          <w:sz w:val="20"/>
          <w:vertAlign w:val="baseline"/>
        </w:rPr>
        <w:t>handle</w:t>
      </w:r>
      <w:r>
        <w:rPr>
          <w:spacing w:val="-4"/>
          <w:sz w:val="20"/>
          <w:vertAlign w:val="baseline"/>
        </w:rPr>
        <w:t xml:space="preserve"> </w:t>
      </w:r>
      <w:r>
        <w:rPr>
          <w:sz w:val="20"/>
          <w:vertAlign w:val="baseline"/>
        </w:rPr>
        <w:t>times</w:t>
      </w:r>
      <w:r>
        <w:rPr>
          <w:spacing w:val="-5"/>
          <w:sz w:val="20"/>
          <w:vertAlign w:val="baseline"/>
        </w:rPr>
        <w:t xml:space="preserve"> </w:t>
      </w:r>
      <w:r>
        <w:rPr>
          <w:sz w:val="20"/>
          <w:vertAlign w:val="baseline"/>
        </w:rPr>
        <w:t>for</w:t>
      </w:r>
      <w:r>
        <w:rPr>
          <w:spacing w:val="-3"/>
          <w:sz w:val="20"/>
          <w:vertAlign w:val="baseline"/>
        </w:rPr>
        <w:t xml:space="preserve"> </w:t>
      </w:r>
      <w:r>
        <w:rPr>
          <w:sz w:val="20"/>
          <w:vertAlign w:val="baseline"/>
        </w:rPr>
        <w:t>health</w:t>
      </w:r>
      <w:r>
        <w:rPr>
          <w:spacing w:val="-3"/>
          <w:sz w:val="20"/>
          <w:vertAlign w:val="baseline"/>
        </w:rPr>
        <w:t xml:space="preserve"> </w:t>
      </w:r>
      <w:r>
        <w:rPr>
          <w:sz w:val="20"/>
          <w:vertAlign w:val="baseline"/>
        </w:rPr>
        <w:t>care-related</w:t>
      </w:r>
      <w:r>
        <w:rPr>
          <w:spacing w:val="-3"/>
          <w:sz w:val="20"/>
          <w:vertAlign w:val="baseline"/>
        </w:rPr>
        <w:t xml:space="preserve"> </w:t>
      </w:r>
      <w:r>
        <w:rPr>
          <w:sz w:val="20"/>
          <w:vertAlign w:val="baseline"/>
        </w:rPr>
        <w:t>customer</w:t>
      </w:r>
      <w:r>
        <w:rPr>
          <w:spacing w:val="-8"/>
          <w:sz w:val="20"/>
          <w:vertAlign w:val="baseline"/>
        </w:rPr>
        <w:t xml:space="preserve"> </w:t>
      </w:r>
      <w:r>
        <w:rPr>
          <w:sz w:val="20"/>
          <w:vertAlign w:val="baseline"/>
        </w:rPr>
        <w:t>service</w:t>
      </w:r>
      <w:r>
        <w:rPr>
          <w:spacing w:val="-4"/>
          <w:sz w:val="20"/>
          <w:vertAlign w:val="baseline"/>
        </w:rPr>
        <w:t xml:space="preserve"> </w:t>
      </w:r>
      <w:r>
        <w:rPr>
          <w:sz w:val="20"/>
          <w:vertAlign w:val="baseline"/>
        </w:rPr>
        <w:t>calls</w:t>
      </w:r>
      <w:r>
        <w:rPr>
          <w:spacing w:val="-5"/>
          <w:sz w:val="20"/>
          <w:vertAlign w:val="baseline"/>
        </w:rPr>
        <w:t xml:space="preserve"> </w:t>
      </w:r>
      <w:r>
        <w:rPr>
          <w:sz w:val="20"/>
          <w:vertAlign w:val="baseline"/>
        </w:rPr>
        <w:t xml:space="preserve">generally range from approximately 4 to 8 minutes, with reported averages of about 4.4 minutes (Dialog Health, </w:t>
      </w:r>
      <w:hyperlink r:id="rId5">
        <w:r>
          <w:rPr>
            <w:sz w:val="20"/>
            <w:vertAlign w:val="baseline"/>
          </w:rPr>
          <w:t>https://www.dialoghealth.com/post/healthcare-call-center-statistics),</w:t>
        </w:r>
      </w:hyperlink>
      <w:r>
        <w:rPr>
          <w:sz w:val="20"/>
          <w:vertAlign w:val="baseline"/>
        </w:rPr>
        <w:t xml:space="preserve"> 6.6 minutes (SpinSci, </w:t>
      </w:r>
      <w:hyperlink r:id="rId6">
        <w:r>
          <w:rPr>
            <w:sz w:val="20"/>
            <w:vertAlign w:val="baseline"/>
          </w:rPr>
          <w:t>https://spinsci.ai/resources/what-is-average-handle-time-aht-in-healthcare),</w:t>
        </w:r>
      </w:hyperlink>
      <w:r>
        <w:rPr>
          <w:sz w:val="20"/>
          <w:vertAlign w:val="baseline"/>
        </w:rPr>
        <w:t xml:space="preserve"> and 6 to 8 minutes (Zendesk, </w:t>
      </w:r>
      <w:hyperlink r:id="rId7">
        <w:r>
          <w:rPr>
            <w:spacing w:val="-2"/>
            <w:sz w:val="20"/>
            <w:vertAlign w:val="baseline"/>
          </w:rPr>
          <w:t>https://www.zendesk.com/in/blog/customer-service/satisfaction/average-handle-time/).</w:t>
        </w:r>
      </w:hyperlink>
    </w:p>
    <w:p>
      <w:pPr>
        <w:spacing w:after="0" w:line="242" w:lineRule="auto"/>
        <w:jc w:val="left"/>
        <w:rPr>
          <w:sz w:val="20"/>
        </w:rPr>
        <w:sectPr>
          <w:pgSz w:w="12240" w:h="15840"/>
          <w:pgMar w:top="1360" w:right="1440" w:bottom="1260" w:left="1080" w:header="0" w:footer="1079"/>
          <w:cols w:space="720"/>
        </w:sectPr>
      </w:pPr>
    </w:p>
    <w:p>
      <w:pPr>
        <w:pStyle w:val="BodyText"/>
        <w:spacing w:before="79" w:line="278" w:lineRule="auto"/>
        <w:ind w:right="29"/>
      </w:pPr>
      <w:r>
        <w:t>will</w:t>
      </w:r>
      <w:r>
        <w:rPr>
          <w:spacing w:val="-3"/>
        </w:rPr>
        <w:t xml:space="preserve"> </w:t>
      </w:r>
      <w:r>
        <w:t>only</w:t>
      </w:r>
      <w:r>
        <w:rPr>
          <w:spacing w:val="-3"/>
        </w:rPr>
        <w:t xml:space="preserve"> </w:t>
      </w:r>
      <w:r>
        <w:t>affect</w:t>
      </w:r>
      <w:r>
        <w:rPr>
          <w:spacing w:val="-3"/>
        </w:rPr>
        <w:t xml:space="preserve"> </w:t>
      </w:r>
      <w:r>
        <w:t>the</w:t>
      </w:r>
      <w:r>
        <w:rPr>
          <w:spacing w:val="-4"/>
        </w:rPr>
        <w:t xml:space="preserve"> </w:t>
      </w:r>
      <w:r>
        <w:t>threshold</w:t>
      </w:r>
      <w:r>
        <w:rPr>
          <w:spacing w:val="-3"/>
        </w:rPr>
        <w:t xml:space="preserve"> </w:t>
      </w:r>
      <w:r>
        <w:t>for</w:t>
      </w:r>
      <w:r>
        <w:rPr>
          <w:spacing w:val="-4"/>
        </w:rPr>
        <w:t xml:space="preserve"> </w:t>
      </w:r>
      <w:r>
        <w:t>inclusion,</w:t>
      </w:r>
      <w:r>
        <w:rPr>
          <w:spacing w:val="-3"/>
        </w:rPr>
        <w:t xml:space="preserve"> </w:t>
      </w:r>
      <w:r>
        <w:t>rather</w:t>
      </w:r>
      <w:r>
        <w:rPr>
          <w:spacing w:val="-2"/>
        </w:rPr>
        <w:t xml:space="preserve"> </w:t>
      </w:r>
      <w:r>
        <w:t>than</w:t>
      </w:r>
      <w:r>
        <w:rPr>
          <w:spacing w:val="-3"/>
        </w:rPr>
        <w:t xml:space="preserve"> </w:t>
      </w:r>
      <w:r>
        <w:t>the</w:t>
      </w:r>
      <w:r>
        <w:rPr>
          <w:spacing w:val="-4"/>
        </w:rPr>
        <w:t xml:space="preserve"> </w:t>
      </w:r>
      <w:r>
        <w:t>structure</w:t>
      </w:r>
      <w:r>
        <w:rPr>
          <w:spacing w:val="-4"/>
        </w:rPr>
        <w:t xml:space="preserve"> </w:t>
      </w:r>
      <w:r>
        <w:t>or</w:t>
      </w:r>
      <w:r>
        <w:rPr>
          <w:spacing w:val="-4"/>
        </w:rPr>
        <w:t xml:space="preserve"> </w:t>
      </w:r>
      <w:r>
        <w:t>logic</w:t>
      </w:r>
      <w:r>
        <w:rPr>
          <w:spacing w:val="-4"/>
        </w:rPr>
        <w:t xml:space="preserve"> </w:t>
      </w:r>
      <w:r>
        <w:t>of</w:t>
      </w:r>
      <w:r>
        <w:rPr>
          <w:spacing w:val="-4"/>
        </w:rPr>
        <w:t xml:space="preserve"> </w:t>
      </w:r>
      <w:r>
        <w:t>the</w:t>
      </w:r>
      <w:r>
        <w:rPr>
          <w:spacing w:val="-4"/>
        </w:rPr>
        <w:t xml:space="preserve"> </w:t>
      </w:r>
      <w:r>
        <w:t>files,</w:t>
      </w:r>
      <w:r>
        <w:rPr>
          <w:spacing w:val="-3"/>
        </w:rPr>
        <w:t xml:space="preserve"> </w:t>
      </w:r>
      <w:r>
        <w:t>and therefore expect any associated burden to be minimal.</w:t>
      </w:r>
    </w:p>
    <w:p>
      <w:pPr>
        <w:pStyle w:val="Heading1"/>
        <w:spacing w:before="159"/>
      </w:pPr>
      <w:r>
        <w:rPr>
          <w:spacing w:val="-2"/>
          <w:u w:val="single"/>
        </w:rPr>
        <w:t>Comment</w:t>
      </w:r>
    </w:p>
    <w:p>
      <w:pPr>
        <w:pStyle w:val="BodyText"/>
        <w:spacing w:line="278" w:lineRule="auto"/>
      </w:pPr>
      <w:r>
        <w:t>A</w:t>
      </w:r>
      <w:r>
        <w:rPr>
          <w:spacing w:val="-8"/>
        </w:rPr>
        <w:t xml:space="preserve"> </w:t>
      </w:r>
      <w:r>
        <w:t>few commenters noted that the burden associated with the Utilization File is overstated. They explained that the requirement represents an incremental extension of existing claims-based workflows</w:t>
      </w:r>
      <w:r>
        <w:rPr>
          <w:spacing w:val="-5"/>
        </w:rPr>
        <w:t xml:space="preserve"> </w:t>
      </w:r>
      <w:r>
        <w:t>and</w:t>
      </w:r>
      <w:r>
        <w:rPr>
          <w:spacing w:val="-4"/>
        </w:rPr>
        <w:t xml:space="preserve"> </w:t>
      </w:r>
      <w:r>
        <w:t>is</w:t>
      </w:r>
      <w:r>
        <w:rPr>
          <w:spacing w:val="-4"/>
        </w:rPr>
        <w:t xml:space="preserve"> </w:t>
      </w:r>
      <w:r>
        <w:t>significantly</w:t>
      </w:r>
      <w:r>
        <w:rPr>
          <w:spacing w:val="-4"/>
        </w:rPr>
        <w:t xml:space="preserve"> </w:t>
      </w:r>
      <w:r>
        <w:t>less</w:t>
      </w:r>
      <w:r>
        <w:rPr>
          <w:spacing w:val="-4"/>
        </w:rPr>
        <w:t xml:space="preserve"> </w:t>
      </w:r>
      <w:r>
        <w:t>complex</w:t>
      </w:r>
      <w:r>
        <w:rPr>
          <w:spacing w:val="-4"/>
        </w:rPr>
        <w:t xml:space="preserve"> </w:t>
      </w:r>
      <w:r>
        <w:t>than</w:t>
      </w:r>
      <w:r>
        <w:rPr>
          <w:spacing w:val="-4"/>
        </w:rPr>
        <w:t xml:space="preserve"> </w:t>
      </w:r>
      <w:r>
        <w:t>the</w:t>
      </w:r>
      <w:r>
        <w:rPr>
          <w:spacing w:val="-4"/>
        </w:rPr>
        <w:t xml:space="preserve"> </w:t>
      </w:r>
      <w:r>
        <w:t>original</w:t>
      </w:r>
      <w:r>
        <w:rPr>
          <w:spacing w:val="-15"/>
        </w:rPr>
        <w:t xml:space="preserve"> </w:t>
      </w:r>
      <w:r>
        <w:t>Allowed</w:t>
      </w:r>
      <w:r>
        <w:rPr>
          <w:spacing w:val="-15"/>
        </w:rPr>
        <w:t xml:space="preserve"> </w:t>
      </w:r>
      <w:r>
        <w:t>Amount</w:t>
      </w:r>
      <w:r>
        <w:rPr>
          <w:spacing w:val="-4"/>
        </w:rPr>
        <w:t xml:space="preserve"> </w:t>
      </w:r>
      <w:r>
        <w:t>File.</w:t>
      </w:r>
      <w:r>
        <w:rPr>
          <w:spacing w:val="-8"/>
        </w:rPr>
        <w:t xml:space="preserve"> </w:t>
      </w:r>
      <w:r>
        <w:t>They</w:t>
      </w:r>
      <w:r>
        <w:rPr>
          <w:spacing w:val="-4"/>
        </w:rPr>
        <w:t xml:space="preserve"> </w:t>
      </w:r>
      <w:r>
        <w:t xml:space="preserve">further emphasized that the Utilization File does not necessitate a new system and is updated annually rather than monthly. One commenter also recommended revising the estimated hours and costs </w:t>
      </w:r>
      <w:r>
        <w:rPr>
          <w:spacing w:val="-2"/>
        </w:rPr>
        <w:t>downward.</w:t>
      </w:r>
    </w:p>
    <w:p>
      <w:pPr>
        <w:pStyle w:val="Heading1"/>
        <w:spacing w:before="157"/>
      </w:pPr>
      <w:r>
        <w:rPr>
          <w:spacing w:val="-2"/>
        </w:rPr>
        <w:t>Response</w:t>
      </w:r>
    </w:p>
    <w:p>
      <w:pPr>
        <w:pStyle w:val="BodyText"/>
        <w:spacing w:line="278" w:lineRule="auto"/>
        <w:ind w:left="359" w:right="71"/>
      </w:pPr>
      <w:r>
        <w:t>The</w:t>
      </w:r>
      <w:r>
        <w:rPr>
          <w:spacing w:val="-3"/>
        </w:rPr>
        <w:t xml:space="preserve"> </w:t>
      </w:r>
      <w:r>
        <w:t>Departments</w:t>
      </w:r>
      <w:r>
        <w:rPr>
          <w:spacing w:val="-2"/>
        </w:rPr>
        <w:t xml:space="preserve"> </w:t>
      </w:r>
      <w:r>
        <w:t>thank</w:t>
      </w:r>
      <w:r>
        <w:rPr>
          <w:spacing w:val="-2"/>
        </w:rPr>
        <w:t xml:space="preserve"> </w:t>
      </w:r>
      <w:r>
        <w:t>the</w:t>
      </w:r>
      <w:r>
        <w:rPr>
          <w:spacing w:val="-3"/>
        </w:rPr>
        <w:t xml:space="preserve"> </w:t>
      </w:r>
      <w:r>
        <w:t>commenters</w:t>
      </w:r>
      <w:r>
        <w:rPr>
          <w:spacing w:val="-2"/>
        </w:rPr>
        <w:t xml:space="preserve"> </w:t>
      </w:r>
      <w:r>
        <w:t>for</w:t>
      </w:r>
      <w:r>
        <w:rPr>
          <w:spacing w:val="-3"/>
        </w:rPr>
        <w:t xml:space="preserve"> </w:t>
      </w:r>
      <w:r>
        <w:t>their</w:t>
      </w:r>
      <w:r>
        <w:rPr>
          <w:spacing w:val="-3"/>
        </w:rPr>
        <w:t xml:space="preserve"> </w:t>
      </w:r>
      <w:r>
        <w:t>insight</w:t>
      </w:r>
      <w:r>
        <w:rPr>
          <w:spacing w:val="-2"/>
        </w:rPr>
        <w:t xml:space="preserve"> </w:t>
      </w:r>
      <w:r>
        <w:t>and</w:t>
      </w:r>
      <w:r>
        <w:rPr>
          <w:spacing w:val="-2"/>
        </w:rPr>
        <w:t xml:space="preserve"> </w:t>
      </w:r>
      <w:r>
        <w:t>agree</w:t>
      </w:r>
      <w:r>
        <w:rPr>
          <w:spacing w:val="-1"/>
        </w:rPr>
        <w:t xml:space="preserve"> </w:t>
      </w:r>
      <w:r>
        <w:t>with</w:t>
      </w:r>
      <w:r>
        <w:rPr>
          <w:spacing w:val="-2"/>
        </w:rPr>
        <w:t xml:space="preserve"> </w:t>
      </w:r>
      <w:r>
        <w:t>their</w:t>
      </w:r>
      <w:r>
        <w:rPr>
          <w:spacing w:val="-3"/>
        </w:rPr>
        <w:t xml:space="preserve"> </w:t>
      </w:r>
      <w:r>
        <w:t>assessment</w:t>
      </w:r>
      <w:r>
        <w:rPr>
          <w:spacing w:val="-2"/>
        </w:rPr>
        <w:t xml:space="preserve"> </w:t>
      </w:r>
      <w:r>
        <w:t>that</w:t>
      </w:r>
      <w:r>
        <w:rPr>
          <w:spacing w:val="-2"/>
        </w:rPr>
        <w:t xml:space="preserve"> </w:t>
      </w:r>
      <w:r>
        <w:t>the burden associated with the Utilization File was overstated.</w:t>
      </w:r>
      <w:r>
        <w:rPr>
          <w:spacing w:val="-3"/>
        </w:rPr>
        <w:t xml:space="preserve"> </w:t>
      </w:r>
      <w:r>
        <w:t>After reviewing the initial estimate based on commenters’</w:t>
      </w:r>
      <w:r>
        <w:rPr>
          <w:spacing w:val="-8"/>
        </w:rPr>
        <w:t xml:space="preserve"> </w:t>
      </w:r>
      <w:r>
        <w:t>input, the Departments acknowledge that certain previously estimated burden hours, particularly for roles such as for a Senior</w:t>
      </w:r>
      <w:r>
        <w:rPr>
          <w:spacing w:val="-9"/>
        </w:rPr>
        <w:t xml:space="preserve"> </w:t>
      </w:r>
      <w:r>
        <w:t>Application Developer and Technical Architect, were higher than necessary to implement the Utilization File.</w:t>
      </w:r>
      <w:r>
        <w:rPr>
          <w:spacing w:val="-6"/>
        </w:rPr>
        <w:t xml:space="preserve"> </w:t>
      </w:r>
      <w:r>
        <w:t>Accordingly, the Departments have revised the Utilization File burden estimate to better align with the estimates for</w:t>
      </w:r>
      <w:r>
        <w:rPr>
          <w:spacing w:val="-6"/>
        </w:rPr>
        <w:t xml:space="preserve"> </w:t>
      </w:r>
      <w:r>
        <w:t>the</w:t>
      </w:r>
      <w:r>
        <w:rPr>
          <w:spacing w:val="-4"/>
        </w:rPr>
        <w:t xml:space="preserve"> </w:t>
      </w:r>
      <w:r>
        <w:t>other</w:t>
      </w:r>
      <w:r>
        <w:rPr>
          <w:spacing w:val="-4"/>
        </w:rPr>
        <w:t xml:space="preserve"> </w:t>
      </w:r>
      <w:r>
        <w:t>newly</w:t>
      </w:r>
      <w:r>
        <w:rPr>
          <w:spacing w:val="-3"/>
        </w:rPr>
        <w:t xml:space="preserve"> </w:t>
      </w:r>
      <w:r>
        <w:t>required</w:t>
      </w:r>
      <w:r>
        <w:rPr>
          <w:spacing w:val="-3"/>
        </w:rPr>
        <w:t xml:space="preserve"> </w:t>
      </w:r>
      <w:r>
        <w:t>contextual</w:t>
      </w:r>
      <w:r>
        <w:rPr>
          <w:spacing w:val="-1"/>
        </w:rPr>
        <w:t xml:space="preserve"> </w:t>
      </w:r>
      <w:r>
        <w:t>files</w:t>
      </w:r>
      <w:r>
        <w:rPr>
          <w:spacing w:val="-3"/>
        </w:rPr>
        <w:t xml:space="preserve"> </w:t>
      </w:r>
      <w:r>
        <w:t>and</w:t>
      </w:r>
      <w:r>
        <w:rPr>
          <w:spacing w:val="-3"/>
        </w:rPr>
        <w:t xml:space="preserve"> </w:t>
      </w:r>
      <w:r>
        <w:t>updates</w:t>
      </w:r>
      <w:r>
        <w:rPr>
          <w:spacing w:val="-3"/>
        </w:rPr>
        <w:t xml:space="preserve"> </w:t>
      </w:r>
      <w:r>
        <w:t>to</w:t>
      </w:r>
      <w:r>
        <w:rPr>
          <w:spacing w:val="-3"/>
        </w:rPr>
        <w:t xml:space="preserve"> </w:t>
      </w:r>
      <w:r>
        <w:t>existing</w:t>
      </w:r>
      <w:r>
        <w:rPr>
          <w:spacing w:val="-3"/>
        </w:rPr>
        <w:t xml:space="preserve"> </w:t>
      </w:r>
      <w:r>
        <w:t>machine-readable</w:t>
      </w:r>
      <w:r>
        <w:rPr>
          <w:spacing w:val="-2"/>
        </w:rPr>
        <w:t xml:space="preserve"> </w:t>
      </w:r>
      <w:r>
        <w:t>files.</w:t>
      </w:r>
      <w:r>
        <w:rPr>
          <w:spacing w:val="-15"/>
        </w:rPr>
        <w:t xml:space="preserve"> </w:t>
      </w:r>
      <w:r>
        <w:t>As</w:t>
      </w:r>
      <w:r>
        <w:rPr>
          <w:spacing w:val="-1"/>
        </w:rPr>
        <w:t xml:space="preserve"> </w:t>
      </w:r>
      <w:r>
        <w:t>a result, the Departments have reduced the estimated one-time burden hours and costs downward to more accurately reflect the expected implementation burden.</w:t>
      </w:r>
    </w:p>
    <w:p>
      <w:pPr>
        <w:pStyle w:val="Heading1"/>
        <w:spacing w:before="155"/>
      </w:pPr>
      <w:r>
        <w:rPr>
          <w:spacing w:val="-2"/>
          <w:u w:val="single"/>
        </w:rPr>
        <w:t>Comment</w:t>
      </w:r>
    </w:p>
    <w:p>
      <w:pPr>
        <w:pStyle w:val="BodyText"/>
        <w:spacing w:line="278" w:lineRule="auto"/>
        <w:ind w:left="359" w:right="74"/>
      </w:pPr>
      <w:r>
        <w:t>The Departments received comments indicating that small and regional health plans may be disproportionately impacted by these requirements. One commenter stated that the investment required to support the proposed Change-log File would be especially burdensome for regional, not-for-profit plans with limited resources.</w:t>
      </w:r>
      <w:r>
        <w:rPr>
          <w:spacing w:val="-3"/>
        </w:rPr>
        <w:t xml:space="preserve"> </w:t>
      </w:r>
      <w:r>
        <w:t>Another commenter also noted that large national carriers are less likely to face similar challenges, as they have already invested in machine-readable file production infrastructure and maintain more complex contractual and reporting systems.</w:t>
      </w:r>
      <w:r>
        <w:rPr>
          <w:spacing w:val="-8"/>
        </w:rPr>
        <w:t xml:space="preserve"> </w:t>
      </w:r>
      <w:r>
        <w:t>The</w:t>
      </w:r>
      <w:r>
        <w:rPr>
          <w:spacing w:val="-5"/>
        </w:rPr>
        <w:t xml:space="preserve"> </w:t>
      </w:r>
      <w:r>
        <w:t>commenter</w:t>
      </w:r>
      <w:r>
        <w:rPr>
          <w:spacing w:val="-3"/>
        </w:rPr>
        <w:t xml:space="preserve"> </w:t>
      </w:r>
      <w:r>
        <w:t>also</w:t>
      </w:r>
      <w:r>
        <w:rPr>
          <w:spacing w:val="-4"/>
        </w:rPr>
        <w:t xml:space="preserve"> </w:t>
      </w:r>
      <w:r>
        <w:t>stated</w:t>
      </w:r>
      <w:r>
        <w:rPr>
          <w:spacing w:val="-4"/>
        </w:rPr>
        <w:t xml:space="preserve"> </w:t>
      </w:r>
      <w:r>
        <w:t>that</w:t>
      </w:r>
      <w:r>
        <w:rPr>
          <w:spacing w:val="-4"/>
        </w:rPr>
        <w:t xml:space="preserve"> </w:t>
      </w:r>
      <w:r>
        <w:t>machine-readable</w:t>
      </w:r>
      <w:r>
        <w:rPr>
          <w:spacing w:val="-5"/>
        </w:rPr>
        <w:t xml:space="preserve"> </w:t>
      </w:r>
      <w:r>
        <w:t>file</w:t>
      </w:r>
      <w:r>
        <w:rPr>
          <w:spacing w:val="-5"/>
        </w:rPr>
        <w:t xml:space="preserve"> </w:t>
      </w:r>
      <w:r>
        <w:t>requirements</w:t>
      </w:r>
      <w:r>
        <w:rPr>
          <w:spacing w:val="-4"/>
        </w:rPr>
        <w:t xml:space="preserve"> </w:t>
      </w:r>
      <w:r>
        <w:t>may</w:t>
      </w:r>
      <w:r>
        <w:rPr>
          <w:spacing w:val="-4"/>
        </w:rPr>
        <w:t xml:space="preserve"> </w:t>
      </w:r>
      <w:r>
        <w:t>impose</w:t>
      </w:r>
      <w:r>
        <w:rPr>
          <w:spacing w:val="-5"/>
        </w:rPr>
        <w:t xml:space="preserve"> </w:t>
      </w:r>
      <w:r>
        <w:t>greater technical burden on smaller carriers and regional plans that lack the infrastructure necessary to generate and maintain detailed machine-readable files at the required frequency. In addition, the commenter</w:t>
      </w:r>
      <w:r>
        <w:rPr>
          <w:spacing w:val="-2"/>
        </w:rPr>
        <w:t xml:space="preserve"> </w:t>
      </w:r>
      <w:r>
        <w:t>suggested</w:t>
      </w:r>
      <w:r>
        <w:rPr>
          <w:spacing w:val="-1"/>
        </w:rPr>
        <w:t xml:space="preserve"> </w:t>
      </w:r>
      <w:r>
        <w:t>that</w:t>
      </w:r>
      <w:r>
        <w:rPr>
          <w:spacing w:val="-1"/>
        </w:rPr>
        <w:t xml:space="preserve"> </w:t>
      </w:r>
      <w:r>
        <w:t>reducing</w:t>
      </w:r>
      <w:r>
        <w:rPr>
          <w:spacing w:val="-1"/>
        </w:rPr>
        <w:t xml:space="preserve"> </w:t>
      </w:r>
      <w:r>
        <w:t>or</w:t>
      </w:r>
      <w:r>
        <w:rPr>
          <w:spacing w:val="-2"/>
        </w:rPr>
        <w:t xml:space="preserve"> </w:t>
      </w:r>
      <w:r>
        <w:t>eliminating</w:t>
      </w:r>
      <w:r>
        <w:rPr>
          <w:spacing w:val="-1"/>
        </w:rPr>
        <w:t xml:space="preserve"> </w:t>
      </w:r>
      <w:r>
        <w:t>certain</w:t>
      </w:r>
      <w:r>
        <w:rPr>
          <w:spacing w:val="-1"/>
        </w:rPr>
        <w:t xml:space="preserve"> </w:t>
      </w:r>
      <w:r>
        <w:t>requirements</w:t>
      </w:r>
      <w:r>
        <w:rPr>
          <w:spacing w:val="-1"/>
        </w:rPr>
        <w:t xml:space="preserve"> </w:t>
      </w:r>
      <w:r>
        <w:t>could</w:t>
      </w:r>
      <w:r>
        <w:rPr>
          <w:spacing w:val="-1"/>
        </w:rPr>
        <w:t xml:space="preserve"> </w:t>
      </w:r>
      <w:r>
        <w:t>lessen</w:t>
      </w:r>
      <w:r>
        <w:rPr>
          <w:spacing w:val="-1"/>
        </w:rPr>
        <w:t xml:space="preserve"> </w:t>
      </w:r>
      <w:r>
        <w:t>compliance burden for smaller carriers, new market entrants, and self-funded plans while still achieving the transparency objectives of the rule.</w:t>
      </w:r>
    </w:p>
    <w:p>
      <w:pPr>
        <w:pStyle w:val="Heading1"/>
        <w:spacing w:before="155"/>
      </w:pPr>
      <w:r>
        <w:rPr>
          <w:spacing w:val="-2"/>
        </w:rPr>
        <w:t>Response</w:t>
      </w:r>
    </w:p>
    <w:p>
      <w:pPr>
        <w:pStyle w:val="BodyText"/>
        <w:spacing w:line="278" w:lineRule="auto"/>
        <w:ind w:right="33"/>
      </w:pPr>
      <w:r>
        <w:t>The Departments acknowledge that the 2026 final rules may impose greater operational and implementation burden on certain small entities, particularly smaller and regional plans with more</w:t>
      </w:r>
      <w:r>
        <w:rPr>
          <w:spacing w:val="-5"/>
        </w:rPr>
        <w:t xml:space="preserve"> </w:t>
      </w:r>
      <w:r>
        <w:t>limited</w:t>
      </w:r>
      <w:r>
        <w:rPr>
          <w:spacing w:val="-4"/>
        </w:rPr>
        <w:t xml:space="preserve"> </w:t>
      </w:r>
      <w:r>
        <w:t>technical</w:t>
      </w:r>
      <w:r>
        <w:rPr>
          <w:spacing w:val="-4"/>
        </w:rPr>
        <w:t xml:space="preserve"> </w:t>
      </w:r>
      <w:r>
        <w:t>and</w:t>
      </w:r>
      <w:r>
        <w:rPr>
          <w:spacing w:val="-4"/>
        </w:rPr>
        <w:t xml:space="preserve"> </w:t>
      </w:r>
      <w:r>
        <w:t>administrative</w:t>
      </w:r>
      <w:r>
        <w:rPr>
          <w:spacing w:val="-5"/>
        </w:rPr>
        <w:t xml:space="preserve"> </w:t>
      </w:r>
      <w:r>
        <w:t>resources.</w:t>
      </w:r>
      <w:r>
        <w:rPr>
          <w:spacing w:val="-8"/>
        </w:rPr>
        <w:t xml:space="preserve"> </w:t>
      </w:r>
      <w:r>
        <w:t>The</w:t>
      </w:r>
      <w:r>
        <w:rPr>
          <w:spacing w:val="-5"/>
        </w:rPr>
        <w:t xml:space="preserve"> </w:t>
      </w:r>
      <w:r>
        <w:t>Departments</w:t>
      </w:r>
      <w:r>
        <w:rPr>
          <w:spacing w:val="-4"/>
        </w:rPr>
        <w:t xml:space="preserve"> </w:t>
      </w:r>
      <w:r>
        <w:t>have</w:t>
      </w:r>
      <w:r>
        <w:rPr>
          <w:spacing w:val="-3"/>
        </w:rPr>
        <w:t xml:space="preserve"> </w:t>
      </w:r>
      <w:r>
        <w:t>taken</w:t>
      </w:r>
      <w:r>
        <w:rPr>
          <w:spacing w:val="-4"/>
        </w:rPr>
        <w:t xml:space="preserve"> </w:t>
      </w:r>
      <w:r>
        <w:t>steps</w:t>
      </w:r>
      <w:r>
        <w:rPr>
          <w:spacing w:val="-4"/>
        </w:rPr>
        <w:t xml:space="preserve"> </w:t>
      </w:r>
      <w:r>
        <w:t>to</w:t>
      </w:r>
      <w:r>
        <w:rPr>
          <w:spacing w:val="-4"/>
        </w:rPr>
        <w:t xml:space="preserve"> </w:t>
      </w:r>
      <w:r>
        <w:t>reduce</w:t>
      </w:r>
    </w:p>
    <w:p>
      <w:pPr>
        <w:pStyle w:val="BodyText"/>
        <w:spacing w:after="0" w:line="278" w:lineRule="auto"/>
        <w:sectPr>
          <w:pgSz w:w="12240" w:h="15840"/>
          <w:pgMar w:top="1360" w:right="1440" w:bottom="1260" w:left="1080" w:header="0" w:footer="1079"/>
          <w:cols w:space="720"/>
        </w:sectPr>
      </w:pPr>
    </w:p>
    <w:p>
      <w:pPr>
        <w:pStyle w:val="BodyText"/>
        <w:spacing w:before="79" w:line="278" w:lineRule="auto"/>
        <w:ind w:right="53"/>
      </w:pPr>
      <w:r>
        <w:t>potential burden, including not finalizing the proposed Change-log File and enrollment data reporting, as well as refining underlying assumptions used in estimating burden to better reflect expected implementation costs and operational burden. The Departments are also adopting several provisions in these final rules that are intended to reduce operational burden across all plans and issuers, including smaller entities. In particular, the Departments highlight the decisions to reduce duplication and file size by allowing plans and issuers to aggregate and report information by provider network and market types, as well as the decision to extend reporting periods for certain files. The Departments expect these changes to reduce implementation</w:t>
      </w:r>
      <w:r>
        <w:rPr>
          <w:spacing w:val="-4"/>
        </w:rPr>
        <w:t xml:space="preserve"> </w:t>
      </w:r>
      <w:r>
        <w:t>and</w:t>
      </w:r>
      <w:r>
        <w:rPr>
          <w:spacing w:val="-4"/>
        </w:rPr>
        <w:t xml:space="preserve"> </w:t>
      </w:r>
      <w:r>
        <w:t>operational</w:t>
      </w:r>
      <w:r>
        <w:rPr>
          <w:spacing w:val="-4"/>
        </w:rPr>
        <w:t xml:space="preserve"> </w:t>
      </w:r>
      <w:r>
        <w:t>costs,</w:t>
      </w:r>
      <w:r>
        <w:rPr>
          <w:spacing w:val="-4"/>
        </w:rPr>
        <w:t xml:space="preserve"> </w:t>
      </w:r>
      <w:r>
        <w:t>particularly</w:t>
      </w:r>
      <w:r>
        <w:rPr>
          <w:spacing w:val="-2"/>
        </w:rPr>
        <w:t xml:space="preserve"> </w:t>
      </w:r>
      <w:r>
        <w:t>for</w:t>
      </w:r>
      <w:r>
        <w:rPr>
          <w:spacing w:val="-5"/>
        </w:rPr>
        <w:t xml:space="preserve"> </w:t>
      </w:r>
      <w:r>
        <w:t>plans</w:t>
      </w:r>
      <w:r>
        <w:rPr>
          <w:spacing w:val="-4"/>
        </w:rPr>
        <w:t xml:space="preserve"> </w:t>
      </w:r>
      <w:r>
        <w:t>and</w:t>
      </w:r>
      <w:r>
        <w:rPr>
          <w:spacing w:val="-4"/>
        </w:rPr>
        <w:t xml:space="preserve"> </w:t>
      </w:r>
      <w:r>
        <w:t>issuers</w:t>
      </w:r>
      <w:r>
        <w:rPr>
          <w:spacing w:val="-2"/>
        </w:rPr>
        <w:t xml:space="preserve"> </w:t>
      </w:r>
      <w:r>
        <w:t>with</w:t>
      </w:r>
      <w:r>
        <w:rPr>
          <w:spacing w:val="-4"/>
        </w:rPr>
        <w:t xml:space="preserve"> </w:t>
      </w:r>
      <w:r>
        <w:t>fewer</w:t>
      </w:r>
      <w:r>
        <w:rPr>
          <w:spacing w:val="-5"/>
        </w:rPr>
        <w:t xml:space="preserve"> </w:t>
      </w:r>
      <w:r>
        <w:t>resources</w:t>
      </w:r>
      <w:r>
        <w:rPr>
          <w:spacing w:val="-2"/>
        </w:rPr>
        <w:t xml:space="preserve"> </w:t>
      </w:r>
      <w:r>
        <w:t>and limited variability among the products offered to their client base. For example, smaller independent insurers may maintain fewer provider networks and products than larger insurers with more varied and complex provider network agreements and therefore may benefit more substantially from the</w:t>
      </w:r>
      <w:r>
        <w:rPr>
          <w:spacing w:val="-1"/>
        </w:rPr>
        <w:t xml:space="preserve"> </w:t>
      </w:r>
      <w:r>
        <w:t>ability to consolidate</w:t>
      </w:r>
      <w:r>
        <w:rPr>
          <w:spacing w:val="-1"/>
        </w:rPr>
        <w:t xml:space="preserve"> </w:t>
      </w:r>
      <w:r>
        <w:t>machine-readable file</w:t>
      </w:r>
      <w:r>
        <w:rPr>
          <w:spacing w:val="-1"/>
        </w:rPr>
        <w:t xml:space="preserve"> </w:t>
      </w:r>
      <w:r>
        <w:t>reporting by provider</w:t>
      </w:r>
      <w:r>
        <w:rPr>
          <w:spacing w:val="-1"/>
        </w:rPr>
        <w:t xml:space="preserve"> </w:t>
      </w:r>
      <w:r>
        <w:t>network and market type.</w:t>
      </w:r>
    </w:p>
    <w:p>
      <w:pPr>
        <w:pStyle w:val="BodyText"/>
        <w:spacing w:before="152" w:line="278" w:lineRule="auto"/>
        <w:ind w:right="33"/>
      </w:pPr>
      <w:r>
        <w:t>In</w:t>
      </w:r>
      <w:r>
        <w:rPr>
          <w:spacing w:val="-3"/>
        </w:rPr>
        <w:t xml:space="preserve"> </w:t>
      </w:r>
      <w:r>
        <w:t>these</w:t>
      </w:r>
      <w:r>
        <w:rPr>
          <w:spacing w:val="-4"/>
        </w:rPr>
        <w:t xml:space="preserve"> </w:t>
      </w:r>
      <w:r>
        <w:t>final</w:t>
      </w:r>
      <w:r>
        <w:rPr>
          <w:spacing w:val="-3"/>
        </w:rPr>
        <w:t xml:space="preserve"> </w:t>
      </w:r>
      <w:r>
        <w:t>rules,</w:t>
      </w:r>
      <w:r>
        <w:rPr>
          <w:spacing w:val="-3"/>
        </w:rPr>
        <w:t xml:space="preserve"> </w:t>
      </w:r>
      <w:r>
        <w:t>the</w:t>
      </w:r>
      <w:r>
        <w:rPr>
          <w:spacing w:val="-4"/>
        </w:rPr>
        <w:t xml:space="preserve"> </w:t>
      </w:r>
      <w:r>
        <w:t>Departments</w:t>
      </w:r>
      <w:r>
        <w:rPr>
          <w:spacing w:val="-3"/>
        </w:rPr>
        <w:t xml:space="preserve"> </w:t>
      </w:r>
      <w:r>
        <w:t>are</w:t>
      </w:r>
      <w:r>
        <w:rPr>
          <w:spacing w:val="-4"/>
        </w:rPr>
        <w:t xml:space="preserve"> </w:t>
      </w:r>
      <w:r>
        <w:t>also</w:t>
      </w:r>
      <w:r>
        <w:rPr>
          <w:spacing w:val="-3"/>
        </w:rPr>
        <w:t xml:space="preserve"> </w:t>
      </w:r>
      <w:r>
        <w:t>retaining</w:t>
      </w:r>
      <w:r>
        <w:rPr>
          <w:spacing w:val="-3"/>
        </w:rPr>
        <w:t xml:space="preserve"> </w:t>
      </w:r>
      <w:r>
        <w:t>and</w:t>
      </w:r>
      <w:r>
        <w:rPr>
          <w:spacing w:val="-3"/>
        </w:rPr>
        <w:t xml:space="preserve"> </w:t>
      </w:r>
      <w:r>
        <w:t>expanding</w:t>
      </w:r>
      <w:r>
        <w:rPr>
          <w:spacing w:val="-3"/>
        </w:rPr>
        <w:t xml:space="preserve"> </w:t>
      </w:r>
      <w:r>
        <w:t>policies</w:t>
      </w:r>
      <w:r>
        <w:rPr>
          <w:spacing w:val="-3"/>
        </w:rPr>
        <w:t xml:space="preserve"> </w:t>
      </w:r>
      <w:r>
        <w:t>enabling</w:t>
      </w:r>
      <w:r>
        <w:rPr>
          <w:spacing w:val="-3"/>
        </w:rPr>
        <w:t xml:space="preserve"> </w:t>
      </w:r>
      <w:r>
        <w:t>plans</w:t>
      </w:r>
      <w:r>
        <w:rPr>
          <w:spacing w:val="-3"/>
        </w:rPr>
        <w:t xml:space="preserve"> </w:t>
      </w:r>
      <w:r>
        <w:t>and issuers to enter into written agreements with service providers to aggregate, generate, and post machine-readable files and related text files. These policies enable smaller group health plans and health insurance issuers to outsource key compliance functions to service providers that are better equipped to manage these activities. Smaller health plans, including self-insured group health plans, may rely on service providers to manage their provider network agreements and claims processing, so relying on these</w:t>
      </w:r>
      <w:r>
        <w:rPr>
          <w:spacing w:val="-1"/>
        </w:rPr>
        <w:t xml:space="preserve"> </w:t>
      </w:r>
      <w:r>
        <w:t>service</w:t>
      </w:r>
      <w:r>
        <w:rPr>
          <w:spacing w:val="-1"/>
        </w:rPr>
        <w:t xml:space="preserve"> </w:t>
      </w:r>
      <w:r>
        <w:t>providers to manage</w:t>
      </w:r>
      <w:r>
        <w:rPr>
          <w:spacing w:val="-1"/>
        </w:rPr>
        <w:t xml:space="preserve"> </w:t>
      </w:r>
      <w:r>
        <w:t>the</w:t>
      </w:r>
      <w:r>
        <w:rPr>
          <w:spacing w:val="-1"/>
        </w:rPr>
        <w:t xml:space="preserve"> </w:t>
      </w:r>
      <w:r>
        <w:t>generation of</w:t>
      </w:r>
      <w:r>
        <w:rPr>
          <w:spacing w:val="-1"/>
        </w:rPr>
        <w:t xml:space="preserve"> </w:t>
      </w:r>
      <w:r>
        <w:t>these</w:t>
      </w:r>
      <w:r>
        <w:rPr>
          <w:spacing w:val="-1"/>
        </w:rPr>
        <w:t xml:space="preserve"> </w:t>
      </w:r>
      <w:r>
        <w:t>plans’ machine-readable files may facilitate a more efficient path to compliance.</w:t>
      </w:r>
    </w:p>
    <w:sectPr>
      <w:pgSz w:w="12240" w:h="15840"/>
      <w:pgMar w:top="1360" w:right="1440" w:bottom="1260" w:left="1080" w:header="0" w:footer="1079"/>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font>
  <w:font w:name="Trebuchet MS">
    <w:altName w:val="Trebuchet MS"/>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before="0" w:line="14" w:lineRule="auto"/>
      <w:ind w:left="0"/>
      <w:rPr>
        <w:sz w:val="20"/>
      </w:rPr>
    </w:pPr>
    <w:r>
      <w:rPr>
        <w:sz w:val="20"/>
      </w:rPr>
      <mc:AlternateContent>
        <mc:Choice Requires="wps">
          <w:drawing>
            <wp:anchor distT="0" distB="0" distL="0" distR="0" simplePos="0" relativeHeight="251658240" behindDoc="1" locked="0" layoutInCell="1" allowOverlap="1">
              <wp:simplePos x="0" y="0"/>
              <wp:positionH relativeFrom="page">
                <wp:posOffset>3810000</wp:posOffset>
              </wp:positionH>
              <wp:positionV relativeFrom="page">
                <wp:posOffset>9233237</wp:posOffset>
              </wp:positionV>
              <wp:extent cx="165100" cy="194310"/>
              <wp:effectExtent l="0" t="0" r="0" b="0"/>
              <wp:wrapNone/>
              <wp:docPr id="1" name="Text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65100" cy="194310"/>
                      </a:xfrm>
                      <a:prstGeom prst="rect">
                        <a:avLst/>
                      </a:prstGeom>
                    </wps:spPr>
                    <wps:txbx>
                      <w:txbxContent>
                        <w:p>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_x0000_s2049" type="#_x0000_t202" style="width:13pt;height:15.3pt;margin-top:727.03pt;margin-left:300pt;mso-position-horizontal-relative:page;mso-position-vertical-relative:page;position:absolute;z-index:-251657216" filled="f" stroked="f">
              <v:textbox inset="0,0,0,0">
                <w:txbxContent>
                  <w:p>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n-US" w:eastAsia="en-US" w:bidi="ar-SA"/>
    </w:rPr>
  </w:style>
  <w:style w:type="paragraph" w:styleId="Heading1">
    <w:name w:val="heading 1"/>
    <w:basedOn w:val="Normal"/>
    <w:uiPriority w:val="1"/>
    <w:qFormat/>
    <w:pPr>
      <w:spacing w:before="158"/>
      <w:ind w:left="360"/>
      <w:outlineLvl w:val="0"/>
    </w:pPr>
    <w:rPr>
      <w:rFonts w:ascii="Times New Roman" w:eastAsia="Times New Roman" w:hAnsi="Times New Roman" w:cs="Times New Roman"/>
      <w:b/>
      <w:bCs/>
      <w:sz w:val="24"/>
      <w:szCs w:val="24"/>
      <w:lang w:val="en-US" w:eastAsia="en-US"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spacing w:before="204"/>
      <w:ind w:left="360"/>
    </w:pPr>
    <w:rPr>
      <w:rFonts w:ascii="Times New Roman" w:eastAsia="Times New Roman" w:hAnsi="Times New Roman" w:cs="Times New Roman"/>
      <w:sz w:val="24"/>
      <w:szCs w:val="24"/>
      <w:lang w:val="en-US" w:eastAsia="en-US" w:bidi="ar-SA"/>
    </w:rPr>
  </w:style>
  <w:style w:type="paragraph" w:styleId="ListParagraph">
    <w:name w:val="List Paragraph"/>
    <w:basedOn w:val="Normal"/>
    <w:uiPriority w:val="1"/>
    <w:qFormat/>
    <w:rPr>
      <w:lang w:val="en-US" w:eastAsia="en-US" w:bidi="ar-SA"/>
    </w:rPr>
  </w:style>
  <w:style w:type="paragraph" w:customStyle="1" w:styleId="TableParagraph">
    <w:name w:val="Table Paragraph"/>
    <w:basedOn w:val="Normal"/>
    <w:uiPriority w:val="1"/>
    <w:qFormat/>
    <w:rPr>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hyperlink" Target="https://www.dialoghealth.com/post/healthcare-call-center-statistics)" TargetMode="External" /><Relationship Id="rId6" Type="http://schemas.openxmlformats.org/officeDocument/2006/relationships/hyperlink" Target="https://spinsci.ai/resources/what-is-average-handle-time-aht-in-healthcare)" TargetMode="External" /><Relationship Id="rId7" Type="http://schemas.openxmlformats.org/officeDocument/2006/relationships/hyperlink" Target="https://www.zendesk.com/in/blog/customer-service/satisfaction/average-handle-time/)" TargetMode="Externa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Center For Medicaid Services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8</dc:title>
  <dc:creator>Kidane, Daniel (CMS/CCIIO)</dc:creator>
  <cp:revision>0</cp:revision>
  <dcterms:created xsi:type="dcterms:W3CDTF">2026-10-21T14:39:03Z</dcterms:created>
  <dcterms:modified xsi:type="dcterms:W3CDTF">2026-10-21T14:39:03Z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0x0101009A20D729043553478E8250DBD40BB22D</vt:lpwstr>
  </property>
  <property fmtid="{D5CDD505-2E9C-101B-9397-08002B2CF9AE}" pid="3" name="Created">
    <vt:filetime>2026-09-29T00:00:00Z</vt:filetime>
  </property>
  <property fmtid="{D5CDD505-2E9C-101B-9397-08002B2CF9AE}" pid="4" name="Creator">
    <vt:lpwstr>Acrobat PDFMaker 26 for Word</vt:lpwstr>
  </property>
  <property fmtid="{D5CDD505-2E9C-101B-9397-08002B2CF9AE}" pid="5" name="docLang">
    <vt:lpwstr>en</vt:lpwstr>
  </property>
  <property fmtid="{D5CDD505-2E9C-101B-9397-08002B2CF9AE}" pid="6" name="LastSaved">
    <vt:filetime>2026-10-21T00:00:00Z</vt:filetime>
  </property>
  <property fmtid="{D5CDD505-2E9C-101B-9397-08002B2CF9AE}" pid="7" name="MediaServiceImageTags">
    <vt:lpwstr/>
  </property>
  <property fmtid="{D5CDD505-2E9C-101B-9397-08002B2CF9AE}" pid="8" name="Producer">
    <vt:lpwstr>Adobe PDF Library 26.2.141</vt:lpwstr>
  </property>
  <property fmtid="{D5CDD505-2E9C-101B-9397-08002B2CF9AE}" pid="9" name="SourceModified">
    <vt:lpwstr/>
  </property>
</Properties>
</file>