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E5A8D" w:rsidRPr="004233D7" w:rsidP="004233D7" w14:paraId="5E13A373" w14:textId="299135D4">
      <w:pPr>
        <w:spacing w:after="0" w:line="240" w:lineRule="auto"/>
        <w:jc w:val="center"/>
        <w:rPr>
          <w:szCs w:val="24"/>
        </w:rPr>
      </w:pPr>
      <w:r w:rsidRPr="004233D7">
        <w:t xml:space="preserve">Generic </w:t>
      </w:r>
      <w:r w:rsidRPr="004233D7" w:rsidR="004233D7">
        <w:t>Supporting Statement</w:t>
      </w:r>
    </w:p>
    <w:p w:rsidR="004233D7" w:rsidRPr="004233D7" w:rsidP="004233D7" w14:paraId="4B68B6A5" w14:textId="2BDA6F5B">
      <w:pPr>
        <w:widowControl w:val="0"/>
        <w:autoSpaceDE w:val="0"/>
        <w:autoSpaceDN w:val="0"/>
        <w:adjustRightInd w:val="0"/>
        <w:spacing w:after="0" w:line="240" w:lineRule="auto"/>
        <w:jc w:val="center"/>
        <w:rPr>
          <w:szCs w:val="24"/>
        </w:rPr>
      </w:pPr>
      <w:r w:rsidRPr="004233D7">
        <w:t>Model Application Template and Instructions for State Child Health Plan Under Title XXI of the Social Security Act, State Children’s Health Insurance Program</w:t>
      </w:r>
    </w:p>
    <w:p w:rsidR="004233D7" w:rsidRPr="004233D7" w:rsidP="004233D7" w14:paraId="578EAA78" w14:textId="1F8FE432">
      <w:pPr>
        <w:widowControl w:val="0"/>
        <w:autoSpaceDE w:val="0"/>
        <w:autoSpaceDN w:val="0"/>
        <w:adjustRightInd w:val="0"/>
        <w:spacing w:after="0" w:line="240" w:lineRule="auto"/>
        <w:jc w:val="center"/>
        <w:rPr>
          <w:szCs w:val="24"/>
        </w:rPr>
      </w:pPr>
      <w:r>
        <w:rPr>
          <w:rFonts w:cs="Times New Roman"/>
        </w:rPr>
        <w:t xml:space="preserve">CMS-10398 </w:t>
      </w:r>
      <w:r w:rsidRPr="004233D7">
        <w:rPr>
          <w:rFonts w:cs="Times New Roman"/>
        </w:rPr>
        <w:t>#34</w:t>
      </w:r>
      <w:r>
        <w:rPr>
          <w:rFonts w:cs="Times New Roman"/>
        </w:rPr>
        <w:t xml:space="preserve">, 0938-1148 </w:t>
      </w:r>
    </w:p>
    <w:p w:rsidR="004233D7" w:rsidP="00EC16E0" w14:paraId="019E5820" w14:textId="77777777">
      <w:pPr>
        <w:widowControl w:val="0"/>
        <w:autoSpaceDE w:val="0"/>
        <w:autoSpaceDN w:val="0"/>
        <w:adjustRightInd w:val="0"/>
        <w:spacing w:after="0" w:line="240" w:lineRule="auto"/>
        <w:rPr>
          <w:szCs w:val="24"/>
        </w:rPr>
      </w:pPr>
    </w:p>
    <w:p w:rsidR="00524CE1" w:rsidP="00EC16E0" w14:paraId="5507AB9B" w14:textId="0BB38913">
      <w:pPr>
        <w:widowControl w:val="0"/>
        <w:autoSpaceDE w:val="0"/>
        <w:autoSpaceDN w:val="0"/>
        <w:adjustRightInd w:val="0"/>
        <w:spacing w:after="0" w:line="240" w:lineRule="auto"/>
        <w:rPr>
          <w:szCs w:val="24"/>
        </w:rPr>
      </w:pPr>
      <w:r w:rsidRPr="001F6745">
        <w:rPr>
          <w:szCs w:val="24"/>
        </w:rPr>
        <w:t>The content</w:t>
      </w:r>
      <w:r>
        <w:rPr>
          <w:szCs w:val="24"/>
        </w:rPr>
        <w:t>s</w:t>
      </w:r>
      <w:r w:rsidRPr="001F6745">
        <w:rPr>
          <w:szCs w:val="24"/>
        </w:rPr>
        <w:t xml:space="preserve"> of this Supporting Statement and the associated attachments </w:t>
      </w:r>
      <w:r>
        <w:rPr>
          <w:szCs w:val="24"/>
        </w:rPr>
        <w:t xml:space="preserve">have been reviewed and, if needed, revised, to ensure that they </w:t>
      </w:r>
      <w:r w:rsidRPr="001F6745">
        <w:rPr>
          <w:szCs w:val="24"/>
        </w:rPr>
        <w:t xml:space="preserve">are consistent with the </w:t>
      </w:r>
      <w:r>
        <w:rPr>
          <w:szCs w:val="24"/>
        </w:rPr>
        <w:t xml:space="preserve">Trump </w:t>
      </w:r>
      <w:r w:rsidRPr="001F6745">
        <w:rPr>
          <w:szCs w:val="24"/>
        </w:rPr>
        <w:t>administration’s polic</w:t>
      </w:r>
      <w:r>
        <w:rPr>
          <w:szCs w:val="24"/>
        </w:rPr>
        <w:t>ies</w:t>
      </w:r>
      <w:r w:rsidRPr="001F6745">
        <w:rPr>
          <w:szCs w:val="24"/>
        </w:rPr>
        <w:t>, goals, and objectives.</w:t>
      </w:r>
      <w:r>
        <w:rPr>
          <w:szCs w:val="24"/>
        </w:rPr>
        <w:t xml:space="preserve"> </w:t>
      </w:r>
    </w:p>
    <w:p w:rsidR="00524CE1" w:rsidP="00437CD2" w14:paraId="224F3852" w14:textId="77777777">
      <w:pPr>
        <w:widowControl w:val="0"/>
        <w:autoSpaceDE w:val="0"/>
        <w:autoSpaceDN w:val="0"/>
        <w:adjustRightInd w:val="0"/>
        <w:spacing w:after="0" w:line="240" w:lineRule="auto"/>
        <w:rPr>
          <w:szCs w:val="24"/>
        </w:rPr>
      </w:pPr>
    </w:p>
    <w:p w:rsidR="00B57301" w:rsidRPr="00B57301" w:rsidP="0025795B" w14:paraId="5F8CF907" w14:textId="432D6138">
      <w:pPr>
        <w:spacing w:after="0" w:line="240" w:lineRule="auto"/>
      </w:pPr>
      <w:r w:rsidRPr="00B57301">
        <w:t>We note that we may anticipate submitting additional revisions to this package that affect this collection to address any further requirements and corresponding burden associated with other provisions of the Working Families Tax Cut (WFTC) legislation as those provisions take effect and the remaining operational and reporting parameters are confirmed.</w:t>
      </w:r>
    </w:p>
    <w:p w:rsidR="00524CE1" w:rsidP="00D97C87" w14:paraId="7BC43168" w14:textId="4A8B775E">
      <w:pPr>
        <w:pStyle w:val="Heading1"/>
      </w:pPr>
    </w:p>
    <w:p w:rsidR="007D6E75" w:rsidRPr="00D97C87" w:rsidP="00D97C87" w14:paraId="42086C36" w14:textId="6DC6B96B">
      <w:pPr>
        <w:pStyle w:val="Heading1"/>
      </w:pPr>
      <w:r w:rsidRPr="00D97C87">
        <w:t>A. Background</w:t>
      </w:r>
    </w:p>
    <w:p w:rsidR="00EC16E0" w:rsidRPr="00EC16E0" w:rsidP="0025795B" w14:paraId="55FEBE8E" w14:textId="77777777">
      <w:pPr>
        <w:spacing w:after="0" w:line="240" w:lineRule="auto"/>
      </w:pPr>
    </w:p>
    <w:p w:rsidR="009B19E8" w:rsidP="00EC16E0" w14:paraId="582C1D32" w14:textId="77777777">
      <w:pPr>
        <w:spacing w:after="0" w:line="240" w:lineRule="auto"/>
        <w:rPr>
          <w:szCs w:val="24"/>
        </w:rPr>
      </w:pPr>
      <w:r w:rsidRPr="00AE6C34">
        <w:t xml:space="preserve">The Centers for Medicare &amp; Medicaid Services (CMS) work in partnership with States to implement Medicaid and the Children’s Health Insurance Program (CHIP). Together these programs provide health coverage to millions of Americans. Medicaid and CHIP are based in Federal statute, associated regulations and policy guidance, and the approved State plan documents that serve as a contract between CMS and States about how Medicaid and CHIP will be operated in that State. CMS works collaboratively with States in the ongoing management of programs and policies, and CMS continues to develop implementing guidance and templates for States to use to elect new options available </w:t>
      </w:r>
      <w:r w:rsidRPr="00AE6C34">
        <w:t>as a result of</w:t>
      </w:r>
      <w:r w:rsidRPr="00AE6C34">
        <w:t xml:space="preserve"> the Affordable Care Act or to comply with new statutory provisions. CMS also continues to work with States through other methods to further the goals of health reform, including program waivers and demonstrations, and other technical assistance initiatives.</w:t>
      </w:r>
    </w:p>
    <w:p w:rsidR="006D6A5D" w:rsidRPr="008111D2" w:rsidP="00EC16E0" w14:paraId="2F68EF3E" w14:textId="77777777">
      <w:pPr>
        <w:spacing w:after="0" w:line="240" w:lineRule="auto"/>
        <w:rPr>
          <w:szCs w:val="24"/>
        </w:rPr>
      </w:pPr>
    </w:p>
    <w:p w:rsidR="001D689A" w:rsidRPr="005017C1" w:rsidP="00EC16E0" w14:paraId="0D5CF000" w14:textId="326D91E5">
      <w:pPr>
        <w:spacing w:after="0" w:line="240" w:lineRule="auto"/>
      </w:pPr>
      <w:r w:rsidRPr="00F34393">
        <w:t xml:space="preserve">The Balanced Budget Act of 1997 created the Children’s Health Insurance Program (CHIP) under Title XXI of the Social Security Act. Title XXI enables states to initiate and expand health insurance coverage for uninsured children. </w:t>
      </w:r>
      <w:r w:rsidRPr="00F34393">
        <w:t>In order to</w:t>
      </w:r>
      <w:r w:rsidRPr="00F34393">
        <w:t xml:space="preserve"> be eligible for payment under this legislation, each state submitted an initial </w:t>
      </w:r>
      <w:r>
        <w:t xml:space="preserve">CHIP </w:t>
      </w:r>
      <w:r w:rsidRPr="00F34393">
        <w:t xml:space="preserve">state plan for approval by the Secretary that details how the </w:t>
      </w:r>
      <w:r>
        <w:t>s</w:t>
      </w:r>
      <w:r w:rsidRPr="00F34393">
        <w:t>tate intends to use the funds. States may also amend their plans at any time by submitting an</w:t>
      </w:r>
      <w:r>
        <w:t xml:space="preserve"> </w:t>
      </w:r>
      <w:r w:rsidRPr="00F34393">
        <w:t>amendment</w:t>
      </w:r>
      <w:r>
        <w:t xml:space="preserve"> </w:t>
      </w:r>
      <w:r w:rsidRPr="00F34393">
        <w:t>for approval by the Secretary.</w:t>
      </w:r>
    </w:p>
    <w:p w:rsidR="001D689A" w:rsidP="00EC16E0" w14:paraId="2573FD55" w14:textId="77777777">
      <w:pPr>
        <w:spacing w:after="0" w:line="240" w:lineRule="auto"/>
      </w:pPr>
    </w:p>
    <w:p w:rsidR="001D689A" w:rsidP="00EC16E0" w14:paraId="416FE606" w14:textId="01F4BFF0">
      <w:pPr>
        <w:spacing w:after="0" w:line="240" w:lineRule="auto"/>
      </w:pPr>
      <w:r>
        <w:t xml:space="preserve">All 50 states, the District of Columbia and the territories have a CMS-approved CHIP state plan that encompasses </w:t>
      </w:r>
      <w:r>
        <w:t>all of</w:t>
      </w:r>
      <w:r>
        <w:t xml:space="preserve"> the child health assistance being provided using Title XXI funding. It is important to note that once a CHIP state plan is approved, the state is obligated to continue operating their program in the same manner as described in that plan until the plan is amended in accordance with the rules governing the program.</w:t>
      </w:r>
      <w:r w:rsidR="00D90536">
        <w:t xml:space="preserve"> </w:t>
      </w:r>
      <w:r w:rsidRPr="00D27CFE" w:rsidR="00D90536">
        <w:t xml:space="preserve">States apply for changes to their CHIP state plan utilizing the revised CHIP </w:t>
      </w:r>
      <w:r w:rsidR="00D90536">
        <w:t>s</w:t>
      </w:r>
      <w:r w:rsidRPr="00D27CFE" w:rsidR="00D90536">
        <w:t xml:space="preserve">tate </w:t>
      </w:r>
      <w:r w:rsidR="00D90536">
        <w:t>p</w:t>
      </w:r>
      <w:r w:rsidRPr="00D27CFE" w:rsidR="00D90536">
        <w:t xml:space="preserve">lan </w:t>
      </w:r>
      <w:r w:rsidR="00D90536">
        <w:t>t</w:t>
      </w:r>
      <w:r w:rsidRPr="00D27CFE" w:rsidR="00D90536">
        <w:t>emplate</w:t>
      </w:r>
      <w:r w:rsidR="00D90536">
        <w:t xml:space="preserve"> and instructions developed by </w:t>
      </w:r>
      <w:r w:rsidRPr="001205E5">
        <w:t xml:space="preserve">CMS in cooperation with the states </w:t>
      </w:r>
      <w:r w:rsidR="00D90536">
        <w:t>t</w:t>
      </w:r>
      <w:r w:rsidRPr="001205E5">
        <w:t>o reduce the burden associated with the</w:t>
      </w:r>
      <w:r>
        <w:t xml:space="preserve"> </w:t>
      </w:r>
      <w:r w:rsidRPr="001205E5">
        <w:t>information collection requirements to a minimal level.</w:t>
      </w:r>
      <w:r>
        <w:t xml:space="preserve"> </w:t>
      </w:r>
    </w:p>
    <w:p w:rsidR="001D689A" w:rsidP="00EC16E0" w14:paraId="22E7217D" w14:textId="77777777">
      <w:pPr>
        <w:spacing w:after="0" w:line="240" w:lineRule="auto"/>
      </w:pPr>
    </w:p>
    <w:p w:rsidR="001D689A" w:rsidP="00EC16E0" w14:paraId="62707D2E" w14:textId="6235B6C5">
      <w:pPr>
        <w:spacing w:after="0" w:line="240" w:lineRule="auto"/>
      </w:pPr>
      <w:r>
        <w:t xml:space="preserve">Under the law, a state plan or a </w:t>
      </w:r>
      <w:r w:rsidR="00D370AA">
        <w:t>state pla</w:t>
      </w:r>
      <w:r>
        <w:t xml:space="preserve">n amendment is considered approved in 90 days unless the Secretary notifies the state in writing that the plan is disapproved or that specified </w:t>
      </w:r>
      <w:r w:rsidR="006E119C">
        <w:t xml:space="preserve">additional </w:t>
      </w:r>
      <w:r w:rsidR="006E119C">
        <w:t xml:space="preserve">information is </w:t>
      </w:r>
      <w:r>
        <w:t xml:space="preserve">needed. As is currently done, </w:t>
      </w:r>
      <w:r w:rsidR="00D370AA">
        <w:t>s</w:t>
      </w:r>
      <w:r>
        <w:t>tates are asked to submit only the applicable parts of the template for their amendment request. They do not have to resubmit their state plan in its entirety using this template.</w:t>
      </w:r>
    </w:p>
    <w:p w:rsidR="001D689A" w:rsidP="00EC16E0" w14:paraId="107F4586" w14:textId="77777777">
      <w:pPr>
        <w:spacing w:after="0" w:line="240" w:lineRule="auto"/>
      </w:pPr>
    </w:p>
    <w:p w:rsidR="000729BF" w:rsidRPr="000729BF" w:rsidP="00EC16E0" w14:paraId="3EAAA416" w14:textId="7F6B8608">
      <w:pPr>
        <w:spacing w:after="0" w:line="240" w:lineRule="auto"/>
        <w:rPr>
          <w:i/>
          <w:iCs/>
        </w:rPr>
      </w:pPr>
      <w:r w:rsidRPr="000729BF">
        <w:rPr>
          <w:i/>
          <w:iCs/>
        </w:rPr>
        <w:t>Section 71103 of the WFTC Legislation</w:t>
      </w:r>
    </w:p>
    <w:p w:rsidR="000729BF" w:rsidP="00EC16E0" w14:paraId="3D40B6F3" w14:textId="77777777">
      <w:pPr>
        <w:spacing w:after="0" w:line="240" w:lineRule="auto"/>
      </w:pPr>
    </w:p>
    <w:p w:rsidR="001D689A" w:rsidP="00EC16E0" w14:paraId="52AA4C27" w14:textId="41FD1F99">
      <w:pPr>
        <w:spacing w:after="0" w:line="240" w:lineRule="auto"/>
      </w:pPr>
      <w:r>
        <w:t xml:space="preserve">Section 71103 of the </w:t>
      </w:r>
      <w:r w:rsidR="00671A64">
        <w:t xml:space="preserve">WFTC </w:t>
      </w:r>
      <w:r w:rsidR="00BA6A7A">
        <w:t xml:space="preserve">legislation </w:t>
      </w:r>
      <w:r>
        <w:t>adds new paragraph (88) under section 1902(a) of the Social Security Act (the Act) for Medicaid, with corresponding amendments to section 2107(e)(1) of the Act to apply these requirements to separate CHIPs</w:t>
      </w:r>
      <w:r w:rsidR="00A664AF">
        <w:t xml:space="preserve">. </w:t>
      </w:r>
      <w:r w:rsidR="00804C06">
        <w:t xml:space="preserve">These amendments </w:t>
      </w:r>
      <w:r w:rsidR="00EA786E">
        <w:t>create new State plan requirements related to address verification</w:t>
      </w:r>
      <w:r>
        <w:t xml:space="preserve">. </w:t>
      </w:r>
      <w:r w:rsidR="00271FF5">
        <w:t>Beginning no later than January 1, 2027, the 50 States and the District of Columbia must regularly obtain updated address information from reliable data sources and Medicaid</w:t>
      </w:r>
      <w:r w:rsidR="00253F20">
        <w:t>/CHIP</w:t>
      </w:r>
      <w:r w:rsidR="00271FF5">
        <w:t xml:space="preserve"> managed care </w:t>
      </w:r>
      <w:r w:rsidR="00271FF5">
        <w:t>contracts must</w:t>
      </w:r>
      <w:r w:rsidR="00271FF5">
        <w:t xml:space="preserve"> require prompt transmission to the state of updated address information obtained or verified directly with the individual. The reliable data sources described in statute include returned mail from the United States Postal Service with a forwarding address, the National Change of Address Database, address information from specified managed care entities when the address was provided directly by or verified directly with the individual, and other data sources approved by the Secretary. </w:t>
      </w:r>
    </w:p>
    <w:p w:rsidR="002009AA" w:rsidP="00EC16E0" w14:paraId="2EB900CD" w14:textId="77777777">
      <w:pPr>
        <w:spacing w:after="0" w:line="240" w:lineRule="auto"/>
      </w:pPr>
    </w:p>
    <w:p w:rsidR="000729BF" w:rsidRPr="000729BF" w:rsidP="00EC16E0" w14:paraId="2C2CB9D1" w14:textId="4D7E76DF">
      <w:pPr>
        <w:spacing w:after="0" w:line="240" w:lineRule="auto"/>
        <w:rPr>
          <w:i/>
          <w:iCs/>
        </w:rPr>
      </w:pPr>
      <w:r w:rsidRPr="000729BF">
        <w:rPr>
          <w:i/>
          <w:iCs/>
        </w:rPr>
        <w:t xml:space="preserve">CMS Interoperability and Prior Authorization </w:t>
      </w:r>
      <w:r>
        <w:rPr>
          <w:i/>
          <w:iCs/>
        </w:rPr>
        <w:t>F</w:t>
      </w:r>
      <w:r w:rsidRPr="000729BF">
        <w:rPr>
          <w:i/>
          <w:iCs/>
        </w:rPr>
        <w:t xml:space="preserve">inal </w:t>
      </w:r>
      <w:r>
        <w:rPr>
          <w:i/>
          <w:iCs/>
        </w:rPr>
        <w:t>R</w:t>
      </w:r>
      <w:r w:rsidRPr="000729BF">
        <w:rPr>
          <w:i/>
          <w:iCs/>
        </w:rPr>
        <w:t>ule</w:t>
      </w:r>
    </w:p>
    <w:p w:rsidR="000729BF" w:rsidP="00EC16E0" w14:paraId="07E41661" w14:textId="77777777">
      <w:pPr>
        <w:spacing w:after="0" w:line="240" w:lineRule="auto"/>
      </w:pPr>
    </w:p>
    <w:p w:rsidR="002009AA" w:rsidP="00EC16E0" w14:paraId="10B3EB1C" w14:textId="3863BE9A">
      <w:pPr>
        <w:spacing w:after="0" w:line="240" w:lineRule="auto"/>
      </w:pPr>
      <w:r>
        <w:t xml:space="preserve">The </w:t>
      </w:r>
      <w:r w:rsidR="004A56CB">
        <w:t>CMS Interoperability and Prior Authorization final rule (CMS-0057-F) establishes shorter de</w:t>
      </w:r>
      <w:r w:rsidR="004672B0">
        <w:t>termination</w:t>
      </w:r>
      <w:r w:rsidR="004A56CB">
        <w:t xml:space="preserve"> timeframes for prior authorization requests in CHIP for items and services, excluding drugs. Effective January 1, 2026, in accordance with the medical needs of the enrollee, a prior authorization determination must be made within 7 calendar days after receiving the request for a standard determination and no later than 72 hours after receiving the request for an expedited determination.</w:t>
      </w:r>
      <w:r w:rsidR="00EC16E0">
        <w:t xml:space="preserve"> </w:t>
      </w:r>
      <w:r w:rsidR="004A56CB">
        <w:t xml:space="preserve">The state may grant a possible extension of up to 14 days if the enrollee requests the extension or if the physician or health plan determines the additional information is needed. </w:t>
      </w:r>
      <w:r w:rsidR="004672B0">
        <w:t xml:space="preserve">Alternately, the state may implement shorter prior authorization determination timeframes in accordance with existing state law. </w:t>
      </w:r>
      <w:r w:rsidR="009D5C54">
        <w:t>The state must provide the enrollee with notice of the prior authorization determination and their review rights.</w:t>
      </w:r>
    </w:p>
    <w:p w:rsidR="00E81337" w:rsidP="00EC16E0" w14:paraId="60D83E6F" w14:textId="40A35DB6">
      <w:pPr>
        <w:spacing w:after="0" w:line="240" w:lineRule="auto"/>
      </w:pPr>
    </w:p>
    <w:p w:rsidR="00E81337" w:rsidP="00EC16E0" w14:paraId="38D89794" w14:textId="73CA744A">
      <w:pPr>
        <w:spacing w:after="0" w:line="240" w:lineRule="auto"/>
      </w:pPr>
      <w:r>
        <w:t>Additionally, CMS-0057-F requires states to</w:t>
      </w:r>
      <w:r w:rsidR="00C7643E">
        <w:t xml:space="preserve"> annually post on their website prior authorization data, excluding data on drugs, by March 31 for the pr</w:t>
      </w:r>
      <w:r w:rsidR="00DC6D20">
        <w:t>evious</w:t>
      </w:r>
      <w:r w:rsidR="00C7643E">
        <w:t xml:space="preserve"> calendar year beginning in 2026.  The state must post the following prior authorization data:</w:t>
      </w:r>
    </w:p>
    <w:p w:rsidR="00C7643E" w:rsidRPr="00C7643E" w:rsidP="0025795B" w14:paraId="3144BA83" w14:textId="6FA07D1B">
      <w:pPr>
        <w:spacing w:after="0" w:line="240" w:lineRule="auto"/>
        <w:ind w:left="720"/>
      </w:pPr>
      <w:r w:rsidRPr="00C7643E">
        <w:t>(1) A list of all items and services that require prior authorization.</w:t>
      </w:r>
    </w:p>
    <w:p w:rsidR="00C7643E" w:rsidRPr="00C7643E" w:rsidP="0025795B" w14:paraId="34B406D6" w14:textId="588ED116">
      <w:pPr>
        <w:spacing w:after="0" w:line="240" w:lineRule="auto"/>
        <w:ind w:left="720"/>
      </w:pPr>
      <w:r w:rsidRPr="00C7643E">
        <w:t>(2) The percentage of standard prior authorization requests that were approved, aggregated for all items and services.</w:t>
      </w:r>
    </w:p>
    <w:p w:rsidR="00C7643E" w:rsidRPr="00C7643E" w:rsidP="0025795B" w14:paraId="79771203" w14:textId="3CD4C89A">
      <w:pPr>
        <w:spacing w:after="0" w:line="240" w:lineRule="auto"/>
        <w:ind w:left="720"/>
      </w:pPr>
      <w:r w:rsidRPr="00C7643E">
        <w:t>(3) The percentage of standard prior authorization requests that were denied, aggregated for all items and services.</w:t>
      </w:r>
    </w:p>
    <w:p w:rsidR="00C7643E" w:rsidRPr="00C7643E" w:rsidP="0025795B" w14:paraId="67FAE7DC" w14:textId="60BCFF11">
      <w:pPr>
        <w:spacing w:after="0" w:line="240" w:lineRule="auto"/>
        <w:ind w:left="720"/>
      </w:pPr>
      <w:r w:rsidRPr="00C7643E">
        <w:t>(4) The percentage of standard prior authorization requests that were approved after appeal, aggregated for all items and services.</w:t>
      </w:r>
    </w:p>
    <w:p w:rsidR="00C7643E" w:rsidRPr="00C7643E" w:rsidP="0025795B" w14:paraId="1F9DDCFB" w14:textId="796D4DB9">
      <w:pPr>
        <w:spacing w:after="0" w:line="240" w:lineRule="auto"/>
        <w:ind w:left="720"/>
      </w:pPr>
      <w:r w:rsidRPr="00C7643E">
        <w:t>(5) The percentage of prior authorization requests for which the timeframe for review was extended, and the request was approved, aggregated for all items and services.</w:t>
      </w:r>
    </w:p>
    <w:p w:rsidR="00C7643E" w:rsidRPr="00C7643E" w:rsidP="0025795B" w14:paraId="06335EE8" w14:textId="7CA9DEB0">
      <w:pPr>
        <w:spacing w:after="0" w:line="240" w:lineRule="auto"/>
        <w:ind w:left="720"/>
      </w:pPr>
      <w:r w:rsidRPr="00C7643E">
        <w:t>(6) The percentage of expedited prior authorization requests that were approved, aggregated for all items and services.</w:t>
      </w:r>
    </w:p>
    <w:p w:rsidR="00C7643E" w:rsidRPr="00C7643E" w:rsidP="0025795B" w14:paraId="7BCC95F6" w14:textId="39700CA8">
      <w:pPr>
        <w:spacing w:after="0" w:line="240" w:lineRule="auto"/>
        <w:ind w:left="720"/>
      </w:pPr>
      <w:r w:rsidRPr="00C7643E">
        <w:t>(7) The percentage of expedited prior authorization requests that were denied, aggregated for all items and services.</w:t>
      </w:r>
    </w:p>
    <w:p w:rsidR="00C7643E" w:rsidRPr="00C7643E" w:rsidP="0025795B" w14:paraId="72A1FA98" w14:textId="643065BD">
      <w:pPr>
        <w:spacing w:after="0" w:line="240" w:lineRule="auto"/>
        <w:ind w:left="720"/>
      </w:pPr>
      <w:r w:rsidRPr="00C7643E">
        <w:t>(8) The average and median time that elapsed between the submission of a request and a determination by the State, for standard prior authorizations, aggregated for all items and services.</w:t>
      </w:r>
    </w:p>
    <w:p w:rsidR="00373534" w:rsidP="0025795B" w14:paraId="531C75FF" w14:textId="7794BC58">
      <w:pPr>
        <w:spacing w:after="0" w:line="240" w:lineRule="auto"/>
        <w:ind w:left="720"/>
      </w:pPr>
      <w:r w:rsidRPr="00C7643E">
        <w:t>(9) The average and median time that elapsed between the submission of a request and a decision by the State for expedited prior authorizations, aggregated for all items and services.</w:t>
      </w:r>
    </w:p>
    <w:p w:rsidR="00BF5E1B" w:rsidP="0025795B" w14:paraId="18B62718" w14:textId="77777777">
      <w:pPr>
        <w:spacing w:after="0" w:line="240" w:lineRule="auto"/>
        <w:ind w:left="720"/>
        <w:rPr>
          <w:szCs w:val="24"/>
        </w:rPr>
      </w:pPr>
    </w:p>
    <w:p w:rsidR="007D6E75" w:rsidP="00D97C87" w14:paraId="67AEDC76" w14:textId="77777777">
      <w:pPr>
        <w:pStyle w:val="Heading1"/>
      </w:pPr>
      <w:r w:rsidRPr="008111D2">
        <w:t>B. Description of Information Collection</w:t>
      </w:r>
    </w:p>
    <w:p w:rsidR="00EC16E0" w:rsidRPr="00EC16E0" w:rsidP="0025795B" w14:paraId="451689CD" w14:textId="77777777">
      <w:pPr>
        <w:spacing w:after="0" w:line="240" w:lineRule="auto"/>
      </w:pPr>
    </w:p>
    <w:p w:rsidR="004032BA" w:rsidP="00410E8B" w14:paraId="5FFB8BDE" w14:textId="2C251E68">
      <w:pPr>
        <w:spacing w:after="0" w:line="240" w:lineRule="auto"/>
      </w:pPr>
      <w:r>
        <w:t>Th</w:t>
      </w:r>
      <w:r w:rsidR="00410E8B">
        <w:t>e</w:t>
      </w:r>
      <w:r w:rsidR="003C5840">
        <w:t xml:space="preserve"> 2023</w:t>
      </w:r>
      <w:r>
        <w:t xml:space="preserve"> iteration </w:t>
      </w:r>
      <w:r w:rsidR="00410E8B">
        <w:t xml:space="preserve">of this Supporting Statement </w:t>
      </w:r>
      <w:r w:rsidRPr="00EB656F">
        <w:t>propose</w:t>
      </w:r>
      <w:r w:rsidR="00410E8B">
        <w:t>d</w:t>
      </w:r>
      <w:r w:rsidRPr="00EB656F">
        <w:t xml:space="preserve"> to revise the </w:t>
      </w:r>
      <w:r w:rsidR="00D51534">
        <w:t xml:space="preserve">State </w:t>
      </w:r>
      <w:r w:rsidRPr="00EB656F">
        <w:t xml:space="preserve">plan template by </w:t>
      </w:r>
      <w:r w:rsidR="00FB088A">
        <w:t>add</w:t>
      </w:r>
      <w:r>
        <w:t xml:space="preserve">ing the vaccine coverage </w:t>
      </w:r>
      <w:r w:rsidR="00D51534">
        <w:t>requirements</w:t>
      </w:r>
      <w:r w:rsidR="001D689A">
        <w:t xml:space="preserve"> in </w:t>
      </w:r>
      <w:r w:rsidRPr="00EE290C" w:rsidR="00EE290C">
        <w:t>Section</w:t>
      </w:r>
      <w:r>
        <w:t>s</w:t>
      </w:r>
      <w:r w:rsidRPr="00EE290C" w:rsidR="00EE290C">
        <w:t xml:space="preserve"> 2103(c)(1)(D) and </w:t>
      </w:r>
      <w:r w:rsidR="00412107">
        <w:t>2103</w:t>
      </w:r>
      <w:r w:rsidRPr="00EE290C" w:rsidR="00EE290C">
        <w:t>(c)(12</w:t>
      </w:r>
      <w:r w:rsidR="00EE290C">
        <w:t>)</w:t>
      </w:r>
      <w:r w:rsidR="002C3799">
        <w:t xml:space="preserve"> of the Social Security Act</w:t>
      </w:r>
      <w:r w:rsidR="00973DF6">
        <w:t xml:space="preserve">. </w:t>
      </w:r>
      <w:r w:rsidRPr="000370DF" w:rsidR="004D788C">
        <w:t>CMS add</w:t>
      </w:r>
      <w:r w:rsidR="00410E8B">
        <w:t>ed</w:t>
      </w:r>
      <w:r w:rsidRPr="000370DF" w:rsidR="004D788C">
        <w:t xml:space="preserve"> a new section 6.5-Vaccine coverage, which </w:t>
      </w:r>
      <w:r w:rsidR="00973DF6">
        <w:t>consist</w:t>
      </w:r>
      <w:r w:rsidR="00410E8B">
        <w:t>ed</w:t>
      </w:r>
      <w:r w:rsidR="00973DF6">
        <w:t xml:space="preserve"> of </w:t>
      </w:r>
      <w:r w:rsidRPr="000370DF" w:rsidR="004D788C">
        <w:t>t</w:t>
      </w:r>
      <w:r w:rsidR="00E2454A">
        <w:t>hree</w:t>
      </w:r>
      <w:r w:rsidRPr="000370DF" w:rsidR="004D788C">
        <w:t xml:space="preserve"> new assurances to the</w:t>
      </w:r>
      <w:r w:rsidR="001D689A">
        <w:t xml:space="preserve"> </w:t>
      </w:r>
      <w:r w:rsidR="00DC0A47">
        <w:t>state plan</w:t>
      </w:r>
      <w:r w:rsidR="001D689A">
        <w:t xml:space="preserve"> template</w:t>
      </w:r>
      <w:r w:rsidRPr="000370DF" w:rsidR="004D788C">
        <w:t xml:space="preserve"> to</w:t>
      </w:r>
      <w:r w:rsidR="00887655">
        <w:t xml:space="preserve"> report</w:t>
      </w:r>
      <w:r w:rsidR="00D51534">
        <w:t>.</w:t>
      </w:r>
      <w:r w:rsidR="00EC16E0">
        <w:t xml:space="preserve"> </w:t>
      </w:r>
      <w:bookmarkStart w:id="0" w:name="_Hlk137037779"/>
    </w:p>
    <w:bookmarkEnd w:id="0"/>
    <w:p w:rsidR="00476B48" w:rsidP="004D788C" w14:paraId="06BA6A80" w14:textId="77777777">
      <w:pPr>
        <w:spacing w:after="0" w:line="240" w:lineRule="auto"/>
      </w:pPr>
    </w:p>
    <w:p w:rsidR="00973DF6" w:rsidP="155A1112" w14:paraId="086DED37" w14:textId="45416F9B">
      <w:pPr>
        <w:spacing w:after="0" w:line="240" w:lineRule="auto"/>
      </w:pPr>
      <w:r>
        <w:t xml:space="preserve">Beginning October 1, 2023, </w:t>
      </w:r>
      <w:r w:rsidR="005D2E7C">
        <w:t xml:space="preserve">states </w:t>
      </w:r>
      <w:r w:rsidR="4F51F275">
        <w:t>were</w:t>
      </w:r>
      <w:r w:rsidR="005D2E7C">
        <w:t xml:space="preserve"> required to cover</w:t>
      </w:r>
      <w:r>
        <w:t xml:space="preserve"> CHIP vaccines for targeted low-income children</w:t>
      </w:r>
      <w:r w:rsidR="00B64B74">
        <w:t xml:space="preserve"> </w:t>
      </w:r>
      <w:r>
        <w:t>recommended by the Advisory Committee on Immunization Practices (ACIP)</w:t>
      </w:r>
      <w:r w:rsidR="00042081">
        <w:t xml:space="preserve"> </w:t>
      </w:r>
      <w:r w:rsidR="00F334ED">
        <w:t xml:space="preserve">and their administration, </w:t>
      </w:r>
      <w:r>
        <w:t>without cost sharing</w:t>
      </w:r>
      <w:r w:rsidR="003B4845">
        <w:t>,</w:t>
      </w:r>
      <w:r w:rsidR="00271104">
        <w:t xml:space="preserve"> </w:t>
      </w:r>
      <w:r w:rsidR="00195CEC">
        <w:t>as required in</w:t>
      </w:r>
      <w:r w:rsidR="00271104">
        <w:t xml:space="preserve"> </w:t>
      </w:r>
      <w:r w:rsidR="00E2273A">
        <w:t xml:space="preserve">42 CFR </w:t>
      </w:r>
      <w:r w:rsidR="006B129A">
        <w:t>§§</w:t>
      </w:r>
      <w:r w:rsidRPr="155A1112" w:rsidR="00BC6049">
        <w:rPr>
          <w:color w:val="000000" w:themeColor="text1"/>
          <w:sz w:val="27"/>
          <w:szCs w:val="27"/>
        </w:rPr>
        <w:t xml:space="preserve"> </w:t>
      </w:r>
      <w:r w:rsidR="00271104">
        <w:t>457.410(b)(2) and 457.520(b)(4).</w:t>
      </w:r>
      <w:r w:rsidR="000370DF">
        <w:t xml:space="preserve"> </w:t>
      </w:r>
      <w:r>
        <w:t xml:space="preserve">States that elect to cover </w:t>
      </w:r>
      <w:r w:rsidR="004419B5">
        <w:t xml:space="preserve">targeted low-income </w:t>
      </w:r>
      <w:r>
        <w:t>pregnant individuals under the</w:t>
      </w:r>
      <w:r w:rsidR="00476B48">
        <w:t>ir</w:t>
      </w:r>
      <w:r>
        <w:t xml:space="preserve"> State plan </w:t>
      </w:r>
      <w:r w:rsidR="061AD444">
        <w:t>were</w:t>
      </w:r>
      <w:r>
        <w:t xml:space="preserve"> required to cover </w:t>
      </w:r>
      <w:r w:rsidR="004419B5">
        <w:t>adult</w:t>
      </w:r>
      <w:r>
        <w:t xml:space="preserve"> vaccines</w:t>
      </w:r>
      <w:r w:rsidR="004419B5">
        <w:t xml:space="preserve"> recommended by the ACIP</w:t>
      </w:r>
      <w:r w:rsidR="00937670">
        <w:t xml:space="preserve"> and their administration</w:t>
      </w:r>
      <w:r w:rsidR="004419B5">
        <w:t>, without cost sharing</w:t>
      </w:r>
      <w:r w:rsidR="003B4845">
        <w:t>,</w:t>
      </w:r>
      <w:r>
        <w:t xml:space="preserve"> as required in Section 2103(c)(12).</w:t>
      </w:r>
      <w:r w:rsidR="003E25EC">
        <w:t xml:space="preserve"> States that elect to cover the from-conception-to-end-of-pregnancy </w:t>
      </w:r>
      <w:r w:rsidR="00E514EB">
        <w:t>population</w:t>
      </w:r>
      <w:r w:rsidR="00E2454A">
        <w:t xml:space="preserve"> </w:t>
      </w:r>
      <w:r w:rsidR="005971A4">
        <w:t>(</w:t>
      </w:r>
      <w:r w:rsidR="00E514EB">
        <w:t xml:space="preserve">previously referred to </w:t>
      </w:r>
      <w:r w:rsidR="005971A4">
        <w:t>as the “unborn”)</w:t>
      </w:r>
      <w:r w:rsidR="003E25EC">
        <w:t xml:space="preserve"> </w:t>
      </w:r>
      <w:r w:rsidR="00887340">
        <w:t xml:space="preserve">option </w:t>
      </w:r>
      <w:r w:rsidR="003E25EC">
        <w:t xml:space="preserve">under their state plan </w:t>
      </w:r>
      <w:r w:rsidR="3FA3D675">
        <w:t>were</w:t>
      </w:r>
      <w:r w:rsidR="003E25EC">
        <w:t xml:space="preserve"> required to cover </w:t>
      </w:r>
      <w:r w:rsidR="00B64B74">
        <w:t>age appropriate (child or adult)</w:t>
      </w:r>
      <w:r w:rsidR="004C0D3E">
        <w:t xml:space="preserve"> vaccines recommended by the ACIP</w:t>
      </w:r>
      <w:r w:rsidR="00887340">
        <w:t>,</w:t>
      </w:r>
      <w:r w:rsidR="005971A4">
        <w:t xml:space="preserve"> </w:t>
      </w:r>
      <w:r w:rsidR="004C0D3E">
        <w:t>and the</w:t>
      </w:r>
      <w:r w:rsidR="005971A4">
        <w:t>ir</w:t>
      </w:r>
      <w:r w:rsidR="004C0D3E">
        <w:t xml:space="preserve"> administration, without cost-sharing</w:t>
      </w:r>
      <w:r w:rsidR="00EA0E58">
        <w:t xml:space="preserve">, </w:t>
      </w:r>
      <w:r w:rsidR="00B64B74">
        <w:t>to</w:t>
      </w:r>
      <w:r w:rsidR="00EA0E58">
        <w:t xml:space="preserve"> benefit the unborn child</w:t>
      </w:r>
      <w:r w:rsidR="004C0D3E">
        <w:t>.</w:t>
      </w:r>
      <w:r w:rsidR="00410E8B">
        <w:t xml:space="preserve"> We believe all States have </w:t>
      </w:r>
      <w:r w:rsidR="005C0993">
        <w:t>updated</w:t>
      </w:r>
      <w:r w:rsidR="00410E8B">
        <w:t xml:space="preserve"> their CHIP state plan t</w:t>
      </w:r>
      <w:r w:rsidR="005C0993">
        <w:t>o include the three new assurances related to vaccine coverage</w:t>
      </w:r>
      <w:r w:rsidR="00410E8B">
        <w:t xml:space="preserve"> to comply with th</w:t>
      </w:r>
      <w:r w:rsidR="00437CD2">
        <w:t>ese</w:t>
      </w:r>
      <w:r w:rsidR="00410E8B">
        <w:t xml:space="preserve"> requirements </w:t>
      </w:r>
      <w:r w:rsidR="00437CD2">
        <w:t>and as such the burden for these requirements</w:t>
      </w:r>
      <w:r w:rsidR="005C0993">
        <w:t xml:space="preserve"> no longer exists</w:t>
      </w:r>
      <w:r w:rsidR="00014988">
        <w:t>.</w:t>
      </w:r>
    </w:p>
    <w:p w:rsidR="00410E8B" w:rsidP="00D4736A" w14:paraId="04F6A4AA" w14:textId="77777777">
      <w:pPr>
        <w:spacing w:after="0" w:line="240" w:lineRule="auto"/>
      </w:pPr>
    </w:p>
    <w:p w:rsidR="00410E8B" w:rsidP="00410E8B" w14:paraId="63CDDA61" w14:textId="4CF7BD1B">
      <w:pPr>
        <w:spacing w:after="0" w:line="240" w:lineRule="auto"/>
      </w:pPr>
      <w:r w:rsidRPr="00410E8B">
        <w:t>This</w:t>
      </w:r>
      <w:r>
        <w:t xml:space="preserve"> </w:t>
      </w:r>
      <w:r w:rsidRPr="00410E8B">
        <w:t>2026 iteration adds several new State assurances and updates existing CHIP requirements in</w:t>
      </w:r>
      <w:r>
        <w:t xml:space="preserve"> the </w:t>
      </w:r>
      <w:r w:rsidRPr="00410E8B">
        <w:t>CHIP state plan templat</w:t>
      </w:r>
      <w:r>
        <w:t>e</w:t>
      </w:r>
      <w:r w:rsidRPr="00410E8B">
        <w:t>.</w:t>
      </w:r>
    </w:p>
    <w:p w:rsidR="00410E8B" w:rsidP="00410E8B" w14:paraId="05FE3BA0" w14:textId="77777777">
      <w:pPr>
        <w:spacing w:after="0" w:line="240" w:lineRule="auto"/>
      </w:pPr>
    </w:p>
    <w:p w:rsidR="00410E8B" w:rsidP="00410E8B" w14:paraId="08D059FE" w14:textId="6B3FB48B">
      <w:pPr>
        <w:spacing w:after="0" w:line="240" w:lineRule="auto"/>
        <w:rPr>
          <w:rFonts w:eastAsia="Times New Roman" w:cs="Times New Roman"/>
          <w:szCs w:val="24"/>
        </w:rPr>
      </w:pPr>
      <w:r>
        <w:t xml:space="preserve">The State must attest that each contracted managed care entity or plan promptly transmits to the State any </w:t>
      </w:r>
      <w:r>
        <w:t>enrollee</w:t>
      </w:r>
      <w:r>
        <w:t xml:space="preserve"> address information it receives directly from the enrollee or verifies directly with the enrollee and that the </w:t>
      </w:r>
      <w:r>
        <w:rPr>
          <w:rFonts w:eastAsia="Times New Roman" w:cs="Times New Roman"/>
          <w:szCs w:val="24"/>
        </w:rPr>
        <w:t>S</w:t>
      </w:r>
      <w:r w:rsidRPr="71FB744A">
        <w:rPr>
          <w:rFonts w:eastAsia="Times New Roman" w:cs="Times New Roman"/>
          <w:szCs w:val="24"/>
        </w:rPr>
        <w:t>tate regularly obtain</w:t>
      </w:r>
      <w:r>
        <w:rPr>
          <w:rFonts w:eastAsia="Times New Roman" w:cs="Times New Roman"/>
          <w:szCs w:val="24"/>
        </w:rPr>
        <w:t>s</w:t>
      </w:r>
      <w:r w:rsidRPr="71FB744A">
        <w:rPr>
          <w:rFonts w:eastAsia="Times New Roman" w:cs="Times New Roman"/>
          <w:szCs w:val="24"/>
        </w:rPr>
        <w:t xml:space="preserve"> updated address information for Medicaid </w:t>
      </w:r>
      <w:r>
        <w:rPr>
          <w:rFonts w:eastAsia="Times New Roman" w:cs="Times New Roman"/>
          <w:szCs w:val="24"/>
        </w:rPr>
        <w:t xml:space="preserve">and CHIP </w:t>
      </w:r>
      <w:r w:rsidRPr="71FB744A">
        <w:rPr>
          <w:rFonts w:eastAsia="Times New Roman" w:cs="Times New Roman"/>
          <w:szCs w:val="24"/>
        </w:rPr>
        <w:t>enrollees from reliable data sources.</w:t>
      </w:r>
    </w:p>
    <w:p w:rsidR="00410E8B" w:rsidP="00410E8B" w14:paraId="3C192BDB" w14:textId="77777777">
      <w:pPr>
        <w:spacing w:after="0" w:line="240" w:lineRule="auto"/>
        <w:rPr>
          <w:rFonts w:eastAsia="Times New Roman" w:cs="Times New Roman"/>
          <w:szCs w:val="24"/>
        </w:rPr>
      </w:pPr>
    </w:p>
    <w:p w:rsidR="00410E8B" w:rsidP="00410E8B" w14:paraId="2CB44E72" w14:textId="41B17FE1">
      <w:pPr>
        <w:spacing w:after="0" w:line="240" w:lineRule="auto"/>
        <w:rPr>
          <w:rFonts w:eastAsia="Times New Roman" w:cs="Times New Roman"/>
          <w:szCs w:val="24"/>
        </w:rPr>
      </w:pPr>
      <w:r>
        <w:rPr>
          <w:rFonts w:eastAsia="Times New Roman" w:cs="Times New Roman"/>
          <w:szCs w:val="24"/>
        </w:rPr>
        <w:t>Additionally, this iteration amends the quality assurance for prior authorizations in the CHIP state plan template, consistent with CMS-0057-F. States must provide a narrative description of methods used to ensure prior authorization determination timeframes are met within 7 calendar days for standard requests and 72 hours for expedited requests, consistent with 42 CFR 457.495(d). States must also provide an assurance that prior authorization data will be posted on the state’s website by March 31 for data from the previous calendar year, consistent with 42 CFR 457.732(c). We estimate all states with a separate CHIP will be required to submit a SPA to attest to compliance with the provisions of CMS-0057-F.</w:t>
      </w:r>
    </w:p>
    <w:p w:rsidR="00410E8B" w:rsidP="00410E8B" w14:paraId="1C3235BF" w14:textId="77777777">
      <w:pPr>
        <w:spacing w:after="0" w:line="240" w:lineRule="auto"/>
        <w:rPr>
          <w:rFonts w:eastAsia="Times New Roman" w:cs="Times New Roman"/>
          <w:szCs w:val="24"/>
        </w:rPr>
      </w:pPr>
    </w:p>
    <w:p w:rsidR="00410E8B" w:rsidP="00410E8B" w14:paraId="4D449B0E" w14:textId="67BD6DE9">
      <w:pPr>
        <w:spacing w:after="0" w:line="240" w:lineRule="auto"/>
      </w:pPr>
      <w:r>
        <w:t xml:space="preserve">Thus, the revisions to the template require the State to attest that it has a process to regularly obtain address information for enrolled individuals, to attest that it uses reliable data sources for updated address </w:t>
      </w:r>
      <w:r w:rsidR="00437CD2">
        <w:t>information and</w:t>
      </w:r>
      <w:r>
        <w:t xml:space="preserve"> requires the state to describe its quality oversight for prior authorization determination timeframes. The information collected through the Title XXI State Plan Template is used by CMS to review State compliance with Federal statutory and regulatory requirements, </w:t>
      </w:r>
      <w:r>
        <w:t>approve</w:t>
      </w:r>
      <w:r>
        <w:t xml:space="preserve"> State plan submissions and SPAs</w:t>
      </w:r>
      <w:r>
        <w:t>, document</w:t>
      </w:r>
      <w:r>
        <w:t xml:space="preserve"> required assurances and descriptions, and </w:t>
      </w:r>
      <w:r>
        <w:t>support</w:t>
      </w:r>
      <w:r>
        <w:t xml:space="preserve"> oversight of State administration of CHIP. The revisions in this package support CMS review of State processes for obtaining and using updated enrollee address information.</w:t>
      </w:r>
    </w:p>
    <w:p w:rsidR="00D12ABB" w:rsidP="00EC16E0" w14:paraId="5BD98C91" w14:textId="77777777">
      <w:pPr>
        <w:spacing w:after="0" w:line="240" w:lineRule="auto"/>
      </w:pPr>
    </w:p>
    <w:p w:rsidR="007D6E75" w:rsidP="00D97C87" w14:paraId="43F27649" w14:textId="77777777">
      <w:pPr>
        <w:pStyle w:val="Heading1"/>
      </w:pPr>
      <w:r w:rsidRPr="008111D2">
        <w:t>C. Deviations from Generic Request</w:t>
      </w:r>
    </w:p>
    <w:p w:rsidR="00EC16E0" w:rsidRPr="00EC16E0" w:rsidP="0025795B" w14:paraId="400ECA4B" w14:textId="77777777">
      <w:pPr>
        <w:spacing w:after="0" w:line="240" w:lineRule="auto"/>
      </w:pPr>
    </w:p>
    <w:p w:rsidR="007D6E75" w:rsidRPr="008111D2" w:rsidP="00EC16E0" w14:paraId="47B09FAB" w14:textId="77777777">
      <w:pPr>
        <w:spacing w:after="0" w:line="240" w:lineRule="auto"/>
        <w:rPr>
          <w:szCs w:val="24"/>
        </w:rPr>
      </w:pPr>
      <w:r w:rsidRPr="00AE6C34">
        <w:t>No deviations are requested.</w:t>
      </w:r>
    </w:p>
    <w:p w:rsidR="008111D2" w:rsidRPr="008111D2" w:rsidP="00D97C87" w14:paraId="5DEA3218" w14:textId="77777777">
      <w:pPr>
        <w:pStyle w:val="Heading1"/>
      </w:pPr>
    </w:p>
    <w:p w:rsidR="007D6E75" w:rsidRPr="008111D2" w:rsidP="00D97C87" w14:paraId="7C90ADCA" w14:textId="77777777">
      <w:pPr>
        <w:pStyle w:val="Heading1"/>
      </w:pPr>
      <w:r>
        <w:t>D. Burden Hour Deduction</w:t>
      </w:r>
    </w:p>
    <w:p w:rsidR="00155885" w:rsidRPr="00437CD2" w:rsidP="00EC16E0" w14:paraId="13E92F02" w14:textId="77777777">
      <w:pPr>
        <w:spacing w:after="0" w:line="240" w:lineRule="auto"/>
        <w:rPr>
          <w:i/>
          <w:sz w:val="22"/>
          <w:highlight w:val="yellow"/>
        </w:rPr>
      </w:pPr>
    </w:p>
    <w:p w:rsidR="00155885" w:rsidRPr="00AE6C34" w:rsidP="00EC16E0" w14:paraId="73BD1107" w14:textId="2F4DEC98">
      <w:pPr>
        <w:spacing w:after="0" w:line="240" w:lineRule="auto"/>
        <w:rPr>
          <w:i/>
        </w:rPr>
      </w:pPr>
      <w:r w:rsidRPr="005E5E0E">
        <w:rPr>
          <w:i/>
          <w:iCs/>
        </w:rPr>
        <w:t xml:space="preserve">Wage </w:t>
      </w:r>
      <w:r w:rsidR="00D97C87">
        <w:rPr>
          <w:i/>
          <w:iCs/>
        </w:rPr>
        <w:t>Data</w:t>
      </w:r>
    </w:p>
    <w:p w:rsidR="005E5E0E" w:rsidRPr="005E5E0E" w:rsidP="00EC16E0" w14:paraId="37432750" w14:textId="77777777">
      <w:pPr>
        <w:spacing w:after="0" w:line="240" w:lineRule="auto"/>
        <w:rPr>
          <w:iCs/>
        </w:rPr>
      </w:pPr>
    </w:p>
    <w:p w:rsidR="00155885" w:rsidRPr="005E5E0E" w:rsidP="00EC16E0" w14:paraId="264805F3" w14:textId="070032E3">
      <w:pPr>
        <w:spacing w:after="0" w:line="240" w:lineRule="auto"/>
      </w:pPr>
      <w:r w:rsidRPr="005E5E0E">
        <w:t xml:space="preserve">To derive average costs, we used data from the </w:t>
      </w:r>
      <w:r w:rsidR="00574027">
        <w:t>BLS’</w:t>
      </w:r>
      <w:r w:rsidRPr="005E5E0E">
        <w:t xml:space="preserve"> May </w:t>
      </w:r>
      <w:r w:rsidRPr="005E5E0E" w:rsidR="00625192">
        <w:t>20</w:t>
      </w:r>
      <w:r w:rsidR="00B07DD4">
        <w:t>2</w:t>
      </w:r>
      <w:r w:rsidR="006271A5">
        <w:t>5</w:t>
      </w:r>
      <w:r w:rsidRPr="005E5E0E" w:rsidR="00625192">
        <w:t xml:space="preserve"> </w:t>
      </w:r>
      <w:r w:rsidRPr="005E5E0E">
        <w:t>National Occupational Employment and Wage Estimates for all salary estimates (</w:t>
      </w:r>
      <w:hyperlink r:id="rId7" w:history="1">
        <w:r w:rsidRPr="005E5E0E">
          <w:rPr>
            <w:rStyle w:val="Hyperlink"/>
          </w:rPr>
          <w:t>http://www.bls.gov/oes/current/oes_nat.htm</w:t>
        </w:r>
      </w:hyperlink>
      <w:r w:rsidRPr="005E5E0E">
        <w:t xml:space="preserve">). In this regard, the following table presents </w:t>
      </w:r>
      <w:r w:rsidR="00574027">
        <w:t>BLS’</w:t>
      </w:r>
      <w:r w:rsidRPr="005E5E0E">
        <w:t xml:space="preserve"> mean hourly wage, </w:t>
      </w:r>
      <w:r w:rsidR="001874DF">
        <w:t>our estimated</w:t>
      </w:r>
      <w:r w:rsidRPr="005E5E0E">
        <w:t xml:space="preserve"> cost of fringe benefits </w:t>
      </w:r>
      <w:r w:rsidR="001874DF">
        <w:t xml:space="preserve">and other indirect costs </w:t>
      </w:r>
      <w:r w:rsidRPr="005E5E0E">
        <w:t xml:space="preserve">(calculated at 100 percent of salary), and </w:t>
      </w:r>
      <w:r w:rsidR="001874DF">
        <w:t>our</w:t>
      </w:r>
      <w:r w:rsidRPr="005E5E0E">
        <w:t xml:space="preserve"> adjusted hourly wage.</w:t>
      </w:r>
    </w:p>
    <w:p w:rsidR="0013384B" w:rsidRPr="005E5E0E" w:rsidP="00EC16E0" w14:paraId="3419059B" w14:textId="77777777">
      <w:pPr>
        <w:spacing w:after="0" w:line="240" w:lineRule="auto"/>
      </w:pPr>
    </w:p>
    <w:tbl>
      <w:tblPr>
        <w:tblW w:w="9095" w:type="dxa"/>
        <w:tblInd w:w="-190" w:type="dxa"/>
        <w:tblCellMar>
          <w:left w:w="0" w:type="dxa"/>
          <w:right w:w="0" w:type="dxa"/>
        </w:tblCellMar>
        <w:tblLook w:val="04A0"/>
      </w:tblPr>
      <w:tblGrid>
        <w:gridCol w:w="2106"/>
        <w:gridCol w:w="1420"/>
        <w:gridCol w:w="1811"/>
        <w:gridCol w:w="1811"/>
        <w:gridCol w:w="1947"/>
      </w:tblGrid>
      <w:tr w14:paraId="6C838217" w14:textId="77777777" w:rsidTr="00437CD2">
        <w:tblPrEx>
          <w:tblW w:w="9095" w:type="dxa"/>
          <w:tblInd w:w="-190" w:type="dxa"/>
          <w:tblCellMar>
            <w:left w:w="0" w:type="dxa"/>
            <w:right w:w="0" w:type="dxa"/>
          </w:tblCellMar>
          <w:tblLook w:val="04A0"/>
        </w:tblPrEx>
        <w:trPr>
          <w:trHeight w:val="800"/>
          <w:tblHeader/>
        </w:trPr>
        <w:tc>
          <w:tcPr>
            <w:tcW w:w="210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55885" w:rsidRPr="00D97C87" w:rsidP="00EC16E0" w14:paraId="3EF8EC57" w14:textId="77777777">
            <w:pPr>
              <w:spacing w:after="0" w:line="240" w:lineRule="auto"/>
              <w:rPr>
                <w:bCs/>
                <w:sz w:val="22"/>
              </w:rPr>
            </w:pPr>
            <w:r w:rsidRPr="00D97C87">
              <w:rPr>
                <w:bCs/>
                <w:sz w:val="22"/>
              </w:rPr>
              <w:t>Occupation Title</w:t>
            </w:r>
          </w:p>
        </w:tc>
        <w:tc>
          <w:tcPr>
            <w:tcW w:w="14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55885" w:rsidRPr="00D97C87" w:rsidP="00EC16E0" w14:paraId="6E8FA80F" w14:textId="77777777">
            <w:pPr>
              <w:spacing w:after="0" w:line="240" w:lineRule="auto"/>
              <w:rPr>
                <w:bCs/>
                <w:sz w:val="22"/>
              </w:rPr>
            </w:pPr>
            <w:r w:rsidRPr="00D97C87">
              <w:rPr>
                <w:bCs/>
                <w:sz w:val="22"/>
              </w:rPr>
              <w:t>Occupation Code</w:t>
            </w:r>
          </w:p>
        </w:tc>
        <w:tc>
          <w:tcPr>
            <w:tcW w:w="18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55885" w:rsidRPr="00D97C87" w:rsidP="00EC16E0" w14:paraId="182F3B37" w14:textId="77777777">
            <w:pPr>
              <w:spacing w:after="0" w:line="240" w:lineRule="auto"/>
              <w:rPr>
                <w:bCs/>
                <w:sz w:val="22"/>
              </w:rPr>
            </w:pPr>
            <w:r w:rsidRPr="00D97C87">
              <w:rPr>
                <w:bCs/>
                <w:sz w:val="22"/>
              </w:rPr>
              <w:t>Mean Hourly Wage ($/hr)</w:t>
            </w:r>
          </w:p>
        </w:tc>
        <w:tc>
          <w:tcPr>
            <w:tcW w:w="18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55885" w:rsidRPr="00D97C87" w:rsidP="00EC16E0" w14:paraId="66FF78E1" w14:textId="20AE40A7">
            <w:pPr>
              <w:spacing w:after="0" w:line="240" w:lineRule="auto"/>
              <w:rPr>
                <w:bCs/>
                <w:sz w:val="22"/>
              </w:rPr>
            </w:pPr>
            <w:r w:rsidRPr="00D97C87">
              <w:rPr>
                <w:bCs/>
                <w:sz w:val="22"/>
              </w:rPr>
              <w:t>Fringe Benefit</w:t>
            </w:r>
            <w:r w:rsidRPr="00D97C87" w:rsidR="001874DF">
              <w:rPr>
                <w:bCs/>
                <w:sz w:val="22"/>
              </w:rPr>
              <w:t>s and Other Indirect Costs</w:t>
            </w:r>
            <w:r w:rsidRPr="00D97C87" w:rsidR="00437CD2">
              <w:rPr>
                <w:bCs/>
                <w:sz w:val="22"/>
              </w:rPr>
              <w:t xml:space="preserve"> </w:t>
            </w:r>
            <w:r w:rsidRPr="00D97C87">
              <w:rPr>
                <w:bCs/>
                <w:sz w:val="22"/>
              </w:rPr>
              <w:t>($/</w:t>
            </w:r>
            <w:r w:rsidRPr="00D97C87">
              <w:rPr>
                <w:bCs/>
                <w:sz w:val="22"/>
              </w:rPr>
              <w:t>hr</w:t>
            </w:r>
            <w:r w:rsidRPr="00D97C87">
              <w:rPr>
                <w:bCs/>
                <w:sz w:val="22"/>
              </w:rPr>
              <w:t>)</w:t>
            </w:r>
          </w:p>
        </w:tc>
        <w:tc>
          <w:tcPr>
            <w:tcW w:w="194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55885" w:rsidRPr="00D97C87" w:rsidP="00EC16E0" w14:paraId="71CD5003" w14:textId="77777777">
            <w:pPr>
              <w:spacing w:after="0" w:line="240" w:lineRule="auto"/>
              <w:rPr>
                <w:bCs/>
                <w:sz w:val="22"/>
              </w:rPr>
            </w:pPr>
            <w:r w:rsidRPr="00D97C87">
              <w:rPr>
                <w:bCs/>
                <w:sz w:val="22"/>
              </w:rPr>
              <w:t>Adjusted Hourly Wage ($/hr)</w:t>
            </w:r>
          </w:p>
        </w:tc>
      </w:tr>
      <w:tr w14:paraId="3709E260" w14:textId="77777777" w:rsidTr="00437CD2">
        <w:tblPrEx>
          <w:tblW w:w="9095" w:type="dxa"/>
          <w:tblInd w:w="-190" w:type="dxa"/>
          <w:tblCellMar>
            <w:left w:w="0" w:type="dxa"/>
            <w:right w:w="0" w:type="dxa"/>
          </w:tblCellMar>
          <w:tblLook w:val="04A0"/>
        </w:tblPrEx>
        <w:tc>
          <w:tcPr>
            <w:tcW w:w="2106"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155885" w:rsidRPr="00437CD2" w:rsidP="00EC16E0" w14:paraId="0C22A811" w14:textId="435F4391">
            <w:pPr>
              <w:spacing w:after="0" w:line="240" w:lineRule="auto"/>
              <w:rPr>
                <w:sz w:val="22"/>
              </w:rPr>
            </w:pPr>
            <w:r w:rsidRPr="00437CD2">
              <w:rPr>
                <w:sz w:val="22"/>
              </w:rPr>
              <w:t>Business Operations Specialist</w:t>
            </w:r>
            <w:r w:rsidRPr="0025795B" w:rsidR="00517D5F">
              <w:rPr>
                <w:sz w:val="22"/>
              </w:rPr>
              <w:t>, All Other</w:t>
            </w:r>
          </w:p>
        </w:tc>
        <w:tc>
          <w:tcPr>
            <w:tcW w:w="1420" w:type="dxa"/>
            <w:tcBorders>
              <w:top w:val="nil"/>
              <w:left w:val="nil"/>
              <w:bottom w:val="single" w:sz="4" w:space="0" w:color="auto"/>
              <w:right w:val="single" w:sz="8" w:space="0" w:color="auto"/>
            </w:tcBorders>
            <w:tcMar>
              <w:top w:w="0" w:type="dxa"/>
              <w:left w:w="108" w:type="dxa"/>
              <w:bottom w:w="0" w:type="dxa"/>
              <w:right w:w="108" w:type="dxa"/>
            </w:tcMar>
            <w:hideMark/>
          </w:tcPr>
          <w:p w:rsidR="00155885" w:rsidRPr="00437CD2" w:rsidP="00EC16E0" w14:paraId="28964375" w14:textId="77777777">
            <w:pPr>
              <w:spacing w:after="0" w:line="240" w:lineRule="auto"/>
              <w:rPr>
                <w:sz w:val="22"/>
              </w:rPr>
            </w:pPr>
            <w:r w:rsidRPr="00437CD2">
              <w:rPr>
                <w:sz w:val="22"/>
              </w:rPr>
              <w:t>13-1199</w:t>
            </w:r>
          </w:p>
        </w:tc>
        <w:tc>
          <w:tcPr>
            <w:tcW w:w="1811" w:type="dxa"/>
            <w:tcBorders>
              <w:top w:val="nil"/>
              <w:left w:val="nil"/>
              <w:bottom w:val="single" w:sz="4" w:space="0" w:color="auto"/>
              <w:right w:val="single" w:sz="8" w:space="0" w:color="auto"/>
            </w:tcBorders>
            <w:tcMar>
              <w:top w:w="0" w:type="dxa"/>
              <w:left w:w="108" w:type="dxa"/>
              <w:bottom w:w="0" w:type="dxa"/>
              <w:right w:w="108" w:type="dxa"/>
            </w:tcMar>
            <w:hideMark/>
          </w:tcPr>
          <w:p w:rsidR="00155885" w:rsidRPr="00437CD2" w:rsidP="00EC16E0" w14:paraId="27A6AA95" w14:textId="38AFFCD3">
            <w:pPr>
              <w:spacing w:after="0" w:line="240" w:lineRule="auto"/>
              <w:rPr>
                <w:sz w:val="22"/>
              </w:rPr>
            </w:pPr>
            <w:r w:rsidRPr="0025795B">
              <w:rPr>
                <w:sz w:val="22"/>
              </w:rPr>
              <w:t>45.18</w:t>
            </w:r>
          </w:p>
        </w:tc>
        <w:tc>
          <w:tcPr>
            <w:tcW w:w="1811" w:type="dxa"/>
            <w:tcBorders>
              <w:top w:val="nil"/>
              <w:left w:val="nil"/>
              <w:bottom w:val="single" w:sz="4" w:space="0" w:color="auto"/>
              <w:right w:val="single" w:sz="8" w:space="0" w:color="auto"/>
            </w:tcBorders>
            <w:tcMar>
              <w:top w:w="0" w:type="dxa"/>
              <w:left w:w="108" w:type="dxa"/>
              <w:bottom w:w="0" w:type="dxa"/>
              <w:right w:w="108" w:type="dxa"/>
            </w:tcMar>
            <w:hideMark/>
          </w:tcPr>
          <w:p w:rsidR="00155885" w:rsidRPr="00437CD2" w:rsidP="00EC16E0" w14:paraId="3FEAF01E" w14:textId="5282FAC0">
            <w:pPr>
              <w:spacing w:after="0" w:line="240" w:lineRule="auto"/>
              <w:rPr>
                <w:sz w:val="22"/>
              </w:rPr>
            </w:pPr>
            <w:r w:rsidRPr="0025795B">
              <w:rPr>
                <w:sz w:val="22"/>
              </w:rPr>
              <w:t>45.18</w:t>
            </w:r>
          </w:p>
        </w:tc>
        <w:tc>
          <w:tcPr>
            <w:tcW w:w="1947" w:type="dxa"/>
            <w:tcBorders>
              <w:top w:val="nil"/>
              <w:left w:val="nil"/>
              <w:bottom w:val="single" w:sz="4" w:space="0" w:color="auto"/>
              <w:right w:val="single" w:sz="8" w:space="0" w:color="auto"/>
            </w:tcBorders>
            <w:tcMar>
              <w:top w:w="0" w:type="dxa"/>
              <w:left w:w="108" w:type="dxa"/>
              <w:bottom w:w="0" w:type="dxa"/>
              <w:right w:w="108" w:type="dxa"/>
            </w:tcMar>
            <w:hideMark/>
          </w:tcPr>
          <w:p w:rsidR="00155885" w:rsidRPr="00437CD2" w:rsidP="00EC16E0" w14:paraId="330A8E82" w14:textId="05DA7843">
            <w:pPr>
              <w:spacing w:after="0" w:line="240" w:lineRule="auto"/>
              <w:rPr>
                <w:sz w:val="22"/>
              </w:rPr>
            </w:pPr>
            <w:r w:rsidRPr="0025795B">
              <w:rPr>
                <w:sz w:val="22"/>
              </w:rPr>
              <w:t>90.36</w:t>
            </w:r>
          </w:p>
        </w:tc>
      </w:tr>
    </w:tbl>
    <w:p w:rsidR="00155885" w:rsidP="00EC16E0" w14:paraId="113E4BDA" w14:textId="77777777">
      <w:pPr>
        <w:spacing w:after="0" w:line="240" w:lineRule="auto"/>
        <w:rPr>
          <w:rFonts w:ascii="Calibri" w:hAnsi="Calibri"/>
          <w:sz w:val="22"/>
        </w:rPr>
      </w:pPr>
    </w:p>
    <w:p w:rsidR="00155885" w:rsidP="00EC16E0" w14:paraId="1DF0AEE8" w14:textId="5D4BF276">
      <w:pPr>
        <w:spacing w:after="0" w:line="240" w:lineRule="auto"/>
      </w:pPr>
      <w:r w:rsidRPr="005E5E0E">
        <w:t>As indicated, we are adjusting our employee hourly wage estimates by a factor of 100 percent. This is necessarily a rough adjustment, both because fringe benefits and o</w:t>
      </w:r>
      <w:r w:rsidR="00BD43FE">
        <w:t>ther indirect</w:t>
      </w:r>
      <w:r w:rsidRPr="005E5E0E">
        <w:t xml:space="preserve"> costs vary significantly from employer to employer, and because methods of estimating these costs vary widely from study to study. Nonetheless, we believe that doubling the hourly wage to estimate </w:t>
      </w:r>
      <w:r w:rsidRPr="00927E20" w:rsidR="00BD43FE">
        <w:rPr>
          <w:szCs w:val="24"/>
        </w:rPr>
        <w:t>the</w:t>
      </w:r>
      <w:r w:rsidRPr="005E5E0E">
        <w:t xml:space="preserve"> total cost is a reasonably accurate estimation method.</w:t>
      </w:r>
    </w:p>
    <w:p w:rsidR="0013384B" w:rsidP="00EC16E0" w14:paraId="3572C36A" w14:textId="77777777">
      <w:pPr>
        <w:spacing w:after="0" w:line="240" w:lineRule="auto"/>
      </w:pPr>
    </w:p>
    <w:p w:rsidR="00151854" w:rsidRPr="00AE6C34" w:rsidP="00EC16E0" w14:paraId="0EBF77C7" w14:textId="77777777">
      <w:pPr>
        <w:spacing w:after="0" w:line="240" w:lineRule="auto"/>
        <w:rPr>
          <w:i/>
        </w:rPr>
      </w:pPr>
      <w:r w:rsidRPr="00927E20">
        <w:rPr>
          <w:i/>
          <w:szCs w:val="24"/>
        </w:rPr>
        <w:t xml:space="preserve">Collection of Information Requirements and Associated </w:t>
      </w:r>
      <w:r w:rsidRPr="00AE6C34">
        <w:rPr>
          <w:i/>
        </w:rPr>
        <w:t>Burden Estimates</w:t>
      </w:r>
    </w:p>
    <w:p w:rsidR="00151854" w:rsidP="00EC16E0" w14:paraId="6262BE98" w14:textId="77777777">
      <w:pPr>
        <w:spacing w:after="0" w:line="240" w:lineRule="auto"/>
      </w:pPr>
    </w:p>
    <w:p w:rsidR="000E5274" w:rsidRPr="000553E8" w:rsidP="00EC16E0" w14:paraId="2E1EB456" w14:textId="6C4BD7FD">
      <w:pPr>
        <w:spacing w:after="0" w:line="240" w:lineRule="auto"/>
        <w:rPr>
          <w:szCs w:val="24"/>
        </w:rPr>
      </w:pPr>
      <w:r w:rsidRPr="00927E20">
        <w:rPr>
          <w:szCs w:val="24"/>
        </w:rPr>
        <w:t xml:space="preserve">Based upon CMS's experience with state plan amendments, we estimate that on average, it will take a state 4 hours </w:t>
      </w:r>
      <w:r w:rsidRPr="00927E20" w:rsidR="00BA1F23">
        <w:rPr>
          <w:szCs w:val="24"/>
        </w:rPr>
        <w:t xml:space="preserve">at </w:t>
      </w:r>
      <w:r w:rsidR="005C0993">
        <w:rPr>
          <w:szCs w:val="24"/>
        </w:rPr>
        <w:t xml:space="preserve">$90.36 </w:t>
      </w:r>
      <w:r w:rsidR="00BA1F23">
        <w:rPr>
          <w:szCs w:val="24"/>
        </w:rPr>
        <w:t xml:space="preserve">for a </w:t>
      </w:r>
      <w:r w:rsidRPr="00927E20" w:rsidR="00BA1F23">
        <w:rPr>
          <w:szCs w:val="24"/>
        </w:rPr>
        <w:t xml:space="preserve">Business Operations Specialist </w:t>
      </w:r>
      <w:r w:rsidRPr="00927E20">
        <w:rPr>
          <w:szCs w:val="24"/>
        </w:rPr>
        <w:t xml:space="preserve">to complete and submit the </w:t>
      </w:r>
      <w:r w:rsidR="00BA1F23">
        <w:rPr>
          <w:szCs w:val="24"/>
        </w:rPr>
        <w:t>revised</w:t>
      </w:r>
      <w:r w:rsidRPr="00927E20">
        <w:rPr>
          <w:szCs w:val="24"/>
        </w:rPr>
        <w:t xml:space="preserve"> SPA </w:t>
      </w:r>
      <w:r w:rsidR="00BA1F23">
        <w:rPr>
          <w:szCs w:val="24"/>
        </w:rPr>
        <w:t>template</w:t>
      </w:r>
      <w:r w:rsidRPr="00927E20">
        <w:rPr>
          <w:szCs w:val="24"/>
        </w:rPr>
        <w:t xml:space="preserve">. We also expect that a </w:t>
      </w:r>
      <w:r w:rsidR="00BA1F23">
        <w:rPr>
          <w:szCs w:val="24"/>
        </w:rPr>
        <w:t xml:space="preserve">total of </w:t>
      </w:r>
      <w:r w:rsidRPr="005C0993" w:rsidR="005C0993">
        <w:rPr>
          <w:szCs w:val="24"/>
        </w:rPr>
        <w:t>41 jurisdictions (40 states and D.C.) will submit at least one SPA</w:t>
      </w:r>
      <w:r w:rsidRPr="00927E20">
        <w:rPr>
          <w:szCs w:val="24"/>
        </w:rPr>
        <w:t>.</w:t>
      </w:r>
      <w:r w:rsidR="000553E8">
        <w:rPr>
          <w:szCs w:val="24"/>
        </w:rPr>
        <w:t xml:space="preserve"> </w:t>
      </w:r>
      <w:r w:rsidRPr="000553E8" w:rsidR="000553E8">
        <w:rPr>
          <w:szCs w:val="24"/>
        </w:rPr>
        <w:t xml:space="preserve">However, States will not need to address these provisions in the same SPA and may submit separate SPAs to come into compliance with each requirement individually. Therefore, so as not to underestimate the burden associated with these requirements, we estimate that each of the 41 jurisdictions will submit two separate SPAs that address the WFTC Section 71103 and CMS-0057-F requirements separately, for a total of 82 </w:t>
      </w:r>
      <w:r w:rsidRPr="000553E8" w:rsidR="000553E8">
        <w:rPr>
          <w:szCs w:val="24"/>
        </w:rPr>
        <w:t>SPAs (41 jurisdictions x 2 SPAs).</w:t>
      </w:r>
      <w:r w:rsidR="000553E8">
        <w:rPr>
          <w:szCs w:val="24"/>
        </w:rPr>
        <w:t xml:space="preserve"> </w:t>
      </w:r>
      <w:r w:rsidR="006441E7">
        <w:t xml:space="preserve">We </w:t>
      </w:r>
      <w:r w:rsidRPr="006441E7" w:rsidR="006441E7">
        <w:t xml:space="preserve">estimate a total annual burden of </w:t>
      </w:r>
      <w:r w:rsidR="00DF288D">
        <w:t xml:space="preserve">328 </w:t>
      </w:r>
      <w:r w:rsidRPr="006441E7" w:rsidR="006441E7">
        <w:t>hours (</w:t>
      </w:r>
      <w:r w:rsidR="00DF288D">
        <w:t>41</w:t>
      </w:r>
      <w:r w:rsidRPr="006441E7" w:rsidR="006441E7">
        <w:t xml:space="preserve"> </w:t>
      </w:r>
      <w:r w:rsidR="00DF288D">
        <w:t>jurisdictions x 2 SPAs</w:t>
      </w:r>
      <w:r w:rsidRPr="006441E7" w:rsidR="006441E7">
        <w:t xml:space="preserve"> x </w:t>
      </w:r>
      <w:r w:rsidR="00DF288D">
        <w:t>4</w:t>
      </w:r>
      <w:r w:rsidRPr="006441E7" w:rsidR="006441E7">
        <w:t xml:space="preserve"> h</w:t>
      </w:r>
      <w:r w:rsidR="00913103">
        <w:t>ours</w:t>
      </w:r>
      <w:r w:rsidRPr="006441E7" w:rsidR="006441E7">
        <w:t xml:space="preserve">) at an estimated cost of </w:t>
      </w:r>
      <w:r w:rsidRPr="00DF288D" w:rsidR="00DF288D">
        <w:t xml:space="preserve">$29,638 </w:t>
      </w:r>
      <w:r w:rsidR="00DF288D">
        <w:t>(328</w:t>
      </w:r>
      <w:r w:rsidRPr="006441E7" w:rsidR="006441E7">
        <w:t xml:space="preserve"> hours x $</w:t>
      </w:r>
      <w:r w:rsidR="00DF288D">
        <w:t>90.36</w:t>
      </w:r>
      <w:r w:rsidR="00913103">
        <w:t>/hr</w:t>
      </w:r>
      <w:r w:rsidRPr="006441E7" w:rsidR="006441E7">
        <w:t>).</w:t>
      </w:r>
    </w:p>
    <w:p w:rsidR="002B77EC" w:rsidP="00EC16E0" w14:paraId="3A552230" w14:textId="77777777">
      <w:pPr>
        <w:spacing w:after="0" w:line="240" w:lineRule="auto"/>
        <w:rPr>
          <w:i/>
          <w:iCs/>
          <w:szCs w:val="24"/>
          <w:lang w:bidi="en-US"/>
        </w:rPr>
      </w:pPr>
    </w:p>
    <w:p w:rsidR="002B77EC" w:rsidRPr="00322943" w:rsidP="00EC16E0" w14:paraId="10DFC455" w14:textId="4BD4B5F4">
      <w:pPr>
        <w:spacing w:after="0" w:line="240" w:lineRule="auto"/>
        <w:rPr>
          <w:i/>
          <w:iCs/>
          <w:szCs w:val="24"/>
          <w:lang w:bidi="en-US"/>
        </w:rPr>
      </w:pPr>
      <w:r w:rsidRPr="00322943">
        <w:rPr>
          <w:i/>
          <w:iCs/>
          <w:szCs w:val="24"/>
          <w:lang w:bidi="en-US"/>
        </w:rPr>
        <w:t>Burden Summary</w:t>
      </w:r>
    </w:p>
    <w:p w:rsidR="002B77EC" w:rsidRPr="00322943" w:rsidP="00EC16E0" w14:paraId="737BB164" w14:textId="77777777">
      <w:pPr>
        <w:spacing w:after="0" w:line="240" w:lineRule="auto"/>
        <w:rPr>
          <w:i/>
          <w:iCs/>
          <w:szCs w:val="24"/>
          <w:lang w:bidi="en-US"/>
        </w:rPr>
      </w:pPr>
    </w:p>
    <w:tbl>
      <w:tblPr>
        <w:tblW w:w="9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350"/>
        <w:gridCol w:w="1620"/>
        <w:gridCol w:w="1170"/>
        <w:gridCol w:w="1260"/>
        <w:gridCol w:w="1350"/>
        <w:gridCol w:w="1571"/>
        <w:gridCol w:w="1129"/>
      </w:tblGrid>
      <w:tr w14:paraId="61A75D75" w14:textId="77777777" w:rsidTr="00937DA9">
        <w:tblPrEx>
          <w:tblW w:w="9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665"/>
        </w:trPr>
        <w:tc>
          <w:tcPr>
            <w:tcW w:w="1350" w:type="dxa"/>
            <w:tcBorders>
              <w:top w:val="single" w:sz="4" w:space="0" w:color="000000"/>
              <w:left w:val="single" w:sz="4" w:space="0" w:color="000000"/>
              <w:bottom w:val="single" w:sz="4" w:space="0" w:color="000000"/>
              <w:right w:val="single" w:sz="4" w:space="0" w:color="000000"/>
            </w:tcBorders>
            <w:hideMark/>
          </w:tcPr>
          <w:p w:rsidR="002B77EC" w:rsidRPr="00F01A21" w:rsidP="00EC16E0" w14:paraId="6B51323A" w14:textId="77777777">
            <w:pPr>
              <w:spacing w:after="0" w:line="240" w:lineRule="auto"/>
              <w:rPr>
                <w:iCs/>
                <w:sz w:val="22"/>
                <w:lang w:bidi="en-US"/>
              </w:rPr>
            </w:pPr>
            <w:r w:rsidRPr="00F01A21">
              <w:rPr>
                <w:iCs/>
                <w:sz w:val="22"/>
                <w:lang w:bidi="en-US"/>
              </w:rPr>
              <w:t>Cost Report</w:t>
            </w:r>
          </w:p>
        </w:tc>
        <w:tc>
          <w:tcPr>
            <w:tcW w:w="1620" w:type="dxa"/>
            <w:tcBorders>
              <w:top w:val="single" w:sz="4" w:space="0" w:color="000000"/>
              <w:left w:val="single" w:sz="4" w:space="0" w:color="000000"/>
              <w:bottom w:val="single" w:sz="4" w:space="0" w:color="000000"/>
              <w:right w:val="single" w:sz="4" w:space="0" w:color="000000"/>
            </w:tcBorders>
            <w:hideMark/>
          </w:tcPr>
          <w:p w:rsidR="002B77EC" w:rsidRPr="00F01A21" w:rsidP="00EC16E0" w14:paraId="2500C04D" w14:textId="77777777">
            <w:pPr>
              <w:spacing w:after="0" w:line="240" w:lineRule="auto"/>
              <w:rPr>
                <w:iCs/>
                <w:sz w:val="22"/>
                <w:lang w:bidi="en-US"/>
              </w:rPr>
            </w:pPr>
            <w:r w:rsidRPr="00F01A21">
              <w:rPr>
                <w:iCs/>
                <w:sz w:val="22"/>
                <w:lang w:bidi="en-US"/>
              </w:rPr>
              <w:t>No. Respondents</w:t>
            </w:r>
          </w:p>
        </w:tc>
        <w:tc>
          <w:tcPr>
            <w:tcW w:w="1170" w:type="dxa"/>
            <w:tcBorders>
              <w:top w:val="single" w:sz="4" w:space="0" w:color="000000"/>
              <w:left w:val="single" w:sz="4" w:space="0" w:color="000000"/>
              <w:bottom w:val="single" w:sz="4" w:space="0" w:color="000000"/>
              <w:right w:val="single" w:sz="4" w:space="0" w:color="000000"/>
            </w:tcBorders>
            <w:hideMark/>
          </w:tcPr>
          <w:p w:rsidR="002B77EC" w:rsidRPr="00F01A21" w:rsidP="00EC16E0" w14:paraId="28DE0CBC" w14:textId="77777777">
            <w:pPr>
              <w:spacing w:after="0" w:line="240" w:lineRule="auto"/>
              <w:rPr>
                <w:iCs/>
                <w:sz w:val="22"/>
                <w:lang w:bidi="en-US"/>
              </w:rPr>
            </w:pPr>
            <w:r w:rsidRPr="00F01A21">
              <w:rPr>
                <w:iCs/>
                <w:sz w:val="22"/>
                <w:lang w:bidi="en-US"/>
              </w:rPr>
              <w:t>Total No. Responses</w:t>
            </w:r>
          </w:p>
        </w:tc>
        <w:tc>
          <w:tcPr>
            <w:tcW w:w="1260" w:type="dxa"/>
            <w:tcBorders>
              <w:top w:val="single" w:sz="4" w:space="0" w:color="000000"/>
              <w:left w:val="single" w:sz="4" w:space="0" w:color="000000"/>
              <w:bottom w:val="single" w:sz="4" w:space="0" w:color="000000"/>
              <w:right w:val="single" w:sz="4" w:space="0" w:color="000000"/>
            </w:tcBorders>
            <w:hideMark/>
          </w:tcPr>
          <w:p w:rsidR="002B77EC" w:rsidRPr="00F01A21" w:rsidP="00EC16E0" w14:paraId="699B5C11" w14:textId="77777777">
            <w:pPr>
              <w:spacing w:after="0" w:line="240" w:lineRule="auto"/>
              <w:rPr>
                <w:iCs/>
                <w:sz w:val="22"/>
                <w:lang w:bidi="en-US"/>
              </w:rPr>
            </w:pPr>
            <w:r w:rsidRPr="00F01A21">
              <w:rPr>
                <w:iCs/>
                <w:sz w:val="22"/>
                <w:lang w:bidi="en-US"/>
              </w:rPr>
              <w:t>Time per response (hr)</w:t>
            </w:r>
          </w:p>
        </w:tc>
        <w:tc>
          <w:tcPr>
            <w:tcW w:w="1350" w:type="dxa"/>
            <w:tcBorders>
              <w:top w:val="single" w:sz="4" w:space="0" w:color="000000"/>
              <w:left w:val="single" w:sz="4" w:space="0" w:color="000000"/>
              <w:bottom w:val="single" w:sz="4" w:space="0" w:color="000000"/>
              <w:right w:val="single" w:sz="4" w:space="0" w:color="000000"/>
            </w:tcBorders>
            <w:hideMark/>
          </w:tcPr>
          <w:p w:rsidR="002B77EC" w:rsidRPr="00F01A21" w:rsidP="00EC16E0" w14:paraId="0827D4DE" w14:textId="77777777">
            <w:pPr>
              <w:spacing w:after="0" w:line="240" w:lineRule="auto"/>
              <w:rPr>
                <w:iCs/>
                <w:sz w:val="22"/>
                <w:lang w:bidi="en-US"/>
              </w:rPr>
            </w:pPr>
            <w:r w:rsidRPr="00F01A21">
              <w:rPr>
                <w:iCs/>
                <w:sz w:val="22"/>
                <w:lang w:bidi="en-US"/>
              </w:rPr>
              <w:t>Total Time (hr)</w:t>
            </w:r>
          </w:p>
        </w:tc>
        <w:tc>
          <w:tcPr>
            <w:tcW w:w="1571" w:type="dxa"/>
            <w:tcBorders>
              <w:top w:val="single" w:sz="4" w:space="0" w:color="000000"/>
              <w:left w:val="single" w:sz="4" w:space="0" w:color="000000"/>
              <w:bottom w:val="single" w:sz="4" w:space="0" w:color="000000"/>
              <w:right w:val="single" w:sz="4" w:space="0" w:color="000000"/>
            </w:tcBorders>
            <w:hideMark/>
          </w:tcPr>
          <w:p w:rsidR="002B77EC" w:rsidRPr="00F01A21" w:rsidP="00EC16E0" w14:paraId="7B1DF035" w14:textId="77777777">
            <w:pPr>
              <w:spacing w:after="0" w:line="240" w:lineRule="auto"/>
              <w:rPr>
                <w:iCs/>
                <w:sz w:val="22"/>
                <w:lang w:bidi="en-US"/>
              </w:rPr>
            </w:pPr>
            <w:r w:rsidRPr="00F01A21">
              <w:rPr>
                <w:iCs/>
                <w:sz w:val="22"/>
                <w:lang w:bidi="en-US"/>
              </w:rPr>
              <w:t>Adjusted Hourly Wage ($/hr)</w:t>
            </w:r>
          </w:p>
        </w:tc>
        <w:tc>
          <w:tcPr>
            <w:tcW w:w="1129" w:type="dxa"/>
            <w:tcBorders>
              <w:top w:val="single" w:sz="4" w:space="0" w:color="000000"/>
              <w:left w:val="single" w:sz="4" w:space="0" w:color="000000"/>
              <w:bottom w:val="single" w:sz="4" w:space="0" w:color="000000"/>
              <w:right w:val="single" w:sz="4" w:space="0" w:color="000000"/>
            </w:tcBorders>
            <w:hideMark/>
          </w:tcPr>
          <w:p w:rsidR="002B77EC" w:rsidRPr="00F01A21" w:rsidP="00EC16E0" w14:paraId="46951DDC" w14:textId="77777777">
            <w:pPr>
              <w:spacing w:after="0" w:line="240" w:lineRule="auto"/>
              <w:rPr>
                <w:iCs/>
                <w:sz w:val="22"/>
                <w:lang w:bidi="en-US"/>
              </w:rPr>
            </w:pPr>
            <w:r w:rsidRPr="00F01A21">
              <w:rPr>
                <w:iCs/>
                <w:sz w:val="22"/>
                <w:lang w:bidi="en-US"/>
              </w:rPr>
              <w:t>Total Cost ($)</w:t>
            </w:r>
          </w:p>
        </w:tc>
      </w:tr>
      <w:tr w14:paraId="6D26B46E" w14:textId="77777777" w:rsidTr="00937DA9">
        <w:tblPrEx>
          <w:tblW w:w="9450" w:type="dxa"/>
          <w:tblInd w:w="-5" w:type="dxa"/>
          <w:tblLayout w:type="fixed"/>
          <w:tblCellMar>
            <w:left w:w="0" w:type="dxa"/>
            <w:right w:w="0" w:type="dxa"/>
          </w:tblCellMar>
          <w:tblLook w:val="01E0"/>
        </w:tblPrEx>
        <w:trPr>
          <w:trHeight w:val="440"/>
        </w:trPr>
        <w:tc>
          <w:tcPr>
            <w:tcW w:w="1350" w:type="dxa"/>
            <w:tcBorders>
              <w:top w:val="single" w:sz="4" w:space="0" w:color="000000"/>
              <w:left w:val="single" w:sz="4" w:space="0" w:color="000000"/>
              <w:bottom w:val="single" w:sz="4" w:space="0" w:color="000000"/>
              <w:right w:val="single" w:sz="4" w:space="0" w:color="000000"/>
            </w:tcBorders>
            <w:hideMark/>
          </w:tcPr>
          <w:p w:rsidR="002B77EC" w:rsidRPr="00F01A21" w:rsidP="00EC16E0" w14:paraId="6CB937DB" w14:textId="77777777">
            <w:pPr>
              <w:spacing w:after="0" w:line="240" w:lineRule="auto"/>
              <w:rPr>
                <w:iCs/>
                <w:sz w:val="22"/>
                <w:lang w:bidi="en-US"/>
              </w:rPr>
            </w:pPr>
            <w:r w:rsidRPr="00F01A21">
              <w:rPr>
                <w:iCs/>
                <w:sz w:val="22"/>
                <w:lang w:bidi="en-US"/>
              </w:rPr>
              <w:t>Active Burden</w:t>
            </w:r>
          </w:p>
        </w:tc>
        <w:tc>
          <w:tcPr>
            <w:tcW w:w="1620" w:type="dxa"/>
            <w:tcBorders>
              <w:top w:val="single" w:sz="4" w:space="0" w:color="000000"/>
              <w:left w:val="single" w:sz="4" w:space="0" w:color="000000"/>
              <w:bottom w:val="single" w:sz="4" w:space="0" w:color="000000"/>
              <w:right w:val="single" w:sz="4" w:space="0" w:color="000000"/>
            </w:tcBorders>
            <w:hideMark/>
          </w:tcPr>
          <w:p w:rsidR="002B77EC" w:rsidRPr="00F01A21" w:rsidP="00EC16E0" w14:paraId="18A0AB0C" w14:textId="635E1139">
            <w:pPr>
              <w:spacing w:after="0" w:line="240" w:lineRule="auto"/>
              <w:rPr>
                <w:iCs/>
                <w:sz w:val="22"/>
                <w:lang w:bidi="en-US"/>
              </w:rPr>
            </w:pPr>
            <w:r>
              <w:rPr>
                <w:iCs/>
                <w:sz w:val="22"/>
                <w:lang w:bidi="en-US"/>
              </w:rPr>
              <w:t>40</w:t>
            </w:r>
          </w:p>
        </w:tc>
        <w:tc>
          <w:tcPr>
            <w:tcW w:w="1170" w:type="dxa"/>
            <w:tcBorders>
              <w:top w:val="single" w:sz="4" w:space="0" w:color="000000"/>
              <w:left w:val="single" w:sz="4" w:space="0" w:color="000000"/>
              <w:bottom w:val="single" w:sz="4" w:space="0" w:color="000000"/>
              <w:right w:val="single" w:sz="4" w:space="0" w:color="000000"/>
            </w:tcBorders>
            <w:hideMark/>
          </w:tcPr>
          <w:p w:rsidR="002B77EC" w:rsidRPr="00F01A21" w:rsidP="00EC16E0" w14:paraId="66CEA0C8" w14:textId="1B0FDAC3">
            <w:pPr>
              <w:spacing w:after="0" w:line="240" w:lineRule="auto"/>
              <w:rPr>
                <w:iCs/>
                <w:sz w:val="22"/>
                <w:lang w:bidi="en-US"/>
              </w:rPr>
            </w:pPr>
            <w:r>
              <w:rPr>
                <w:iCs/>
                <w:sz w:val="22"/>
                <w:lang w:bidi="en-US"/>
              </w:rPr>
              <w:t>40</w:t>
            </w:r>
          </w:p>
        </w:tc>
        <w:tc>
          <w:tcPr>
            <w:tcW w:w="1260" w:type="dxa"/>
            <w:tcBorders>
              <w:top w:val="single" w:sz="4" w:space="0" w:color="000000"/>
              <w:left w:val="single" w:sz="4" w:space="0" w:color="000000"/>
              <w:bottom w:val="single" w:sz="4" w:space="0" w:color="000000"/>
              <w:right w:val="single" w:sz="4" w:space="0" w:color="000000"/>
            </w:tcBorders>
            <w:hideMark/>
          </w:tcPr>
          <w:p w:rsidR="002B77EC" w:rsidRPr="00F01A21" w:rsidP="00EC16E0" w14:paraId="1FFB060E" w14:textId="0A65B423">
            <w:pPr>
              <w:spacing w:after="0" w:line="240" w:lineRule="auto"/>
              <w:rPr>
                <w:iCs/>
                <w:sz w:val="22"/>
                <w:lang w:bidi="en-US"/>
              </w:rPr>
            </w:pPr>
            <w:r>
              <w:rPr>
                <w:iCs/>
                <w:sz w:val="22"/>
                <w:lang w:bidi="en-US"/>
              </w:rPr>
              <w:t>4</w:t>
            </w:r>
          </w:p>
        </w:tc>
        <w:tc>
          <w:tcPr>
            <w:tcW w:w="1350" w:type="dxa"/>
            <w:tcBorders>
              <w:top w:val="single" w:sz="4" w:space="0" w:color="000000"/>
              <w:left w:val="single" w:sz="4" w:space="0" w:color="000000"/>
              <w:bottom w:val="single" w:sz="4" w:space="0" w:color="000000"/>
              <w:right w:val="single" w:sz="4" w:space="0" w:color="000000"/>
            </w:tcBorders>
            <w:hideMark/>
          </w:tcPr>
          <w:p w:rsidR="002B77EC" w:rsidRPr="00F01A21" w:rsidP="00EC16E0" w14:paraId="7C24020D" w14:textId="1F065E71">
            <w:pPr>
              <w:spacing w:after="0" w:line="240" w:lineRule="auto"/>
              <w:rPr>
                <w:iCs/>
                <w:sz w:val="22"/>
                <w:lang w:bidi="en-US"/>
              </w:rPr>
            </w:pPr>
            <w:r>
              <w:rPr>
                <w:iCs/>
                <w:sz w:val="22"/>
                <w:lang w:bidi="en-US"/>
              </w:rPr>
              <w:t>160</w:t>
            </w:r>
          </w:p>
        </w:tc>
        <w:tc>
          <w:tcPr>
            <w:tcW w:w="1571" w:type="dxa"/>
            <w:tcBorders>
              <w:top w:val="single" w:sz="4" w:space="0" w:color="000000"/>
              <w:left w:val="single" w:sz="4" w:space="0" w:color="000000"/>
              <w:bottom w:val="single" w:sz="4" w:space="0" w:color="000000"/>
              <w:right w:val="single" w:sz="4" w:space="0" w:color="000000"/>
            </w:tcBorders>
            <w:hideMark/>
          </w:tcPr>
          <w:p w:rsidR="002B77EC" w:rsidRPr="00F01A21" w:rsidP="00EC16E0" w14:paraId="0C6FAB0E" w14:textId="7019FC1D">
            <w:pPr>
              <w:spacing w:after="0" w:line="240" w:lineRule="auto"/>
              <w:rPr>
                <w:iCs/>
                <w:sz w:val="22"/>
                <w:lang w:bidi="en-US"/>
              </w:rPr>
            </w:pPr>
            <w:r>
              <w:rPr>
                <w:iCs/>
                <w:sz w:val="22"/>
                <w:lang w:bidi="en-US"/>
              </w:rPr>
              <w:t>79.50</w:t>
            </w:r>
          </w:p>
        </w:tc>
        <w:tc>
          <w:tcPr>
            <w:tcW w:w="1129" w:type="dxa"/>
            <w:tcBorders>
              <w:top w:val="single" w:sz="4" w:space="0" w:color="000000"/>
              <w:left w:val="single" w:sz="4" w:space="0" w:color="000000"/>
              <w:bottom w:val="single" w:sz="4" w:space="0" w:color="000000"/>
              <w:right w:val="single" w:sz="4" w:space="0" w:color="000000"/>
            </w:tcBorders>
            <w:hideMark/>
          </w:tcPr>
          <w:p w:rsidR="002B77EC" w:rsidRPr="00F01A21" w:rsidP="00EC16E0" w14:paraId="3301F527" w14:textId="5203245F">
            <w:pPr>
              <w:spacing w:after="0" w:line="240" w:lineRule="auto"/>
              <w:rPr>
                <w:iCs/>
                <w:sz w:val="22"/>
                <w:lang w:bidi="en-US"/>
              </w:rPr>
            </w:pPr>
            <w:r>
              <w:rPr>
                <w:iCs/>
                <w:sz w:val="22"/>
                <w:lang w:bidi="en-US"/>
              </w:rPr>
              <w:t>12,720</w:t>
            </w:r>
          </w:p>
        </w:tc>
      </w:tr>
      <w:tr w14:paraId="74378E86" w14:textId="77777777" w:rsidTr="00937DA9">
        <w:tblPrEx>
          <w:tblW w:w="9450" w:type="dxa"/>
          <w:tblInd w:w="-5" w:type="dxa"/>
          <w:tblLayout w:type="fixed"/>
          <w:tblCellMar>
            <w:left w:w="0" w:type="dxa"/>
            <w:right w:w="0" w:type="dxa"/>
          </w:tblCellMar>
          <w:tblLook w:val="01E0"/>
        </w:tblPrEx>
        <w:trPr>
          <w:trHeight w:val="431"/>
        </w:trPr>
        <w:tc>
          <w:tcPr>
            <w:tcW w:w="1350" w:type="dxa"/>
            <w:tcBorders>
              <w:top w:val="single" w:sz="4" w:space="0" w:color="000000"/>
              <w:left w:val="single" w:sz="4" w:space="0" w:color="000000"/>
              <w:bottom w:val="single" w:sz="4" w:space="0" w:color="000000"/>
              <w:right w:val="single" w:sz="4" w:space="0" w:color="000000"/>
            </w:tcBorders>
            <w:hideMark/>
          </w:tcPr>
          <w:p w:rsidR="002B77EC" w:rsidRPr="00F01A21" w:rsidP="00EC16E0" w14:paraId="00E4C2F2" w14:textId="77777777">
            <w:pPr>
              <w:spacing w:after="0" w:line="240" w:lineRule="auto"/>
              <w:rPr>
                <w:iCs/>
                <w:sz w:val="22"/>
                <w:lang w:bidi="en-US"/>
              </w:rPr>
            </w:pPr>
            <w:r w:rsidRPr="00F01A21">
              <w:rPr>
                <w:iCs/>
                <w:sz w:val="22"/>
                <w:lang w:bidi="en-US"/>
              </w:rPr>
              <w:t>2026 Burden</w:t>
            </w:r>
          </w:p>
        </w:tc>
        <w:tc>
          <w:tcPr>
            <w:tcW w:w="1620" w:type="dxa"/>
            <w:tcBorders>
              <w:top w:val="single" w:sz="4" w:space="0" w:color="000000"/>
              <w:left w:val="single" w:sz="4" w:space="0" w:color="000000"/>
              <w:bottom w:val="single" w:sz="4" w:space="0" w:color="000000"/>
              <w:right w:val="single" w:sz="4" w:space="0" w:color="000000"/>
            </w:tcBorders>
            <w:hideMark/>
          </w:tcPr>
          <w:p w:rsidR="002B77EC" w:rsidRPr="00F01A21" w:rsidP="00EC16E0" w14:paraId="63176F71" w14:textId="46A85BA9">
            <w:pPr>
              <w:spacing w:after="0" w:line="240" w:lineRule="auto"/>
              <w:rPr>
                <w:iCs/>
                <w:sz w:val="22"/>
                <w:lang w:bidi="en-US"/>
              </w:rPr>
            </w:pPr>
            <w:r>
              <w:rPr>
                <w:iCs/>
                <w:sz w:val="22"/>
                <w:lang w:bidi="en-US"/>
              </w:rPr>
              <w:t>41</w:t>
            </w:r>
          </w:p>
        </w:tc>
        <w:tc>
          <w:tcPr>
            <w:tcW w:w="1170" w:type="dxa"/>
            <w:tcBorders>
              <w:top w:val="single" w:sz="4" w:space="0" w:color="000000"/>
              <w:left w:val="single" w:sz="4" w:space="0" w:color="000000"/>
              <w:bottom w:val="single" w:sz="4" w:space="0" w:color="000000"/>
              <w:right w:val="single" w:sz="4" w:space="0" w:color="000000"/>
            </w:tcBorders>
            <w:hideMark/>
          </w:tcPr>
          <w:p w:rsidR="002B77EC" w:rsidRPr="00F01A21" w:rsidP="00EC16E0" w14:paraId="151B1E5E" w14:textId="0F81779D">
            <w:pPr>
              <w:spacing w:after="0" w:line="240" w:lineRule="auto"/>
              <w:rPr>
                <w:iCs/>
                <w:sz w:val="22"/>
                <w:lang w:bidi="en-US"/>
              </w:rPr>
            </w:pPr>
            <w:r>
              <w:rPr>
                <w:iCs/>
                <w:sz w:val="22"/>
                <w:lang w:bidi="en-US"/>
              </w:rPr>
              <w:t>82</w:t>
            </w:r>
            <w:r w:rsidR="00EE1172">
              <w:rPr>
                <w:iCs/>
                <w:sz w:val="22"/>
                <w:lang w:bidi="en-US"/>
              </w:rPr>
              <w:t xml:space="preserve"> (41 x 2 SPAs)</w:t>
            </w:r>
          </w:p>
        </w:tc>
        <w:tc>
          <w:tcPr>
            <w:tcW w:w="1260" w:type="dxa"/>
            <w:tcBorders>
              <w:top w:val="single" w:sz="4" w:space="0" w:color="000000"/>
              <w:left w:val="single" w:sz="4" w:space="0" w:color="000000"/>
              <w:bottom w:val="single" w:sz="4" w:space="0" w:color="000000"/>
              <w:right w:val="single" w:sz="4" w:space="0" w:color="000000"/>
            </w:tcBorders>
            <w:hideMark/>
          </w:tcPr>
          <w:p w:rsidR="002B77EC" w:rsidRPr="00F01A21" w:rsidP="00EC16E0" w14:paraId="4C68B2B2" w14:textId="45AAACD1">
            <w:pPr>
              <w:spacing w:after="0" w:line="240" w:lineRule="auto"/>
              <w:rPr>
                <w:iCs/>
                <w:sz w:val="22"/>
                <w:lang w:bidi="en-US"/>
              </w:rPr>
            </w:pPr>
            <w:r>
              <w:rPr>
                <w:iCs/>
                <w:sz w:val="22"/>
                <w:lang w:bidi="en-US"/>
              </w:rPr>
              <w:t>4</w:t>
            </w:r>
          </w:p>
        </w:tc>
        <w:tc>
          <w:tcPr>
            <w:tcW w:w="1350" w:type="dxa"/>
            <w:tcBorders>
              <w:top w:val="single" w:sz="4" w:space="0" w:color="000000"/>
              <w:left w:val="single" w:sz="4" w:space="0" w:color="000000"/>
              <w:bottom w:val="single" w:sz="4" w:space="0" w:color="000000"/>
              <w:right w:val="single" w:sz="4" w:space="0" w:color="000000"/>
            </w:tcBorders>
            <w:hideMark/>
          </w:tcPr>
          <w:p w:rsidR="002B77EC" w:rsidRPr="00F01A21" w:rsidP="00EC16E0" w14:paraId="679C397E" w14:textId="151C6F6C">
            <w:pPr>
              <w:spacing w:after="0" w:line="240" w:lineRule="auto"/>
              <w:rPr>
                <w:iCs/>
                <w:sz w:val="22"/>
                <w:lang w:bidi="en-US"/>
              </w:rPr>
            </w:pPr>
            <w:r>
              <w:rPr>
                <w:iCs/>
                <w:sz w:val="22"/>
                <w:lang w:bidi="en-US"/>
              </w:rPr>
              <w:t>328</w:t>
            </w:r>
          </w:p>
        </w:tc>
        <w:tc>
          <w:tcPr>
            <w:tcW w:w="1571" w:type="dxa"/>
            <w:tcBorders>
              <w:top w:val="single" w:sz="4" w:space="0" w:color="000000"/>
              <w:left w:val="single" w:sz="4" w:space="0" w:color="000000"/>
              <w:bottom w:val="single" w:sz="4" w:space="0" w:color="000000"/>
              <w:right w:val="single" w:sz="4" w:space="0" w:color="000000"/>
            </w:tcBorders>
            <w:hideMark/>
          </w:tcPr>
          <w:p w:rsidR="002B77EC" w:rsidRPr="00F01A21" w:rsidP="00EC16E0" w14:paraId="6F568703" w14:textId="0B0D27A8">
            <w:pPr>
              <w:spacing w:after="0" w:line="240" w:lineRule="auto"/>
              <w:rPr>
                <w:iCs/>
                <w:sz w:val="22"/>
                <w:lang w:bidi="en-US"/>
              </w:rPr>
            </w:pPr>
            <w:r>
              <w:rPr>
                <w:iCs/>
                <w:sz w:val="22"/>
                <w:lang w:bidi="en-US"/>
              </w:rPr>
              <w:t>90.36</w:t>
            </w:r>
          </w:p>
        </w:tc>
        <w:tc>
          <w:tcPr>
            <w:tcW w:w="1129" w:type="dxa"/>
            <w:tcBorders>
              <w:top w:val="single" w:sz="4" w:space="0" w:color="000000"/>
              <w:left w:val="single" w:sz="4" w:space="0" w:color="000000"/>
              <w:bottom w:val="single" w:sz="4" w:space="0" w:color="000000"/>
              <w:right w:val="single" w:sz="4" w:space="0" w:color="000000"/>
            </w:tcBorders>
            <w:hideMark/>
          </w:tcPr>
          <w:p w:rsidR="002B77EC" w:rsidRPr="00F01A21" w:rsidP="00EC16E0" w14:paraId="65868209" w14:textId="154B749B">
            <w:pPr>
              <w:spacing w:after="0" w:line="240" w:lineRule="auto"/>
              <w:rPr>
                <w:iCs/>
                <w:sz w:val="22"/>
                <w:lang w:bidi="en-US"/>
              </w:rPr>
            </w:pPr>
            <w:r>
              <w:rPr>
                <w:iCs/>
                <w:sz w:val="22"/>
                <w:lang w:bidi="en-US"/>
              </w:rPr>
              <w:t>29,638</w:t>
            </w:r>
          </w:p>
        </w:tc>
      </w:tr>
      <w:tr w14:paraId="0D8A5D05" w14:textId="77777777" w:rsidTr="00937DA9">
        <w:tblPrEx>
          <w:tblW w:w="9450" w:type="dxa"/>
          <w:tblInd w:w="-5" w:type="dxa"/>
          <w:tblLayout w:type="fixed"/>
          <w:tblCellMar>
            <w:left w:w="0" w:type="dxa"/>
            <w:right w:w="0" w:type="dxa"/>
          </w:tblCellMar>
          <w:tblLook w:val="01E0"/>
        </w:tblPrEx>
        <w:trPr>
          <w:trHeight w:val="440"/>
        </w:trPr>
        <w:tc>
          <w:tcPr>
            <w:tcW w:w="1350" w:type="dxa"/>
            <w:tcBorders>
              <w:top w:val="single" w:sz="4" w:space="0" w:color="000000"/>
              <w:left w:val="single" w:sz="4" w:space="0" w:color="000000"/>
              <w:bottom w:val="single" w:sz="4" w:space="0" w:color="000000"/>
              <w:right w:val="single" w:sz="4" w:space="0" w:color="000000"/>
            </w:tcBorders>
            <w:shd w:val="clear" w:color="auto" w:fill="D9D9D9"/>
            <w:hideMark/>
          </w:tcPr>
          <w:p w:rsidR="002B77EC" w:rsidRPr="00163B20" w:rsidP="00EC16E0" w14:paraId="1263A32B" w14:textId="77777777">
            <w:pPr>
              <w:spacing w:after="0" w:line="240" w:lineRule="auto"/>
              <w:rPr>
                <w:bCs/>
                <w:iCs/>
                <w:sz w:val="22"/>
                <w:lang w:bidi="en-US"/>
              </w:rPr>
            </w:pPr>
            <w:r w:rsidRPr="00163B20">
              <w:rPr>
                <w:bCs/>
                <w:iCs/>
                <w:sz w:val="22"/>
                <w:lang w:bidi="en-US"/>
              </w:rPr>
              <w:t>CHANGE</w:t>
            </w:r>
          </w:p>
        </w:tc>
        <w:tc>
          <w:tcPr>
            <w:tcW w:w="1620" w:type="dxa"/>
            <w:tcBorders>
              <w:top w:val="single" w:sz="4" w:space="0" w:color="000000"/>
              <w:left w:val="single" w:sz="4" w:space="0" w:color="000000"/>
              <w:bottom w:val="single" w:sz="4" w:space="0" w:color="000000"/>
              <w:right w:val="single" w:sz="4" w:space="0" w:color="000000"/>
            </w:tcBorders>
            <w:shd w:val="clear" w:color="auto" w:fill="D9D9D9"/>
            <w:hideMark/>
          </w:tcPr>
          <w:p w:rsidR="002B77EC" w:rsidRPr="00163B20" w:rsidP="00EC16E0" w14:paraId="13775F19" w14:textId="6192E859">
            <w:pPr>
              <w:spacing w:after="0" w:line="240" w:lineRule="auto"/>
              <w:rPr>
                <w:bCs/>
                <w:iCs/>
                <w:sz w:val="22"/>
                <w:lang w:bidi="en-US"/>
              </w:rPr>
            </w:pPr>
            <w:r w:rsidRPr="00163B20">
              <w:rPr>
                <w:bCs/>
                <w:iCs/>
                <w:sz w:val="22"/>
                <w:lang w:bidi="en-US"/>
              </w:rPr>
              <w:t>+1</w:t>
            </w:r>
          </w:p>
        </w:tc>
        <w:tc>
          <w:tcPr>
            <w:tcW w:w="1170" w:type="dxa"/>
            <w:tcBorders>
              <w:top w:val="single" w:sz="4" w:space="0" w:color="000000"/>
              <w:left w:val="single" w:sz="4" w:space="0" w:color="000000"/>
              <w:bottom w:val="single" w:sz="4" w:space="0" w:color="000000"/>
              <w:right w:val="single" w:sz="4" w:space="0" w:color="000000"/>
            </w:tcBorders>
            <w:shd w:val="clear" w:color="auto" w:fill="D9D9D9"/>
            <w:hideMark/>
          </w:tcPr>
          <w:p w:rsidR="002B77EC" w:rsidRPr="00163B20" w:rsidP="00EC16E0" w14:paraId="6587F794" w14:textId="658BA759">
            <w:pPr>
              <w:spacing w:after="0" w:line="240" w:lineRule="auto"/>
              <w:rPr>
                <w:bCs/>
                <w:iCs/>
                <w:sz w:val="22"/>
                <w:lang w:bidi="en-US"/>
              </w:rPr>
            </w:pPr>
            <w:r w:rsidRPr="00163B20">
              <w:rPr>
                <w:bCs/>
                <w:iCs/>
                <w:sz w:val="22"/>
                <w:lang w:bidi="en-US"/>
              </w:rPr>
              <w:t>+</w:t>
            </w:r>
            <w:r w:rsidRPr="00163B20" w:rsidR="00F20CA9">
              <w:rPr>
                <w:bCs/>
                <w:iCs/>
                <w:sz w:val="22"/>
                <w:lang w:bidi="en-US"/>
              </w:rPr>
              <w:t>42</w:t>
            </w:r>
          </w:p>
        </w:tc>
        <w:tc>
          <w:tcPr>
            <w:tcW w:w="1260" w:type="dxa"/>
            <w:tcBorders>
              <w:top w:val="single" w:sz="4" w:space="0" w:color="000000"/>
              <w:left w:val="single" w:sz="4" w:space="0" w:color="000000"/>
              <w:bottom w:val="single" w:sz="4" w:space="0" w:color="000000"/>
              <w:right w:val="single" w:sz="4" w:space="0" w:color="000000"/>
            </w:tcBorders>
            <w:shd w:val="clear" w:color="auto" w:fill="D9D9D9"/>
            <w:hideMark/>
          </w:tcPr>
          <w:p w:rsidR="002B77EC" w:rsidRPr="00163B20" w:rsidP="00EC16E0" w14:paraId="2C31DD21" w14:textId="77777777">
            <w:pPr>
              <w:spacing w:after="0" w:line="240" w:lineRule="auto"/>
              <w:rPr>
                <w:bCs/>
                <w:iCs/>
                <w:sz w:val="22"/>
                <w:lang w:bidi="en-US"/>
              </w:rPr>
            </w:pPr>
            <w:r w:rsidRPr="00163B20">
              <w:rPr>
                <w:bCs/>
                <w:iCs/>
                <w:sz w:val="22"/>
                <w:lang w:bidi="en-US"/>
              </w:rPr>
              <w:t>No Change</w:t>
            </w:r>
          </w:p>
        </w:tc>
        <w:tc>
          <w:tcPr>
            <w:tcW w:w="1350" w:type="dxa"/>
            <w:tcBorders>
              <w:top w:val="single" w:sz="4" w:space="0" w:color="000000"/>
              <w:left w:val="single" w:sz="4" w:space="0" w:color="000000"/>
              <w:bottom w:val="single" w:sz="4" w:space="0" w:color="000000"/>
              <w:right w:val="single" w:sz="4" w:space="0" w:color="000000"/>
            </w:tcBorders>
            <w:shd w:val="clear" w:color="auto" w:fill="D9D9D9"/>
            <w:hideMark/>
          </w:tcPr>
          <w:p w:rsidR="002B77EC" w:rsidRPr="00163B20" w:rsidP="00EC16E0" w14:paraId="0FFD1834" w14:textId="694EB07E">
            <w:pPr>
              <w:spacing w:after="0" w:line="240" w:lineRule="auto"/>
              <w:rPr>
                <w:bCs/>
                <w:iCs/>
                <w:sz w:val="22"/>
                <w:lang w:bidi="en-US"/>
              </w:rPr>
            </w:pPr>
            <w:r w:rsidRPr="00163B20">
              <w:rPr>
                <w:bCs/>
                <w:iCs/>
                <w:sz w:val="22"/>
                <w:lang w:bidi="en-US"/>
              </w:rPr>
              <w:t>+168</w:t>
            </w:r>
          </w:p>
        </w:tc>
        <w:tc>
          <w:tcPr>
            <w:tcW w:w="1571" w:type="dxa"/>
            <w:tcBorders>
              <w:top w:val="single" w:sz="4" w:space="0" w:color="000000"/>
              <w:left w:val="single" w:sz="4" w:space="0" w:color="000000"/>
              <w:bottom w:val="single" w:sz="4" w:space="0" w:color="000000"/>
              <w:right w:val="single" w:sz="4" w:space="0" w:color="000000"/>
            </w:tcBorders>
            <w:shd w:val="clear" w:color="auto" w:fill="D9D9D9"/>
            <w:hideMark/>
          </w:tcPr>
          <w:p w:rsidR="002B77EC" w:rsidRPr="00163B20" w:rsidP="00EC16E0" w14:paraId="7B9634DD" w14:textId="2758D352">
            <w:pPr>
              <w:spacing w:after="0" w:line="240" w:lineRule="auto"/>
              <w:rPr>
                <w:bCs/>
                <w:iCs/>
                <w:sz w:val="22"/>
                <w:lang w:bidi="en-US"/>
              </w:rPr>
            </w:pPr>
            <w:r w:rsidRPr="00163B20">
              <w:rPr>
                <w:bCs/>
                <w:iCs/>
                <w:sz w:val="22"/>
                <w:lang w:bidi="en-US"/>
              </w:rPr>
              <w:t>+1</w:t>
            </w:r>
            <w:r w:rsidRPr="00163B20" w:rsidR="00221413">
              <w:rPr>
                <w:bCs/>
                <w:iCs/>
                <w:sz w:val="22"/>
                <w:lang w:bidi="en-US"/>
              </w:rPr>
              <w:t>0.86</w:t>
            </w:r>
          </w:p>
        </w:tc>
        <w:tc>
          <w:tcPr>
            <w:tcW w:w="1129" w:type="dxa"/>
            <w:tcBorders>
              <w:top w:val="single" w:sz="4" w:space="0" w:color="000000"/>
              <w:left w:val="single" w:sz="4" w:space="0" w:color="000000"/>
              <w:bottom w:val="single" w:sz="4" w:space="0" w:color="000000"/>
              <w:right w:val="single" w:sz="4" w:space="0" w:color="000000"/>
            </w:tcBorders>
            <w:shd w:val="clear" w:color="auto" w:fill="D9D9D9"/>
            <w:hideMark/>
          </w:tcPr>
          <w:p w:rsidR="002B77EC" w:rsidRPr="00163B20" w:rsidP="00EC16E0" w14:paraId="4C770868" w14:textId="1E095E43">
            <w:pPr>
              <w:spacing w:after="0" w:line="240" w:lineRule="auto"/>
              <w:rPr>
                <w:bCs/>
                <w:iCs/>
                <w:sz w:val="22"/>
                <w:lang w:bidi="en-US"/>
              </w:rPr>
            </w:pPr>
            <w:r w:rsidRPr="00163B20">
              <w:rPr>
                <w:bCs/>
                <w:iCs/>
                <w:sz w:val="22"/>
                <w:lang w:bidi="en-US"/>
              </w:rPr>
              <w:t>+1</w:t>
            </w:r>
            <w:r w:rsidRPr="00163B20" w:rsidR="00705C78">
              <w:rPr>
                <w:bCs/>
                <w:iCs/>
                <w:sz w:val="22"/>
                <w:lang w:bidi="en-US"/>
              </w:rPr>
              <w:t>6,918</w:t>
            </w:r>
          </w:p>
        </w:tc>
      </w:tr>
    </w:tbl>
    <w:p w:rsidR="002B77EC" w:rsidP="00EC16E0" w14:paraId="1484B5E8" w14:textId="77777777">
      <w:pPr>
        <w:spacing w:after="0" w:line="240" w:lineRule="auto"/>
      </w:pPr>
    </w:p>
    <w:p w:rsidR="00C75207" w:rsidP="00EC16E0" w14:paraId="43101DEA" w14:textId="071BD327">
      <w:pPr>
        <w:spacing w:after="0" w:line="240" w:lineRule="auto"/>
      </w:pPr>
      <w:r w:rsidRPr="00C75207">
        <w:t xml:space="preserve">Although this collection of information request proposes </w:t>
      </w:r>
      <w:r>
        <w:t>328</w:t>
      </w:r>
      <w:r w:rsidRPr="00C75207">
        <w:t xml:space="preserve"> hours of burden, this iteration only requests the addition of </w:t>
      </w:r>
      <w:r>
        <w:t>168</w:t>
      </w:r>
      <w:r w:rsidRPr="00C75207">
        <w:t xml:space="preserve"> hours (</w:t>
      </w:r>
      <w:r>
        <w:t>160</w:t>
      </w:r>
      <w:r w:rsidRPr="00C75207">
        <w:t xml:space="preserve"> </w:t>
      </w:r>
      <w:r w:rsidRPr="00C75207">
        <w:t>hr</w:t>
      </w:r>
      <w:r w:rsidRPr="00C75207">
        <w:t xml:space="preserve"> [active] - </w:t>
      </w:r>
      <w:r>
        <w:t>328</w:t>
      </w:r>
      <w:r w:rsidRPr="00C75207">
        <w:t xml:space="preserve"> h</w:t>
      </w:r>
      <w:r w:rsidRPr="00C75207">
        <w:t>r</w:t>
      </w:r>
      <w:r w:rsidRPr="00C75207">
        <w:t xml:space="preserve"> [proposed]) to avoid double counting our active burden estimate of </w:t>
      </w:r>
      <w:r>
        <w:t>160</w:t>
      </w:r>
      <w:r w:rsidRPr="00C75207">
        <w:t xml:space="preserve"> hours.</w:t>
      </w:r>
    </w:p>
    <w:p w:rsidR="00C75207" w:rsidP="00EC16E0" w14:paraId="486C9CFD" w14:textId="77777777">
      <w:pPr>
        <w:spacing w:after="0" w:line="240" w:lineRule="auto"/>
      </w:pPr>
    </w:p>
    <w:p w:rsidR="00034833" w:rsidRPr="00AE6C34" w:rsidP="00EC16E0" w14:paraId="281E6D07" w14:textId="7BCC0F93">
      <w:pPr>
        <w:spacing w:after="0" w:line="240" w:lineRule="auto"/>
        <w:rPr>
          <w:i/>
        </w:rPr>
      </w:pPr>
      <w:r w:rsidRPr="00B83B99">
        <w:rPr>
          <w:i/>
        </w:rPr>
        <w:t>Information Instrument</w:t>
      </w:r>
      <w:r w:rsidR="00364732">
        <w:rPr>
          <w:i/>
        </w:rPr>
        <w:t>s</w:t>
      </w:r>
      <w:r>
        <w:rPr>
          <w:i/>
        </w:rPr>
        <w:t xml:space="preserve"> and Instruction/Guidance Documents</w:t>
      </w:r>
    </w:p>
    <w:p w:rsidR="00151854" w:rsidP="00EC16E0" w14:paraId="616A9854" w14:textId="77777777">
      <w:pPr>
        <w:spacing w:after="0" w:line="240" w:lineRule="auto"/>
        <w:rPr>
          <w:szCs w:val="24"/>
        </w:rPr>
      </w:pPr>
    </w:p>
    <w:p w:rsidR="00151854" w:rsidRPr="00D370AA" w:rsidP="00EC16E0" w14:paraId="544FA542" w14:textId="77777777">
      <w:pPr>
        <w:pStyle w:val="ListParagraph"/>
        <w:numPr>
          <w:ilvl w:val="0"/>
          <w:numId w:val="11"/>
        </w:numPr>
        <w:spacing w:after="0" w:line="240" w:lineRule="auto"/>
      </w:pPr>
      <w:r w:rsidRPr="00AE6C34">
        <w:rPr>
          <w:rFonts w:ascii="Times New Roman" w:hAnsi="Times New Roman"/>
          <w:sz w:val="24"/>
          <w:szCs w:val="24"/>
        </w:rPr>
        <w:t>Title XXI State Plan Template</w:t>
      </w:r>
      <w:r w:rsidRPr="00161CC3" w:rsidR="00F90996">
        <w:rPr>
          <w:rFonts w:ascii="Times New Roman" w:hAnsi="Times New Roman"/>
          <w:sz w:val="24"/>
          <w:szCs w:val="24"/>
        </w:rPr>
        <w:t xml:space="preserve"> (Revised)</w:t>
      </w:r>
    </w:p>
    <w:p w:rsidR="00151854" w:rsidP="00EC16E0" w14:paraId="0E83B8DC" w14:textId="77777777">
      <w:pPr>
        <w:spacing w:after="0" w:line="240" w:lineRule="auto"/>
      </w:pPr>
    </w:p>
    <w:p w:rsidR="007D6E75" w:rsidP="00D97C87" w14:paraId="6E578844" w14:textId="77777777">
      <w:pPr>
        <w:pStyle w:val="Heading1"/>
      </w:pPr>
      <w:r w:rsidRPr="008111D2">
        <w:t>E. Timeline</w:t>
      </w:r>
    </w:p>
    <w:p w:rsidR="00DC12A9" w:rsidRPr="00DC12A9" w:rsidP="00DC12A9" w14:paraId="2AA0FBB8" w14:textId="77777777">
      <w:pPr>
        <w:spacing w:after="0" w:line="240" w:lineRule="auto"/>
      </w:pPr>
    </w:p>
    <w:p w:rsidR="00561206" w:rsidRPr="00B359C7" w:rsidP="00DC12A9" w14:paraId="3BBA36AE" w14:textId="77777777">
      <w:pPr>
        <w:spacing w:after="0" w:line="240" w:lineRule="auto"/>
        <w:rPr>
          <w:szCs w:val="24"/>
        </w:rPr>
      </w:pPr>
      <w:r w:rsidRPr="00B359C7">
        <w:rPr>
          <w:szCs w:val="24"/>
        </w:rPr>
        <w:t xml:space="preserve">Our 14-day notice </w:t>
      </w:r>
      <w:r w:rsidRPr="00B359C7">
        <w:rPr>
          <w:szCs w:val="24"/>
        </w:rPr>
        <w:t>published</w:t>
      </w:r>
      <w:r w:rsidRPr="00B359C7">
        <w:rPr>
          <w:szCs w:val="24"/>
        </w:rPr>
        <w:t xml:space="preserve"> in the Federal Register on July 16, 2026 (91 FR 43643). Although comments were due July 30, none were received.</w:t>
      </w:r>
    </w:p>
    <w:p w:rsidR="00561206" w:rsidRPr="00B359C7" w:rsidP="00DC12A9" w14:paraId="6A02D16A" w14:textId="77777777">
      <w:pPr>
        <w:spacing w:after="0" w:line="240" w:lineRule="auto"/>
        <w:rPr>
          <w:szCs w:val="24"/>
        </w:rPr>
      </w:pPr>
    </w:p>
    <w:p w:rsidR="00163B20" w:rsidP="00DC12A9" w14:paraId="488D7E1E" w14:textId="372465C9">
      <w:pPr>
        <w:spacing w:after="0" w:line="240" w:lineRule="auto"/>
        <w:rPr>
          <w:szCs w:val="24"/>
        </w:rPr>
      </w:pPr>
      <w:r w:rsidRPr="00B359C7">
        <w:rPr>
          <w:szCs w:val="24"/>
        </w:rPr>
        <w:t xml:space="preserve">CMS requests OMB approval on/by August 1, </w:t>
      </w:r>
      <w:r w:rsidRPr="00B359C7">
        <w:rPr>
          <w:szCs w:val="24"/>
        </w:rPr>
        <w:t>2026</w:t>
      </w:r>
      <w:r w:rsidRPr="00B359C7">
        <w:rPr>
          <w:szCs w:val="24"/>
        </w:rPr>
        <w:t xml:space="preserve"> to help ensure compliance with the provisions of the </w:t>
      </w:r>
      <w:r w:rsidRPr="00B359C7" w:rsidR="00B359C7">
        <w:rPr>
          <w:szCs w:val="24"/>
        </w:rPr>
        <w:t>WFTC legislation</w:t>
      </w:r>
      <w:r w:rsidRPr="00B359C7" w:rsidR="00B359C7">
        <w:rPr>
          <w:szCs w:val="24"/>
        </w:rPr>
        <w:t>.</w:t>
      </w:r>
    </w:p>
    <w:p w:rsidR="00163B20" w:rsidP="00DC12A9" w14:paraId="71B854EF" w14:textId="77777777">
      <w:pPr>
        <w:spacing w:after="0" w:line="240" w:lineRule="auto"/>
        <w:rPr>
          <w:szCs w:val="24"/>
        </w:rPr>
      </w:pPr>
    </w:p>
    <w:sectPr w:rsidSect="00F560C4">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C43614"/>
    <w:multiLevelType w:val="hybridMultilevel"/>
    <w:tmpl w:val="C54447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19B0C77"/>
    <w:multiLevelType w:val="hybridMultilevel"/>
    <w:tmpl w:val="AD40F2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3206F01"/>
    <w:multiLevelType w:val="hybridMultilevel"/>
    <w:tmpl w:val="7FFC83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210039A"/>
    <w:multiLevelType w:val="hybridMultilevel"/>
    <w:tmpl w:val="B8648D8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2CA61594"/>
    <w:multiLevelType w:val="hybridMultilevel"/>
    <w:tmpl w:val="02C824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DB24218"/>
    <w:multiLevelType w:val="hybridMultilevel"/>
    <w:tmpl w:val="A358D60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41DB4019"/>
    <w:multiLevelType w:val="hybridMultilevel"/>
    <w:tmpl w:val="6DE452C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5AB6408E"/>
    <w:multiLevelType w:val="hybridMultilevel"/>
    <w:tmpl w:val="7B0CE18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ED30D56"/>
    <w:multiLevelType w:val="hybridMultilevel"/>
    <w:tmpl w:val="895CEF5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673B14A6"/>
    <w:multiLevelType w:val="hybridMultilevel"/>
    <w:tmpl w:val="C1D0F934"/>
    <w:lvl w:ilvl="0">
      <w:start w:val="1"/>
      <w:numFmt w:val="bullet"/>
      <w:lvlText w:val=""/>
      <w:lvlJc w:val="left"/>
      <w:pPr>
        <w:ind w:left="360" w:hanging="360"/>
      </w:pPr>
      <w:rPr>
        <w:rFonts w:ascii="Wingdings" w:hAnsi="Wingding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
    <w:nsid w:val="677F43C2"/>
    <w:multiLevelType w:val="hybridMultilevel"/>
    <w:tmpl w:val="58EA96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03057415">
    <w:abstractNumId w:val="8"/>
  </w:num>
  <w:num w:numId="2" w16cid:durableId="289289101">
    <w:abstractNumId w:val="5"/>
  </w:num>
  <w:num w:numId="3" w16cid:durableId="2012179064">
    <w:abstractNumId w:val="6"/>
  </w:num>
  <w:num w:numId="4" w16cid:durableId="619848769">
    <w:abstractNumId w:val="9"/>
  </w:num>
  <w:num w:numId="5" w16cid:durableId="1206916816">
    <w:abstractNumId w:val="2"/>
  </w:num>
  <w:num w:numId="6" w16cid:durableId="514727961">
    <w:abstractNumId w:val="3"/>
  </w:num>
  <w:num w:numId="7" w16cid:durableId="1601065927">
    <w:abstractNumId w:val="4"/>
  </w:num>
  <w:num w:numId="8" w16cid:durableId="1475874311">
    <w:abstractNumId w:val="7"/>
  </w:num>
  <w:num w:numId="9" w16cid:durableId="1749764545">
    <w:abstractNumId w:val="0"/>
  </w:num>
  <w:num w:numId="10" w16cid:durableId="1769740335">
    <w:abstractNumId w:val="10"/>
  </w:num>
  <w:num w:numId="11" w16cid:durableId="17795956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E75"/>
    <w:rsid w:val="00001325"/>
    <w:rsid w:val="000065ED"/>
    <w:rsid w:val="000104C6"/>
    <w:rsid w:val="00011FEE"/>
    <w:rsid w:val="00014354"/>
    <w:rsid w:val="00014988"/>
    <w:rsid w:val="00024005"/>
    <w:rsid w:val="00026503"/>
    <w:rsid w:val="0003105F"/>
    <w:rsid w:val="00032D87"/>
    <w:rsid w:val="00033F74"/>
    <w:rsid w:val="00034833"/>
    <w:rsid w:val="000362BD"/>
    <w:rsid w:val="000370DF"/>
    <w:rsid w:val="00042081"/>
    <w:rsid w:val="00043D0E"/>
    <w:rsid w:val="000553E8"/>
    <w:rsid w:val="000634CF"/>
    <w:rsid w:val="00065355"/>
    <w:rsid w:val="000712B4"/>
    <w:rsid w:val="0007215A"/>
    <w:rsid w:val="000729BF"/>
    <w:rsid w:val="00074F8B"/>
    <w:rsid w:val="00076C83"/>
    <w:rsid w:val="00087D33"/>
    <w:rsid w:val="00091CC1"/>
    <w:rsid w:val="000A2C76"/>
    <w:rsid w:val="000A3629"/>
    <w:rsid w:val="000B0390"/>
    <w:rsid w:val="000B1971"/>
    <w:rsid w:val="000B1D81"/>
    <w:rsid w:val="000C00BC"/>
    <w:rsid w:val="000C6D99"/>
    <w:rsid w:val="000D1CFD"/>
    <w:rsid w:val="000E0B7F"/>
    <w:rsid w:val="000E5274"/>
    <w:rsid w:val="000E55DA"/>
    <w:rsid w:val="0010349B"/>
    <w:rsid w:val="001048A0"/>
    <w:rsid w:val="00110F56"/>
    <w:rsid w:val="00111672"/>
    <w:rsid w:val="0011490B"/>
    <w:rsid w:val="00116DBB"/>
    <w:rsid w:val="001205E5"/>
    <w:rsid w:val="001213D3"/>
    <w:rsid w:val="00121EBE"/>
    <w:rsid w:val="00122C0E"/>
    <w:rsid w:val="00123597"/>
    <w:rsid w:val="00125179"/>
    <w:rsid w:val="00131EE8"/>
    <w:rsid w:val="00132B0B"/>
    <w:rsid w:val="0013384B"/>
    <w:rsid w:val="0014268E"/>
    <w:rsid w:val="00151565"/>
    <w:rsid w:val="00151854"/>
    <w:rsid w:val="00155885"/>
    <w:rsid w:val="00157E4D"/>
    <w:rsid w:val="00161CC3"/>
    <w:rsid w:val="00163B20"/>
    <w:rsid w:val="00165D99"/>
    <w:rsid w:val="00175A39"/>
    <w:rsid w:val="00185CB4"/>
    <w:rsid w:val="001874DF"/>
    <w:rsid w:val="001907AF"/>
    <w:rsid w:val="00195CEC"/>
    <w:rsid w:val="00197E3E"/>
    <w:rsid w:val="001A0A46"/>
    <w:rsid w:val="001A1FC6"/>
    <w:rsid w:val="001B0FEC"/>
    <w:rsid w:val="001B3C20"/>
    <w:rsid w:val="001C2748"/>
    <w:rsid w:val="001C2E04"/>
    <w:rsid w:val="001D197A"/>
    <w:rsid w:val="001D23B9"/>
    <w:rsid w:val="001D24E1"/>
    <w:rsid w:val="001D5002"/>
    <w:rsid w:val="001D689A"/>
    <w:rsid w:val="001E05B4"/>
    <w:rsid w:val="001E1582"/>
    <w:rsid w:val="001E1FA0"/>
    <w:rsid w:val="001E66B6"/>
    <w:rsid w:val="001F2628"/>
    <w:rsid w:val="001F6745"/>
    <w:rsid w:val="0020026D"/>
    <w:rsid w:val="002009AA"/>
    <w:rsid w:val="00203FAB"/>
    <w:rsid w:val="002153F5"/>
    <w:rsid w:val="00215731"/>
    <w:rsid w:val="00216E67"/>
    <w:rsid w:val="00221413"/>
    <w:rsid w:val="00221D06"/>
    <w:rsid w:val="00222B4F"/>
    <w:rsid w:val="0023275D"/>
    <w:rsid w:val="002515F1"/>
    <w:rsid w:val="00252D20"/>
    <w:rsid w:val="00253F20"/>
    <w:rsid w:val="0025795B"/>
    <w:rsid w:val="00260E60"/>
    <w:rsid w:val="00262B47"/>
    <w:rsid w:val="00270765"/>
    <w:rsid w:val="00271104"/>
    <w:rsid w:val="0027114C"/>
    <w:rsid w:val="00271FF5"/>
    <w:rsid w:val="00286B53"/>
    <w:rsid w:val="002A7809"/>
    <w:rsid w:val="002B65A7"/>
    <w:rsid w:val="002B77EC"/>
    <w:rsid w:val="002C3799"/>
    <w:rsid w:val="002C5C05"/>
    <w:rsid w:val="002D0537"/>
    <w:rsid w:val="002D3A0E"/>
    <w:rsid w:val="002D780F"/>
    <w:rsid w:val="002E3BDB"/>
    <w:rsid w:val="002F25BF"/>
    <w:rsid w:val="002F4F90"/>
    <w:rsid w:val="002F7431"/>
    <w:rsid w:val="00303F24"/>
    <w:rsid w:val="003168FA"/>
    <w:rsid w:val="00322943"/>
    <w:rsid w:val="003248D0"/>
    <w:rsid w:val="00325F87"/>
    <w:rsid w:val="00335313"/>
    <w:rsid w:val="0034253F"/>
    <w:rsid w:val="00346FF8"/>
    <w:rsid w:val="00351F83"/>
    <w:rsid w:val="003627C8"/>
    <w:rsid w:val="00364732"/>
    <w:rsid w:val="0037014E"/>
    <w:rsid w:val="00373534"/>
    <w:rsid w:val="00375A44"/>
    <w:rsid w:val="0037744C"/>
    <w:rsid w:val="003823E1"/>
    <w:rsid w:val="00382AE9"/>
    <w:rsid w:val="00386682"/>
    <w:rsid w:val="00387158"/>
    <w:rsid w:val="003918B4"/>
    <w:rsid w:val="0039435B"/>
    <w:rsid w:val="003A6B7D"/>
    <w:rsid w:val="003B4677"/>
    <w:rsid w:val="003B4845"/>
    <w:rsid w:val="003B636F"/>
    <w:rsid w:val="003C5840"/>
    <w:rsid w:val="003E1565"/>
    <w:rsid w:val="003E25EC"/>
    <w:rsid w:val="003F0BA7"/>
    <w:rsid w:val="003F0DD4"/>
    <w:rsid w:val="003F4D04"/>
    <w:rsid w:val="003F6CC9"/>
    <w:rsid w:val="004032BA"/>
    <w:rsid w:val="00404EEC"/>
    <w:rsid w:val="00405CF9"/>
    <w:rsid w:val="00410861"/>
    <w:rsid w:val="00410E8B"/>
    <w:rsid w:val="00412107"/>
    <w:rsid w:val="0041735E"/>
    <w:rsid w:val="004233D7"/>
    <w:rsid w:val="004253AE"/>
    <w:rsid w:val="00432C17"/>
    <w:rsid w:val="00437A7B"/>
    <w:rsid w:val="00437CD2"/>
    <w:rsid w:val="00440466"/>
    <w:rsid w:val="004419B5"/>
    <w:rsid w:val="00452902"/>
    <w:rsid w:val="0045365D"/>
    <w:rsid w:val="00454668"/>
    <w:rsid w:val="00465B2D"/>
    <w:rsid w:val="004672B0"/>
    <w:rsid w:val="00467E98"/>
    <w:rsid w:val="00470821"/>
    <w:rsid w:val="00474257"/>
    <w:rsid w:val="00475EF8"/>
    <w:rsid w:val="00476B48"/>
    <w:rsid w:val="00483058"/>
    <w:rsid w:val="00492C73"/>
    <w:rsid w:val="004966DF"/>
    <w:rsid w:val="004A0A30"/>
    <w:rsid w:val="004A56CB"/>
    <w:rsid w:val="004B13E8"/>
    <w:rsid w:val="004B4B3F"/>
    <w:rsid w:val="004C0D3E"/>
    <w:rsid w:val="004C1901"/>
    <w:rsid w:val="004C57F0"/>
    <w:rsid w:val="004C5D5F"/>
    <w:rsid w:val="004D2F38"/>
    <w:rsid w:val="004D4177"/>
    <w:rsid w:val="004D788C"/>
    <w:rsid w:val="004E00F3"/>
    <w:rsid w:val="005017C1"/>
    <w:rsid w:val="005115A2"/>
    <w:rsid w:val="00514215"/>
    <w:rsid w:val="0051545D"/>
    <w:rsid w:val="00517D5F"/>
    <w:rsid w:val="0052333E"/>
    <w:rsid w:val="0052480E"/>
    <w:rsid w:val="00524CE1"/>
    <w:rsid w:val="00527287"/>
    <w:rsid w:val="00527F8A"/>
    <w:rsid w:val="0054083F"/>
    <w:rsid w:val="0054208A"/>
    <w:rsid w:val="00545E68"/>
    <w:rsid w:val="00561206"/>
    <w:rsid w:val="00570357"/>
    <w:rsid w:val="00574027"/>
    <w:rsid w:val="00592F7B"/>
    <w:rsid w:val="005971A4"/>
    <w:rsid w:val="00597229"/>
    <w:rsid w:val="005A3133"/>
    <w:rsid w:val="005A3DDF"/>
    <w:rsid w:val="005A6E74"/>
    <w:rsid w:val="005B6A37"/>
    <w:rsid w:val="005C0993"/>
    <w:rsid w:val="005C2A53"/>
    <w:rsid w:val="005C580D"/>
    <w:rsid w:val="005C6F5F"/>
    <w:rsid w:val="005D001F"/>
    <w:rsid w:val="005D2E7C"/>
    <w:rsid w:val="005D3D76"/>
    <w:rsid w:val="005D591A"/>
    <w:rsid w:val="005E1784"/>
    <w:rsid w:val="005E3B79"/>
    <w:rsid w:val="005E52BE"/>
    <w:rsid w:val="005E5E0E"/>
    <w:rsid w:val="005F0196"/>
    <w:rsid w:val="005F55DE"/>
    <w:rsid w:val="00600632"/>
    <w:rsid w:val="006012DC"/>
    <w:rsid w:val="006019C3"/>
    <w:rsid w:val="006026DA"/>
    <w:rsid w:val="00603CD6"/>
    <w:rsid w:val="0061327D"/>
    <w:rsid w:val="00625192"/>
    <w:rsid w:val="006271A5"/>
    <w:rsid w:val="006441E7"/>
    <w:rsid w:val="00647812"/>
    <w:rsid w:val="00652C1E"/>
    <w:rsid w:val="00662E25"/>
    <w:rsid w:val="00671A64"/>
    <w:rsid w:val="00675C89"/>
    <w:rsid w:val="00685368"/>
    <w:rsid w:val="006874AD"/>
    <w:rsid w:val="00692C0D"/>
    <w:rsid w:val="006A3262"/>
    <w:rsid w:val="006A70C9"/>
    <w:rsid w:val="006B129A"/>
    <w:rsid w:val="006B4BC9"/>
    <w:rsid w:val="006C0B96"/>
    <w:rsid w:val="006C4626"/>
    <w:rsid w:val="006D6A5D"/>
    <w:rsid w:val="006E0293"/>
    <w:rsid w:val="006E119C"/>
    <w:rsid w:val="006E5A8D"/>
    <w:rsid w:val="006F4480"/>
    <w:rsid w:val="006F4B50"/>
    <w:rsid w:val="006F4FF9"/>
    <w:rsid w:val="00705C78"/>
    <w:rsid w:val="00707666"/>
    <w:rsid w:val="0071650B"/>
    <w:rsid w:val="00716824"/>
    <w:rsid w:val="00720775"/>
    <w:rsid w:val="00720EC4"/>
    <w:rsid w:val="00723A9E"/>
    <w:rsid w:val="007261FE"/>
    <w:rsid w:val="007339F4"/>
    <w:rsid w:val="007354C3"/>
    <w:rsid w:val="007432F6"/>
    <w:rsid w:val="00745F30"/>
    <w:rsid w:val="00775B53"/>
    <w:rsid w:val="00776603"/>
    <w:rsid w:val="007810CC"/>
    <w:rsid w:val="00783287"/>
    <w:rsid w:val="00787761"/>
    <w:rsid w:val="0079195D"/>
    <w:rsid w:val="00793A5E"/>
    <w:rsid w:val="00794F7D"/>
    <w:rsid w:val="007A33FF"/>
    <w:rsid w:val="007B699A"/>
    <w:rsid w:val="007C17A7"/>
    <w:rsid w:val="007C289C"/>
    <w:rsid w:val="007C38F8"/>
    <w:rsid w:val="007C44C7"/>
    <w:rsid w:val="007C59C2"/>
    <w:rsid w:val="007D5AE7"/>
    <w:rsid w:val="007D6E75"/>
    <w:rsid w:val="007E33FE"/>
    <w:rsid w:val="007F1711"/>
    <w:rsid w:val="007F4561"/>
    <w:rsid w:val="00800873"/>
    <w:rsid w:val="00802598"/>
    <w:rsid w:val="00804C06"/>
    <w:rsid w:val="008111D2"/>
    <w:rsid w:val="00814B4F"/>
    <w:rsid w:val="008160BC"/>
    <w:rsid w:val="0082166D"/>
    <w:rsid w:val="00830B61"/>
    <w:rsid w:val="00831098"/>
    <w:rsid w:val="008347CE"/>
    <w:rsid w:val="00836E8F"/>
    <w:rsid w:val="00864B7D"/>
    <w:rsid w:val="00871DDD"/>
    <w:rsid w:val="00873459"/>
    <w:rsid w:val="00875EAB"/>
    <w:rsid w:val="00883964"/>
    <w:rsid w:val="00883C90"/>
    <w:rsid w:val="008856AD"/>
    <w:rsid w:val="00887340"/>
    <w:rsid w:val="0088756F"/>
    <w:rsid w:val="00887655"/>
    <w:rsid w:val="00894B1C"/>
    <w:rsid w:val="008A6A5B"/>
    <w:rsid w:val="008B237E"/>
    <w:rsid w:val="008C11BC"/>
    <w:rsid w:val="008D52D1"/>
    <w:rsid w:val="008E6143"/>
    <w:rsid w:val="008F1F2A"/>
    <w:rsid w:val="008F2964"/>
    <w:rsid w:val="008F2AED"/>
    <w:rsid w:val="008F6CFF"/>
    <w:rsid w:val="009004E1"/>
    <w:rsid w:val="00913103"/>
    <w:rsid w:val="00927E20"/>
    <w:rsid w:val="00934D01"/>
    <w:rsid w:val="00935926"/>
    <w:rsid w:val="00937670"/>
    <w:rsid w:val="00937DA9"/>
    <w:rsid w:val="009412EA"/>
    <w:rsid w:val="00945324"/>
    <w:rsid w:val="0095297C"/>
    <w:rsid w:val="0096398E"/>
    <w:rsid w:val="00971168"/>
    <w:rsid w:val="00971B4D"/>
    <w:rsid w:val="00972757"/>
    <w:rsid w:val="00973DF6"/>
    <w:rsid w:val="0097680A"/>
    <w:rsid w:val="009903AB"/>
    <w:rsid w:val="009A4C60"/>
    <w:rsid w:val="009B19E8"/>
    <w:rsid w:val="009B34E4"/>
    <w:rsid w:val="009B4D97"/>
    <w:rsid w:val="009C2F36"/>
    <w:rsid w:val="009D41A2"/>
    <w:rsid w:val="009D5C54"/>
    <w:rsid w:val="009E3FAC"/>
    <w:rsid w:val="009E5FDA"/>
    <w:rsid w:val="009F0B31"/>
    <w:rsid w:val="009F5290"/>
    <w:rsid w:val="00A022AA"/>
    <w:rsid w:val="00A11CAA"/>
    <w:rsid w:val="00A138F7"/>
    <w:rsid w:val="00A17B40"/>
    <w:rsid w:val="00A22871"/>
    <w:rsid w:val="00A228F9"/>
    <w:rsid w:val="00A23A56"/>
    <w:rsid w:val="00A36161"/>
    <w:rsid w:val="00A3731A"/>
    <w:rsid w:val="00A61712"/>
    <w:rsid w:val="00A664AF"/>
    <w:rsid w:val="00A718B4"/>
    <w:rsid w:val="00A7430F"/>
    <w:rsid w:val="00A7640F"/>
    <w:rsid w:val="00A80DE4"/>
    <w:rsid w:val="00A8218F"/>
    <w:rsid w:val="00A826FF"/>
    <w:rsid w:val="00A96B72"/>
    <w:rsid w:val="00A97DF4"/>
    <w:rsid w:val="00AA37EC"/>
    <w:rsid w:val="00AB01BC"/>
    <w:rsid w:val="00AB1068"/>
    <w:rsid w:val="00AB5834"/>
    <w:rsid w:val="00AB6870"/>
    <w:rsid w:val="00AC6293"/>
    <w:rsid w:val="00AD56AE"/>
    <w:rsid w:val="00AE1BD8"/>
    <w:rsid w:val="00AE4202"/>
    <w:rsid w:val="00AE6C34"/>
    <w:rsid w:val="00B054E0"/>
    <w:rsid w:val="00B07DD4"/>
    <w:rsid w:val="00B14C24"/>
    <w:rsid w:val="00B151B4"/>
    <w:rsid w:val="00B177F8"/>
    <w:rsid w:val="00B216A3"/>
    <w:rsid w:val="00B25E73"/>
    <w:rsid w:val="00B346F3"/>
    <w:rsid w:val="00B359C7"/>
    <w:rsid w:val="00B41D1E"/>
    <w:rsid w:val="00B43BBD"/>
    <w:rsid w:val="00B452D0"/>
    <w:rsid w:val="00B532F3"/>
    <w:rsid w:val="00B57301"/>
    <w:rsid w:val="00B64B74"/>
    <w:rsid w:val="00B6655F"/>
    <w:rsid w:val="00B70856"/>
    <w:rsid w:val="00B73AB4"/>
    <w:rsid w:val="00B80E0B"/>
    <w:rsid w:val="00B83B99"/>
    <w:rsid w:val="00B868F1"/>
    <w:rsid w:val="00B87957"/>
    <w:rsid w:val="00B968F9"/>
    <w:rsid w:val="00BA1F23"/>
    <w:rsid w:val="00BA2D5F"/>
    <w:rsid w:val="00BA6A7A"/>
    <w:rsid w:val="00BB109D"/>
    <w:rsid w:val="00BC223D"/>
    <w:rsid w:val="00BC6049"/>
    <w:rsid w:val="00BC6348"/>
    <w:rsid w:val="00BD32FA"/>
    <w:rsid w:val="00BD43FE"/>
    <w:rsid w:val="00BE214A"/>
    <w:rsid w:val="00BE317E"/>
    <w:rsid w:val="00BF5E1B"/>
    <w:rsid w:val="00C03677"/>
    <w:rsid w:val="00C1640E"/>
    <w:rsid w:val="00C166C7"/>
    <w:rsid w:val="00C2142E"/>
    <w:rsid w:val="00C24D58"/>
    <w:rsid w:val="00C35444"/>
    <w:rsid w:val="00C40CA2"/>
    <w:rsid w:val="00C429DD"/>
    <w:rsid w:val="00C560F1"/>
    <w:rsid w:val="00C72248"/>
    <w:rsid w:val="00C733F0"/>
    <w:rsid w:val="00C75207"/>
    <w:rsid w:val="00C7643E"/>
    <w:rsid w:val="00C81640"/>
    <w:rsid w:val="00C865EB"/>
    <w:rsid w:val="00C94C5E"/>
    <w:rsid w:val="00CA20AF"/>
    <w:rsid w:val="00CA414B"/>
    <w:rsid w:val="00CA76C5"/>
    <w:rsid w:val="00CB241F"/>
    <w:rsid w:val="00CB646D"/>
    <w:rsid w:val="00CD264E"/>
    <w:rsid w:val="00CD678C"/>
    <w:rsid w:val="00CE16A1"/>
    <w:rsid w:val="00CF6C1D"/>
    <w:rsid w:val="00D12ABB"/>
    <w:rsid w:val="00D204ED"/>
    <w:rsid w:val="00D2055F"/>
    <w:rsid w:val="00D215B4"/>
    <w:rsid w:val="00D27CFE"/>
    <w:rsid w:val="00D3113F"/>
    <w:rsid w:val="00D370AA"/>
    <w:rsid w:val="00D42E31"/>
    <w:rsid w:val="00D46C38"/>
    <w:rsid w:val="00D4736A"/>
    <w:rsid w:val="00D51534"/>
    <w:rsid w:val="00D56BFB"/>
    <w:rsid w:val="00D67194"/>
    <w:rsid w:val="00D6726A"/>
    <w:rsid w:val="00D7573C"/>
    <w:rsid w:val="00D7736A"/>
    <w:rsid w:val="00D81221"/>
    <w:rsid w:val="00D81A60"/>
    <w:rsid w:val="00D85D0D"/>
    <w:rsid w:val="00D87EA7"/>
    <w:rsid w:val="00D90536"/>
    <w:rsid w:val="00D93A16"/>
    <w:rsid w:val="00D97C87"/>
    <w:rsid w:val="00DA288B"/>
    <w:rsid w:val="00DA50E9"/>
    <w:rsid w:val="00DB2683"/>
    <w:rsid w:val="00DB3B3E"/>
    <w:rsid w:val="00DB6239"/>
    <w:rsid w:val="00DC0A47"/>
    <w:rsid w:val="00DC12A9"/>
    <w:rsid w:val="00DC6D20"/>
    <w:rsid w:val="00DD21E2"/>
    <w:rsid w:val="00DD72EB"/>
    <w:rsid w:val="00DD794C"/>
    <w:rsid w:val="00DE4D48"/>
    <w:rsid w:val="00DE5913"/>
    <w:rsid w:val="00DE5AD9"/>
    <w:rsid w:val="00DF098E"/>
    <w:rsid w:val="00DF288D"/>
    <w:rsid w:val="00DF4805"/>
    <w:rsid w:val="00E02C5E"/>
    <w:rsid w:val="00E1426C"/>
    <w:rsid w:val="00E2273A"/>
    <w:rsid w:val="00E2454A"/>
    <w:rsid w:val="00E262ED"/>
    <w:rsid w:val="00E36A37"/>
    <w:rsid w:val="00E47804"/>
    <w:rsid w:val="00E514EB"/>
    <w:rsid w:val="00E52646"/>
    <w:rsid w:val="00E52A42"/>
    <w:rsid w:val="00E55F0D"/>
    <w:rsid w:val="00E6476D"/>
    <w:rsid w:val="00E6593D"/>
    <w:rsid w:val="00E7091A"/>
    <w:rsid w:val="00E70E72"/>
    <w:rsid w:val="00E718CD"/>
    <w:rsid w:val="00E749C1"/>
    <w:rsid w:val="00E77226"/>
    <w:rsid w:val="00E77988"/>
    <w:rsid w:val="00E81337"/>
    <w:rsid w:val="00E83C3E"/>
    <w:rsid w:val="00E93F3F"/>
    <w:rsid w:val="00E979AA"/>
    <w:rsid w:val="00EA0E58"/>
    <w:rsid w:val="00EA49F6"/>
    <w:rsid w:val="00EA4AB1"/>
    <w:rsid w:val="00EA786E"/>
    <w:rsid w:val="00EB1115"/>
    <w:rsid w:val="00EB464F"/>
    <w:rsid w:val="00EB656F"/>
    <w:rsid w:val="00EC16E0"/>
    <w:rsid w:val="00EC4885"/>
    <w:rsid w:val="00EC6CE7"/>
    <w:rsid w:val="00EE1172"/>
    <w:rsid w:val="00EE1AD1"/>
    <w:rsid w:val="00EE290C"/>
    <w:rsid w:val="00EF3A74"/>
    <w:rsid w:val="00F00D97"/>
    <w:rsid w:val="00F01A21"/>
    <w:rsid w:val="00F01D40"/>
    <w:rsid w:val="00F04F6D"/>
    <w:rsid w:val="00F138EC"/>
    <w:rsid w:val="00F20023"/>
    <w:rsid w:val="00F20CA9"/>
    <w:rsid w:val="00F303E4"/>
    <w:rsid w:val="00F334ED"/>
    <w:rsid w:val="00F34393"/>
    <w:rsid w:val="00F411DB"/>
    <w:rsid w:val="00F54374"/>
    <w:rsid w:val="00F546BB"/>
    <w:rsid w:val="00F54B5C"/>
    <w:rsid w:val="00F560C4"/>
    <w:rsid w:val="00F775E7"/>
    <w:rsid w:val="00F809BE"/>
    <w:rsid w:val="00F90996"/>
    <w:rsid w:val="00FA0B90"/>
    <w:rsid w:val="00FA2E33"/>
    <w:rsid w:val="00FB088A"/>
    <w:rsid w:val="00FB3D21"/>
    <w:rsid w:val="00FB4F53"/>
    <w:rsid w:val="00FC35AD"/>
    <w:rsid w:val="00FC4138"/>
    <w:rsid w:val="00FC76B5"/>
    <w:rsid w:val="00FD14F2"/>
    <w:rsid w:val="00FD2380"/>
    <w:rsid w:val="00FE0A6B"/>
    <w:rsid w:val="00FE644A"/>
    <w:rsid w:val="00FE6B17"/>
    <w:rsid w:val="00FF11C2"/>
    <w:rsid w:val="00FF4D66"/>
    <w:rsid w:val="026EF9BF"/>
    <w:rsid w:val="0386FD25"/>
    <w:rsid w:val="061AD444"/>
    <w:rsid w:val="0B6FE071"/>
    <w:rsid w:val="0E5AEB20"/>
    <w:rsid w:val="155A1112"/>
    <w:rsid w:val="1A77D02D"/>
    <w:rsid w:val="20B2840B"/>
    <w:rsid w:val="2298D260"/>
    <w:rsid w:val="22B3F108"/>
    <w:rsid w:val="23046DE9"/>
    <w:rsid w:val="2352374B"/>
    <w:rsid w:val="26C95C69"/>
    <w:rsid w:val="291C85D6"/>
    <w:rsid w:val="2C6FB2C4"/>
    <w:rsid w:val="398EF154"/>
    <w:rsid w:val="3DFBC753"/>
    <w:rsid w:val="3FA3D675"/>
    <w:rsid w:val="438423B2"/>
    <w:rsid w:val="45F17A28"/>
    <w:rsid w:val="4D6E9874"/>
    <w:rsid w:val="4F51F275"/>
    <w:rsid w:val="53402F9A"/>
    <w:rsid w:val="6011085B"/>
    <w:rsid w:val="6170EF7A"/>
    <w:rsid w:val="65B40587"/>
    <w:rsid w:val="71FB744A"/>
    <w:rsid w:val="744B78AC"/>
    <w:rsid w:val="7991983D"/>
    <w:rsid w:val="7C6D8B6F"/>
    <w:rsid w:val="7C93C671"/>
    <w:rsid w:val="7DF8BBE1"/>
    <w:rsid w:val="7E68B8A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B419AE3"/>
  <w15:docId w15:val="{0FF9A35F-2881-4ACB-B107-281FCA3AD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6E75"/>
    <w:rPr>
      <w:rFonts w:ascii="Times New Roman" w:hAnsi="Times New Roman"/>
      <w:sz w:val="24"/>
    </w:rPr>
  </w:style>
  <w:style w:type="paragraph" w:styleId="Heading1">
    <w:name w:val="heading 1"/>
    <w:basedOn w:val="Normal"/>
    <w:next w:val="Normal"/>
    <w:link w:val="Heading1Char"/>
    <w:autoRedefine/>
    <w:uiPriority w:val="9"/>
    <w:qFormat/>
    <w:rsid w:val="00D97C87"/>
    <w:pPr>
      <w:keepNext/>
      <w:keepLines/>
      <w:spacing w:after="0" w:line="240" w:lineRule="auto"/>
      <w:outlineLvl w:val="0"/>
    </w:pPr>
    <w:rPr>
      <w:rFonts w:eastAsiaTheme="majorEastAsia" w:cstheme="majorBidi"/>
      <w:b/>
      <w:bCs/>
      <w:color w:val="000000" w:themeColor="text1"/>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7C87"/>
    <w:rPr>
      <w:rFonts w:ascii="Times New Roman" w:hAnsi="Times New Roman" w:eastAsiaTheme="majorEastAsia" w:cstheme="majorBidi"/>
      <w:b/>
      <w:bCs/>
      <w:color w:val="000000" w:themeColor="text1"/>
      <w:sz w:val="24"/>
      <w:szCs w:val="28"/>
    </w:rPr>
  </w:style>
  <w:style w:type="paragraph" w:styleId="ListParagraph">
    <w:name w:val="List Paragraph"/>
    <w:basedOn w:val="Normal"/>
    <w:uiPriority w:val="34"/>
    <w:qFormat/>
    <w:rsid w:val="006026DA"/>
    <w:pPr>
      <w:ind w:left="720"/>
      <w:contextualSpacing/>
    </w:pPr>
    <w:rPr>
      <w:rFonts w:ascii="Calibri" w:eastAsia="Calibri" w:hAnsi="Calibri" w:cs="Times New Roman"/>
      <w:sz w:val="22"/>
    </w:rPr>
  </w:style>
  <w:style w:type="table" w:styleId="TableGrid">
    <w:name w:val="Table Grid"/>
    <w:basedOn w:val="TableNormal"/>
    <w:uiPriority w:val="59"/>
    <w:rsid w:val="006026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11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1D2"/>
    <w:rPr>
      <w:rFonts w:ascii="Times New Roman" w:hAnsi="Times New Roman"/>
      <w:sz w:val="24"/>
    </w:rPr>
  </w:style>
  <w:style w:type="paragraph" w:styleId="Footer">
    <w:name w:val="footer"/>
    <w:basedOn w:val="Normal"/>
    <w:link w:val="FooterChar"/>
    <w:uiPriority w:val="99"/>
    <w:unhideWhenUsed/>
    <w:rsid w:val="008111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11D2"/>
    <w:rPr>
      <w:rFonts w:ascii="Times New Roman" w:hAnsi="Times New Roman"/>
      <w:sz w:val="24"/>
    </w:rPr>
  </w:style>
  <w:style w:type="paragraph" w:styleId="TOCHeading">
    <w:name w:val="TOC Heading"/>
    <w:basedOn w:val="Heading1"/>
    <w:next w:val="Normal"/>
    <w:uiPriority w:val="39"/>
    <w:semiHidden/>
    <w:unhideWhenUsed/>
    <w:qFormat/>
    <w:rsid w:val="00270765"/>
    <w:pPr>
      <w:spacing w:before="480" w:line="276" w:lineRule="auto"/>
      <w:outlineLvl w:val="9"/>
    </w:pPr>
    <w:rPr>
      <w:rFonts w:asciiTheme="majorHAnsi" w:hAnsiTheme="majorHAnsi"/>
      <w:color w:val="365F91" w:themeColor="accent1" w:themeShade="BF"/>
      <w:sz w:val="28"/>
    </w:rPr>
  </w:style>
  <w:style w:type="character" w:styleId="Hyperlink">
    <w:name w:val="Hyperlink"/>
    <w:basedOn w:val="DefaultParagraphFont"/>
    <w:uiPriority w:val="99"/>
    <w:unhideWhenUsed/>
    <w:rsid w:val="00CB241F"/>
    <w:rPr>
      <w:color w:val="0000FF" w:themeColor="hyperlink"/>
      <w:u w:val="single"/>
    </w:rPr>
  </w:style>
  <w:style w:type="paragraph" w:customStyle="1" w:styleId="Default">
    <w:name w:val="Default"/>
    <w:rsid w:val="00F5437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FootnoteReference">
    <w:name w:val="footnote reference"/>
    <w:uiPriority w:val="99"/>
    <w:semiHidden/>
    <w:unhideWhenUsed/>
    <w:rsid w:val="00F54374"/>
    <w:rPr>
      <w:vertAlign w:val="superscript"/>
    </w:rPr>
  </w:style>
  <w:style w:type="paragraph" w:styleId="FootnoteText">
    <w:name w:val="footnote text"/>
    <w:basedOn w:val="Normal"/>
    <w:link w:val="FootnoteTextChar"/>
    <w:uiPriority w:val="99"/>
    <w:semiHidden/>
    <w:unhideWhenUsed/>
    <w:rsid w:val="00F54374"/>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F54374"/>
    <w:rPr>
      <w:sz w:val="20"/>
      <w:szCs w:val="20"/>
    </w:rPr>
  </w:style>
  <w:style w:type="character" w:styleId="FollowedHyperlink">
    <w:name w:val="FollowedHyperlink"/>
    <w:basedOn w:val="DefaultParagraphFont"/>
    <w:uiPriority w:val="99"/>
    <w:semiHidden/>
    <w:unhideWhenUsed/>
    <w:rsid w:val="00F54374"/>
    <w:rPr>
      <w:color w:val="800080" w:themeColor="followedHyperlink"/>
      <w:u w:val="single"/>
    </w:rPr>
  </w:style>
  <w:style w:type="paragraph" w:styleId="BalloonText">
    <w:name w:val="Balloon Text"/>
    <w:basedOn w:val="Normal"/>
    <w:link w:val="BalloonTextChar"/>
    <w:uiPriority w:val="99"/>
    <w:semiHidden/>
    <w:unhideWhenUsed/>
    <w:rsid w:val="00EB11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1115"/>
    <w:rPr>
      <w:rFonts w:ascii="Tahoma" w:hAnsi="Tahoma" w:cs="Tahoma"/>
      <w:sz w:val="16"/>
      <w:szCs w:val="16"/>
    </w:rPr>
  </w:style>
  <w:style w:type="character" w:styleId="CommentReference">
    <w:name w:val="annotation reference"/>
    <w:uiPriority w:val="99"/>
    <w:rsid w:val="001C2748"/>
    <w:rPr>
      <w:sz w:val="16"/>
      <w:szCs w:val="16"/>
    </w:rPr>
  </w:style>
  <w:style w:type="paragraph" w:styleId="CommentText">
    <w:name w:val="annotation text"/>
    <w:basedOn w:val="Normal"/>
    <w:link w:val="CommentTextChar"/>
    <w:uiPriority w:val="99"/>
    <w:rsid w:val="001C2748"/>
    <w:pPr>
      <w:widowControl w:val="0"/>
      <w:autoSpaceDE w:val="0"/>
      <w:autoSpaceDN w:val="0"/>
      <w:adjustRightInd w:val="0"/>
      <w:spacing w:after="0" w:line="240" w:lineRule="auto"/>
    </w:pPr>
    <w:rPr>
      <w:rFonts w:ascii="Baskerville Old Face" w:eastAsia="Times New Roman" w:hAnsi="Baskerville Old Face" w:cs="Times New Roman"/>
      <w:sz w:val="20"/>
      <w:szCs w:val="20"/>
    </w:rPr>
  </w:style>
  <w:style w:type="character" w:customStyle="1" w:styleId="CommentTextChar">
    <w:name w:val="Comment Text Char"/>
    <w:basedOn w:val="DefaultParagraphFont"/>
    <w:link w:val="CommentText"/>
    <w:uiPriority w:val="99"/>
    <w:rsid w:val="001C2748"/>
    <w:rPr>
      <w:rFonts w:ascii="Baskerville Old Face" w:eastAsia="Times New Roman" w:hAnsi="Baskerville Old Face" w:cs="Times New Roman"/>
      <w:sz w:val="20"/>
      <w:szCs w:val="20"/>
    </w:rPr>
  </w:style>
  <w:style w:type="paragraph" w:styleId="Revision">
    <w:name w:val="Revision"/>
    <w:hidden/>
    <w:uiPriority w:val="99"/>
    <w:semiHidden/>
    <w:rsid w:val="00B07DD4"/>
    <w:pPr>
      <w:spacing w:after="0" w:line="240" w:lineRule="auto"/>
    </w:pPr>
    <w:rPr>
      <w:rFonts w:ascii="Times New Roman" w:hAnsi="Times New Roman"/>
      <w:sz w:val="24"/>
    </w:rPr>
  </w:style>
  <w:style w:type="paragraph" w:styleId="CommentSubject">
    <w:name w:val="annotation subject"/>
    <w:basedOn w:val="CommentText"/>
    <w:next w:val="CommentText"/>
    <w:link w:val="CommentSubjectChar"/>
    <w:uiPriority w:val="99"/>
    <w:semiHidden/>
    <w:unhideWhenUsed/>
    <w:rsid w:val="005D2E7C"/>
    <w:pPr>
      <w:widowControl/>
      <w:autoSpaceDE/>
      <w:autoSpaceDN/>
      <w:adjustRightInd/>
      <w:spacing w:after="200"/>
    </w:pPr>
    <w:rPr>
      <w:rFonts w:ascii="Times New Roman" w:hAnsi="Times New Roman" w:eastAsiaTheme="minorHAnsi" w:cstheme="minorBidi"/>
      <w:b/>
      <w:bCs/>
    </w:rPr>
  </w:style>
  <w:style w:type="character" w:customStyle="1" w:styleId="CommentSubjectChar">
    <w:name w:val="Comment Subject Char"/>
    <w:basedOn w:val="CommentTextChar"/>
    <w:link w:val="CommentSubject"/>
    <w:uiPriority w:val="99"/>
    <w:semiHidden/>
    <w:rsid w:val="005D2E7C"/>
    <w:rPr>
      <w:rFonts w:ascii="Times New Roman" w:eastAsia="Times New Roman" w:hAnsi="Times New Roman" w:cs="Times New Roman"/>
      <w:b/>
      <w:bCs/>
      <w:sz w:val="20"/>
      <w:szCs w:val="20"/>
    </w:rPr>
  </w:style>
  <w:style w:type="character" w:styleId="Mention">
    <w:name w:val="Mention"/>
    <w:basedOn w:val="DefaultParagraphFont"/>
    <w:uiPriority w:val="99"/>
    <w:unhideWhenUsed/>
    <w:rsid w:val="006E119C"/>
    <w:rPr>
      <w:color w:val="2B579A"/>
      <w:shd w:val="clear" w:color="auto" w:fill="E1DFDD"/>
    </w:rPr>
  </w:style>
  <w:style w:type="character" w:styleId="UnresolvedMention">
    <w:name w:val="Unresolved Mention"/>
    <w:basedOn w:val="DefaultParagraphFont"/>
    <w:uiPriority w:val="99"/>
    <w:semiHidden/>
    <w:unhideWhenUsed/>
    <w:rsid w:val="00662E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bls.gov/oes/current/oes_nat.htm"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5a44311-ed64-4a72-909f-c9dc6973bde2" xsi:nil="true"/>
    <lcf76f155ced4ddcb4097134ff3c332f xmlns="2803b9ac-9652-41d3-bbcd-ff66074c68c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45B44B8BE159459C6AA65B934F911D" ma:contentTypeVersion="15" ma:contentTypeDescription="Create a new document." ma:contentTypeScope="" ma:versionID="d4d7dfefeff90ce305432301990e39de">
  <xsd:schema xmlns:xsd="http://www.w3.org/2001/XMLSchema" xmlns:xs="http://www.w3.org/2001/XMLSchema" xmlns:p="http://schemas.microsoft.com/office/2006/metadata/properties" xmlns:ns2="2803b9ac-9652-41d3-bbcd-ff66074c68cc" xmlns:ns3="4f629286-daeb-49d7-963c-90cbc9b13222" xmlns:ns4="b5a44311-ed64-4a72-909f-c9dc6973bde2" targetNamespace="http://schemas.microsoft.com/office/2006/metadata/properties" ma:root="true" ma:fieldsID="210f30fbb129b9dda849d3711189c364" ns2:_="" ns3:_="" ns4:_="">
    <xsd:import namespace="2803b9ac-9652-41d3-bbcd-ff66074c68cc"/>
    <xsd:import namespace="4f629286-daeb-49d7-963c-90cbc9b13222"/>
    <xsd:import namespace="b5a44311-ed64-4a72-909f-c9dc6973bde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3b9ac-9652-41d3-bbcd-ff66074c68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ea1a638-fe8f-4e55-a8a3-ec1a1fdf419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629286-daeb-49d7-963c-90cbc9b1322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a44311-ed64-4a72-909f-c9dc6973bde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9b2a56-fa51-4cf5-9481-084354076cf9}" ma:internalName="TaxCatchAll" ma:showField="CatchAllData" ma:web="4f629286-daeb-49d7-963c-90cbc9b132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02CB55-D013-48E1-8B37-925912A9D49D}">
  <ds:schemaRefs>
    <ds:schemaRef ds:uri="http://schemas.microsoft.com/office/2006/metadata/properties"/>
    <ds:schemaRef ds:uri="http://schemas.microsoft.com/office/infopath/2007/PartnerControls"/>
    <ds:schemaRef ds:uri="b5a44311-ed64-4a72-909f-c9dc6973bde2"/>
    <ds:schemaRef ds:uri="2803b9ac-9652-41d3-bbcd-ff66074c68cc"/>
  </ds:schemaRefs>
</ds:datastoreItem>
</file>

<file path=customXml/itemProps2.xml><?xml version="1.0" encoding="utf-8"?>
<ds:datastoreItem xmlns:ds="http://schemas.openxmlformats.org/officeDocument/2006/customXml" ds:itemID="{8AA1BF10-E7FB-4548-BCF4-967F27C2AAD1}">
  <ds:schemaRefs>
    <ds:schemaRef ds:uri="http://schemas.microsoft.com/sharepoint/v3/contenttype/forms"/>
  </ds:schemaRefs>
</ds:datastoreItem>
</file>

<file path=customXml/itemProps3.xml><?xml version="1.0" encoding="utf-8"?>
<ds:datastoreItem xmlns:ds="http://schemas.openxmlformats.org/officeDocument/2006/customXml" ds:itemID="{AB3D3B42-D0AC-4514-919E-FE7B44F7A9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03b9ac-9652-41d3-bbcd-ff66074c68cc"/>
    <ds:schemaRef ds:uri="4f629286-daeb-49d7-963c-90cbc9b13222"/>
    <ds:schemaRef ds:uri="b5a44311-ed64-4a72-909f-c9dc6973bd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2060</Words>
  <Characters>11294</Characters>
  <Application>Microsoft Office Word</Application>
  <DocSecurity>0</DocSecurity>
  <Lines>364</Lines>
  <Paragraphs>205</Paragraphs>
  <ScaleCrop>false</ScaleCrop>
  <Company>CMS</Company>
  <LinksUpToDate>false</LinksUpToDate>
  <CharactersWithSpaces>13149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CMS</dc:creator>
  <cp:lastModifiedBy>Bryman, Mitch (CMS/OSORA)</cp:lastModifiedBy>
  <cp:revision>7</cp:revision>
  <cp:lastPrinted>2017-10-24T03:02:00Z</cp:lastPrinted>
  <dcterms:created xsi:type="dcterms:W3CDTF">2026-08-12T01:30:00Z</dcterms:created>
  <dcterms:modified xsi:type="dcterms:W3CDTF">2026-08-12T01:41:00Z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0x010100B145B44B8BE159459C6AA65B934F911D</vt:lpwstr>
  </property>
  <property fmtid="{D5CDD505-2E9C-101B-9397-08002B2CF9AE}" pid="3" name="docLang">
    <vt:lpwstr>en</vt:lpwstr>
  </property>
  <property fmtid="{D5CDD505-2E9C-101B-9397-08002B2CF9AE}" pid="4" name="MediaServiceImageTags">
    <vt:lpwstr/>
  </property>
  <property fmtid="{D5CDD505-2E9C-101B-9397-08002B2CF9AE}" pid="5" name="_dlc_DocId">
    <vt:lpwstr>Y7UX5VDTXFPE-1751212923-11803</vt:lpwstr>
  </property>
  <property fmtid="{D5CDD505-2E9C-101B-9397-08002B2CF9AE}" pid="6" name="_dlc_DocIdItemGuid">
    <vt:lpwstr>1f7bee99-0217-41a1-ad50-f9e0a1671df3</vt:lpwstr>
  </property>
  <property fmtid="{D5CDD505-2E9C-101B-9397-08002B2CF9AE}" pid="7" name="_dlc_DocIdUrl">
    <vt:lpwstr>https://cmsgovonline.sharepoint.com/sites/CMS-SharePoint-CMCS-CAHPG-Collaborations/_layouts/15/DocIdRedir.aspx?ID=Y7UX5VDTXFPE-1751212923-11803, Y7UX5VDTXFPE-1751212923-11803</vt:lpwstr>
  </property>
  <property fmtid="{D5CDD505-2E9C-101B-9397-08002B2CF9AE}" pid="8" name="_NewReviewCycle">
    <vt:lpwstr/>
  </property>
</Properties>
</file>