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27196" w:rsidRPr="00184C2F" w:rsidP="00027196" w14:paraId="7A35277A" w14:textId="2D80F7AD">
      <w:pPr>
        <w:pStyle w:val="Title"/>
        <w:ind w:right="58"/>
        <w:jc w:val="center"/>
        <w:rPr>
          <w:rFonts w:ascii="Times New Roman" w:eastAsia="Times New Roman" w:hAnsi="Times New Roman" w:cs="Times New Roman"/>
          <w:b/>
          <w:sz w:val="24"/>
          <w:szCs w:val="24"/>
        </w:rPr>
      </w:pPr>
      <w:bookmarkStart w:id="0" w:name="Supporting_Statement_for_Agent/Broker_Co"/>
      <w:bookmarkStart w:id="1" w:name="A._Background"/>
      <w:bookmarkStart w:id="2" w:name="B._Justification"/>
      <w:bookmarkStart w:id="3" w:name="1._Need_and_Legal_Basis"/>
      <w:bookmarkEnd w:id="0"/>
      <w:bookmarkEnd w:id="1"/>
      <w:bookmarkEnd w:id="2"/>
      <w:bookmarkEnd w:id="3"/>
      <w:r w:rsidRPr="00184C2F">
        <w:rPr>
          <w:rFonts w:ascii="Times New Roman" w:eastAsia="Times New Roman" w:hAnsi="Times New Roman" w:cs="Times New Roman"/>
          <w:b/>
          <w:sz w:val="24"/>
          <w:szCs w:val="24"/>
        </w:rPr>
        <w:t>Supporting</w:t>
      </w:r>
      <w:r w:rsidRPr="00184C2F">
        <w:rPr>
          <w:rFonts w:ascii="Times New Roman" w:eastAsia="Times New Roman" w:hAnsi="Times New Roman" w:cs="Times New Roman"/>
          <w:b/>
          <w:spacing w:val="-7"/>
          <w:sz w:val="24"/>
          <w:szCs w:val="24"/>
        </w:rPr>
        <w:t xml:space="preserve"> </w:t>
      </w:r>
      <w:r w:rsidRPr="00184C2F">
        <w:rPr>
          <w:rFonts w:ascii="Times New Roman" w:eastAsia="Times New Roman" w:hAnsi="Times New Roman" w:cs="Times New Roman"/>
          <w:b/>
          <w:sz w:val="24"/>
          <w:szCs w:val="24"/>
        </w:rPr>
        <w:t>Statement</w:t>
      </w:r>
      <w:r w:rsidRPr="00184C2F">
        <w:rPr>
          <w:rFonts w:ascii="Times New Roman" w:eastAsia="Times New Roman" w:hAnsi="Times New Roman" w:cs="Times New Roman"/>
          <w:b/>
          <w:spacing w:val="-8"/>
          <w:sz w:val="24"/>
          <w:szCs w:val="24"/>
        </w:rPr>
        <w:t xml:space="preserve"> </w:t>
      </w:r>
      <w:r w:rsidR="00666EEB">
        <w:rPr>
          <w:rFonts w:ascii="Times New Roman" w:eastAsia="Times New Roman" w:hAnsi="Times New Roman" w:cs="Times New Roman"/>
          <w:b/>
          <w:spacing w:val="-8"/>
          <w:sz w:val="24"/>
          <w:szCs w:val="24"/>
        </w:rPr>
        <w:t xml:space="preserve">Part A </w:t>
      </w:r>
      <w:r w:rsidRPr="00184C2F">
        <w:rPr>
          <w:rFonts w:ascii="Times New Roman" w:eastAsia="Times New Roman" w:hAnsi="Times New Roman" w:cs="Times New Roman"/>
          <w:b/>
          <w:sz w:val="24"/>
          <w:szCs w:val="24"/>
        </w:rPr>
        <w:t>for</w:t>
      </w:r>
      <w:r w:rsidRPr="00184C2F">
        <w:rPr>
          <w:rFonts w:ascii="Times New Roman" w:eastAsia="Times New Roman" w:hAnsi="Times New Roman" w:cs="Times New Roman"/>
          <w:b/>
          <w:spacing w:val="-7"/>
          <w:sz w:val="24"/>
          <w:szCs w:val="24"/>
        </w:rPr>
        <w:t xml:space="preserve"> </w:t>
      </w:r>
      <w:r w:rsidRPr="00184C2F">
        <w:rPr>
          <w:rFonts w:ascii="Times New Roman" w:eastAsia="Times New Roman" w:hAnsi="Times New Roman" w:cs="Times New Roman"/>
          <w:b/>
          <w:sz w:val="24"/>
          <w:szCs w:val="24"/>
        </w:rPr>
        <w:t xml:space="preserve">QHP Issuers Best Practices </w:t>
      </w:r>
      <w:r w:rsidRPr="00184C2F" w:rsidR="7FBA4C53">
        <w:rPr>
          <w:rFonts w:ascii="Times New Roman" w:eastAsia="Times New Roman" w:hAnsi="Times New Roman" w:cs="Times New Roman"/>
          <w:b/>
          <w:sz w:val="24"/>
          <w:szCs w:val="24"/>
        </w:rPr>
        <w:t>for Plan Year 2027 Agent and Broker Oversight</w:t>
      </w:r>
      <w:r w:rsidRPr="00184C2F">
        <w:rPr>
          <w:rFonts w:ascii="Times New Roman" w:eastAsia="Times New Roman" w:hAnsi="Times New Roman" w:cs="Times New Roman"/>
          <w:b/>
          <w:sz w:val="24"/>
          <w:szCs w:val="24"/>
        </w:rPr>
        <w:t xml:space="preserve"> </w:t>
      </w:r>
    </w:p>
    <w:p w:rsidR="00027196" w:rsidRPr="00184C2F" w:rsidP="00027196" w14:paraId="64387458" w14:textId="48A092C9">
      <w:pPr>
        <w:pStyle w:val="Title"/>
        <w:ind w:right="58"/>
        <w:jc w:val="center"/>
        <w:rPr>
          <w:rFonts w:ascii="Times New Roman" w:eastAsia="Times New Roman" w:hAnsi="Times New Roman" w:cs="Times New Roman"/>
          <w:b/>
          <w:sz w:val="24"/>
          <w:szCs w:val="24"/>
        </w:rPr>
      </w:pPr>
      <w:r w:rsidRPr="00184C2F">
        <w:rPr>
          <w:rFonts w:ascii="Times New Roman" w:eastAsia="Times New Roman" w:hAnsi="Times New Roman" w:cs="Times New Roman"/>
          <w:b/>
          <w:sz w:val="24"/>
          <w:szCs w:val="24"/>
        </w:rPr>
        <w:t>(CMS-</w:t>
      </w:r>
      <w:r w:rsidRPr="00184C2F" w:rsidR="60B6DFD7">
        <w:rPr>
          <w:rFonts w:ascii="Times New Roman" w:eastAsia="Times New Roman" w:hAnsi="Times New Roman" w:cs="Times New Roman"/>
          <w:b/>
          <w:sz w:val="24"/>
          <w:szCs w:val="24"/>
        </w:rPr>
        <w:t>10993</w:t>
      </w:r>
      <w:r w:rsidRPr="00184C2F">
        <w:rPr>
          <w:rFonts w:ascii="Times New Roman" w:eastAsia="Times New Roman" w:hAnsi="Times New Roman" w:cs="Times New Roman"/>
          <w:b/>
          <w:sz w:val="24"/>
          <w:szCs w:val="24"/>
        </w:rPr>
        <w:t>/OMB control number: 0938-</w:t>
      </w:r>
      <w:r w:rsidRPr="00184C2F" w:rsidR="60B6DFD7">
        <w:rPr>
          <w:rFonts w:ascii="Times New Roman" w:eastAsia="Times New Roman" w:hAnsi="Times New Roman" w:cs="Times New Roman"/>
          <w:b/>
          <w:sz w:val="24"/>
          <w:szCs w:val="24"/>
        </w:rPr>
        <w:t>NEW</w:t>
      </w:r>
      <w:r w:rsidRPr="00184C2F">
        <w:rPr>
          <w:rFonts w:ascii="Times New Roman" w:eastAsia="Times New Roman" w:hAnsi="Times New Roman" w:cs="Times New Roman"/>
          <w:b/>
          <w:sz w:val="24"/>
          <w:szCs w:val="24"/>
        </w:rPr>
        <w:t>)</w:t>
      </w:r>
    </w:p>
    <w:p w:rsidR="00027196" w:rsidRPr="00184C2F" w:rsidP="5BF2E3C5" w14:paraId="3F777BA0" w14:textId="77777777">
      <w:pPr>
        <w:pStyle w:val="Heading1"/>
        <w:numPr>
          <w:ilvl w:val="0"/>
          <w:numId w:val="1"/>
        </w:numPr>
        <w:tabs>
          <w:tab w:val="num" w:pos="360"/>
          <w:tab w:val="left" w:pos="551"/>
        </w:tabs>
        <w:ind w:left="0" w:right="60" w:firstLine="0"/>
        <w:rPr>
          <w:rFonts w:ascii="Times New Roman" w:eastAsia="Times New Roman" w:hAnsi="Times New Roman" w:cs="Times New Roman"/>
          <w:b/>
          <w:bCs/>
          <w:color w:val="auto"/>
          <w:sz w:val="24"/>
          <w:szCs w:val="24"/>
        </w:rPr>
      </w:pPr>
      <w:r w:rsidRPr="5BF2E3C5">
        <w:rPr>
          <w:rFonts w:ascii="Times New Roman" w:eastAsia="Times New Roman" w:hAnsi="Times New Roman" w:cs="Times New Roman"/>
          <w:b/>
          <w:bCs/>
          <w:color w:val="auto"/>
          <w:spacing w:val="-2"/>
          <w:sz w:val="24"/>
          <w:szCs w:val="24"/>
        </w:rPr>
        <w:t>Background</w:t>
      </w:r>
    </w:p>
    <w:p w:rsidR="00027196" w:rsidRPr="00C00059" w:rsidP="00027196" w14:paraId="65CE733A" w14:textId="77777777">
      <w:pPr>
        <w:pStyle w:val="BodyText"/>
        <w:ind w:right="60"/>
        <w:rPr>
          <w:b/>
        </w:rPr>
      </w:pPr>
    </w:p>
    <w:p w:rsidR="00027196" w:rsidRPr="00C00059" w:rsidP="00027196" w14:paraId="3C276A90" w14:textId="77777777">
      <w:pPr>
        <w:pStyle w:val="BodyText"/>
        <w:ind w:right="60"/>
      </w:pPr>
      <w:r w:rsidRPr="00C00059">
        <w:t>The Patient Protection and Affordable Care Act, Public Law 111-148, enacted on March 23, 2010,</w:t>
      </w:r>
      <w:r w:rsidRPr="00C00059">
        <w:rPr>
          <w:spacing w:val="-1"/>
        </w:rPr>
        <w:t xml:space="preserve"> </w:t>
      </w:r>
      <w:r w:rsidRPr="00C00059">
        <w:t>and</w:t>
      </w:r>
      <w:r w:rsidRPr="00C00059">
        <w:rPr>
          <w:spacing w:val="-1"/>
        </w:rPr>
        <w:t xml:space="preserve"> </w:t>
      </w:r>
      <w:r w:rsidRPr="00C00059">
        <w:t>the</w:t>
      </w:r>
      <w:r w:rsidRPr="00C00059">
        <w:rPr>
          <w:spacing w:val="-4"/>
        </w:rPr>
        <w:t xml:space="preserve"> </w:t>
      </w:r>
      <w:r w:rsidRPr="00C00059">
        <w:t>Health</w:t>
      </w:r>
      <w:r w:rsidRPr="00C00059">
        <w:rPr>
          <w:spacing w:val="-1"/>
        </w:rPr>
        <w:t xml:space="preserve"> </w:t>
      </w:r>
      <w:r w:rsidRPr="00C00059">
        <w:t>Care</w:t>
      </w:r>
      <w:r w:rsidRPr="00C00059">
        <w:rPr>
          <w:spacing w:val="-4"/>
        </w:rPr>
        <w:t xml:space="preserve"> </w:t>
      </w:r>
      <w:r w:rsidRPr="00C00059">
        <w:t>and</w:t>
      </w:r>
      <w:r w:rsidRPr="00C00059">
        <w:rPr>
          <w:spacing w:val="-1"/>
        </w:rPr>
        <w:t xml:space="preserve"> </w:t>
      </w:r>
      <w:r w:rsidRPr="00C00059">
        <w:t>Education</w:t>
      </w:r>
      <w:r w:rsidRPr="00C00059">
        <w:rPr>
          <w:spacing w:val="-5"/>
        </w:rPr>
        <w:t xml:space="preserve"> </w:t>
      </w:r>
      <w:r w:rsidRPr="00C00059">
        <w:t>Reconciliation</w:t>
      </w:r>
      <w:r w:rsidRPr="00C00059">
        <w:rPr>
          <w:spacing w:val="-1"/>
        </w:rPr>
        <w:t xml:space="preserve"> </w:t>
      </w:r>
      <w:r w:rsidRPr="00C00059">
        <w:t>Act,</w:t>
      </w:r>
      <w:r w:rsidRPr="00C00059">
        <w:rPr>
          <w:spacing w:val="-2"/>
        </w:rPr>
        <w:t xml:space="preserve"> </w:t>
      </w:r>
      <w:r w:rsidRPr="00C00059">
        <w:t>Public</w:t>
      </w:r>
      <w:r w:rsidRPr="00C00059">
        <w:rPr>
          <w:spacing w:val="-4"/>
        </w:rPr>
        <w:t xml:space="preserve"> </w:t>
      </w:r>
      <w:r w:rsidRPr="00C00059">
        <w:t>Law</w:t>
      </w:r>
      <w:r w:rsidRPr="00C00059">
        <w:rPr>
          <w:spacing w:val="-2"/>
        </w:rPr>
        <w:t xml:space="preserve"> </w:t>
      </w:r>
      <w:r w:rsidRPr="00C00059">
        <w:t>111-152,</w:t>
      </w:r>
      <w:r w:rsidRPr="00C00059">
        <w:rPr>
          <w:spacing w:val="-5"/>
        </w:rPr>
        <w:t xml:space="preserve"> </w:t>
      </w:r>
      <w:r w:rsidRPr="00C00059">
        <w:t>enacted</w:t>
      </w:r>
      <w:r w:rsidRPr="00C00059">
        <w:rPr>
          <w:spacing w:val="-1"/>
        </w:rPr>
        <w:t xml:space="preserve"> </w:t>
      </w:r>
      <w:r w:rsidRPr="00C00059">
        <w:t>on March</w:t>
      </w:r>
      <w:r w:rsidRPr="00C00059">
        <w:rPr>
          <w:spacing w:val="-6"/>
        </w:rPr>
        <w:t xml:space="preserve"> </w:t>
      </w:r>
      <w:r w:rsidRPr="00C00059">
        <w:t>30,</w:t>
      </w:r>
      <w:r w:rsidRPr="00C00059">
        <w:rPr>
          <w:spacing w:val="-5"/>
        </w:rPr>
        <w:t xml:space="preserve"> </w:t>
      </w:r>
      <w:r w:rsidRPr="00C00059">
        <w:t>2010</w:t>
      </w:r>
      <w:r w:rsidRPr="00C00059">
        <w:rPr>
          <w:spacing w:val="-5"/>
        </w:rPr>
        <w:t xml:space="preserve"> </w:t>
      </w:r>
      <w:r w:rsidRPr="00C00059">
        <w:t>(collectively,</w:t>
      </w:r>
      <w:r w:rsidRPr="00C00059">
        <w:rPr>
          <w:spacing w:val="-5"/>
        </w:rPr>
        <w:t xml:space="preserve"> </w:t>
      </w:r>
      <w:r w:rsidRPr="00C00059">
        <w:t>“Affordable</w:t>
      </w:r>
      <w:r w:rsidRPr="00C00059">
        <w:rPr>
          <w:spacing w:val="-8"/>
        </w:rPr>
        <w:t xml:space="preserve"> </w:t>
      </w:r>
      <w:r w:rsidRPr="00C00059">
        <w:t>Care</w:t>
      </w:r>
      <w:r w:rsidRPr="00C00059">
        <w:rPr>
          <w:spacing w:val="-4"/>
        </w:rPr>
        <w:t xml:space="preserve"> </w:t>
      </w:r>
      <w:r w:rsidRPr="00C00059">
        <w:t>Act”),</w:t>
      </w:r>
      <w:r w:rsidRPr="00C00059">
        <w:rPr>
          <w:spacing w:val="-10"/>
        </w:rPr>
        <w:t xml:space="preserve"> </w:t>
      </w:r>
      <w:r w:rsidRPr="00C00059">
        <w:t>expanded</w:t>
      </w:r>
      <w:r w:rsidRPr="00C00059">
        <w:rPr>
          <w:spacing w:val="-10"/>
        </w:rPr>
        <w:t xml:space="preserve"> </w:t>
      </w:r>
      <w:r w:rsidRPr="00C00059">
        <w:t>access</w:t>
      </w:r>
      <w:r w:rsidRPr="00C00059">
        <w:rPr>
          <w:spacing w:val="-7"/>
        </w:rPr>
        <w:t xml:space="preserve"> </w:t>
      </w:r>
      <w:r w:rsidRPr="00C00059">
        <w:t>to</w:t>
      </w:r>
      <w:r w:rsidRPr="00C00059">
        <w:rPr>
          <w:spacing w:val="-5"/>
        </w:rPr>
        <w:t xml:space="preserve"> </w:t>
      </w:r>
      <w:r w:rsidRPr="00C00059">
        <w:t>health</w:t>
      </w:r>
      <w:r w:rsidRPr="00C00059">
        <w:rPr>
          <w:spacing w:val="-5"/>
        </w:rPr>
        <w:t xml:space="preserve"> </w:t>
      </w:r>
      <w:r w:rsidRPr="00C00059">
        <w:t>insurance</w:t>
      </w:r>
      <w:r w:rsidRPr="00C00059">
        <w:rPr>
          <w:spacing w:val="-4"/>
        </w:rPr>
        <w:t xml:space="preserve"> </w:t>
      </w:r>
      <w:r w:rsidRPr="00C00059">
        <w:t>for individuals and employees of small businesses through the establishment of new Affordable Insurance Exchanges (Exchanges), also called Marketplaces. The Exchanges, which became operational on January 1, 2014, enhance competition in the health insurance market, expand access</w:t>
      </w:r>
      <w:r w:rsidRPr="00C00059">
        <w:rPr>
          <w:spacing w:val="-4"/>
        </w:rPr>
        <w:t xml:space="preserve"> </w:t>
      </w:r>
      <w:r w:rsidRPr="00C00059">
        <w:t>to</w:t>
      </w:r>
      <w:r w:rsidRPr="00C00059">
        <w:rPr>
          <w:spacing w:val="-6"/>
        </w:rPr>
        <w:t xml:space="preserve"> </w:t>
      </w:r>
      <w:r w:rsidRPr="00C00059">
        <w:t>affordable</w:t>
      </w:r>
      <w:r w:rsidRPr="00C00059">
        <w:rPr>
          <w:spacing w:val="-1"/>
        </w:rPr>
        <w:t xml:space="preserve"> </w:t>
      </w:r>
      <w:r w:rsidRPr="00C00059">
        <w:t>health</w:t>
      </w:r>
      <w:r w:rsidRPr="00C00059">
        <w:rPr>
          <w:spacing w:val="-2"/>
        </w:rPr>
        <w:t xml:space="preserve"> </w:t>
      </w:r>
      <w:r w:rsidRPr="00C00059">
        <w:t>insurance</w:t>
      </w:r>
      <w:r w:rsidRPr="00C00059">
        <w:rPr>
          <w:spacing w:val="-1"/>
        </w:rPr>
        <w:t xml:space="preserve"> </w:t>
      </w:r>
      <w:r w:rsidRPr="00C00059">
        <w:t>for</w:t>
      </w:r>
      <w:r w:rsidRPr="00C00059">
        <w:rPr>
          <w:spacing w:val="-7"/>
        </w:rPr>
        <w:t xml:space="preserve"> </w:t>
      </w:r>
      <w:r w:rsidRPr="00C00059">
        <w:t>millions</w:t>
      </w:r>
      <w:r w:rsidRPr="00C00059">
        <w:rPr>
          <w:spacing w:val="-4"/>
        </w:rPr>
        <w:t xml:space="preserve"> </w:t>
      </w:r>
      <w:r w:rsidRPr="00C00059">
        <w:t>of</w:t>
      </w:r>
      <w:r w:rsidRPr="00C00059">
        <w:rPr>
          <w:spacing w:val="-7"/>
        </w:rPr>
        <w:t xml:space="preserve"> </w:t>
      </w:r>
      <w:r w:rsidRPr="00C00059">
        <w:t>Americans,</w:t>
      </w:r>
      <w:r w:rsidRPr="00C00059">
        <w:rPr>
          <w:spacing w:val="-2"/>
        </w:rPr>
        <w:t xml:space="preserve"> </w:t>
      </w:r>
      <w:r w:rsidRPr="00C00059">
        <w:t>and</w:t>
      </w:r>
      <w:r w:rsidRPr="00C00059">
        <w:rPr>
          <w:spacing w:val="-2"/>
        </w:rPr>
        <w:t xml:space="preserve"> </w:t>
      </w:r>
      <w:r w:rsidRPr="00C00059">
        <w:t>provide</w:t>
      </w:r>
      <w:r w:rsidRPr="00C00059">
        <w:rPr>
          <w:spacing w:val="-5"/>
        </w:rPr>
        <w:t xml:space="preserve"> </w:t>
      </w:r>
      <w:r w:rsidRPr="00C00059">
        <w:t>consumers</w:t>
      </w:r>
      <w:r w:rsidRPr="00C00059">
        <w:rPr>
          <w:spacing w:val="-4"/>
        </w:rPr>
        <w:t xml:space="preserve"> </w:t>
      </w:r>
      <w:r w:rsidRPr="00C00059">
        <w:t>with</w:t>
      </w:r>
      <w:r w:rsidRPr="00C00059">
        <w:rPr>
          <w:spacing w:val="-7"/>
        </w:rPr>
        <w:t xml:space="preserve"> </w:t>
      </w:r>
      <w:r w:rsidRPr="00C00059">
        <w:t>a place to easily compare and shop for health insurance coverage.</w:t>
      </w:r>
    </w:p>
    <w:p w:rsidR="00027196" w:rsidRPr="00C00059" w:rsidP="00027196" w14:paraId="4F2FDEC4" w14:textId="77777777">
      <w:pPr>
        <w:pStyle w:val="BodyText"/>
        <w:ind w:right="60"/>
      </w:pPr>
    </w:p>
    <w:p w:rsidR="00027196" w:rsidRPr="00C00059" w:rsidP="00027196" w14:paraId="7A81F7D7" w14:textId="3A63CC13">
      <w:pPr>
        <w:pStyle w:val="BodyText"/>
        <w:ind w:right="60"/>
      </w:pPr>
      <w:r w:rsidRPr="00C00059">
        <w:t xml:space="preserve">Section 1312(e) of the Affordable Care Act directs the Secretary of the Department of Health and Human Services (HHS) to establish procedures under which a </w:t>
      </w:r>
      <w:r w:rsidR="00A7105D">
        <w:t>S</w:t>
      </w:r>
      <w:r w:rsidRPr="00C00059">
        <w:t xml:space="preserve">tate may permit agents and brokers </w:t>
      </w:r>
      <w:r w:rsidR="0087784E">
        <w:t xml:space="preserve">(ABs) </w:t>
      </w:r>
      <w:r w:rsidRPr="00C00059">
        <w:t>to enroll qualified</w:t>
      </w:r>
      <w:r w:rsidR="6F164606">
        <w:t xml:space="preserve"> individuals and employers into qualified health plans (QHPs) offered through an Exchange and to enable these ABs to assist individuals in applying for advance payments of the premium tax credit and cost-sharing reductions.</w:t>
      </w:r>
    </w:p>
    <w:p w:rsidR="00027196" w:rsidRPr="00C00059" w:rsidP="00027196" w14:paraId="670DEFDC" w14:textId="77777777">
      <w:pPr>
        <w:pStyle w:val="BodyText"/>
        <w:ind w:right="60"/>
      </w:pPr>
    </w:p>
    <w:p w:rsidR="00027196" w:rsidP="00027196" w14:paraId="1CB7B566" w14:textId="7B7FE060">
      <w:pPr>
        <w:pStyle w:val="BodyText"/>
        <w:ind w:right="60"/>
      </w:pPr>
      <w:r>
        <w:t xml:space="preserve">The </w:t>
      </w:r>
      <w:r w:rsidR="5D1ACD4A">
        <w:t>authority</w:t>
      </w:r>
      <w:r>
        <w:t xml:space="preserve"> to collect </w:t>
      </w:r>
      <w:r w:rsidR="1EFC6873">
        <w:t xml:space="preserve">information from QHP issuers pertaining to ABs and associated enrollments </w:t>
      </w:r>
      <w:r>
        <w:t xml:space="preserve">comes from 45 CFR § 155.220(c)(5), which states that “HHS or its designee may periodically monitor and audit an agent, broker, or web-broker under this subpart to assess its compliance with the applicable requirements of this section.” Further authority for collection of this information comes from §§ 156.705 and 156.715, which describe QHP issuer maintenance of records and compliance review requirements. </w:t>
      </w:r>
      <w:r w:rsidR="00A7105D">
        <w:t xml:space="preserve">This is a voluntary information collection. </w:t>
      </w:r>
      <w:r>
        <w:t xml:space="preserve">This information collection specifically details what information </w:t>
      </w:r>
      <w:r w:rsidR="00A7105D">
        <w:t>CMS recommend</w:t>
      </w:r>
      <w:r w:rsidR="00865688">
        <w:t>s</w:t>
      </w:r>
      <w:r w:rsidR="00A7105D">
        <w:t xml:space="preserve"> that </w:t>
      </w:r>
      <w:r>
        <w:t xml:space="preserve">QHP issuers </w:t>
      </w:r>
      <w:r w:rsidR="00A7105D">
        <w:t xml:space="preserve">should collect and maintain on a regular basis. </w:t>
      </w:r>
    </w:p>
    <w:p w:rsidR="00027196" w:rsidRPr="00C00059" w:rsidP="00027196" w14:paraId="07F80844" w14:textId="77777777">
      <w:pPr>
        <w:pStyle w:val="BodyText"/>
        <w:ind w:right="60"/>
      </w:pPr>
    </w:p>
    <w:p w:rsidR="005F5D46" w:rsidRPr="005F5D46" w:rsidP="005F5D46" w14:paraId="2561A6D7" w14:textId="0631A9E2">
      <w:pPr>
        <w:rPr>
          <w:rFonts w:eastAsia="Times New Roman"/>
        </w:rPr>
      </w:pPr>
      <w:r w:rsidRPr="47826249">
        <w:rPr>
          <w:rFonts w:eastAsia="Times New Roman"/>
        </w:rPr>
        <w:t xml:space="preserve">In the </w:t>
      </w:r>
      <w:r w:rsidR="00CD2FCB">
        <w:rPr>
          <w:rFonts w:eastAsia="Times New Roman"/>
        </w:rPr>
        <w:t>guidance titled</w:t>
      </w:r>
      <w:r w:rsidRPr="47826249">
        <w:rPr>
          <w:rFonts w:eastAsia="Times New Roman"/>
        </w:rPr>
        <w:t xml:space="preserve"> </w:t>
      </w:r>
      <w:r w:rsidR="00CD2FCB">
        <w:rPr>
          <w:rFonts w:eastAsia="Times New Roman"/>
        </w:rPr>
        <w:t>“</w:t>
      </w:r>
      <w:r w:rsidRPr="316C8F25">
        <w:rPr>
          <w:rFonts w:eastAsia="Times New Roman"/>
          <w:b/>
          <w:bCs/>
          <w:i/>
          <w:iCs/>
          <w:sz w:val="22"/>
        </w:rPr>
        <w:t>Best Practices for Issuers for Plan Year 2027 Agent and Broker Oversight</w:t>
      </w:r>
      <w:r w:rsidRPr="00AB6605" w:rsidR="002E6AB3">
        <w:rPr>
          <w:rFonts w:eastAsia="Times New Roman"/>
          <w:b/>
          <w:bCs/>
          <w:sz w:val="22"/>
        </w:rPr>
        <w:t>,</w:t>
      </w:r>
      <w:r w:rsidRPr="00AB6605" w:rsidR="00CD2FCB">
        <w:rPr>
          <w:rFonts w:eastAsia="Times New Roman"/>
          <w:b/>
          <w:bCs/>
          <w:sz w:val="22"/>
        </w:rPr>
        <w:t>”</w:t>
      </w:r>
      <w:r>
        <w:rPr>
          <w:rStyle w:val="FootnoteReference"/>
          <w:rFonts w:eastAsia="Times New Roman"/>
        </w:rPr>
        <w:footnoteReference w:id="2"/>
      </w:r>
      <w:r w:rsidRPr="60B6DFD7" w:rsidR="60B6DFD7">
        <w:rPr>
          <w:rFonts w:eastAsia="Times New Roman"/>
        </w:rPr>
        <w:t xml:space="preserve"> </w:t>
      </w:r>
      <w:r w:rsidRPr="20710EB3">
        <w:rPr>
          <w:rFonts w:eastAsia="Times New Roman"/>
        </w:rPr>
        <w:t xml:space="preserve">we recommended that QHP issuers </w:t>
      </w:r>
      <w:r w:rsidRPr="47826249">
        <w:rPr>
          <w:rFonts w:eastAsia="Times New Roman"/>
        </w:rPr>
        <w:t xml:space="preserve">on the </w:t>
      </w:r>
      <w:r w:rsidR="00CC7A27">
        <w:rPr>
          <w:rFonts w:eastAsia="Times New Roman"/>
        </w:rPr>
        <w:t>Federally-facilitated Exchange</w:t>
      </w:r>
      <w:r w:rsidR="00565FB6">
        <w:rPr>
          <w:rFonts w:eastAsia="Times New Roman"/>
        </w:rPr>
        <w:t>,</w:t>
      </w:r>
      <w:r w:rsidRPr="56874052" w:rsidR="56874052">
        <w:rPr>
          <w:rFonts w:eastAsia="Times New Roman"/>
        </w:rPr>
        <w:t xml:space="preserve"> including on State-based Exchanges using the Federal platform (SBE-FP</w:t>
      </w:r>
      <w:r w:rsidR="00CC7A27">
        <w:rPr>
          <w:rFonts w:eastAsia="Times New Roman"/>
        </w:rPr>
        <w:t>s</w:t>
      </w:r>
      <w:r w:rsidRPr="56874052" w:rsidR="56874052">
        <w:rPr>
          <w:rFonts w:eastAsia="Times New Roman"/>
        </w:rPr>
        <w:t>)</w:t>
      </w:r>
      <w:r w:rsidR="00565FB6">
        <w:rPr>
          <w:rFonts w:eastAsia="Times New Roman"/>
        </w:rPr>
        <w:t xml:space="preserve"> (</w:t>
      </w:r>
      <w:r w:rsidR="00CC7A27">
        <w:rPr>
          <w:rFonts w:eastAsia="Times New Roman"/>
        </w:rPr>
        <w:t xml:space="preserve">collectively </w:t>
      </w:r>
      <w:r w:rsidRPr="56874052" w:rsidR="56874052">
        <w:rPr>
          <w:rFonts w:eastAsia="Times New Roman"/>
        </w:rPr>
        <w:t xml:space="preserve">referred to </w:t>
      </w:r>
      <w:r w:rsidR="007D0391">
        <w:rPr>
          <w:rFonts w:eastAsia="Times New Roman"/>
        </w:rPr>
        <w:t xml:space="preserve">as </w:t>
      </w:r>
      <w:r w:rsidR="00CC7A27">
        <w:rPr>
          <w:rFonts w:eastAsia="Times New Roman"/>
        </w:rPr>
        <w:t xml:space="preserve">the </w:t>
      </w:r>
      <w:r w:rsidRPr="56874052" w:rsidR="56874052">
        <w:rPr>
          <w:rFonts w:eastAsia="Times New Roman"/>
        </w:rPr>
        <w:t>FFE</w:t>
      </w:r>
      <w:r w:rsidR="00565FB6">
        <w:rPr>
          <w:rFonts w:eastAsia="Times New Roman"/>
        </w:rPr>
        <w:t>),</w:t>
      </w:r>
      <w:r w:rsidRPr="47826249">
        <w:rPr>
          <w:rFonts w:eastAsia="Times New Roman"/>
        </w:rPr>
        <w:t xml:space="preserve"> direct their appointed ABs to record their calls with consumers starting this</w:t>
      </w:r>
      <w:r w:rsidRPr="316C8F25" w:rsidR="316C8F25">
        <w:rPr>
          <w:rFonts w:eastAsia="Times New Roman"/>
        </w:rPr>
        <w:t xml:space="preserve"> </w:t>
      </w:r>
      <w:r w:rsidR="00AD0B76">
        <w:rPr>
          <w:rFonts w:eastAsia="Times New Roman"/>
        </w:rPr>
        <w:t>Plan Year 2027 (PY 2027)</w:t>
      </w:r>
      <w:r w:rsidRPr="316C8F25" w:rsidR="316C8F25">
        <w:rPr>
          <w:rFonts w:eastAsia="Times New Roman"/>
        </w:rPr>
        <w:t xml:space="preserve"> </w:t>
      </w:r>
      <w:r w:rsidRPr="6F164606" w:rsidR="6F164606">
        <w:rPr>
          <w:rFonts w:eastAsia="Times New Roman"/>
        </w:rPr>
        <w:t xml:space="preserve">Open Enrollment and continuing </w:t>
      </w:r>
      <w:r w:rsidRPr="316C8F25" w:rsidR="316C8F25">
        <w:rPr>
          <w:rFonts w:eastAsia="Times New Roman"/>
        </w:rPr>
        <w:t xml:space="preserve">throughout </w:t>
      </w:r>
      <w:r w:rsidR="00AD0B76">
        <w:rPr>
          <w:rFonts w:eastAsia="Times New Roman"/>
        </w:rPr>
        <w:t>PY 2027</w:t>
      </w:r>
      <w:r w:rsidRPr="316C8F25" w:rsidR="316C8F25">
        <w:rPr>
          <w:rFonts w:eastAsia="Times New Roman"/>
        </w:rPr>
        <w:t xml:space="preserve">. Specifically, the Centers for Medicare &amp; Medicaid Services (CMS) recommends QHP </w:t>
      </w:r>
      <w:r w:rsidRPr="316C8F25" w:rsidR="316C8F25">
        <w:rPr>
          <w:rFonts w:eastAsia="Times New Roman"/>
        </w:rPr>
        <w:t>issuers direct</w:t>
      </w:r>
      <w:r w:rsidRPr="316C8F25" w:rsidR="316C8F25">
        <w:rPr>
          <w:rFonts w:eastAsia="Times New Roman"/>
        </w:rPr>
        <w:t xml:space="preserve"> appointed ABs </w:t>
      </w:r>
      <w:r w:rsidR="005810D5">
        <w:rPr>
          <w:rFonts w:eastAsia="Times New Roman"/>
        </w:rPr>
        <w:t xml:space="preserve">to </w:t>
      </w:r>
      <w:r w:rsidRPr="316C8F25" w:rsidR="316C8F25">
        <w:rPr>
          <w:rFonts w:eastAsia="Times New Roman"/>
        </w:rPr>
        <w:t>maintain their recordings</w:t>
      </w:r>
      <w:r w:rsidR="00C664E4">
        <w:rPr>
          <w:rFonts w:eastAsia="Times New Roman"/>
        </w:rPr>
        <w:t xml:space="preserve"> for 10 years</w:t>
      </w:r>
      <w:r w:rsidRPr="316C8F25" w:rsidR="316C8F25">
        <w:rPr>
          <w:rFonts w:eastAsia="Times New Roman"/>
        </w:rPr>
        <w:t xml:space="preserve"> in a form and manner that can be provided to the issuer or CMS upon request. </w:t>
      </w:r>
    </w:p>
    <w:p w:rsidR="00CF2B48" w:rsidP="005F5D46" w14:paraId="5A213F57" w14:textId="77777777">
      <w:pPr>
        <w:contextualSpacing/>
        <w:rPr>
          <w:rFonts w:eastAsia="Times New Roman"/>
        </w:rPr>
      </w:pPr>
    </w:p>
    <w:p w:rsidR="008A5BA6" w:rsidP="7C4F8D03" w14:paraId="4488C535" w14:textId="3A4F026B">
      <w:pPr>
        <w:rPr>
          <w:rFonts w:eastAsia="Times New Roman"/>
        </w:rPr>
      </w:pPr>
      <w:r w:rsidRPr="35DC0B07">
        <w:rPr>
          <w:rFonts w:eastAsia="Times New Roman"/>
        </w:rPr>
        <w:t>We believe this aligns QHP issuer enrollment interaction recording with other CMS programs, such as Medicare Advantage, and existing AB requirements. We estimate there would be minimal costs and time associated with this recommendation</w:t>
      </w:r>
      <w:r w:rsidR="00865688">
        <w:rPr>
          <w:rFonts w:eastAsia="Times New Roman"/>
        </w:rPr>
        <w:t>,</w:t>
      </w:r>
      <w:r w:rsidRPr="35DC0B07">
        <w:rPr>
          <w:rFonts w:eastAsia="Times New Roman"/>
        </w:rPr>
        <w:t xml:space="preserve"> as ABs are already required to document and maintain eligibility application review documentation information and consumer consent documentation information under § 155.220(j)(2)(ii) and (iii). </w:t>
      </w:r>
      <w:r w:rsidR="001306BF">
        <w:rPr>
          <w:rFonts w:eastAsia="Times New Roman"/>
        </w:rPr>
        <w:t xml:space="preserve">However, we calculate the </w:t>
      </w:r>
      <w:r w:rsidR="001306BF">
        <w:rPr>
          <w:rFonts w:eastAsia="Times New Roman"/>
        </w:rPr>
        <w:t>submission of call recordings (e.g</w:t>
      </w:r>
      <w:r w:rsidRPr="41FE7D58" w:rsidR="41FE7D58">
        <w:rPr>
          <w:rFonts w:eastAsia="Times New Roman"/>
        </w:rPr>
        <w:t>.,</w:t>
      </w:r>
      <w:r w:rsidR="001306BF">
        <w:rPr>
          <w:rFonts w:eastAsia="Times New Roman"/>
        </w:rPr>
        <w:t xml:space="preserve"> audio files) to QHP issuers as well as annual cloud storage costs for ABs to maintain these files. </w:t>
      </w:r>
    </w:p>
    <w:p w:rsidR="60B6DFD7" w:rsidP="60B6DFD7" w14:paraId="513727B6" w14:textId="47A5AD60">
      <w:pPr>
        <w:contextualSpacing/>
        <w:rPr>
          <w:rFonts w:eastAsia="Times New Roman"/>
        </w:rPr>
      </w:pPr>
    </w:p>
    <w:p w:rsidR="20710EB3" w:rsidP="35DC0B07" w14:paraId="716F9139" w14:textId="13C615D5">
      <w:pPr>
        <w:contextualSpacing/>
        <w:rPr>
          <w:rFonts w:eastAsia="Times New Roman"/>
        </w:rPr>
      </w:pPr>
      <w:r w:rsidRPr="35DC0B07">
        <w:rPr>
          <w:rFonts w:eastAsia="Times New Roman"/>
        </w:rPr>
        <w:t xml:space="preserve">Also in the </w:t>
      </w:r>
      <w:r w:rsidR="00CD2FCB">
        <w:rPr>
          <w:rFonts w:eastAsia="Times New Roman"/>
        </w:rPr>
        <w:t>aforementioned guidance</w:t>
      </w:r>
      <w:r w:rsidRPr="35DC0B07">
        <w:rPr>
          <w:rFonts w:eastAsia="Times New Roman"/>
        </w:rPr>
        <w:t xml:space="preserve">, we recommended that QHP issuers on the FFE regularly evaluate their enrollment records for patterns that may indicate AB noncompliance or misconduct, including by investigating appointed ABs with disproportionately high rates of open Data Matching Issues (DMIs). Especially during Open Enrollment, QHP issuers </w:t>
      </w:r>
      <w:r w:rsidR="00A72265">
        <w:rPr>
          <w:rFonts w:eastAsia="Times New Roman"/>
        </w:rPr>
        <w:t>are encouraged</w:t>
      </w:r>
      <w:r w:rsidRPr="35DC0B07" w:rsidR="00A72265">
        <w:rPr>
          <w:rFonts w:eastAsia="Times New Roman"/>
        </w:rPr>
        <w:t xml:space="preserve"> </w:t>
      </w:r>
      <w:r w:rsidRPr="35DC0B07">
        <w:rPr>
          <w:rFonts w:eastAsia="Times New Roman"/>
        </w:rPr>
        <w:t xml:space="preserve">to frequently review, and initiate timely and appropriate action against, ABs associated with disproportionally high rates of enrollments with open DMIs. This could include suspending commission payments and terminating appointments for those ABs, when appropriate. </w:t>
      </w:r>
      <w:r w:rsidR="00CD2FCB">
        <w:rPr>
          <w:rFonts w:eastAsia="Times New Roman"/>
        </w:rPr>
        <w:t xml:space="preserve">It is also recommended that </w:t>
      </w:r>
      <w:r w:rsidRPr="35DC0B07">
        <w:rPr>
          <w:rFonts w:eastAsia="Times New Roman"/>
        </w:rPr>
        <w:t xml:space="preserve">QHP issuers report those results to CMS </w:t>
      </w:r>
      <w:r w:rsidRPr="35DC0B07">
        <w:rPr>
          <w:rFonts w:eastAsia="Times New Roman"/>
        </w:rPr>
        <w:t>on a monthly basis</w:t>
      </w:r>
      <w:r w:rsidRPr="35DC0B07">
        <w:rPr>
          <w:rFonts w:eastAsia="Times New Roman"/>
        </w:rPr>
        <w:t xml:space="preserve">. </w:t>
      </w:r>
      <w:r w:rsidR="00CD2FCB">
        <w:rPr>
          <w:rFonts w:eastAsia="Times New Roman"/>
        </w:rPr>
        <w:t xml:space="preserve">While the </w:t>
      </w:r>
      <w:r w:rsidR="00CD2FCB">
        <w:rPr>
          <w:rFonts w:eastAsia="Times New Roman"/>
        </w:rPr>
        <w:t>aforementioned guidance</w:t>
      </w:r>
      <w:r w:rsidR="00CD2FCB">
        <w:rPr>
          <w:rFonts w:eastAsia="Times New Roman"/>
        </w:rPr>
        <w:t xml:space="preserve"> </w:t>
      </w:r>
      <w:r w:rsidR="00865688">
        <w:rPr>
          <w:rFonts w:eastAsia="Times New Roman"/>
        </w:rPr>
        <w:t>indicated</w:t>
      </w:r>
      <w:r w:rsidR="00CD2FCB">
        <w:rPr>
          <w:rFonts w:eastAsia="Times New Roman"/>
        </w:rPr>
        <w:t xml:space="preserve"> that CMS would offer a standardized template for this voluntary reporting, no such template is being provided at this time. QHP issuers are encouraged to report these results </w:t>
      </w:r>
      <w:r w:rsidR="00A72265">
        <w:rPr>
          <w:rFonts w:eastAsia="Times New Roman"/>
        </w:rPr>
        <w:t xml:space="preserve">in </w:t>
      </w:r>
      <w:r w:rsidR="006E4BEC">
        <w:rPr>
          <w:rFonts w:eastAsia="Times New Roman"/>
        </w:rPr>
        <w:t>a</w:t>
      </w:r>
      <w:r w:rsidR="00A72265">
        <w:rPr>
          <w:rFonts w:eastAsia="Times New Roman"/>
        </w:rPr>
        <w:t xml:space="preserve"> </w:t>
      </w:r>
      <w:r w:rsidR="00A72265">
        <w:rPr>
          <w:rFonts w:eastAsia="Times New Roman"/>
        </w:rPr>
        <w:t>manner and form</w:t>
      </w:r>
      <w:r w:rsidR="00A72265">
        <w:rPr>
          <w:rFonts w:eastAsia="Times New Roman"/>
        </w:rPr>
        <w:t xml:space="preserve"> </w:t>
      </w:r>
      <w:r w:rsidR="006E4BEC">
        <w:rPr>
          <w:rFonts w:eastAsia="Times New Roman"/>
        </w:rPr>
        <w:t>that they deem</w:t>
      </w:r>
      <w:r w:rsidR="00A72265">
        <w:rPr>
          <w:rFonts w:eastAsia="Times New Roman"/>
        </w:rPr>
        <w:t xml:space="preserve"> most </w:t>
      </w:r>
      <w:r w:rsidR="006E4BEC">
        <w:rPr>
          <w:rFonts w:eastAsia="Times New Roman"/>
        </w:rPr>
        <w:t xml:space="preserve">accessible, low-burden, and </w:t>
      </w:r>
      <w:r w:rsidR="00A72265">
        <w:rPr>
          <w:rFonts w:eastAsia="Times New Roman"/>
        </w:rPr>
        <w:t>appropriate.</w:t>
      </w:r>
    </w:p>
    <w:p w:rsidR="003F1C94" w:rsidP="35DC0B07" w14:paraId="39E7E7C9" w14:textId="77777777">
      <w:pPr>
        <w:contextualSpacing/>
        <w:rPr>
          <w:rFonts w:eastAsia="Times New Roman"/>
        </w:rPr>
      </w:pPr>
    </w:p>
    <w:p w:rsidR="003F1C94" w:rsidP="35DC0B07" w14:paraId="282BA889" w14:textId="6F188425">
      <w:pPr>
        <w:contextualSpacing/>
        <w:rPr>
          <w:rFonts w:eastAsia="Times New Roman"/>
        </w:rPr>
      </w:pPr>
      <w:r>
        <w:rPr>
          <w:rFonts w:eastAsia="Times New Roman"/>
        </w:rPr>
        <w:t>This voluntary information collection covers:</w:t>
      </w:r>
    </w:p>
    <w:p w:rsidR="006A0825" w:rsidP="006A0825" w14:paraId="52398394" w14:textId="1BCF01CB">
      <w:pPr>
        <w:pStyle w:val="ListParagraph"/>
        <w:numPr>
          <w:ilvl w:val="0"/>
          <w:numId w:val="13"/>
        </w:numPr>
        <w:rPr>
          <w:rFonts w:eastAsia="Times New Roman"/>
        </w:rPr>
      </w:pPr>
      <w:r>
        <w:rPr>
          <w:rFonts w:eastAsia="Times New Roman"/>
        </w:rPr>
        <w:t xml:space="preserve">QHP issuers directing ABs to record all calls with </w:t>
      </w:r>
      <w:r w:rsidRPr="47826249">
        <w:rPr>
          <w:rFonts w:eastAsia="Times New Roman"/>
        </w:rPr>
        <w:t>consumers</w:t>
      </w:r>
      <w:r>
        <w:rPr>
          <w:rFonts w:eastAsia="Times New Roman"/>
        </w:rPr>
        <w:t xml:space="preserve">, retain these recordings for 10 years, and furnish these recordings upon request to the QHP issuer or CMS (to include revisions to contracts or other internal documents as necessary); </w:t>
      </w:r>
    </w:p>
    <w:p w:rsidR="00286FA3" w:rsidP="006A0825" w14:paraId="6DEF5719" w14:textId="2A53AFF1">
      <w:pPr>
        <w:pStyle w:val="ListParagraph"/>
        <w:numPr>
          <w:ilvl w:val="0"/>
          <w:numId w:val="13"/>
        </w:numPr>
        <w:rPr>
          <w:rFonts w:eastAsia="Times New Roman"/>
        </w:rPr>
      </w:pPr>
      <w:r>
        <w:rPr>
          <w:rFonts w:eastAsia="Times New Roman"/>
        </w:rPr>
        <w:t xml:space="preserve">ABs recording calls with consumers, retaining recordings for </w:t>
      </w:r>
      <w:r w:rsidR="00865688">
        <w:rPr>
          <w:rFonts w:eastAsia="Times New Roman"/>
        </w:rPr>
        <w:t>10</w:t>
      </w:r>
      <w:r>
        <w:rPr>
          <w:rFonts w:eastAsia="Times New Roman"/>
        </w:rPr>
        <w:t xml:space="preserve"> years, and furnishing the recordings upon request to QHP issuers or CMS;</w:t>
      </w:r>
    </w:p>
    <w:p w:rsidR="006A0825" w:rsidP="006A0825" w14:paraId="5E8C26EC" w14:textId="74F0A869">
      <w:pPr>
        <w:pStyle w:val="ListParagraph"/>
        <w:numPr>
          <w:ilvl w:val="0"/>
          <w:numId w:val="13"/>
        </w:numPr>
        <w:rPr>
          <w:rFonts w:eastAsia="Times New Roman"/>
        </w:rPr>
      </w:pPr>
      <w:r>
        <w:rPr>
          <w:rFonts w:eastAsia="Times New Roman"/>
        </w:rPr>
        <w:t>QHP issuers obtaining information regarding potential AB noncompliance or misconduct through systematic evaluation of enrollment records for patterns that may indicate such noncompliance or misconduct;</w:t>
      </w:r>
      <w:r w:rsidRPr="487E26D2" w:rsidR="487E26D2">
        <w:rPr>
          <w:rFonts w:eastAsia="Times New Roman"/>
        </w:rPr>
        <w:t xml:space="preserve"> and</w:t>
      </w:r>
    </w:p>
    <w:p w:rsidR="006A0825" w:rsidP="006A0825" w14:paraId="41BE2651" w14:textId="67916F57">
      <w:pPr>
        <w:pStyle w:val="ListParagraph"/>
        <w:numPr>
          <w:ilvl w:val="0"/>
          <w:numId w:val="13"/>
        </w:numPr>
        <w:rPr>
          <w:rFonts w:eastAsia="Times New Roman"/>
        </w:rPr>
      </w:pPr>
      <w:r>
        <w:rPr>
          <w:rFonts w:eastAsia="Times New Roman"/>
        </w:rPr>
        <w:t xml:space="preserve">QHP issuers reporting the finding of such systematic evaluations to CMS </w:t>
      </w:r>
      <w:r>
        <w:rPr>
          <w:rFonts w:eastAsia="Times New Roman"/>
        </w:rPr>
        <w:t>on a monthly basis</w:t>
      </w:r>
      <w:r w:rsidR="004854BC">
        <w:rPr>
          <w:rFonts w:eastAsia="Times New Roman"/>
        </w:rPr>
        <w:t>.</w:t>
      </w:r>
      <w:r>
        <w:rPr>
          <w:rFonts w:eastAsia="Times New Roman"/>
        </w:rPr>
        <w:t xml:space="preserve"> </w:t>
      </w:r>
    </w:p>
    <w:p w:rsidR="00D777AF" w:rsidRPr="0058139B" w:rsidP="005F5D46" w14:paraId="2416A265" w14:textId="77777777">
      <w:pPr>
        <w:contextualSpacing/>
        <w:rPr>
          <w:rFonts w:eastAsia="Times New Roman"/>
        </w:rPr>
      </w:pPr>
    </w:p>
    <w:p w:rsidR="60B6DFD7" w:rsidP="00184C2F" w14:paraId="5D0C8FEF" w14:textId="1E4D6763">
      <w:pPr>
        <w:pStyle w:val="ListParagraph"/>
        <w:numPr>
          <w:ilvl w:val="0"/>
          <w:numId w:val="1"/>
        </w:numPr>
        <w:ind w:right="-20"/>
        <w:rPr>
          <w:rFonts w:eastAsia="Times New Roman"/>
          <w:b/>
        </w:rPr>
      </w:pPr>
      <w:r w:rsidRPr="00184C2F">
        <w:rPr>
          <w:rFonts w:eastAsia="Times New Roman"/>
          <w:b/>
        </w:rPr>
        <w:t>Justification</w:t>
      </w:r>
    </w:p>
    <w:p w:rsidR="00184C2F" w:rsidRPr="00184C2F" w:rsidP="00184C2F" w14:paraId="52EF289A" w14:textId="77777777">
      <w:pPr>
        <w:pStyle w:val="ListParagraph"/>
        <w:ind w:left="550" w:right="-20"/>
        <w:rPr>
          <w:rFonts w:eastAsia="Times New Roman"/>
          <w:b/>
        </w:rPr>
      </w:pPr>
    </w:p>
    <w:p w:rsidR="60B6DFD7" w:rsidP="00184C2F" w14:paraId="63A84A94" w14:textId="7EE9129E">
      <w:pPr>
        <w:pStyle w:val="ListParagraph"/>
        <w:numPr>
          <w:ilvl w:val="0"/>
          <w:numId w:val="5"/>
        </w:numPr>
        <w:ind w:left="360" w:right="-20"/>
        <w:rPr>
          <w:rFonts w:eastAsia="Times New Roman"/>
          <w:u w:val="single"/>
        </w:rPr>
      </w:pPr>
      <w:r w:rsidRPr="47826249">
        <w:rPr>
          <w:rFonts w:eastAsia="Times New Roman"/>
          <w:u w:val="single"/>
        </w:rPr>
        <w:t>Need and Legal Basis</w:t>
      </w:r>
    </w:p>
    <w:p w:rsidR="60B6DFD7" w:rsidRPr="00184C2F" w:rsidP="00184C2F" w14:paraId="3923A4BF" w14:textId="313DD828">
      <w:pPr>
        <w:pStyle w:val="ListParagraph"/>
        <w:ind w:left="2224" w:right="-14"/>
        <w:rPr>
          <w:rFonts w:eastAsia="Times New Roman"/>
        </w:rPr>
      </w:pPr>
      <w:r w:rsidRPr="00184C2F">
        <w:rPr>
          <w:rFonts w:eastAsia="Times New Roman"/>
        </w:rPr>
        <w:t xml:space="preserve"> </w:t>
      </w:r>
    </w:p>
    <w:p w:rsidR="60B6DFD7" w14:paraId="79CA628F" w14:textId="1AB2EFE2">
      <w:pPr>
        <w:ind w:right="-14"/>
        <w:rPr>
          <w:rFonts w:eastAsia="Times New Roman"/>
        </w:rPr>
      </w:pPr>
      <w:r w:rsidRPr="5BF2E3C5">
        <w:rPr>
          <w:color w:val="000000" w:themeColor="text1"/>
        </w:rPr>
        <w:t xml:space="preserve">Section 1312(e) of the Affordable Care Act directs the Secretary of HHS to establish procedures under which a </w:t>
      </w:r>
      <w:r w:rsidR="00B93EF4">
        <w:rPr>
          <w:color w:val="000000" w:themeColor="text1"/>
        </w:rPr>
        <w:t>S</w:t>
      </w:r>
      <w:r w:rsidRPr="5BF2E3C5">
        <w:rPr>
          <w:color w:val="000000" w:themeColor="text1"/>
        </w:rPr>
        <w:t xml:space="preserve">tate may permit </w:t>
      </w:r>
      <w:r w:rsidRPr="757E2F24" w:rsidR="757E2F24">
        <w:rPr>
          <w:color w:val="000000" w:themeColor="text1"/>
        </w:rPr>
        <w:t>ABs</w:t>
      </w:r>
      <w:r w:rsidRPr="5BF2E3C5">
        <w:rPr>
          <w:color w:val="000000" w:themeColor="text1"/>
        </w:rPr>
        <w:t xml:space="preserve"> to enroll qualified individuals and employers in </w:t>
      </w:r>
      <w:r w:rsidRPr="757E2F24" w:rsidR="757E2F24">
        <w:rPr>
          <w:color w:val="000000" w:themeColor="text1"/>
        </w:rPr>
        <w:t>QHPs</w:t>
      </w:r>
      <w:r w:rsidRPr="757E2F24">
        <w:rPr>
          <w:color w:val="000000" w:themeColor="text1"/>
        </w:rPr>
        <w:t xml:space="preserve"> </w:t>
      </w:r>
      <w:r w:rsidRPr="5BF2E3C5">
        <w:rPr>
          <w:color w:val="000000" w:themeColor="text1"/>
        </w:rPr>
        <w:t xml:space="preserve">offered through an Exchange and assist individuals in applying for advance payments of the premium tax credit and cost-sharing reductions. </w:t>
      </w:r>
      <w:r w:rsidRPr="5BF2E3C5">
        <w:rPr>
          <w:rFonts w:eastAsia="Times New Roman"/>
        </w:rPr>
        <w:t xml:space="preserve">The </w:t>
      </w:r>
      <w:r w:rsidR="00B93EF4">
        <w:rPr>
          <w:rFonts w:eastAsia="Times New Roman"/>
        </w:rPr>
        <w:t>aforementioned guidance</w:t>
      </w:r>
      <w:r w:rsidRPr="5BF2E3C5">
        <w:rPr>
          <w:rFonts w:eastAsia="Times New Roman"/>
        </w:rPr>
        <w:t xml:space="preserve"> provide</w:t>
      </w:r>
      <w:r w:rsidR="00B93EF4">
        <w:rPr>
          <w:rFonts w:eastAsia="Times New Roman"/>
        </w:rPr>
        <w:t>s recommendations</w:t>
      </w:r>
      <w:r w:rsidRPr="5BF2E3C5">
        <w:rPr>
          <w:rFonts w:eastAsia="Times New Roman"/>
        </w:rPr>
        <w:t xml:space="preserve"> for </w:t>
      </w:r>
      <w:r w:rsidR="00B93EF4">
        <w:rPr>
          <w:rFonts w:eastAsia="Times New Roman"/>
        </w:rPr>
        <w:t xml:space="preserve">QHP issuer </w:t>
      </w:r>
      <w:r w:rsidRPr="5BF2E3C5">
        <w:rPr>
          <w:rFonts w:eastAsia="Times New Roman"/>
        </w:rPr>
        <w:t xml:space="preserve">oversight </w:t>
      </w:r>
      <w:r w:rsidR="00B93EF4">
        <w:rPr>
          <w:rFonts w:eastAsia="Times New Roman"/>
        </w:rPr>
        <w:t xml:space="preserve">of AB conduct </w:t>
      </w:r>
      <w:r w:rsidRPr="5BF2E3C5">
        <w:rPr>
          <w:rFonts w:eastAsia="Times New Roman"/>
        </w:rPr>
        <w:t>to protect consumers and the financial integrity of the FFEs</w:t>
      </w:r>
      <w:r w:rsidRPr="5BF2E3C5">
        <w:rPr>
          <w:color w:val="000000" w:themeColor="text1"/>
        </w:rPr>
        <w:t xml:space="preserve">. </w:t>
      </w:r>
      <w:r w:rsidRPr="757E2F24" w:rsidR="757E2F24">
        <w:rPr>
          <w:rFonts w:eastAsia="Times New Roman"/>
        </w:rPr>
        <w:t>Th</w:t>
      </w:r>
      <w:r w:rsidR="00830DC4">
        <w:rPr>
          <w:rFonts w:eastAsia="Times New Roman"/>
        </w:rPr>
        <w:t>is</w:t>
      </w:r>
      <w:r w:rsidRPr="5BF2E3C5">
        <w:rPr>
          <w:rFonts w:eastAsia="Times New Roman"/>
        </w:rPr>
        <w:t xml:space="preserve"> oversight includes ensuring compliance with </w:t>
      </w:r>
      <w:r w:rsidR="00711FB3">
        <w:rPr>
          <w:rFonts w:eastAsia="Times New Roman"/>
        </w:rPr>
        <w:t>Exchange</w:t>
      </w:r>
      <w:r w:rsidRPr="5BF2E3C5">
        <w:rPr>
          <w:rFonts w:eastAsia="Times New Roman"/>
        </w:rPr>
        <w:t xml:space="preserve"> requirements, such as the maintenance of records requirement</w:t>
      </w:r>
      <w:r w:rsidR="00830DC4">
        <w:rPr>
          <w:rFonts w:eastAsia="Times New Roman"/>
        </w:rPr>
        <w:t>,</w:t>
      </w:r>
      <w:r w:rsidRPr="5BF2E3C5">
        <w:rPr>
          <w:rFonts w:eastAsia="Times New Roman"/>
        </w:rPr>
        <w:t xml:space="preserve"> and </w:t>
      </w:r>
      <w:r w:rsidRPr="757E2F24" w:rsidR="757E2F24">
        <w:rPr>
          <w:rFonts w:eastAsia="Times New Roman"/>
        </w:rPr>
        <w:t>participati</w:t>
      </w:r>
      <w:r w:rsidR="007030F5">
        <w:rPr>
          <w:rFonts w:eastAsia="Times New Roman"/>
        </w:rPr>
        <w:t>ng</w:t>
      </w:r>
      <w:r w:rsidRPr="5BF2E3C5">
        <w:rPr>
          <w:rFonts w:eastAsia="Times New Roman"/>
        </w:rPr>
        <w:t xml:space="preserve"> in investigations and compliance reviews. This </w:t>
      </w:r>
      <w:r w:rsidR="002E5172">
        <w:rPr>
          <w:rFonts w:eastAsia="Times New Roman"/>
        </w:rPr>
        <w:t>Information Collection Request (ICR)</w:t>
      </w:r>
      <w:r w:rsidRPr="5BF2E3C5" w:rsidR="002E5172">
        <w:rPr>
          <w:rFonts w:eastAsia="Times New Roman"/>
        </w:rPr>
        <w:t xml:space="preserve"> </w:t>
      </w:r>
      <w:r w:rsidRPr="5BF2E3C5">
        <w:rPr>
          <w:rFonts w:eastAsia="Times New Roman"/>
        </w:rPr>
        <w:t xml:space="preserve">deals with the burdens on issuers that undergo HHS compliance reviews pursuant to § 156.715(a), performed to ensure ongoing compliance with Exchange standards applicable to issuers offering QHPs in </w:t>
      </w:r>
      <w:r w:rsidRPr="757E2F24" w:rsidR="757E2F24">
        <w:rPr>
          <w:rFonts w:eastAsia="Times New Roman"/>
        </w:rPr>
        <w:t xml:space="preserve">the FFEs. </w:t>
      </w:r>
    </w:p>
    <w:p w:rsidR="60B6DFD7" w:rsidP="00184C2F" w14:paraId="48F04E5D" w14:textId="7D28D0B0">
      <w:pPr>
        <w:ind w:right="-14"/>
        <w:rPr>
          <w:rFonts w:eastAsia="Times New Roman"/>
        </w:rPr>
      </w:pPr>
      <w:r w:rsidRPr="47826249">
        <w:rPr>
          <w:rFonts w:eastAsia="Times New Roman"/>
        </w:rPr>
        <w:t xml:space="preserve"> </w:t>
      </w:r>
    </w:p>
    <w:p w:rsidR="60B6DFD7" w:rsidP="00AB6605" w14:paraId="171C392C" w14:textId="19FC1FF3">
      <w:pPr>
        <w:pStyle w:val="ListParagraph"/>
        <w:keepNext/>
        <w:numPr>
          <w:ilvl w:val="0"/>
          <w:numId w:val="5"/>
        </w:numPr>
        <w:ind w:left="360" w:right="-14"/>
        <w:rPr>
          <w:rFonts w:eastAsia="Times New Roman"/>
          <w:u w:val="single"/>
        </w:rPr>
      </w:pPr>
      <w:r w:rsidRPr="47826249">
        <w:rPr>
          <w:rFonts w:eastAsia="Times New Roman"/>
          <w:u w:val="single"/>
        </w:rPr>
        <w:t>Information Users</w:t>
      </w:r>
    </w:p>
    <w:p w:rsidR="60B6DFD7" w:rsidP="00AB6605" w14:paraId="3AAE4531" w14:textId="636E606A">
      <w:pPr>
        <w:keepNext/>
        <w:tabs>
          <w:tab w:val="left" w:pos="580"/>
        </w:tabs>
        <w:ind w:right="-14"/>
        <w:rPr>
          <w:rFonts w:eastAsia="Times New Roman"/>
          <w:sz w:val="22"/>
        </w:rPr>
      </w:pPr>
      <w:r w:rsidRPr="47826249">
        <w:rPr>
          <w:rFonts w:eastAsia="Times New Roman"/>
          <w:sz w:val="22"/>
        </w:rPr>
        <w:t xml:space="preserve"> </w:t>
      </w:r>
    </w:p>
    <w:p w:rsidR="60B6DFD7" w:rsidP="00184C2F" w14:paraId="01EAABFD" w14:textId="5DA976A2">
      <w:pPr>
        <w:ind w:right="-14"/>
        <w:rPr>
          <w:rFonts w:eastAsia="Times New Roman"/>
        </w:rPr>
      </w:pPr>
      <w:r w:rsidRPr="35DC0B07">
        <w:rPr>
          <w:rFonts w:eastAsia="Times New Roman"/>
        </w:rPr>
        <w:t>The</w:t>
      </w:r>
      <w:r w:rsidR="003F1C94">
        <w:rPr>
          <w:rFonts w:eastAsia="Times New Roman"/>
        </w:rPr>
        <w:t>se</w:t>
      </w:r>
      <w:r w:rsidRPr="35DC0B07">
        <w:rPr>
          <w:rFonts w:eastAsia="Times New Roman"/>
        </w:rPr>
        <w:t xml:space="preserve"> data collections and third-party disclosure requirements assist CMS </w:t>
      </w:r>
      <w:r w:rsidRPr="06FCF9BF" w:rsidR="06FCF9BF">
        <w:rPr>
          <w:rFonts w:eastAsia="Times New Roman"/>
        </w:rPr>
        <w:t xml:space="preserve">and State insurance regulators or oversight agencies </w:t>
      </w:r>
      <w:r w:rsidRPr="35DC0B07">
        <w:rPr>
          <w:rFonts w:eastAsia="Times New Roman"/>
        </w:rPr>
        <w:t xml:space="preserve">in monitoring QHP issuers in FFEs for compliance with Federal QHP issuer standards. The data collected by health insurance issuers and Exchanges inform HHS, Exchanges, and health insurance issuers as to the participation and performance of ABs </w:t>
      </w:r>
      <w:r w:rsidR="00B25561">
        <w:rPr>
          <w:rFonts w:eastAsia="Times New Roman"/>
        </w:rPr>
        <w:t xml:space="preserve">(i.e., </w:t>
      </w:r>
      <w:r w:rsidR="00341C11">
        <w:rPr>
          <w:rFonts w:eastAsia="Times New Roman"/>
        </w:rPr>
        <w:t xml:space="preserve">meeting all requirements to be </w:t>
      </w:r>
      <w:r w:rsidR="00BA3639">
        <w:rPr>
          <w:rFonts w:eastAsia="Times New Roman"/>
        </w:rPr>
        <w:t xml:space="preserve">a </w:t>
      </w:r>
      <w:r w:rsidR="00341C11">
        <w:rPr>
          <w:rFonts w:eastAsia="Times New Roman"/>
        </w:rPr>
        <w:t xml:space="preserve">registered </w:t>
      </w:r>
      <w:r w:rsidR="00BA3639">
        <w:rPr>
          <w:rFonts w:eastAsia="Times New Roman"/>
        </w:rPr>
        <w:t xml:space="preserve">AB </w:t>
      </w:r>
      <w:r w:rsidR="00341C11">
        <w:rPr>
          <w:rFonts w:eastAsia="Times New Roman"/>
        </w:rPr>
        <w:t xml:space="preserve">and in good standing) </w:t>
      </w:r>
      <w:r w:rsidRPr="35DC0B07">
        <w:rPr>
          <w:rFonts w:eastAsia="Times New Roman"/>
        </w:rPr>
        <w:t>and other individuals in the FFEs.</w:t>
      </w:r>
    </w:p>
    <w:p w:rsidR="60B6DFD7" w:rsidP="00184C2F" w14:paraId="6AFD6814" w14:textId="0B8A1DBD">
      <w:pPr>
        <w:ind w:right="-14"/>
        <w:rPr>
          <w:rFonts w:eastAsia="Times New Roman"/>
        </w:rPr>
      </w:pPr>
      <w:r w:rsidRPr="47826249">
        <w:rPr>
          <w:rFonts w:eastAsia="Times New Roman"/>
        </w:rPr>
        <w:t xml:space="preserve"> </w:t>
      </w:r>
    </w:p>
    <w:p w:rsidR="60B6DFD7" w:rsidP="00184C2F" w14:paraId="4E620170" w14:textId="056B146C">
      <w:pPr>
        <w:pStyle w:val="ListParagraph"/>
        <w:numPr>
          <w:ilvl w:val="0"/>
          <w:numId w:val="5"/>
        </w:numPr>
        <w:ind w:left="360" w:right="-20"/>
        <w:rPr>
          <w:rFonts w:eastAsia="Times New Roman"/>
          <w:u w:val="single"/>
        </w:rPr>
      </w:pPr>
      <w:r w:rsidRPr="47826249">
        <w:rPr>
          <w:rFonts w:eastAsia="Times New Roman"/>
          <w:u w:val="single"/>
        </w:rPr>
        <w:t>Use of Information Technology</w:t>
      </w:r>
    </w:p>
    <w:p w:rsidR="60B6DFD7" w:rsidP="00184C2F" w14:paraId="6FF704A9" w14:textId="5FCDC71D">
      <w:pPr>
        <w:tabs>
          <w:tab w:val="left" w:pos="580"/>
        </w:tabs>
        <w:ind w:right="-20"/>
        <w:rPr>
          <w:rFonts w:eastAsia="Times New Roman"/>
          <w:sz w:val="22"/>
        </w:rPr>
      </w:pPr>
      <w:r w:rsidRPr="47826249">
        <w:rPr>
          <w:rFonts w:eastAsia="Times New Roman"/>
          <w:sz w:val="22"/>
        </w:rPr>
        <w:t xml:space="preserve"> </w:t>
      </w:r>
    </w:p>
    <w:p w:rsidR="60B6DFD7" w:rsidP="00184C2F" w14:paraId="1DA8AC93" w14:textId="71E3535B">
      <w:pPr>
        <w:ind w:right="-14"/>
        <w:rPr>
          <w:rFonts w:eastAsia="Times New Roman"/>
        </w:rPr>
      </w:pPr>
      <w:r w:rsidRPr="35DC0B07">
        <w:rPr>
          <w:rFonts w:eastAsia="Times New Roman"/>
        </w:rPr>
        <w:t xml:space="preserve">The information </w:t>
      </w:r>
      <w:r w:rsidR="007F5D22">
        <w:rPr>
          <w:rFonts w:eastAsia="Times New Roman"/>
        </w:rPr>
        <w:t>under this collection</w:t>
      </w:r>
      <w:r w:rsidRPr="35DC0B07">
        <w:rPr>
          <w:rFonts w:eastAsia="Times New Roman"/>
        </w:rPr>
        <w:t xml:space="preserve"> is submitted electronically. CMS staff analyzes and reviews the data in the same manner by which they were submitted and communicates </w:t>
      </w:r>
      <w:r w:rsidRPr="35DC0B07">
        <w:rPr>
          <w:rFonts w:eastAsia="Times New Roman"/>
        </w:rPr>
        <w:t>with States,</w:t>
      </w:r>
      <w:r w:rsidRPr="35DC0B07">
        <w:rPr>
          <w:rFonts w:eastAsia="Times New Roman"/>
        </w:rPr>
        <w:t xml:space="preserve"> </w:t>
      </w:r>
      <w:r w:rsidRPr="41FE7D58" w:rsidR="41FE7D58">
        <w:rPr>
          <w:rFonts w:eastAsia="Times New Roman"/>
        </w:rPr>
        <w:t xml:space="preserve">State insurance regulators or oversight agencies, </w:t>
      </w:r>
      <w:r w:rsidRPr="35DC0B07">
        <w:rPr>
          <w:rFonts w:eastAsia="Times New Roman"/>
        </w:rPr>
        <w:t>health insurance issuers, and other entities using e-mail, telephone, or other electronic means, such as videoconference.</w:t>
      </w:r>
    </w:p>
    <w:p w:rsidR="60B6DFD7" w:rsidP="00184C2F" w14:paraId="1E091438" w14:textId="09197853">
      <w:pPr>
        <w:ind w:right="-14"/>
        <w:rPr>
          <w:rFonts w:eastAsia="Times New Roman"/>
        </w:rPr>
      </w:pPr>
      <w:r w:rsidRPr="47826249">
        <w:rPr>
          <w:rFonts w:eastAsia="Times New Roman"/>
        </w:rPr>
        <w:t xml:space="preserve"> </w:t>
      </w:r>
    </w:p>
    <w:p w:rsidR="60B6DFD7" w:rsidP="00184C2F" w14:paraId="5841DF3A" w14:textId="363E85C4">
      <w:pPr>
        <w:pStyle w:val="ListParagraph"/>
        <w:numPr>
          <w:ilvl w:val="0"/>
          <w:numId w:val="5"/>
        </w:numPr>
        <w:ind w:left="360" w:right="-20"/>
        <w:rPr>
          <w:rFonts w:eastAsia="Times New Roman"/>
          <w:u w:val="single"/>
        </w:rPr>
      </w:pPr>
      <w:r w:rsidRPr="47826249">
        <w:rPr>
          <w:rFonts w:eastAsia="Times New Roman"/>
          <w:u w:val="single"/>
        </w:rPr>
        <w:t>Duplication of Efforts</w:t>
      </w:r>
    </w:p>
    <w:p w:rsidR="60B6DFD7" w:rsidP="00184C2F" w14:paraId="025EEB6D" w14:textId="5AE95867">
      <w:pPr>
        <w:ind w:right="-14"/>
        <w:rPr>
          <w:rFonts w:eastAsia="Times New Roman"/>
        </w:rPr>
      </w:pPr>
      <w:r w:rsidRPr="47826249">
        <w:rPr>
          <w:rFonts w:eastAsia="Times New Roman"/>
        </w:rPr>
        <w:t xml:space="preserve"> </w:t>
      </w:r>
    </w:p>
    <w:p w:rsidR="60B6DFD7" w:rsidP="00184C2F" w14:paraId="3374FFE3" w14:textId="094BE11F">
      <w:pPr>
        <w:ind w:right="-14"/>
        <w:rPr>
          <w:rFonts w:eastAsia="Times New Roman"/>
        </w:rPr>
      </w:pPr>
      <w:r w:rsidRPr="47826249">
        <w:rPr>
          <w:rFonts w:eastAsia="Times New Roman"/>
        </w:rPr>
        <w:t>This information collection does not duplicate any other Federal effort.</w:t>
      </w:r>
    </w:p>
    <w:p w:rsidR="60B6DFD7" w:rsidP="00184C2F" w14:paraId="32353189" w14:textId="4E66502A">
      <w:pPr>
        <w:ind w:right="-14"/>
        <w:rPr>
          <w:rFonts w:eastAsia="Times New Roman"/>
        </w:rPr>
      </w:pPr>
      <w:r w:rsidRPr="47826249">
        <w:rPr>
          <w:rFonts w:eastAsia="Times New Roman"/>
        </w:rPr>
        <w:t xml:space="preserve"> </w:t>
      </w:r>
    </w:p>
    <w:p w:rsidR="60B6DFD7" w:rsidP="00932B9A" w14:paraId="3F353294" w14:textId="08DFA929">
      <w:pPr>
        <w:pStyle w:val="ListParagraph"/>
        <w:keepNext/>
        <w:numPr>
          <w:ilvl w:val="0"/>
          <w:numId w:val="5"/>
        </w:numPr>
        <w:ind w:left="360" w:right="-20"/>
        <w:rPr>
          <w:rFonts w:eastAsia="Times New Roman"/>
          <w:u w:val="single"/>
        </w:rPr>
      </w:pPr>
      <w:r w:rsidRPr="47826249">
        <w:rPr>
          <w:rFonts w:eastAsia="Times New Roman"/>
          <w:u w:val="single"/>
        </w:rPr>
        <w:t>Small Businesses</w:t>
      </w:r>
    </w:p>
    <w:p w:rsidR="60B6DFD7" w:rsidP="00932B9A" w14:paraId="6AFBE6E6" w14:textId="292035F0">
      <w:pPr>
        <w:keepNext/>
        <w:ind w:right="-14"/>
        <w:rPr>
          <w:rFonts w:eastAsia="Times New Roman"/>
        </w:rPr>
      </w:pPr>
      <w:r w:rsidRPr="47826249">
        <w:rPr>
          <w:rFonts w:eastAsia="Times New Roman"/>
        </w:rPr>
        <w:t xml:space="preserve"> </w:t>
      </w:r>
    </w:p>
    <w:p w:rsidR="60B6DFD7" w:rsidP="00184C2F" w14:paraId="3CA263D9" w14:textId="47410F5B">
      <w:pPr>
        <w:ind w:right="-14"/>
        <w:rPr>
          <w:rFonts w:eastAsia="Times New Roman"/>
        </w:rPr>
      </w:pPr>
      <w:r>
        <w:rPr>
          <w:rFonts w:eastAsia="Times New Roman"/>
        </w:rPr>
        <w:t>We do not believe that there are any QHP issuers that are small business</w:t>
      </w:r>
      <w:r w:rsidR="00BE3275">
        <w:rPr>
          <w:rFonts w:eastAsia="Times New Roman"/>
        </w:rPr>
        <w:t>es</w:t>
      </w:r>
      <w:r>
        <w:rPr>
          <w:rFonts w:eastAsia="Times New Roman"/>
        </w:rPr>
        <w:t xml:space="preserve">. However, we are aware that some </w:t>
      </w:r>
      <w:r w:rsidRPr="22705206" w:rsidR="22705206">
        <w:rPr>
          <w:rFonts w:eastAsia="Times New Roman"/>
        </w:rPr>
        <w:t>ABs</w:t>
      </w:r>
      <w:r>
        <w:rPr>
          <w:rFonts w:eastAsia="Times New Roman"/>
        </w:rPr>
        <w:t xml:space="preserve"> are small businesses and that</w:t>
      </w:r>
      <w:r w:rsidR="00BE3275">
        <w:rPr>
          <w:rFonts w:eastAsia="Times New Roman"/>
        </w:rPr>
        <w:t xml:space="preserve"> they </w:t>
      </w:r>
      <w:r>
        <w:rPr>
          <w:rFonts w:eastAsia="Times New Roman"/>
        </w:rPr>
        <w:t>will incur costs</w:t>
      </w:r>
      <w:r w:rsidR="00BE3275">
        <w:rPr>
          <w:rFonts w:eastAsia="Times New Roman"/>
        </w:rPr>
        <w:t xml:space="preserve"> related to this collection as estimated in the Burden Estimates and Capital Costs below. We attempted to minimize the burden to the greatest extent possible but believe that this collection is necessary without distinction as to the size of the </w:t>
      </w:r>
      <w:r w:rsidRPr="68706692" w:rsidR="68706692">
        <w:rPr>
          <w:rFonts w:eastAsia="Times New Roman"/>
        </w:rPr>
        <w:t>AB</w:t>
      </w:r>
      <w:r w:rsidR="00BE3275">
        <w:rPr>
          <w:rFonts w:eastAsia="Times New Roman"/>
        </w:rPr>
        <w:t xml:space="preserve"> to facilitate compliance with our regulations and fraud reduction. Further, we believe that most of the burden is part of routine business practices that </w:t>
      </w:r>
      <w:r w:rsidRPr="68706692" w:rsidR="68706692">
        <w:rPr>
          <w:rFonts w:eastAsia="Times New Roman"/>
        </w:rPr>
        <w:t>ABs</w:t>
      </w:r>
      <w:r w:rsidR="00BE3275">
        <w:rPr>
          <w:rFonts w:eastAsia="Times New Roman"/>
        </w:rPr>
        <w:t xml:space="preserve"> of varying sizes already conduct. For example, we are aware that a sizeable number of </w:t>
      </w:r>
      <w:r w:rsidRPr="68706692" w:rsidR="68706692">
        <w:rPr>
          <w:rFonts w:eastAsia="Times New Roman"/>
        </w:rPr>
        <w:t>ABs</w:t>
      </w:r>
      <w:r w:rsidR="00BE3275">
        <w:rPr>
          <w:rFonts w:eastAsia="Times New Roman"/>
        </w:rPr>
        <w:t xml:space="preserve"> already record their calls and have procured </w:t>
      </w:r>
      <w:r w:rsidR="004A7508">
        <w:rPr>
          <w:rFonts w:eastAsia="Times New Roman"/>
        </w:rPr>
        <w:t>technology</w:t>
      </w:r>
      <w:r w:rsidR="00BE3275">
        <w:rPr>
          <w:rFonts w:eastAsia="Times New Roman"/>
        </w:rPr>
        <w:t xml:space="preserve"> to do so as part of their own quality improvement initiatives. </w:t>
      </w:r>
    </w:p>
    <w:p w:rsidR="60B6DFD7" w:rsidP="00184C2F" w14:paraId="151C546A" w14:textId="53A45275">
      <w:pPr>
        <w:ind w:right="-14"/>
        <w:rPr>
          <w:rFonts w:eastAsia="Times New Roman"/>
        </w:rPr>
      </w:pPr>
      <w:r w:rsidRPr="5F328C1A">
        <w:rPr>
          <w:rFonts w:eastAsia="Times New Roman"/>
        </w:rPr>
        <w:t xml:space="preserve"> </w:t>
      </w:r>
    </w:p>
    <w:p w:rsidR="60B6DFD7" w:rsidP="00184C2F" w14:paraId="0EAE6CDC" w14:textId="0B7EF1D4">
      <w:pPr>
        <w:pStyle w:val="ListParagraph"/>
        <w:numPr>
          <w:ilvl w:val="0"/>
          <w:numId w:val="5"/>
        </w:numPr>
        <w:ind w:left="360" w:right="-20"/>
        <w:rPr>
          <w:rFonts w:eastAsia="Times New Roman"/>
          <w:u w:val="single"/>
        </w:rPr>
      </w:pPr>
      <w:r w:rsidRPr="47826249">
        <w:rPr>
          <w:rFonts w:eastAsia="Times New Roman"/>
          <w:u w:val="single"/>
        </w:rPr>
        <w:t>Less Frequent Collection</w:t>
      </w:r>
    </w:p>
    <w:p w:rsidR="60B6DFD7" w:rsidP="00184C2F" w14:paraId="4B9ABBD2" w14:textId="2A00376B">
      <w:pPr>
        <w:ind w:right="-14"/>
        <w:rPr>
          <w:rFonts w:eastAsia="Times New Roman"/>
        </w:rPr>
      </w:pPr>
      <w:r w:rsidRPr="47826249">
        <w:rPr>
          <w:rFonts w:eastAsia="Times New Roman"/>
        </w:rPr>
        <w:t xml:space="preserve"> </w:t>
      </w:r>
    </w:p>
    <w:p w:rsidR="60B6DFD7" w:rsidP="00184C2F" w14:paraId="54565E5F" w14:textId="25F6E15D">
      <w:pPr>
        <w:ind w:right="-14"/>
        <w:rPr>
          <w:rFonts w:eastAsia="Times New Roman"/>
        </w:rPr>
      </w:pPr>
      <w:r w:rsidRPr="7DC62EC5">
        <w:rPr>
          <w:rFonts w:eastAsia="Times New Roman"/>
        </w:rPr>
        <w:t>Due to the required flow of information between multiple parties and flow of enrollment and funds for payments for health insurance coverage within the Exchange, it is necessary to collect information according to the indicated frequenc</w:t>
      </w:r>
      <w:r w:rsidR="00C132FF">
        <w:rPr>
          <w:rFonts w:eastAsia="Times New Roman"/>
        </w:rPr>
        <w:t xml:space="preserve">y, which is </w:t>
      </w:r>
      <w:r w:rsidR="00C132FF">
        <w:rPr>
          <w:rFonts w:eastAsia="Times New Roman"/>
        </w:rPr>
        <w:t>on a monthly basis</w:t>
      </w:r>
      <w:r w:rsidRPr="7DC62EC5">
        <w:rPr>
          <w:rFonts w:eastAsia="Times New Roman"/>
        </w:rPr>
        <w:t xml:space="preserve">. If the information is collected less frequently, the result would be less timely oversight of enrollment that could lead to less </w:t>
      </w:r>
      <w:r w:rsidRPr="7DC62EC5">
        <w:rPr>
          <w:rFonts w:eastAsia="Times New Roman"/>
        </w:rPr>
        <w:t>accurate</w:t>
      </w:r>
      <w:r w:rsidRPr="7DC62EC5">
        <w:rPr>
          <w:rFonts w:eastAsia="Times New Roman"/>
        </w:rPr>
        <w:t xml:space="preserve"> eligibility, enrollment</w:t>
      </w:r>
      <w:r w:rsidR="005113B8">
        <w:rPr>
          <w:rFonts w:eastAsia="Times New Roman"/>
        </w:rPr>
        <w:t>,</w:t>
      </w:r>
      <w:r w:rsidRPr="7DC62EC5">
        <w:rPr>
          <w:rFonts w:eastAsia="Times New Roman"/>
        </w:rPr>
        <w:t xml:space="preserve"> or payment information for Exchanges, insurers, employers, and individuals. </w:t>
      </w:r>
    </w:p>
    <w:p w:rsidR="60B6DFD7" w:rsidP="00184C2F" w14:paraId="52859475" w14:textId="5BB9FACB">
      <w:pPr>
        <w:ind w:right="-14"/>
        <w:rPr>
          <w:rFonts w:eastAsia="Times New Roman"/>
        </w:rPr>
      </w:pPr>
      <w:r w:rsidRPr="47826249">
        <w:rPr>
          <w:rFonts w:eastAsia="Times New Roman"/>
        </w:rPr>
        <w:t xml:space="preserve"> </w:t>
      </w:r>
    </w:p>
    <w:p w:rsidR="60B6DFD7" w:rsidP="00184C2F" w14:paraId="0FF01109" w14:textId="7CF14CCD">
      <w:pPr>
        <w:pStyle w:val="ListParagraph"/>
        <w:numPr>
          <w:ilvl w:val="0"/>
          <w:numId w:val="5"/>
        </w:numPr>
        <w:ind w:left="360" w:right="-20"/>
        <w:rPr>
          <w:rFonts w:eastAsia="Times New Roman"/>
          <w:u w:val="single"/>
        </w:rPr>
      </w:pPr>
      <w:r w:rsidRPr="47826249">
        <w:rPr>
          <w:rFonts w:eastAsia="Times New Roman"/>
          <w:u w:val="single"/>
        </w:rPr>
        <w:t>Special Circumstances</w:t>
      </w:r>
    </w:p>
    <w:p w:rsidR="60B6DFD7" w:rsidP="00184C2F" w14:paraId="7F3C9446" w14:textId="3B9070C2">
      <w:pPr>
        <w:ind w:right="-14"/>
        <w:rPr>
          <w:rFonts w:eastAsia="Times New Roman"/>
        </w:rPr>
      </w:pPr>
      <w:r w:rsidRPr="47826249">
        <w:rPr>
          <w:rFonts w:eastAsia="Times New Roman"/>
        </w:rPr>
        <w:t xml:space="preserve"> </w:t>
      </w:r>
    </w:p>
    <w:p w:rsidR="60B6DFD7" w:rsidP="47826249" w14:paraId="09814F00" w14:textId="73507DE2">
      <w:pPr>
        <w:ind w:right="-14"/>
        <w:rPr>
          <w:rFonts w:eastAsia="Times New Roman"/>
        </w:rPr>
      </w:pPr>
      <w:r w:rsidRPr="47826249">
        <w:rPr>
          <w:rFonts w:eastAsia="Times New Roman"/>
        </w:rPr>
        <w:t xml:space="preserve">Maintenance of records requirements are found in </w:t>
      </w:r>
      <w:r w:rsidRPr="47826249" w:rsidR="47826249">
        <w:rPr>
          <w:rFonts w:eastAsia="Times New Roman"/>
        </w:rPr>
        <w:t>§</w:t>
      </w:r>
      <w:r w:rsidRPr="47826249">
        <w:rPr>
          <w:rFonts w:eastAsia="Times New Roman"/>
        </w:rPr>
        <w:t xml:space="preserve"> 156.705, which requires </w:t>
      </w:r>
      <w:r w:rsidR="007F5D22">
        <w:rPr>
          <w:rFonts w:eastAsia="Times New Roman"/>
        </w:rPr>
        <w:t>S</w:t>
      </w:r>
      <w:r w:rsidRPr="03E34B4A" w:rsidR="03E34B4A">
        <w:rPr>
          <w:rFonts w:eastAsia="Times New Roman"/>
        </w:rPr>
        <w:t>tates</w:t>
      </w:r>
      <w:r w:rsidRPr="47826249">
        <w:rPr>
          <w:rFonts w:eastAsia="Times New Roman"/>
        </w:rPr>
        <w:t xml:space="preserve"> and QHP issuers in FFEs to maintain records for a time </w:t>
      </w:r>
      <w:r w:rsidR="00721EA7">
        <w:rPr>
          <w:rFonts w:eastAsia="Times New Roman"/>
        </w:rPr>
        <w:t>frame</w:t>
      </w:r>
      <w:r w:rsidRPr="47826249" w:rsidR="00721EA7">
        <w:rPr>
          <w:rFonts w:eastAsia="Times New Roman"/>
        </w:rPr>
        <w:t xml:space="preserve"> </w:t>
      </w:r>
      <w:r w:rsidRPr="47826249">
        <w:rPr>
          <w:rFonts w:eastAsia="Times New Roman"/>
        </w:rPr>
        <w:t xml:space="preserve">of </w:t>
      </w:r>
      <w:r w:rsidR="00D6002C">
        <w:rPr>
          <w:rFonts w:eastAsia="Times New Roman"/>
        </w:rPr>
        <w:t>10</w:t>
      </w:r>
      <w:r w:rsidRPr="47826249" w:rsidR="00D6002C">
        <w:rPr>
          <w:rFonts w:eastAsia="Times New Roman"/>
        </w:rPr>
        <w:t xml:space="preserve"> </w:t>
      </w:r>
      <w:r w:rsidRPr="47826249">
        <w:rPr>
          <w:rFonts w:eastAsia="Times New Roman"/>
        </w:rPr>
        <w:t xml:space="preserve">years. This time frame is necessary for </w:t>
      </w:r>
      <w:r w:rsidR="00655E9D">
        <w:rPr>
          <w:rFonts w:eastAsia="Times New Roman"/>
        </w:rPr>
        <w:t>CMS</w:t>
      </w:r>
      <w:r w:rsidRPr="03E34B4A" w:rsidR="00655E9D">
        <w:rPr>
          <w:rFonts w:eastAsia="Times New Roman"/>
        </w:rPr>
        <w:t xml:space="preserve"> </w:t>
      </w:r>
      <w:r w:rsidRPr="47826249">
        <w:rPr>
          <w:rFonts w:eastAsia="Times New Roman"/>
        </w:rPr>
        <w:t>to be consistent with the statute of limitations under the False Claims Act</w:t>
      </w:r>
      <w:r w:rsidR="00113684">
        <w:rPr>
          <w:rFonts w:eastAsia="Times New Roman"/>
        </w:rPr>
        <w:t xml:space="preserve"> </w:t>
      </w:r>
      <w:r w:rsidRPr="51527781" w:rsidR="51527781">
        <w:rPr>
          <w:rFonts w:eastAsia="Times New Roman"/>
        </w:rPr>
        <w:t>(</w:t>
      </w:r>
      <w:r w:rsidRPr="09F7C762" w:rsidR="00113684">
        <w:rPr>
          <w:rFonts w:eastAsia="Times New Roman"/>
        </w:rPr>
        <w:t xml:space="preserve">31 U.S.C. </w:t>
      </w:r>
      <w:r w:rsidR="00113684">
        <w:rPr>
          <w:rFonts w:eastAsia="Times New Roman"/>
        </w:rPr>
        <w:t xml:space="preserve">§ </w:t>
      </w:r>
      <w:r w:rsidRPr="09F7C762" w:rsidR="00113684">
        <w:rPr>
          <w:rFonts w:eastAsia="Times New Roman"/>
        </w:rPr>
        <w:t>3731(b)(2</w:t>
      </w:r>
      <w:r w:rsidRPr="09F7C762" w:rsidR="51527781">
        <w:rPr>
          <w:rFonts w:eastAsia="Times New Roman"/>
        </w:rPr>
        <w:t>))</w:t>
      </w:r>
      <w:r w:rsidRPr="51527781" w:rsidR="51527781">
        <w:rPr>
          <w:rFonts w:eastAsia="Times New Roman"/>
        </w:rPr>
        <w:t>.</w:t>
      </w:r>
    </w:p>
    <w:p w:rsidR="60B6DFD7" w:rsidP="00184C2F" w14:paraId="271A1E4E" w14:textId="1D9F104F">
      <w:pPr>
        <w:ind w:right="-14"/>
        <w:rPr>
          <w:rFonts w:eastAsia="Times New Roman"/>
        </w:rPr>
      </w:pPr>
      <w:r w:rsidRPr="47826249">
        <w:rPr>
          <w:rFonts w:eastAsia="Times New Roman"/>
        </w:rPr>
        <w:t xml:space="preserve">  </w:t>
      </w:r>
    </w:p>
    <w:p w:rsidR="60B6DFD7" w:rsidP="00184C2F" w14:paraId="7F5CD1C2" w14:textId="593C265B">
      <w:pPr>
        <w:pStyle w:val="ListParagraph"/>
        <w:numPr>
          <w:ilvl w:val="0"/>
          <w:numId w:val="5"/>
        </w:numPr>
        <w:ind w:left="360" w:right="-20"/>
        <w:rPr>
          <w:rFonts w:eastAsia="Times New Roman"/>
          <w:u w:val="single"/>
        </w:rPr>
      </w:pPr>
      <w:r w:rsidRPr="47826249">
        <w:rPr>
          <w:rFonts w:eastAsia="Times New Roman"/>
          <w:u w:val="single"/>
        </w:rPr>
        <w:t>Federal Register/Outside Consultation</w:t>
      </w:r>
    </w:p>
    <w:p w:rsidR="60B6DFD7" w:rsidP="00184C2F" w14:paraId="38E1483D" w14:textId="3949DE77">
      <w:pPr>
        <w:rPr>
          <w:rFonts w:eastAsia="Times New Roman"/>
        </w:rPr>
      </w:pPr>
      <w:r w:rsidRPr="47826249">
        <w:rPr>
          <w:rFonts w:eastAsia="Times New Roman"/>
        </w:rPr>
        <w:t xml:space="preserve"> </w:t>
      </w:r>
    </w:p>
    <w:p w:rsidR="60B6DFD7" w14:paraId="23016B08" w14:textId="21B25DF1">
      <w:pPr>
        <w:rPr>
          <w:rFonts w:eastAsia="Times New Roman"/>
        </w:rPr>
      </w:pPr>
      <w:r w:rsidRPr="35DC0B07">
        <w:rPr>
          <w:rFonts w:eastAsia="Times New Roman"/>
        </w:rPr>
        <w:t xml:space="preserve">This is an emergency approval request. Public comment solicitation will be sought when the Agency solicits comments via the required 60-day and 30-day Federal Register notice periods, as part of the non-emergency approval process. </w:t>
      </w:r>
    </w:p>
    <w:p w:rsidR="60B6DFD7" w:rsidP="00184C2F" w14:paraId="5D584AF0" w14:textId="3A16FD32">
      <w:pPr>
        <w:ind w:right="-14"/>
        <w:rPr>
          <w:rFonts w:eastAsia="Times New Roman"/>
        </w:rPr>
      </w:pPr>
      <w:r w:rsidRPr="47826249">
        <w:rPr>
          <w:rFonts w:eastAsia="Times New Roman"/>
        </w:rPr>
        <w:t xml:space="preserve"> </w:t>
      </w:r>
    </w:p>
    <w:p w:rsidR="60B6DFD7" w:rsidP="00184C2F" w14:paraId="533D79E1" w14:textId="7954E45C">
      <w:pPr>
        <w:pStyle w:val="ListParagraph"/>
        <w:numPr>
          <w:ilvl w:val="0"/>
          <w:numId w:val="5"/>
        </w:numPr>
        <w:ind w:left="360" w:right="-20"/>
        <w:rPr>
          <w:rFonts w:eastAsia="Times New Roman"/>
          <w:u w:val="single"/>
        </w:rPr>
      </w:pPr>
      <w:r w:rsidRPr="47826249">
        <w:rPr>
          <w:rFonts w:eastAsia="Times New Roman"/>
          <w:u w:val="single"/>
        </w:rPr>
        <w:t>Payments/Gifts to Respondents</w:t>
      </w:r>
    </w:p>
    <w:p w:rsidR="60B6DFD7" w:rsidP="00184C2F" w14:paraId="21C9B1EC" w14:textId="11F0CA10">
      <w:pPr>
        <w:ind w:right="-14"/>
        <w:rPr>
          <w:rFonts w:eastAsia="Times New Roman"/>
        </w:rPr>
      </w:pPr>
      <w:r w:rsidRPr="47826249">
        <w:rPr>
          <w:rFonts w:eastAsia="Times New Roman"/>
        </w:rPr>
        <w:t xml:space="preserve"> </w:t>
      </w:r>
    </w:p>
    <w:p w:rsidR="60B6DFD7" w:rsidP="00184C2F" w14:paraId="646DA2D6" w14:textId="71FA4116">
      <w:pPr>
        <w:ind w:right="-14"/>
        <w:rPr>
          <w:rFonts w:eastAsia="Times New Roman"/>
        </w:rPr>
      </w:pPr>
      <w:r w:rsidRPr="47826249">
        <w:rPr>
          <w:rFonts w:eastAsia="Times New Roman"/>
        </w:rPr>
        <w:t>No payments and/or gifts will be provided to respondents.</w:t>
      </w:r>
      <w:r w:rsidR="00B25561">
        <w:rPr>
          <w:rFonts w:eastAsia="Times New Roman"/>
        </w:rPr>
        <w:t xml:space="preserve"> Respondents will be complian</w:t>
      </w:r>
      <w:r w:rsidR="0092430E">
        <w:rPr>
          <w:rFonts w:eastAsia="Times New Roman"/>
        </w:rPr>
        <w:t>t</w:t>
      </w:r>
      <w:r w:rsidR="00B25561">
        <w:rPr>
          <w:rFonts w:eastAsia="Times New Roman"/>
        </w:rPr>
        <w:t xml:space="preserve"> </w:t>
      </w:r>
      <w:r w:rsidR="00341C11">
        <w:rPr>
          <w:rFonts w:eastAsia="Times New Roman"/>
        </w:rPr>
        <w:t>with</w:t>
      </w:r>
      <w:r w:rsidR="00B25561">
        <w:rPr>
          <w:rFonts w:eastAsia="Times New Roman"/>
        </w:rPr>
        <w:t xml:space="preserve"> the </w:t>
      </w:r>
      <w:r w:rsidR="00204A4E">
        <w:rPr>
          <w:rFonts w:eastAsia="Times New Roman"/>
        </w:rPr>
        <w:t>aforementioned guidance</w:t>
      </w:r>
      <w:r w:rsidR="00B25561">
        <w:rPr>
          <w:rFonts w:eastAsia="Times New Roman"/>
        </w:rPr>
        <w:t xml:space="preserve"> if they are responsive. </w:t>
      </w:r>
    </w:p>
    <w:p w:rsidR="60B6DFD7" w:rsidP="00184C2F" w14:paraId="2040E05C" w14:textId="3F1D1506">
      <w:pPr>
        <w:ind w:right="-14"/>
        <w:rPr>
          <w:rFonts w:eastAsia="Times New Roman"/>
        </w:rPr>
      </w:pPr>
      <w:r w:rsidRPr="47826249">
        <w:rPr>
          <w:rFonts w:eastAsia="Times New Roman"/>
        </w:rPr>
        <w:t xml:space="preserve"> </w:t>
      </w:r>
    </w:p>
    <w:p w:rsidR="60B6DFD7" w:rsidP="00184C2F" w14:paraId="7B756952" w14:textId="1046F6CF">
      <w:pPr>
        <w:pStyle w:val="ListParagraph"/>
        <w:numPr>
          <w:ilvl w:val="0"/>
          <w:numId w:val="5"/>
        </w:numPr>
        <w:ind w:left="360" w:right="-20"/>
        <w:rPr>
          <w:rFonts w:eastAsia="Times New Roman"/>
          <w:u w:val="single"/>
        </w:rPr>
      </w:pPr>
      <w:r w:rsidRPr="47826249">
        <w:rPr>
          <w:rFonts w:eastAsia="Times New Roman"/>
          <w:u w:val="single"/>
        </w:rPr>
        <w:t>Confidentiality</w:t>
      </w:r>
    </w:p>
    <w:p w:rsidR="60B6DFD7" w:rsidP="00184C2F" w14:paraId="5AF1B17B" w14:textId="1B02A687">
      <w:pPr>
        <w:ind w:right="-14"/>
        <w:rPr>
          <w:rFonts w:eastAsia="Times New Roman"/>
        </w:rPr>
      </w:pPr>
      <w:r w:rsidRPr="47826249">
        <w:rPr>
          <w:rFonts w:eastAsia="Times New Roman"/>
        </w:rPr>
        <w:t xml:space="preserve"> </w:t>
      </w:r>
    </w:p>
    <w:p w:rsidR="60B6DFD7" w:rsidP="47826249" w14:paraId="4FDDBEC6" w14:textId="15C862B2">
      <w:pPr>
        <w:ind w:right="-20"/>
        <w:rPr>
          <w:rFonts w:eastAsia="Times New Roman"/>
        </w:rPr>
      </w:pPr>
      <w:r w:rsidRPr="47826249">
        <w:rPr>
          <w:rFonts w:eastAsia="Times New Roman"/>
        </w:rPr>
        <w:t xml:space="preserve">All information collected will be kept private in accordance with regulations at </w:t>
      </w:r>
      <w:r w:rsidR="005D67A4">
        <w:rPr>
          <w:rFonts w:eastAsia="Times New Roman"/>
        </w:rPr>
        <w:t xml:space="preserve">45 CFR </w:t>
      </w:r>
      <w:r w:rsidR="000A3319">
        <w:rPr>
          <w:rFonts w:eastAsia="Times New Roman"/>
        </w:rPr>
        <w:t xml:space="preserve">§ </w:t>
      </w:r>
      <w:r w:rsidRPr="47826249">
        <w:rPr>
          <w:rFonts w:eastAsia="Times New Roman"/>
        </w:rPr>
        <w:t>155.260, Privacy and Security of Personally Identifiable Information</w:t>
      </w:r>
      <w:r w:rsidR="00E77C09">
        <w:rPr>
          <w:rFonts w:eastAsia="Times New Roman"/>
        </w:rPr>
        <w:t xml:space="preserve"> (PII)</w:t>
      </w:r>
      <w:r w:rsidRPr="47826249">
        <w:rPr>
          <w:rFonts w:eastAsia="Times New Roman"/>
        </w:rPr>
        <w:t xml:space="preserve">. Pursuant to this regulation, </w:t>
      </w:r>
      <w:r w:rsidR="00711FB3">
        <w:rPr>
          <w:rFonts w:eastAsia="Times New Roman"/>
        </w:rPr>
        <w:t>Exchanges</w:t>
      </w:r>
      <w:r w:rsidRPr="47826249">
        <w:rPr>
          <w:rFonts w:eastAsia="Times New Roman"/>
        </w:rPr>
        <w:t xml:space="preserve"> may only use or disclose </w:t>
      </w:r>
      <w:r w:rsidR="00E77C09">
        <w:rPr>
          <w:rFonts w:eastAsia="Times New Roman"/>
        </w:rPr>
        <w:t>PII</w:t>
      </w:r>
      <w:r w:rsidRPr="47826249">
        <w:rPr>
          <w:rFonts w:eastAsia="Times New Roman"/>
        </w:rPr>
        <w:t xml:space="preserve"> to the extent that such information is necessary to carry out their statutorily</w:t>
      </w:r>
      <w:r w:rsidR="000A3319">
        <w:rPr>
          <w:rFonts w:eastAsia="Times New Roman"/>
        </w:rPr>
        <w:t>-</w:t>
      </w:r>
      <w:r w:rsidRPr="47826249">
        <w:rPr>
          <w:rFonts w:eastAsia="Times New Roman"/>
        </w:rPr>
        <w:t xml:space="preserve"> and </w:t>
      </w:r>
      <w:r w:rsidRPr="47826249">
        <w:rPr>
          <w:rFonts w:eastAsia="Times New Roman"/>
        </w:rPr>
        <w:t>regulatorily</w:t>
      </w:r>
      <w:r w:rsidR="000A3319">
        <w:rPr>
          <w:rFonts w:eastAsia="Times New Roman"/>
        </w:rPr>
        <w:t>-</w:t>
      </w:r>
      <w:r w:rsidRPr="47826249">
        <w:rPr>
          <w:rFonts w:eastAsia="Times New Roman"/>
        </w:rPr>
        <w:t>mandated</w:t>
      </w:r>
      <w:r w:rsidRPr="47826249">
        <w:rPr>
          <w:rFonts w:eastAsia="Times New Roman"/>
        </w:rPr>
        <w:t xml:space="preserve"> functions.</w:t>
      </w:r>
    </w:p>
    <w:p w:rsidR="60B6DFD7" w:rsidP="00184C2F" w14:paraId="56C244D7" w14:textId="33EBCE68">
      <w:pPr>
        <w:ind w:right="-14"/>
        <w:rPr>
          <w:rFonts w:eastAsia="Times New Roman"/>
        </w:rPr>
      </w:pPr>
      <w:r w:rsidRPr="47826249">
        <w:rPr>
          <w:rFonts w:eastAsia="Times New Roman"/>
        </w:rPr>
        <w:t xml:space="preserve"> </w:t>
      </w:r>
    </w:p>
    <w:p w:rsidR="60B6DFD7" w:rsidP="00184C2F" w14:paraId="7109CFE4" w14:textId="58682294">
      <w:pPr>
        <w:pStyle w:val="ListParagraph"/>
        <w:numPr>
          <w:ilvl w:val="0"/>
          <w:numId w:val="5"/>
        </w:numPr>
        <w:ind w:left="360" w:right="-20"/>
        <w:rPr>
          <w:rFonts w:eastAsia="Times New Roman"/>
          <w:u w:val="single"/>
        </w:rPr>
      </w:pPr>
      <w:r w:rsidRPr="47826249">
        <w:rPr>
          <w:rFonts w:eastAsia="Times New Roman"/>
          <w:u w:val="single"/>
        </w:rPr>
        <w:t>Sensitive Questions</w:t>
      </w:r>
    </w:p>
    <w:p w:rsidR="60B6DFD7" w:rsidP="00184C2F" w14:paraId="654B061B" w14:textId="44D8A6C0">
      <w:pPr>
        <w:ind w:right="-14"/>
        <w:rPr>
          <w:rFonts w:eastAsia="Times New Roman"/>
        </w:rPr>
      </w:pPr>
      <w:r w:rsidRPr="47826249">
        <w:rPr>
          <w:rFonts w:eastAsia="Times New Roman"/>
        </w:rPr>
        <w:t xml:space="preserve"> </w:t>
      </w:r>
    </w:p>
    <w:p w:rsidR="60B6DFD7" w:rsidP="00184C2F" w14:paraId="7DF08813" w14:textId="4F241EE1">
      <w:pPr>
        <w:ind w:right="-14"/>
        <w:rPr>
          <w:rFonts w:eastAsia="Times New Roman"/>
        </w:rPr>
      </w:pPr>
      <w:r w:rsidRPr="47826249">
        <w:rPr>
          <w:rFonts w:eastAsia="Times New Roman"/>
        </w:rPr>
        <w:t>There are no sensitive questions included in this information collection effort.</w:t>
      </w:r>
    </w:p>
    <w:p w:rsidR="60B6DFD7" w:rsidP="00184C2F" w14:paraId="5A200683" w14:textId="75E7BC55">
      <w:pPr>
        <w:ind w:right="-14"/>
        <w:rPr>
          <w:rFonts w:eastAsia="Times New Roman"/>
        </w:rPr>
      </w:pPr>
      <w:r w:rsidRPr="47826249">
        <w:rPr>
          <w:rFonts w:eastAsia="Times New Roman"/>
        </w:rPr>
        <w:t xml:space="preserve"> </w:t>
      </w:r>
    </w:p>
    <w:p w:rsidR="60B6DFD7" w:rsidP="00184C2F" w14:paraId="6E4F7274" w14:textId="5277F27A">
      <w:pPr>
        <w:pStyle w:val="ListParagraph"/>
        <w:numPr>
          <w:ilvl w:val="0"/>
          <w:numId w:val="5"/>
        </w:numPr>
        <w:ind w:left="360" w:right="-20"/>
        <w:rPr>
          <w:rFonts w:eastAsia="Times New Roman"/>
          <w:u w:val="single"/>
        </w:rPr>
      </w:pPr>
      <w:r w:rsidRPr="47826249">
        <w:rPr>
          <w:rFonts w:eastAsia="Times New Roman"/>
          <w:u w:val="single"/>
        </w:rPr>
        <w:t>Burden Estimates (Hours &amp; Wages)</w:t>
      </w:r>
    </w:p>
    <w:p w:rsidR="60B6DFD7" w:rsidP="00184C2F" w14:paraId="0BF4E70F" w14:textId="01076744">
      <w:pPr>
        <w:ind w:right="-20"/>
        <w:rPr>
          <w:rFonts w:eastAsia="Times New Roman"/>
        </w:rPr>
      </w:pPr>
      <w:r w:rsidRPr="47826249">
        <w:rPr>
          <w:rFonts w:eastAsia="Times New Roman"/>
        </w:rPr>
        <w:t xml:space="preserve"> </w:t>
      </w:r>
    </w:p>
    <w:p w:rsidR="60B6DFD7" w:rsidP="00184C2F" w14:paraId="3328D7F7" w14:textId="4974B87B">
      <w:pPr>
        <w:ind w:right="-20"/>
        <w:rPr>
          <w:rFonts w:eastAsia="Times New Roman"/>
        </w:rPr>
      </w:pPr>
      <w:r w:rsidRPr="4B3F8850">
        <w:rPr>
          <w:rFonts w:eastAsia="Times New Roman"/>
        </w:rPr>
        <w:t>We used the Bureau of Labor Statistics (BLS), Occupational Employment and Wage Statistics, May 2025 (</w:t>
      </w:r>
      <w:hyperlink r:id="rId6" w:history="1">
        <w:r w:rsidRPr="47826249">
          <w:rPr>
            <w:rStyle w:val="Hyperlink"/>
            <w:rFonts w:eastAsia="Times New Roman"/>
            <w:color w:val="0000FF"/>
          </w:rPr>
          <w:t>https://www.bls.gov/oes/current/oes_stru.htm</w:t>
        </w:r>
      </w:hyperlink>
      <w:r w:rsidRPr="4B3F8850">
        <w:rPr>
          <w:rFonts w:eastAsia="Times New Roman"/>
        </w:rPr>
        <w:t>) to estimate the burden (including 100 percent fringe benefits) for this information collection. For a description of the median hourly wages for the labor categories</w:t>
      </w:r>
      <w:r w:rsidRPr="4B3F8850" w:rsidR="4B3F8850">
        <w:rPr>
          <w:rFonts w:eastAsia="Times New Roman"/>
        </w:rPr>
        <w:t>,</w:t>
      </w:r>
      <w:r w:rsidRPr="4B3F8850">
        <w:rPr>
          <w:rFonts w:eastAsia="Times New Roman"/>
        </w:rPr>
        <w:t xml:space="preserve"> see Table 1.</w:t>
      </w:r>
    </w:p>
    <w:p w:rsidR="60B6DFD7" w:rsidP="00184C2F" w14:paraId="0EA3F9E4" w14:textId="14CE7C2F">
      <w:pPr>
        <w:ind w:right="-20"/>
        <w:rPr>
          <w:rFonts w:eastAsia="Times New Roman"/>
          <w:sz w:val="22"/>
        </w:rPr>
      </w:pPr>
      <w:r w:rsidRPr="47826249">
        <w:rPr>
          <w:rFonts w:eastAsia="Times New Roman"/>
          <w:sz w:val="22"/>
        </w:rPr>
        <w:t xml:space="preserve"> </w:t>
      </w:r>
    </w:p>
    <w:p w:rsidR="60B6DFD7" w:rsidRPr="00184C2F" w:rsidP="004E79EC" w14:paraId="6153EC40" w14:textId="12A3BB47">
      <w:pPr>
        <w:keepNext/>
        <w:ind w:right="-14"/>
        <w:rPr>
          <w:rFonts w:eastAsia="Times New Roman"/>
          <w:b/>
        </w:rPr>
      </w:pPr>
      <w:r w:rsidRPr="00184C2F">
        <w:rPr>
          <w:rFonts w:eastAsia="Times New Roman"/>
          <w:b/>
        </w:rPr>
        <w:t>Table 1: Adjusted Hourly Wages Used in Burden Estimates</w:t>
      </w:r>
    </w:p>
    <w:p w:rsidR="00204953" w:rsidP="004E79EC" w14:paraId="1051DF46" w14:textId="77777777">
      <w:pPr>
        <w:keepNext/>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14"/>
        <w:rPr>
          <w:rFonts w:eastAsia="Times New Roman"/>
          <w:b/>
          <w:lang w:val=""/>
        </w:rPr>
      </w:pPr>
      <w:r w:rsidRPr="47826249">
        <w:rPr>
          <w:rFonts w:eastAsia="Times New Roman"/>
          <w:b/>
          <w:lang w:val=""/>
        </w:rPr>
        <w:t xml:space="preserve"> </w:t>
      </w:r>
    </w:p>
    <w:tbl>
      <w:tblPr>
        <w:tblW w:w="9340" w:type="dxa"/>
        <w:tblLook w:val="01E0"/>
      </w:tblPr>
      <w:tblGrid>
        <w:gridCol w:w="2440"/>
        <w:gridCol w:w="1590"/>
        <w:gridCol w:w="1536"/>
        <w:gridCol w:w="1816"/>
        <w:gridCol w:w="1958"/>
      </w:tblGrid>
      <w:tr w14:paraId="2DE5D694" w14:textId="77777777" w:rsidTr="00932B9A">
        <w:tblPrEx>
          <w:tblW w:w="9340" w:type="dxa"/>
          <w:tblLook w:val="01E0"/>
        </w:tblPrEx>
        <w:trPr>
          <w:trHeight w:val="300"/>
        </w:trPr>
        <w:tc>
          <w:tcPr>
            <w:tcW w:w="2440" w:type="dxa"/>
            <w:tcBorders>
              <w:top w:val="single" w:sz="4" w:space="0" w:color="auto"/>
              <w:left w:val="single" w:sz="8" w:space="0" w:color="auto"/>
              <w:bottom w:val="single" w:sz="8" w:space="0" w:color="auto"/>
              <w:right w:val="single" w:sz="8" w:space="0" w:color="auto"/>
            </w:tcBorders>
            <w:vAlign w:val="center"/>
          </w:tcPr>
          <w:p w:rsidR="00204953" w:rsidP="005E0067" w14:paraId="2FEF4417" w14:textId="77777777">
            <w:pPr>
              <w:tabs>
                <w:tab w:val="left" w:pos="8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ight="-20"/>
              <w:rPr>
                <w:rFonts w:eastAsia="Times New Roman"/>
                <w:b/>
              </w:rPr>
            </w:pPr>
            <w:r w:rsidRPr="47826249">
              <w:rPr>
                <w:rFonts w:eastAsia="Times New Roman"/>
                <w:b/>
              </w:rPr>
              <w:t>Occupational Title</w:t>
            </w:r>
          </w:p>
        </w:tc>
        <w:tc>
          <w:tcPr>
            <w:tcW w:w="1590" w:type="dxa"/>
            <w:tcBorders>
              <w:top w:val="single" w:sz="8" w:space="0" w:color="auto"/>
              <w:left w:val="single" w:sz="8" w:space="0" w:color="auto"/>
              <w:bottom w:val="single" w:sz="8" w:space="0" w:color="auto"/>
              <w:right w:val="single" w:sz="8" w:space="0" w:color="auto"/>
            </w:tcBorders>
            <w:vAlign w:val="center"/>
          </w:tcPr>
          <w:p w:rsidR="00204953" w:rsidP="005E0067" w14:paraId="0914010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
              </w:rPr>
            </w:pPr>
            <w:r w:rsidRPr="47826249">
              <w:rPr>
                <w:rFonts w:eastAsia="Times New Roman"/>
                <w:b/>
              </w:rPr>
              <w:t>Occupational Code</w:t>
            </w:r>
          </w:p>
        </w:tc>
        <w:tc>
          <w:tcPr>
            <w:tcW w:w="1536" w:type="dxa"/>
            <w:tcBorders>
              <w:top w:val="single" w:sz="8" w:space="0" w:color="auto"/>
              <w:left w:val="single" w:sz="8" w:space="0" w:color="auto"/>
              <w:bottom w:val="single" w:sz="8" w:space="0" w:color="auto"/>
              <w:right w:val="single" w:sz="8" w:space="0" w:color="auto"/>
            </w:tcBorders>
            <w:vAlign w:val="center"/>
          </w:tcPr>
          <w:p w:rsidR="00204953" w:rsidP="005E0067" w14:paraId="5F77EE69"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
              </w:rPr>
            </w:pPr>
            <w:r w:rsidRPr="47826249">
              <w:rPr>
                <w:rFonts w:eastAsia="Times New Roman"/>
                <w:b/>
              </w:rPr>
              <w:t>Median Hourly Wage ($/hour)</w:t>
            </w:r>
          </w:p>
        </w:tc>
        <w:tc>
          <w:tcPr>
            <w:tcW w:w="1816" w:type="dxa"/>
            <w:tcBorders>
              <w:top w:val="single" w:sz="8" w:space="0" w:color="auto"/>
              <w:left w:val="single" w:sz="8" w:space="0" w:color="auto"/>
              <w:bottom w:val="single" w:sz="8" w:space="0" w:color="auto"/>
              <w:right w:val="single" w:sz="8" w:space="0" w:color="auto"/>
            </w:tcBorders>
            <w:vAlign w:val="center"/>
          </w:tcPr>
          <w:p w:rsidR="00204953" w:rsidP="005E0067" w14:paraId="17022AEF" w14:textId="248C163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
              </w:rPr>
            </w:pPr>
            <w:r w:rsidRPr="47826249">
              <w:rPr>
                <w:rFonts w:eastAsia="Times New Roman"/>
                <w:b/>
              </w:rPr>
              <w:t>Fringe Benefits and Overhead (100%)</w:t>
            </w:r>
            <w:r w:rsidR="00122B41">
              <w:rPr>
                <w:rFonts w:eastAsia="Times New Roman"/>
                <w:b/>
              </w:rPr>
              <w:t xml:space="preserve"> </w:t>
            </w:r>
            <w:r w:rsidRPr="47826249">
              <w:rPr>
                <w:rFonts w:eastAsia="Times New Roman"/>
                <w:b/>
              </w:rPr>
              <w:t>($/hour)</w:t>
            </w:r>
          </w:p>
        </w:tc>
        <w:tc>
          <w:tcPr>
            <w:tcW w:w="1958" w:type="dxa"/>
            <w:tcBorders>
              <w:top w:val="single" w:sz="8" w:space="0" w:color="auto"/>
              <w:left w:val="single" w:sz="8" w:space="0" w:color="auto"/>
              <w:bottom w:val="single" w:sz="8" w:space="0" w:color="auto"/>
              <w:right w:val="single" w:sz="8" w:space="0" w:color="auto"/>
            </w:tcBorders>
            <w:vAlign w:val="center"/>
          </w:tcPr>
          <w:p w:rsidR="00204953" w:rsidP="005E0067" w14:paraId="4935BECF"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
              </w:rPr>
            </w:pPr>
            <w:r w:rsidRPr="47826249">
              <w:rPr>
                <w:rFonts w:eastAsia="Times New Roman"/>
                <w:b/>
              </w:rPr>
              <w:t>Adjusted Hourly Wage ($/hour)</w:t>
            </w:r>
          </w:p>
        </w:tc>
      </w:tr>
      <w:tr w14:paraId="70D6DE0B" w14:textId="77777777" w:rsidTr="00932B9A">
        <w:tblPrEx>
          <w:tblW w:w="9340" w:type="dxa"/>
          <w:tblLook w:val="01E0"/>
        </w:tblPrEx>
        <w:trPr>
          <w:trHeight w:val="300"/>
        </w:trPr>
        <w:tc>
          <w:tcPr>
            <w:tcW w:w="2440" w:type="dxa"/>
            <w:tcBorders>
              <w:top w:val="single" w:sz="8" w:space="0" w:color="auto"/>
              <w:left w:val="single" w:sz="8" w:space="0" w:color="auto"/>
              <w:bottom w:val="single" w:sz="4" w:space="0" w:color="auto"/>
              <w:right w:val="single" w:sz="8" w:space="0" w:color="auto"/>
            </w:tcBorders>
            <w:vAlign w:val="center"/>
          </w:tcPr>
          <w:p w:rsidR="00204953" w:rsidRPr="00204953" w:rsidP="005E0067" w14:paraId="17A8AF12" w14:textId="77777777">
            <w:pPr>
              <w:tabs>
                <w:tab w:val="left" w:pos="8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ight="-20"/>
              <w:rPr>
                <w:rFonts w:eastAsia="Times New Roman"/>
                <w:bCs/>
              </w:rPr>
            </w:pPr>
            <w:r w:rsidRPr="00204953">
              <w:rPr>
                <w:rFonts w:eastAsia="Times New Roman"/>
                <w:bCs/>
              </w:rPr>
              <w:t>Insurance Claims and Policy Processing Clerks</w:t>
            </w:r>
          </w:p>
        </w:tc>
        <w:tc>
          <w:tcPr>
            <w:tcW w:w="1590" w:type="dxa"/>
            <w:tcBorders>
              <w:top w:val="single" w:sz="4" w:space="0" w:color="auto"/>
              <w:left w:val="single" w:sz="8" w:space="0" w:color="auto"/>
              <w:bottom w:val="single" w:sz="8" w:space="0" w:color="auto"/>
              <w:right w:val="single" w:sz="8" w:space="0" w:color="auto"/>
            </w:tcBorders>
            <w:vAlign w:val="center"/>
          </w:tcPr>
          <w:p w:rsidR="00204953" w:rsidRPr="00204953" w:rsidP="005E0067" w14:paraId="3D5100B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43-9041</w:t>
            </w:r>
          </w:p>
        </w:tc>
        <w:tc>
          <w:tcPr>
            <w:tcW w:w="1536"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6795F2C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$23.67</w:t>
            </w:r>
          </w:p>
        </w:tc>
        <w:tc>
          <w:tcPr>
            <w:tcW w:w="1816"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7E909FC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$23.67</w:t>
            </w:r>
          </w:p>
        </w:tc>
        <w:tc>
          <w:tcPr>
            <w:tcW w:w="1958"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0D4D7D91"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$47.34</w:t>
            </w:r>
          </w:p>
        </w:tc>
      </w:tr>
      <w:tr w14:paraId="49DDFFF6" w14:textId="77777777" w:rsidTr="00932B9A">
        <w:tblPrEx>
          <w:tblW w:w="9340" w:type="dxa"/>
          <w:tblLook w:val="01E0"/>
        </w:tblPrEx>
        <w:trPr>
          <w:trHeight w:val="300"/>
        </w:trPr>
        <w:tc>
          <w:tcPr>
            <w:tcW w:w="2440" w:type="dxa"/>
            <w:tcBorders>
              <w:top w:val="single" w:sz="4" w:space="0" w:color="auto"/>
              <w:left w:val="single" w:sz="8" w:space="0" w:color="auto"/>
              <w:bottom w:val="single" w:sz="4" w:space="0" w:color="auto"/>
              <w:right w:val="single" w:sz="8" w:space="0" w:color="auto"/>
            </w:tcBorders>
            <w:vAlign w:val="center"/>
          </w:tcPr>
          <w:p w:rsidR="00CA45DA" w:rsidRPr="00204953" w:rsidP="00CA45DA" w14:paraId="542D45C9" w14:textId="6DAC0409">
            <w:pPr>
              <w:tabs>
                <w:tab w:val="left" w:pos="8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ight="-20"/>
              <w:rPr>
                <w:rFonts w:eastAsia="Times New Roman"/>
                <w:bCs/>
              </w:rPr>
            </w:pPr>
            <w:r w:rsidRPr="4D376283">
              <w:rPr>
                <w:rFonts w:eastAsia="Times New Roman"/>
              </w:rPr>
              <w:t>Health Policy Analyst</w:t>
            </w:r>
          </w:p>
        </w:tc>
        <w:tc>
          <w:tcPr>
            <w:tcW w:w="1590" w:type="dxa"/>
            <w:tcBorders>
              <w:top w:val="single" w:sz="8" w:space="0" w:color="auto"/>
              <w:left w:val="single" w:sz="8" w:space="0" w:color="auto"/>
              <w:bottom w:val="single" w:sz="8" w:space="0" w:color="auto"/>
              <w:right w:val="single" w:sz="8" w:space="0" w:color="auto"/>
            </w:tcBorders>
            <w:vAlign w:val="center"/>
          </w:tcPr>
          <w:p w:rsidR="00CA45DA" w:rsidRPr="00204953" w:rsidP="00CA45DA" w14:paraId="67DB0CA1" w14:textId="437F01B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1</w:t>
            </w:r>
            <w:r w:rsidR="00ED01E5">
              <w:rPr>
                <w:rFonts w:eastAsia="Times New Roman"/>
                <w:bCs/>
              </w:rPr>
              <w:t>3-1199</w:t>
            </w:r>
          </w:p>
        </w:tc>
        <w:tc>
          <w:tcPr>
            <w:tcW w:w="1536" w:type="dxa"/>
            <w:tcBorders>
              <w:top w:val="single" w:sz="8" w:space="0" w:color="auto"/>
              <w:left w:val="single" w:sz="8" w:space="0" w:color="auto"/>
              <w:bottom w:val="single" w:sz="8" w:space="0" w:color="auto"/>
              <w:right w:val="single" w:sz="8" w:space="0" w:color="auto"/>
            </w:tcBorders>
            <w:vAlign w:val="center"/>
          </w:tcPr>
          <w:p w:rsidR="00CA45DA" w:rsidRPr="00204953" w:rsidP="00CA45DA" w14:paraId="598069CF" w14:textId="7A715BA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w:t>
            </w:r>
            <w:r w:rsidR="00585201">
              <w:rPr>
                <w:rFonts w:eastAsia="Times New Roman"/>
                <w:bCs/>
              </w:rPr>
              <w:t>39.93</w:t>
            </w:r>
          </w:p>
        </w:tc>
        <w:tc>
          <w:tcPr>
            <w:tcW w:w="1816" w:type="dxa"/>
            <w:tcBorders>
              <w:top w:val="single" w:sz="8" w:space="0" w:color="auto"/>
              <w:left w:val="single" w:sz="8" w:space="0" w:color="auto"/>
              <w:bottom w:val="single" w:sz="8" w:space="0" w:color="auto"/>
              <w:right w:val="single" w:sz="8" w:space="0" w:color="auto"/>
            </w:tcBorders>
            <w:vAlign w:val="center"/>
          </w:tcPr>
          <w:p w:rsidR="00CA45DA" w:rsidRPr="00204953" w:rsidP="00CA45DA" w14:paraId="2E680490" w14:textId="69D74E1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w:t>
            </w:r>
            <w:r w:rsidR="00585201">
              <w:rPr>
                <w:rFonts w:eastAsia="Times New Roman"/>
                <w:bCs/>
              </w:rPr>
              <w:t>39.93</w:t>
            </w:r>
          </w:p>
        </w:tc>
        <w:tc>
          <w:tcPr>
            <w:tcW w:w="1958" w:type="dxa"/>
            <w:tcBorders>
              <w:top w:val="single" w:sz="8" w:space="0" w:color="auto"/>
              <w:left w:val="single" w:sz="8" w:space="0" w:color="auto"/>
              <w:bottom w:val="single" w:sz="8" w:space="0" w:color="auto"/>
              <w:right w:val="single" w:sz="8" w:space="0" w:color="auto"/>
            </w:tcBorders>
            <w:vAlign w:val="center"/>
          </w:tcPr>
          <w:p w:rsidR="00CA45DA" w:rsidRPr="00204953" w:rsidP="00CA45DA" w14:paraId="6783E466" w14:textId="03DBE2C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w:t>
            </w:r>
            <w:r w:rsidR="00585201">
              <w:rPr>
                <w:rFonts w:eastAsia="Times New Roman"/>
                <w:bCs/>
              </w:rPr>
              <w:t>79.86</w:t>
            </w:r>
          </w:p>
        </w:tc>
      </w:tr>
      <w:tr w14:paraId="552A3218" w14:textId="77777777" w:rsidTr="00932B9A">
        <w:tblPrEx>
          <w:tblW w:w="9340" w:type="dxa"/>
          <w:tblLook w:val="01E0"/>
        </w:tblPrEx>
        <w:trPr>
          <w:trHeight w:val="300"/>
        </w:trPr>
        <w:tc>
          <w:tcPr>
            <w:tcW w:w="2440" w:type="dxa"/>
            <w:tcBorders>
              <w:top w:val="single" w:sz="4" w:space="0" w:color="auto"/>
              <w:left w:val="single" w:sz="8" w:space="0" w:color="auto"/>
              <w:bottom w:val="single" w:sz="4" w:space="0" w:color="auto"/>
              <w:right w:val="single" w:sz="8" w:space="0" w:color="auto"/>
            </w:tcBorders>
            <w:vAlign w:val="center"/>
          </w:tcPr>
          <w:p w:rsidR="00204953" w:rsidRPr="00204953" w:rsidP="005E0067" w14:paraId="7E1138F0" w14:textId="77777777">
            <w:pPr>
              <w:tabs>
                <w:tab w:val="left" w:pos="8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ight="-20"/>
              <w:rPr>
                <w:rFonts w:eastAsia="Times New Roman"/>
                <w:bCs/>
              </w:rPr>
            </w:pPr>
            <w:r w:rsidRPr="00204953">
              <w:rPr>
                <w:rFonts w:eastAsia="Times New Roman"/>
                <w:bCs/>
              </w:rPr>
              <w:t>Computer Programmer</w:t>
            </w:r>
          </w:p>
        </w:tc>
        <w:tc>
          <w:tcPr>
            <w:tcW w:w="1590"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75C253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15-1251</w:t>
            </w:r>
          </w:p>
        </w:tc>
        <w:tc>
          <w:tcPr>
            <w:tcW w:w="1536"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3B0D79D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$48.26</w:t>
            </w:r>
          </w:p>
        </w:tc>
        <w:tc>
          <w:tcPr>
            <w:tcW w:w="1816"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0F07C03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$48.26</w:t>
            </w:r>
          </w:p>
        </w:tc>
        <w:tc>
          <w:tcPr>
            <w:tcW w:w="1958"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3765BDA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$96.52</w:t>
            </w:r>
          </w:p>
        </w:tc>
      </w:tr>
      <w:tr w14:paraId="02EA3DA1" w14:textId="77777777" w:rsidTr="00932B9A">
        <w:tblPrEx>
          <w:tblW w:w="9340" w:type="dxa"/>
          <w:tblLook w:val="01E0"/>
        </w:tblPrEx>
        <w:trPr>
          <w:trHeight w:val="300"/>
        </w:trPr>
        <w:tc>
          <w:tcPr>
            <w:tcW w:w="2440" w:type="dxa"/>
            <w:tcBorders>
              <w:top w:val="single" w:sz="4" w:space="0" w:color="auto"/>
              <w:left w:val="single" w:sz="8" w:space="0" w:color="auto"/>
              <w:bottom w:val="single" w:sz="4" w:space="0" w:color="auto"/>
              <w:right w:val="single" w:sz="8" w:space="0" w:color="auto"/>
            </w:tcBorders>
            <w:vAlign w:val="center"/>
          </w:tcPr>
          <w:p w:rsidR="00742332" w:rsidRPr="00204953" w:rsidP="005E0067" w14:paraId="2157C1EE" w14:textId="7FE0385C">
            <w:pPr>
              <w:tabs>
                <w:tab w:val="left" w:pos="8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ight="-20"/>
              <w:rPr>
                <w:rFonts w:eastAsia="Times New Roman"/>
                <w:bCs/>
              </w:rPr>
            </w:pPr>
            <w:r>
              <w:rPr>
                <w:rFonts w:eastAsia="Times New Roman"/>
                <w:bCs/>
              </w:rPr>
              <w:t>Senior Manager</w:t>
            </w:r>
          </w:p>
        </w:tc>
        <w:tc>
          <w:tcPr>
            <w:tcW w:w="1590"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3EB78DD2" w14:textId="6C5D93C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11-1021</w:t>
            </w:r>
          </w:p>
        </w:tc>
        <w:tc>
          <w:tcPr>
            <w:tcW w:w="1536"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22C87A45" w14:textId="7F7461F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$50.85</w:t>
            </w:r>
          </w:p>
        </w:tc>
        <w:tc>
          <w:tcPr>
            <w:tcW w:w="1816"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00077FC3" w14:textId="3A61A061">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$50.85</w:t>
            </w:r>
          </w:p>
        </w:tc>
        <w:tc>
          <w:tcPr>
            <w:tcW w:w="1958"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3ABD1563" w14:textId="7CB9BB6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$101.70</w:t>
            </w:r>
          </w:p>
        </w:tc>
      </w:tr>
      <w:tr w14:paraId="25DE74F5" w14:textId="77777777" w:rsidTr="00932B9A">
        <w:tblPrEx>
          <w:tblW w:w="9340" w:type="dxa"/>
          <w:tblLook w:val="01E0"/>
        </w:tblPrEx>
        <w:trPr>
          <w:trHeight w:val="300"/>
        </w:trPr>
        <w:tc>
          <w:tcPr>
            <w:tcW w:w="2440" w:type="dxa"/>
            <w:tcBorders>
              <w:top w:val="single" w:sz="4" w:space="0" w:color="auto"/>
              <w:left w:val="single" w:sz="8" w:space="0" w:color="auto"/>
              <w:bottom w:val="single" w:sz="4" w:space="0" w:color="auto"/>
              <w:right w:val="single" w:sz="8" w:space="0" w:color="auto"/>
            </w:tcBorders>
            <w:vAlign w:val="center"/>
          </w:tcPr>
          <w:p w:rsidR="00742332" w:rsidRPr="00204953" w:rsidP="005E0067" w14:paraId="51D9E40B" w14:textId="58E23D79">
            <w:pPr>
              <w:tabs>
                <w:tab w:val="left" w:pos="8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ight="-20"/>
              <w:rPr>
                <w:rFonts w:eastAsia="Times New Roman"/>
                <w:bCs/>
              </w:rPr>
            </w:pPr>
            <w:r>
              <w:rPr>
                <w:rFonts w:eastAsia="Times New Roman"/>
                <w:bCs/>
              </w:rPr>
              <w:t>Operations Analyst</w:t>
            </w:r>
          </w:p>
        </w:tc>
        <w:tc>
          <w:tcPr>
            <w:tcW w:w="1590"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2F0E5662" w14:textId="77E8FA7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15-2031</w:t>
            </w:r>
          </w:p>
        </w:tc>
        <w:tc>
          <w:tcPr>
            <w:tcW w:w="1536"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5414C604" w14:textId="6963D88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$42.76</w:t>
            </w:r>
          </w:p>
        </w:tc>
        <w:tc>
          <w:tcPr>
            <w:tcW w:w="1816"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3BFD6E2E" w14:textId="15338C0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$42.76</w:t>
            </w:r>
          </w:p>
        </w:tc>
        <w:tc>
          <w:tcPr>
            <w:tcW w:w="1958" w:type="dxa"/>
            <w:tcBorders>
              <w:top w:val="single" w:sz="8" w:space="0" w:color="auto"/>
              <w:left w:val="single" w:sz="8" w:space="0" w:color="auto"/>
              <w:bottom w:val="single" w:sz="8" w:space="0" w:color="auto"/>
              <w:right w:val="single" w:sz="8" w:space="0" w:color="auto"/>
            </w:tcBorders>
            <w:vAlign w:val="center"/>
          </w:tcPr>
          <w:p w:rsidR="00742332" w:rsidRPr="00204953" w:rsidP="005E0067" w14:paraId="0478B5AE" w14:textId="77DAF90A">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Pr>
                <w:rFonts w:eastAsia="Times New Roman"/>
                <w:bCs/>
              </w:rPr>
              <w:t>$85.52</w:t>
            </w:r>
          </w:p>
        </w:tc>
      </w:tr>
      <w:tr w14:paraId="4954CF45" w14:textId="77777777" w:rsidTr="00932B9A">
        <w:tblPrEx>
          <w:tblW w:w="9340" w:type="dxa"/>
          <w:tblLook w:val="01E0"/>
        </w:tblPrEx>
        <w:trPr>
          <w:trHeight w:val="300"/>
        </w:trPr>
        <w:tc>
          <w:tcPr>
            <w:tcW w:w="2440" w:type="dxa"/>
            <w:tcBorders>
              <w:top w:val="single" w:sz="4" w:space="0" w:color="auto"/>
              <w:left w:val="single" w:sz="8" w:space="0" w:color="auto"/>
              <w:bottom w:val="single" w:sz="8" w:space="0" w:color="auto"/>
              <w:right w:val="single" w:sz="8" w:space="0" w:color="auto"/>
            </w:tcBorders>
            <w:vAlign w:val="center"/>
          </w:tcPr>
          <w:p w:rsidR="00204953" w:rsidRPr="00204953" w:rsidP="4D376283" w14:paraId="728D680D" w14:textId="4FF1BC50">
            <w:pPr>
              <w:tabs>
                <w:tab w:val="left" w:pos="8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80" w:right="-20"/>
              <w:rPr>
                <w:rFonts w:eastAsia="Times New Roman"/>
              </w:rPr>
            </w:pPr>
            <w:r w:rsidRPr="4D376283">
              <w:rPr>
                <w:rFonts w:eastAsia="Times New Roman"/>
              </w:rPr>
              <w:t>Compliance Officer</w:t>
            </w:r>
          </w:p>
        </w:tc>
        <w:tc>
          <w:tcPr>
            <w:tcW w:w="1590"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35DDAFCD" w14:textId="2B9A983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13-1041</w:t>
            </w:r>
          </w:p>
        </w:tc>
        <w:tc>
          <w:tcPr>
            <w:tcW w:w="1536"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14AE0B17" w14:textId="031DCD9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$38.81</w:t>
            </w:r>
          </w:p>
        </w:tc>
        <w:tc>
          <w:tcPr>
            <w:tcW w:w="1816"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73EC2CFF" w14:textId="2F0798C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$38.81</w:t>
            </w:r>
          </w:p>
        </w:tc>
        <w:tc>
          <w:tcPr>
            <w:tcW w:w="1958" w:type="dxa"/>
            <w:tcBorders>
              <w:top w:val="single" w:sz="8" w:space="0" w:color="auto"/>
              <w:left w:val="single" w:sz="8" w:space="0" w:color="auto"/>
              <w:bottom w:val="single" w:sz="8" w:space="0" w:color="auto"/>
              <w:right w:val="single" w:sz="8" w:space="0" w:color="auto"/>
            </w:tcBorders>
            <w:vAlign w:val="center"/>
          </w:tcPr>
          <w:p w:rsidR="00204953" w:rsidRPr="00204953" w:rsidP="005E0067" w14:paraId="468722F4" w14:textId="71B0978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0"/>
              <w:jc w:val="center"/>
              <w:rPr>
                <w:rFonts w:eastAsia="Times New Roman"/>
                <w:bCs/>
              </w:rPr>
            </w:pPr>
            <w:r w:rsidRPr="00204953">
              <w:rPr>
                <w:rFonts w:eastAsia="Times New Roman"/>
                <w:bCs/>
              </w:rPr>
              <w:t>$7</w:t>
            </w:r>
            <w:r>
              <w:rPr>
                <w:rFonts w:eastAsia="Times New Roman"/>
                <w:bCs/>
              </w:rPr>
              <w:t>6</w:t>
            </w:r>
            <w:r w:rsidRPr="00204953">
              <w:rPr>
                <w:rFonts w:eastAsia="Times New Roman"/>
                <w:bCs/>
              </w:rPr>
              <w:t>.62</w:t>
            </w:r>
          </w:p>
        </w:tc>
      </w:tr>
    </w:tbl>
    <w:p w:rsidR="60B6DFD7" w:rsidP="00865FDC" w14:paraId="01C1AD6C" w14:textId="0E927C8C">
      <w:pPr>
        <w:ind w:right="-14"/>
        <w:rPr>
          <w:rFonts w:eastAsia="Times New Roman"/>
        </w:rPr>
      </w:pPr>
    </w:p>
    <w:p w:rsidR="0050763E" w:rsidP="47826249" w14:paraId="15A2F3F8" w14:textId="2A48A424">
      <w:pPr>
        <w:contextualSpacing/>
        <w:rPr>
          <w:rFonts w:eastAsia="Times New Roman"/>
        </w:rPr>
      </w:pPr>
    </w:p>
    <w:p w:rsidR="0050763E" w:rsidP="0050763E" w14:paraId="5D9A9B23" w14:textId="526C5DE2">
      <w:pPr>
        <w:contextualSpacing/>
        <w:rPr>
          <w:rFonts w:eastAsia="Times New Roman"/>
          <w:b/>
        </w:rPr>
      </w:pPr>
      <w:r w:rsidRPr="47826249">
        <w:rPr>
          <w:rFonts w:eastAsia="Times New Roman"/>
          <w:b/>
        </w:rPr>
        <w:t>Part 1</w:t>
      </w:r>
      <w:r w:rsidRPr="47826249" w:rsidR="47826249">
        <w:rPr>
          <w:rFonts w:eastAsia="Times New Roman"/>
          <w:b/>
          <w:bCs/>
        </w:rPr>
        <w:t>:</w:t>
      </w:r>
      <w:r w:rsidR="00711FB3">
        <w:rPr>
          <w:rFonts w:eastAsia="Times New Roman"/>
          <w:b/>
        </w:rPr>
        <w:t xml:space="preserve"> </w:t>
      </w:r>
      <w:r w:rsidRPr="40351001" w:rsidR="40351001">
        <w:rPr>
          <w:rFonts w:eastAsia="Times New Roman"/>
          <w:b/>
          <w:bCs/>
        </w:rPr>
        <w:t>Exchange</w:t>
      </w:r>
      <w:r w:rsidR="008F074C">
        <w:rPr>
          <w:rFonts w:eastAsia="Times New Roman"/>
          <w:b/>
        </w:rPr>
        <w:t xml:space="preserve"> Consumer </w:t>
      </w:r>
      <w:r w:rsidRPr="47826249">
        <w:rPr>
          <w:rFonts w:eastAsia="Times New Roman"/>
          <w:b/>
        </w:rPr>
        <w:t>Call Recordings</w:t>
      </w:r>
    </w:p>
    <w:p w:rsidR="0050763E" w:rsidRPr="001A0247" w:rsidP="00865FDC" w14:paraId="15951245" w14:textId="77777777">
      <w:pPr>
        <w:contextualSpacing/>
        <w:rPr>
          <w:rFonts w:eastAsia="Times New Roman"/>
          <w:szCs w:val="24"/>
        </w:rPr>
      </w:pPr>
    </w:p>
    <w:p w:rsidR="004D7454" w:rsidP="004D7454" w14:paraId="3F703A11" w14:textId="0BE78446">
      <w:pPr>
        <w:rPr>
          <w:rFonts w:eastAsia="Times New Roman"/>
        </w:rPr>
      </w:pPr>
      <w:r w:rsidRPr="47826249">
        <w:rPr>
          <w:rFonts w:eastAsia="Times New Roman"/>
        </w:rPr>
        <w:t xml:space="preserve">CMS recommends </w:t>
      </w:r>
      <w:r w:rsidR="005047E3">
        <w:rPr>
          <w:rFonts w:eastAsia="Times New Roman"/>
        </w:rPr>
        <w:t xml:space="preserve">two </w:t>
      </w:r>
      <w:r w:rsidRPr="47826249">
        <w:rPr>
          <w:rFonts w:eastAsia="Times New Roman"/>
        </w:rPr>
        <w:t xml:space="preserve">actions pertaining to </w:t>
      </w:r>
      <w:r>
        <w:rPr>
          <w:rFonts w:eastAsia="Times New Roman"/>
        </w:rPr>
        <w:t xml:space="preserve">QHP </w:t>
      </w:r>
      <w:r w:rsidRPr="03E34B4A" w:rsidR="03E34B4A">
        <w:rPr>
          <w:rFonts w:eastAsia="Times New Roman"/>
        </w:rPr>
        <w:t>issuers</w:t>
      </w:r>
      <w:r>
        <w:rPr>
          <w:rFonts w:eastAsia="Times New Roman"/>
        </w:rPr>
        <w:t xml:space="preserve"> and </w:t>
      </w:r>
      <w:r w:rsidRPr="44E23CBC">
        <w:rPr>
          <w:rFonts w:eastAsia="Times New Roman"/>
        </w:rPr>
        <w:t xml:space="preserve">ABs </w:t>
      </w:r>
      <w:r w:rsidRPr="47826249">
        <w:rPr>
          <w:rFonts w:eastAsia="Times New Roman"/>
        </w:rPr>
        <w:t xml:space="preserve">within the </w:t>
      </w:r>
      <w:r w:rsidR="007F5D22">
        <w:rPr>
          <w:rFonts w:eastAsia="Times New Roman"/>
        </w:rPr>
        <w:t>aforementioned guidance</w:t>
      </w:r>
      <w:r w:rsidRPr="47826249">
        <w:rPr>
          <w:rFonts w:eastAsia="Times New Roman"/>
        </w:rPr>
        <w:t xml:space="preserve"> </w:t>
      </w:r>
      <w:r w:rsidRPr="03E34B4A" w:rsidR="03E34B4A">
        <w:rPr>
          <w:rFonts w:eastAsia="Times New Roman"/>
        </w:rPr>
        <w:t xml:space="preserve">related to call recordings </w:t>
      </w:r>
      <w:r w:rsidRPr="47826249">
        <w:rPr>
          <w:rFonts w:eastAsia="Times New Roman"/>
        </w:rPr>
        <w:t xml:space="preserve">that have ICR implications: </w:t>
      </w:r>
    </w:p>
    <w:p w:rsidR="00066DFA" w:rsidP="00066DFA" w14:paraId="13B38F5B" w14:textId="64B122C8">
      <w:pPr>
        <w:pStyle w:val="ListParagraph"/>
        <w:numPr>
          <w:ilvl w:val="0"/>
          <w:numId w:val="7"/>
        </w:numPr>
        <w:rPr>
          <w:rFonts w:eastAsia="Times New Roman"/>
        </w:rPr>
      </w:pPr>
      <w:r>
        <w:rPr>
          <w:rFonts w:eastAsia="Times New Roman"/>
        </w:rPr>
        <w:t>QHP issuers and ABs r</w:t>
      </w:r>
      <w:r>
        <w:rPr>
          <w:rFonts w:eastAsia="Times New Roman"/>
        </w:rPr>
        <w:t>ecord</w:t>
      </w:r>
      <w:r w:rsidR="008F074C">
        <w:rPr>
          <w:rFonts w:eastAsia="Times New Roman"/>
        </w:rPr>
        <w:t>ing enrollment</w:t>
      </w:r>
      <w:r>
        <w:rPr>
          <w:rFonts w:eastAsia="Times New Roman"/>
        </w:rPr>
        <w:t xml:space="preserve"> calls with </w:t>
      </w:r>
      <w:r w:rsidR="00711FB3">
        <w:rPr>
          <w:rFonts w:eastAsia="Times New Roman"/>
        </w:rPr>
        <w:t>Exchange</w:t>
      </w:r>
      <w:r>
        <w:rPr>
          <w:rFonts w:eastAsia="Times New Roman"/>
        </w:rPr>
        <w:t xml:space="preserve"> consumer</w:t>
      </w:r>
      <w:r w:rsidR="008F074C">
        <w:rPr>
          <w:rFonts w:eastAsia="Times New Roman"/>
        </w:rPr>
        <w:t>s</w:t>
      </w:r>
      <w:r>
        <w:rPr>
          <w:rFonts w:eastAsia="Times New Roman"/>
        </w:rPr>
        <w:t xml:space="preserve">; </w:t>
      </w:r>
      <w:r w:rsidR="00F3626A">
        <w:rPr>
          <w:rFonts w:eastAsia="Times New Roman"/>
        </w:rPr>
        <w:t>and</w:t>
      </w:r>
      <w:r>
        <w:rPr>
          <w:rFonts w:eastAsia="Times New Roman"/>
        </w:rPr>
        <w:t xml:space="preserve"> </w:t>
      </w:r>
    </w:p>
    <w:p w:rsidR="00066DFA" w:rsidP="00066DFA" w14:paraId="6B9170A4" w14:textId="7A904AD7">
      <w:pPr>
        <w:pStyle w:val="ListParagraph"/>
        <w:numPr>
          <w:ilvl w:val="0"/>
          <w:numId w:val="7"/>
        </w:numPr>
        <w:rPr>
          <w:rFonts w:eastAsia="Times New Roman"/>
        </w:rPr>
      </w:pPr>
      <w:r>
        <w:rPr>
          <w:rFonts w:eastAsia="Times New Roman"/>
        </w:rPr>
        <w:t xml:space="preserve">QHP issuers and ABs </w:t>
      </w:r>
      <w:r>
        <w:rPr>
          <w:rFonts w:eastAsia="Times New Roman"/>
        </w:rPr>
        <w:t>m</w:t>
      </w:r>
      <w:r w:rsidRPr="03E34B4A" w:rsidR="03E34B4A">
        <w:rPr>
          <w:rFonts w:eastAsia="Times New Roman"/>
        </w:rPr>
        <w:t>aintaining</w:t>
      </w:r>
      <w:r>
        <w:rPr>
          <w:rFonts w:eastAsia="Times New Roman"/>
        </w:rPr>
        <w:t xml:space="preserve"> these recordings in a form and manner </w:t>
      </w:r>
      <w:r w:rsidR="00122B41">
        <w:rPr>
          <w:rFonts w:eastAsia="Times New Roman"/>
        </w:rPr>
        <w:t xml:space="preserve">such </w:t>
      </w:r>
      <w:r>
        <w:rPr>
          <w:rFonts w:eastAsia="Times New Roman"/>
        </w:rPr>
        <w:t xml:space="preserve">that they can be provided to the </w:t>
      </w:r>
      <w:r w:rsidRPr="03E34B4A" w:rsidR="03E34B4A">
        <w:rPr>
          <w:rFonts w:eastAsia="Times New Roman"/>
        </w:rPr>
        <w:t xml:space="preserve">QHP </w:t>
      </w:r>
      <w:r>
        <w:rPr>
          <w:rFonts w:eastAsia="Times New Roman"/>
        </w:rPr>
        <w:t>issuer or CMS upon request.</w:t>
      </w:r>
    </w:p>
    <w:p w:rsidR="00066DFA" w:rsidRPr="00865FDC" w:rsidP="00066DFA" w14:paraId="40B98662" w14:textId="77777777">
      <w:pPr>
        <w:rPr>
          <w:rFonts w:eastAsia="Times New Roman"/>
        </w:rPr>
      </w:pPr>
    </w:p>
    <w:p w:rsidR="001C4D6E" w:rsidP="00EC3B81" w14:paraId="202738D6" w14:textId="4D02CD36">
      <w:pPr>
        <w:rPr>
          <w:rFonts w:eastAsia="Times New Roman"/>
        </w:rPr>
      </w:pPr>
      <w:r>
        <w:rPr>
          <w:rFonts w:eastAsia="Times New Roman"/>
        </w:rPr>
        <w:t>The first action, recording PY</w:t>
      </w:r>
      <w:r w:rsidR="006677D2">
        <w:rPr>
          <w:rFonts w:eastAsia="Times New Roman"/>
        </w:rPr>
        <w:t xml:space="preserve"> </w:t>
      </w:r>
      <w:r>
        <w:rPr>
          <w:rFonts w:eastAsia="Times New Roman"/>
        </w:rPr>
        <w:t>2027 consumer calls</w:t>
      </w:r>
      <w:r w:rsidR="00711FB3">
        <w:rPr>
          <w:rFonts w:eastAsia="Times New Roman"/>
        </w:rPr>
        <w:t>,</w:t>
      </w:r>
      <w:r>
        <w:rPr>
          <w:rFonts w:eastAsia="Times New Roman"/>
        </w:rPr>
        <w:t xml:space="preserve"> involves</w:t>
      </w:r>
      <w:r w:rsidRPr="61171F97" w:rsidR="61171F97">
        <w:rPr>
          <w:rFonts w:eastAsia="Times New Roman"/>
        </w:rPr>
        <w:t xml:space="preserve"> QHP issuers requiring their appointed ABs to </w:t>
      </w:r>
      <w:r w:rsidR="61171F97">
        <w:t xml:space="preserve">record calls with new and existing </w:t>
      </w:r>
      <w:r w:rsidR="00711FB3">
        <w:t>Exchange</w:t>
      </w:r>
      <w:r w:rsidR="61171F97">
        <w:t xml:space="preserve"> consumers to capture interactions involving plan comparison and selection, enrollment, and sales and marketing. We</w:t>
      </w:r>
      <w:r w:rsidRPr="61171F97" w:rsidR="61171F97">
        <w:rPr>
          <w:rFonts w:eastAsia="Times New Roman"/>
        </w:rPr>
        <w:t xml:space="preserve"> believe the burden associated with this requirement would be the time and effort to amend the contract and operating procedures that govern the QHP </w:t>
      </w:r>
      <w:r w:rsidRPr="03E34B4A" w:rsidR="03E34B4A">
        <w:rPr>
          <w:rFonts w:eastAsia="Times New Roman"/>
        </w:rPr>
        <w:t xml:space="preserve">issuers’ </w:t>
      </w:r>
      <w:r w:rsidR="001A57C3">
        <w:rPr>
          <w:rFonts w:eastAsia="Times New Roman"/>
        </w:rPr>
        <w:t xml:space="preserve">appointed </w:t>
      </w:r>
      <w:r w:rsidRPr="03E34B4A" w:rsidR="03E34B4A">
        <w:rPr>
          <w:rFonts w:eastAsia="Times New Roman"/>
        </w:rPr>
        <w:t>ABs.</w:t>
      </w:r>
      <w:r w:rsidR="008160A3">
        <w:rPr>
          <w:rFonts w:eastAsia="Times New Roman"/>
        </w:rPr>
        <w:t xml:space="preserve"> </w:t>
      </w:r>
      <w:r w:rsidRPr="61171F97" w:rsidR="61171F97">
        <w:rPr>
          <w:rFonts w:eastAsia="Times New Roman"/>
        </w:rPr>
        <w:t xml:space="preserve">We believe that the time, effort, and financial resources to comply with the information collection requirements would be incurred by </w:t>
      </w:r>
      <w:r w:rsidRPr="61171F97" w:rsidR="61171F97">
        <w:rPr>
          <w:rFonts w:eastAsia="Times New Roman"/>
        </w:rPr>
        <w:t>persons</w:t>
      </w:r>
      <w:r w:rsidRPr="61171F97" w:rsidR="61171F97">
        <w:rPr>
          <w:rFonts w:eastAsia="Times New Roman"/>
        </w:rPr>
        <w:t xml:space="preserve"> in the normal course of their activities and therefore considered to be usual and customary business practice. </w:t>
      </w:r>
    </w:p>
    <w:p w:rsidR="001C4D6E" w:rsidP="00EC3B81" w14:paraId="3CCDDCFF" w14:textId="77777777">
      <w:pPr>
        <w:rPr>
          <w:rFonts w:eastAsia="Times New Roman"/>
        </w:rPr>
      </w:pPr>
    </w:p>
    <w:p w:rsidR="00F3626A" w:rsidP="00EC3B81" w14:paraId="43AFD101" w14:textId="0265BE67">
      <w:r w:rsidRPr="61171F97">
        <w:rPr>
          <w:rFonts w:eastAsia="Times New Roman"/>
        </w:rPr>
        <w:t>We further believe that the</w:t>
      </w:r>
      <w:r>
        <w:t xml:space="preserve"> costs associated with providing the recording to the </w:t>
      </w:r>
      <w:r w:rsidR="03E34B4A">
        <w:t xml:space="preserve">QHP </w:t>
      </w:r>
      <w:r>
        <w:t>issuer or CMS are highly variable for each respondent. We</w:t>
      </w:r>
      <w:r w:rsidRPr="61171F97">
        <w:rPr>
          <w:color w:val="000000" w:themeColor="text1"/>
        </w:rPr>
        <w:t xml:space="preserve"> r</w:t>
      </w:r>
      <w:r>
        <w:t xml:space="preserve">ecognize that </w:t>
      </w:r>
      <w:r w:rsidR="03E34B4A">
        <w:t>ABs</w:t>
      </w:r>
      <w:r>
        <w:t xml:space="preserve"> </w:t>
      </w:r>
      <w:r w:rsidR="0026712D">
        <w:t xml:space="preserve">may </w:t>
      </w:r>
      <w:r>
        <w:t xml:space="preserve">already record </w:t>
      </w:r>
      <w:r w:rsidR="0026712D">
        <w:t xml:space="preserve">some </w:t>
      </w:r>
      <w:r>
        <w:t xml:space="preserve">consumer conversations for internal quality assurance or to fulfill the requirements of § 155.220(j)(2)(ii) and (iii) related to eligibility application review and consumer consent documentation requirements. </w:t>
      </w:r>
      <w:r w:rsidR="006D00E0">
        <w:t>A</w:t>
      </w:r>
      <w:r w:rsidR="002F3394">
        <w:t xml:space="preserve"> </w:t>
      </w:r>
      <w:r w:rsidR="7025CF9C">
        <w:t>significant</w:t>
      </w:r>
      <w:r w:rsidR="002F3394">
        <w:t xml:space="preserve"> share of </w:t>
      </w:r>
      <w:r>
        <w:t xml:space="preserve">respondents </w:t>
      </w:r>
      <w:r w:rsidR="0026712D">
        <w:t xml:space="preserve">may </w:t>
      </w:r>
      <w:r>
        <w:t>have an existing mechanism for collecting, storing, and maintaining audio recordings</w:t>
      </w:r>
      <w:r w:rsidR="002F3394">
        <w:t xml:space="preserve"> and would incur no cost</w:t>
      </w:r>
      <w:r w:rsidR="00075A52">
        <w:t>. We</w:t>
      </w:r>
      <w:r w:rsidRPr="00075A52" w:rsidR="00075A52">
        <w:t xml:space="preserve"> chose to overestimate</w:t>
      </w:r>
      <w:r w:rsidR="002F3394">
        <w:t xml:space="preserve"> the impact</w:t>
      </w:r>
      <w:r w:rsidR="00407F03">
        <w:t xml:space="preserve"> </w:t>
      </w:r>
      <w:r w:rsidRPr="00075A52" w:rsidR="00075A52">
        <w:t>in order to</w:t>
      </w:r>
      <w:r w:rsidRPr="00075A52" w:rsidR="00075A52">
        <w:t xml:space="preserve"> </w:t>
      </w:r>
      <w:r w:rsidR="00407F03">
        <w:t xml:space="preserve">account for all plausible </w:t>
      </w:r>
      <w:r w:rsidR="002F3394">
        <w:t>burden</w:t>
      </w:r>
      <w:r>
        <w:t xml:space="preserve">. If the QHP issuer or CMS requests the recording as part of an investigation into compliance </w:t>
      </w:r>
      <w:r>
        <w:t>of</w:t>
      </w:r>
      <w:r>
        <w:t xml:space="preserve"> the AB, we anticipate that the recordings will be turned over as evidence in response to the request. </w:t>
      </w:r>
    </w:p>
    <w:p w:rsidR="00F3626A" w:rsidP="00EC3B81" w14:paraId="6D421A48" w14:textId="77777777"/>
    <w:p w:rsidR="00EC3B81" w:rsidRPr="00EC3B81" w:rsidP="00EC3B81" w14:paraId="300CFF6F" w14:textId="63E07C40">
      <w:r w:rsidRPr="0058139B">
        <w:rPr>
          <w:rFonts w:eastAsia="Calibri"/>
        </w:rPr>
        <w:t xml:space="preserve">According to our records, </w:t>
      </w:r>
      <w:r>
        <w:rPr>
          <w:rFonts w:eastAsia="Calibri"/>
        </w:rPr>
        <w:t>in PY 2026</w:t>
      </w:r>
      <w:r w:rsidR="001C4D6E">
        <w:rPr>
          <w:rFonts w:eastAsia="Calibri"/>
        </w:rPr>
        <w:t>,</w:t>
      </w:r>
      <w:r>
        <w:rPr>
          <w:rFonts w:eastAsia="Calibri"/>
        </w:rPr>
        <w:t xml:space="preserve"> there were 84,012 total registered </w:t>
      </w:r>
      <w:r w:rsidR="001C4D6E">
        <w:rPr>
          <w:rFonts w:eastAsia="Calibri"/>
        </w:rPr>
        <w:t>ABs</w:t>
      </w:r>
      <w:r>
        <w:rPr>
          <w:rFonts w:eastAsia="Calibri"/>
        </w:rPr>
        <w:t xml:space="preserve"> with active enrollments in the FFEs</w:t>
      </w:r>
      <w:r w:rsidRPr="0058139B">
        <w:rPr>
          <w:rFonts w:eastAsia="Calibri"/>
        </w:rPr>
        <w:t xml:space="preserve"> </w:t>
      </w:r>
      <w:r>
        <w:rPr>
          <w:rFonts w:eastAsia="Calibri"/>
        </w:rPr>
        <w:t>that</w:t>
      </w:r>
      <w:r w:rsidRPr="0058139B">
        <w:rPr>
          <w:rFonts w:eastAsia="Calibri"/>
        </w:rPr>
        <w:t xml:space="preserve"> completed the FFE training </w:t>
      </w:r>
      <w:r>
        <w:rPr>
          <w:rFonts w:eastAsia="Calibri"/>
        </w:rPr>
        <w:t>and were</w:t>
      </w:r>
      <w:r w:rsidRPr="0058139B">
        <w:rPr>
          <w:rFonts w:eastAsia="Calibri"/>
        </w:rPr>
        <w:t xml:space="preserve"> registered to assist consumers on the Exchanges.</w:t>
      </w:r>
      <w:r>
        <w:rPr>
          <w:rFonts w:eastAsia="Calibri"/>
        </w:rPr>
        <w:t xml:space="preserve"> We estimate that no more than 10% </w:t>
      </w:r>
      <w:r w:rsidR="009D785F">
        <w:rPr>
          <w:rFonts w:eastAsia="Calibri"/>
        </w:rPr>
        <w:t xml:space="preserve">(or 8,401) </w:t>
      </w:r>
      <w:r>
        <w:rPr>
          <w:rFonts w:eastAsia="Calibri"/>
        </w:rPr>
        <w:t xml:space="preserve">of these ABs </w:t>
      </w:r>
      <w:r>
        <w:rPr>
          <w:rFonts w:eastAsia="Calibri"/>
        </w:rPr>
        <w:t>would be</w:t>
      </w:r>
      <w:r>
        <w:rPr>
          <w:rFonts w:eastAsia="Calibri"/>
        </w:rPr>
        <w:t xml:space="preserve"> required to submit audio recordings to a QHP issuer or CMS </w:t>
      </w:r>
      <w:r w:rsidR="00E055C8">
        <w:rPr>
          <w:rFonts w:eastAsia="Calibri"/>
        </w:rPr>
        <w:t>annually</w:t>
      </w:r>
      <w:r w:rsidR="006123BD">
        <w:rPr>
          <w:rFonts w:eastAsia="Calibri"/>
        </w:rPr>
        <w:t xml:space="preserve"> based on our experience in </w:t>
      </w:r>
      <w:r w:rsidRPr="063A7248" w:rsidR="063A7248">
        <w:rPr>
          <w:rFonts w:eastAsia="Calibri"/>
        </w:rPr>
        <w:t xml:space="preserve">identifying </w:t>
      </w:r>
      <w:r w:rsidRPr="7208A339" w:rsidR="7208A339">
        <w:rPr>
          <w:rFonts w:eastAsia="Calibri"/>
        </w:rPr>
        <w:t xml:space="preserve">suspicious AB enrollment patterns and </w:t>
      </w:r>
      <w:r w:rsidR="007766F3">
        <w:rPr>
          <w:rFonts w:eastAsia="Calibri"/>
        </w:rPr>
        <w:t xml:space="preserve">conducting </w:t>
      </w:r>
      <w:r w:rsidR="006123BD">
        <w:rPr>
          <w:rFonts w:eastAsia="Calibri"/>
        </w:rPr>
        <w:t>AB compliance investigations</w:t>
      </w:r>
      <w:r>
        <w:rPr>
          <w:rFonts w:eastAsia="Calibri"/>
        </w:rPr>
        <w:t>. QHP issuers</w:t>
      </w:r>
      <w:r w:rsidR="61171F97">
        <w:rPr>
          <w:rFonts w:eastAsia="Calibri"/>
        </w:rPr>
        <w:t xml:space="preserve"> may </w:t>
      </w:r>
      <w:r>
        <w:t>provide this in</w:t>
      </w:r>
      <w:r w:rsidR="61171F97">
        <w:t xml:space="preserve"> an email submission to the QHP issuer’s CMS account manager</w:t>
      </w:r>
      <w:r>
        <w:t>, if requested</w:t>
      </w:r>
      <w:r w:rsidR="61171F97">
        <w:t xml:space="preserve">. </w:t>
      </w:r>
      <w:r w:rsidR="009D785F">
        <w:t>We estimate this will take 1 hour</w:t>
      </w:r>
      <w:r w:rsidR="00C006B9">
        <w:t xml:space="preserve"> annually per AB, for a total of 8,401 hours across all </w:t>
      </w:r>
      <w:r w:rsidR="00C006B9">
        <w:t>ABs.</w:t>
      </w:r>
    </w:p>
    <w:p w:rsidR="001411BA" w:rsidRPr="00EC3B81" w:rsidP="00EC3B81" w14:paraId="32993FC0" w14:textId="77777777"/>
    <w:p w:rsidR="003E5351" w:rsidP="003E5351" w14:paraId="57CA49D9" w14:textId="02A5B3C4">
      <w:pPr>
        <w:rPr>
          <w:rFonts w:eastAsia="Times New Roman"/>
        </w:rPr>
      </w:pPr>
      <w:r>
        <w:rPr>
          <w:rFonts w:eastAsia="Times New Roman"/>
        </w:rPr>
        <w:t>T</w:t>
      </w:r>
      <w:r w:rsidRPr="03E34B4A" w:rsidR="03E34B4A">
        <w:rPr>
          <w:rFonts w:eastAsia="Times New Roman"/>
        </w:rPr>
        <w:t>he</w:t>
      </w:r>
      <w:r w:rsidRPr="05BBEAA1" w:rsidR="05BBEAA1">
        <w:rPr>
          <w:rFonts w:eastAsia="Times New Roman"/>
        </w:rPr>
        <w:t xml:space="preserve"> second action, maintaining enrollment calls for 10 years</w:t>
      </w:r>
      <w:r>
        <w:rPr>
          <w:rFonts w:eastAsia="Times New Roman"/>
        </w:rPr>
        <w:t>,</w:t>
      </w:r>
      <w:r w:rsidRPr="05BBEAA1" w:rsidR="05BBEAA1">
        <w:rPr>
          <w:rFonts w:eastAsia="Times New Roman"/>
        </w:rPr>
        <w:t xml:space="preserve"> aligns with existing Exchange recordkeeping requirements for QHP issuers. We expect that QHP issuers </w:t>
      </w:r>
      <w:r w:rsidR="009573C3">
        <w:rPr>
          <w:rFonts w:eastAsia="Times New Roman"/>
        </w:rPr>
        <w:t>will</w:t>
      </w:r>
      <w:r w:rsidRPr="05BBEAA1" w:rsidR="05BBEAA1">
        <w:rPr>
          <w:rFonts w:eastAsia="Times New Roman"/>
        </w:rPr>
        <w:t xml:space="preserve"> maintain this information in an electronic data system. The burden estimate associated with this requirement includes the time and effort needed to program the issuer’s electronic data system to retain this information. We estimate that 366 QHP issuers </w:t>
      </w:r>
      <w:r w:rsidRPr="41FE7D58" w:rsidR="41FE7D58">
        <w:rPr>
          <w:rFonts w:eastAsia="Times New Roman"/>
        </w:rPr>
        <w:t xml:space="preserve">(i.e., all QHP issuers participating </w:t>
      </w:r>
      <w:r w:rsidRPr="41FE7D58" w:rsidR="41FE7D58">
        <w:rPr>
          <w:rFonts w:eastAsia="Times New Roman"/>
        </w:rPr>
        <w:t>on</w:t>
      </w:r>
      <w:r w:rsidRPr="41FE7D58" w:rsidR="41FE7D58">
        <w:rPr>
          <w:rFonts w:eastAsia="Times New Roman"/>
        </w:rPr>
        <w:t xml:space="preserve"> HealthCare.gov</w:t>
      </w:r>
      <w:r w:rsidR="00B9189E">
        <w:rPr>
          <w:rFonts w:eastAsia="Times New Roman"/>
        </w:rPr>
        <w:t xml:space="preserve"> in PY 2026</w:t>
      </w:r>
      <w:r w:rsidRPr="41FE7D58" w:rsidR="41FE7D58">
        <w:rPr>
          <w:rFonts w:eastAsia="Times New Roman"/>
        </w:rPr>
        <w:t>)</w:t>
      </w:r>
      <w:r w:rsidRPr="05BBEAA1" w:rsidR="05BBEAA1">
        <w:rPr>
          <w:rFonts w:eastAsia="Times New Roman"/>
        </w:rPr>
        <w:t xml:space="preserve"> will be subject to this requirement. As such, we estimate that it will take approximately 30 hours annually for the time and effort to maintain the records </w:t>
      </w:r>
      <w:r w:rsidR="001318A8">
        <w:rPr>
          <w:rFonts w:eastAsia="Times New Roman"/>
        </w:rPr>
        <w:t>for</w:t>
      </w:r>
      <w:r w:rsidRPr="05BBEAA1" w:rsidR="001318A8">
        <w:rPr>
          <w:rFonts w:eastAsia="Times New Roman"/>
        </w:rPr>
        <w:t xml:space="preserve"> </w:t>
      </w:r>
      <w:r w:rsidRPr="05BBEAA1" w:rsidR="05BBEAA1">
        <w:rPr>
          <w:rFonts w:eastAsia="Times New Roman"/>
        </w:rPr>
        <w:t xml:space="preserve">each </w:t>
      </w:r>
      <w:r w:rsidRPr="03E34B4A" w:rsidR="03E34B4A">
        <w:rPr>
          <w:rFonts w:eastAsia="Times New Roman"/>
        </w:rPr>
        <w:t xml:space="preserve">QHP </w:t>
      </w:r>
      <w:r w:rsidRPr="05BBEAA1" w:rsidR="05BBEAA1">
        <w:rPr>
          <w:rFonts w:eastAsia="Times New Roman"/>
        </w:rPr>
        <w:t>issuer</w:t>
      </w:r>
      <w:r w:rsidR="001318A8">
        <w:rPr>
          <w:rFonts w:eastAsia="Times New Roman"/>
        </w:rPr>
        <w:t>,</w:t>
      </w:r>
      <w:r w:rsidRPr="05BBEAA1" w:rsidR="05BBEAA1">
        <w:rPr>
          <w:rFonts w:eastAsia="Times New Roman"/>
        </w:rPr>
        <w:t xml:space="preserve"> for a total of 10,980 hours across all QHP issuers in </w:t>
      </w:r>
      <w:r w:rsidRPr="03E34B4A" w:rsidR="03E34B4A">
        <w:rPr>
          <w:rFonts w:eastAsia="Times New Roman"/>
        </w:rPr>
        <w:t xml:space="preserve">the </w:t>
      </w:r>
      <w:r w:rsidRPr="05BBEAA1" w:rsidR="05BBEAA1">
        <w:rPr>
          <w:rFonts w:eastAsia="Times New Roman"/>
        </w:rPr>
        <w:t>FFEs.</w:t>
      </w:r>
    </w:p>
    <w:p w:rsidR="009D3390" w:rsidP="003E5351" w14:paraId="6FC9EC29" w14:textId="77777777">
      <w:pPr>
        <w:rPr>
          <w:rFonts w:eastAsia="Times New Roman"/>
          <w:b/>
          <w:iCs/>
        </w:rPr>
      </w:pPr>
    </w:p>
    <w:p w:rsidR="009D3390" w:rsidP="00F3626A" w14:paraId="0D9A8FB0" w14:textId="0E998929">
      <w:pPr>
        <w:pStyle w:val="Heading4"/>
        <w:rPr>
          <w:rFonts w:eastAsia="Times New Roman" w:cs="Times New Roman"/>
          <w:b/>
          <w:i w:val="0"/>
          <w:color w:val="auto"/>
        </w:rPr>
      </w:pPr>
      <w:r w:rsidRPr="7C4F8D03">
        <w:rPr>
          <w:rFonts w:eastAsia="Times New Roman" w:cs="Times New Roman"/>
          <w:b/>
          <w:i w:val="0"/>
          <w:color w:val="auto"/>
        </w:rPr>
        <w:t xml:space="preserve">TABLE 2: Burden </w:t>
      </w:r>
      <w:r w:rsidR="001411BA">
        <w:rPr>
          <w:rFonts w:eastAsia="Times New Roman" w:cs="Times New Roman"/>
          <w:b/>
          <w:i w:val="0"/>
          <w:color w:val="auto"/>
        </w:rPr>
        <w:t>to QHP Issuers for</w:t>
      </w:r>
      <w:r w:rsidRPr="7C4F8D03">
        <w:rPr>
          <w:rFonts w:eastAsia="Times New Roman" w:cs="Times New Roman"/>
          <w:b/>
          <w:i w:val="0"/>
          <w:color w:val="auto"/>
        </w:rPr>
        <w:t xml:space="preserve"> </w:t>
      </w:r>
      <w:r w:rsidR="001411BA">
        <w:rPr>
          <w:rFonts w:eastAsia="Times New Roman" w:cs="Times New Roman"/>
          <w:b/>
          <w:i w:val="0"/>
          <w:color w:val="auto"/>
        </w:rPr>
        <w:t>Recommended Call Recordings</w:t>
      </w:r>
      <w:r w:rsidRPr="7C4F8D03">
        <w:rPr>
          <w:rFonts w:eastAsia="Times New Roman" w:cs="Times New Roman"/>
          <w:b/>
          <w:i w:val="0"/>
          <w:color w:val="auto"/>
        </w:rPr>
        <w:t xml:space="preserve"> </w:t>
      </w:r>
    </w:p>
    <w:p w:rsidR="00CA45DA" w:rsidRPr="004E79EC" w:rsidP="00AB6605" w14:paraId="4DE54D1A" w14:textId="77777777">
      <w:pPr>
        <w:keepNext/>
        <w:rPr>
          <w:i/>
        </w:rPr>
      </w:pPr>
    </w:p>
    <w:tbl>
      <w:tblPr>
        <w:tblW w:w="9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24"/>
        <w:gridCol w:w="1404"/>
        <w:gridCol w:w="1572"/>
        <w:gridCol w:w="1716"/>
        <w:gridCol w:w="1614"/>
        <w:gridCol w:w="1621"/>
      </w:tblGrid>
      <w:tr w14:paraId="3B1ECA4B" w14:textId="77777777" w:rsidTr="00932B9A">
        <w:tblPrEx>
          <w:tblW w:w="9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90"/>
        </w:trPr>
        <w:tc>
          <w:tcPr>
            <w:tcW w:w="1524" w:type="dxa"/>
            <w:vAlign w:val="center"/>
          </w:tcPr>
          <w:p w:rsidR="009D3390" w:rsidRPr="004E79EC" w:rsidP="004E79EC" w14:paraId="154322C0" w14:textId="57E72073">
            <w:pPr>
              <w:pStyle w:val="TableParagraph"/>
              <w:spacing w:line="240" w:lineRule="auto"/>
              <w:ind w:right="275"/>
              <w:rPr>
                <w:b/>
                <w:sz w:val="24"/>
                <w:szCs w:val="24"/>
              </w:rPr>
            </w:pPr>
            <w:r w:rsidRPr="004E79EC">
              <w:rPr>
                <w:b/>
                <w:spacing w:val="-4"/>
                <w:sz w:val="24"/>
                <w:szCs w:val="24"/>
              </w:rPr>
              <w:t xml:space="preserve">Labor </w:t>
            </w:r>
            <w:r w:rsidRPr="004E79EC">
              <w:rPr>
                <w:b/>
                <w:spacing w:val="-2"/>
                <w:sz w:val="24"/>
                <w:szCs w:val="24"/>
              </w:rPr>
              <w:t>Catego</w:t>
            </w:r>
            <w:r w:rsidRPr="004E79EC" w:rsidR="00BA5E39">
              <w:rPr>
                <w:b/>
                <w:spacing w:val="-2"/>
                <w:sz w:val="24"/>
                <w:szCs w:val="24"/>
              </w:rPr>
              <w:t>r</w:t>
            </w:r>
            <w:r w:rsidRPr="004E79EC">
              <w:rPr>
                <w:b/>
                <w:sz w:val="24"/>
                <w:szCs w:val="24"/>
              </w:rPr>
              <w:t>y</w:t>
            </w:r>
          </w:p>
        </w:tc>
        <w:tc>
          <w:tcPr>
            <w:tcW w:w="1404" w:type="dxa"/>
            <w:vAlign w:val="center"/>
          </w:tcPr>
          <w:p w:rsidR="009D3390" w:rsidRPr="004E79EC" w:rsidP="004E79EC" w14:paraId="625E4686" w14:textId="3A640DD8">
            <w:pPr>
              <w:pStyle w:val="TableParagraph"/>
              <w:spacing w:line="240" w:lineRule="auto"/>
              <w:rPr>
                <w:b/>
                <w:sz w:val="24"/>
                <w:szCs w:val="24"/>
              </w:rPr>
            </w:pPr>
            <w:r w:rsidRPr="004E79EC">
              <w:rPr>
                <w:b/>
                <w:bCs/>
                <w:sz w:val="24"/>
                <w:szCs w:val="24"/>
              </w:rPr>
              <w:t>Number</w:t>
            </w:r>
            <w:r w:rsidRPr="004E79EC">
              <w:rPr>
                <w:b/>
                <w:bCs/>
                <w:spacing w:val="-15"/>
                <w:sz w:val="24"/>
                <w:szCs w:val="24"/>
              </w:rPr>
              <w:t xml:space="preserve"> </w:t>
            </w:r>
            <w:r w:rsidRPr="004E79EC">
              <w:rPr>
                <w:b/>
                <w:bCs/>
                <w:sz w:val="24"/>
                <w:szCs w:val="24"/>
              </w:rPr>
              <w:t xml:space="preserve">of </w:t>
            </w:r>
            <w:r w:rsidR="004209E1">
              <w:rPr>
                <w:b/>
                <w:bCs/>
                <w:spacing w:val="-2"/>
                <w:sz w:val="24"/>
                <w:szCs w:val="24"/>
              </w:rPr>
              <w:t>Respondents</w:t>
            </w:r>
          </w:p>
        </w:tc>
        <w:tc>
          <w:tcPr>
            <w:tcW w:w="1572" w:type="dxa"/>
            <w:vAlign w:val="center"/>
          </w:tcPr>
          <w:p w:rsidR="009D3390" w:rsidRPr="004E79EC" w:rsidP="004E79EC" w14:paraId="6AEA174B" w14:textId="2BECDF34">
            <w:pPr>
              <w:pStyle w:val="TableParagraph"/>
              <w:spacing w:line="240" w:lineRule="auto"/>
              <w:ind w:right="85"/>
              <w:rPr>
                <w:b/>
                <w:sz w:val="24"/>
                <w:szCs w:val="24"/>
              </w:rPr>
            </w:pPr>
            <w:r w:rsidRPr="004E79EC">
              <w:rPr>
                <w:b/>
                <w:sz w:val="24"/>
                <w:szCs w:val="24"/>
              </w:rPr>
              <w:t>Hourly</w:t>
            </w:r>
            <w:r w:rsidRPr="004E79EC">
              <w:rPr>
                <w:b/>
                <w:spacing w:val="-15"/>
                <w:sz w:val="24"/>
                <w:szCs w:val="24"/>
              </w:rPr>
              <w:t xml:space="preserve"> </w:t>
            </w:r>
            <w:r w:rsidRPr="004E79EC">
              <w:rPr>
                <w:b/>
                <w:sz w:val="24"/>
                <w:szCs w:val="24"/>
              </w:rPr>
              <w:t xml:space="preserve">Labor </w:t>
            </w:r>
            <w:r w:rsidRPr="004E79EC">
              <w:rPr>
                <w:b/>
                <w:spacing w:val="-4"/>
                <w:sz w:val="24"/>
                <w:szCs w:val="24"/>
              </w:rPr>
              <w:t>Costs</w:t>
            </w:r>
            <w:r w:rsidR="004209E1">
              <w:rPr>
                <w:b/>
                <w:bCs/>
                <w:spacing w:val="-4"/>
                <w:sz w:val="24"/>
                <w:szCs w:val="24"/>
              </w:rPr>
              <w:t xml:space="preserve"> (Hourly Rate + 100% Fringe Benefits)</w:t>
            </w:r>
          </w:p>
        </w:tc>
        <w:tc>
          <w:tcPr>
            <w:tcW w:w="1716" w:type="dxa"/>
            <w:vAlign w:val="center"/>
          </w:tcPr>
          <w:p w:rsidR="009D3390" w:rsidRPr="004E79EC" w:rsidP="004E79EC" w14:paraId="4DAD830E" w14:textId="1F2D7AB6">
            <w:pPr>
              <w:pStyle w:val="TableParagraph"/>
              <w:spacing w:line="240" w:lineRule="auto"/>
              <w:rPr>
                <w:b/>
                <w:sz w:val="24"/>
                <w:szCs w:val="24"/>
              </w:rPr>
            </w:pPr>
            <w:r w:rsidRPr="004E79EC">
              <w:rPr>
                <w:b/>
                <w:sz w:val="24"/>
                <w:szCs w:val="24"/>
              </w:rPr>
              <w:t>Burden</w:t>
            </w:r>
            <w:r w:rsidRPr="004E79EC">
              <w:rPr>
                <w:b/>
                <w:spacing w:val="-2"/>
                <w:sz w:val="24"/>
                <w:szCs w:val="24"/>
              </w:rPr>
              <w:t xml:space="preserve"> Hours</w:t>
            </w:r>
            <w:r w:rsidR="004209E1">
              <w:rPr>
                <w:b/>
                <w:bCs/>
                <w:spacing w:val="-2"/>
                <w:sz w:val="24"/>
                <w:szCs w:val="24"/>
              </w:rPr>
              <w:t xml:space="preserve"> (per Respondent)</w:t>
            </w:r>
          </w:p>
        </w:tc>
        <w:tc>
          <w:tcPr>
            <w:tcW w:w="1614" w:type="dxa"/>
            <w:vAlign w:val="center"/>
          </w:tcPr>
          <w:p w:rsidR="009D3390" w:rsidRPr="004E79EC" w:rsidP="004E79EC" w14:paraId="7B85BA61" w14:textId="4C0E81FC">
            <w:pPr>
              <w:pStyle w:val="TableParagraph"/>
              <w:spacing w:line="240" w:lineRule="auto"/>
              <w:ind w:right="258"/>
              <w:rPr>
                <w:b/>
                <w:sz w:val="24"/>
                <w:szCs w:val="24"/>
              </w:rPr>
            </w:pPr>
            <w:bookmarkStart w:id="4" w:name="Total_Burden_Costs_per"/>
            <w:bookmarkEnd w:id="4"/>
            <w:r w:rsidRPr="00AB6605">
              <w:rPr>
                <w:b/>
                <w:spacing w:val="-2"/>
                <w:sz w:val="24"/>
                <w:szCs w:val="24"/>
              </w:rPr>
              <w:t>Total Burden Costs</w:t>
            </w:r>
            <w:r w:rsidRPr="00AB6605">
              <w:rPr>
                <w:b/>
                <w:spacing w:val="-13"/>
                <w:sz w:val="24"/>
                <w:szCs w:val="24"/>
              </w:rPr>
              <w:t xml:space="preserve"> </w:t>
            </w:r>
            <w:r w:rsidR="004209E1">
              <w:rPr>
                <w:b/>
                <w:bCs/>
                <w:spacing w:val="-13"/>
                <w:sz w:val="24"/>
                <w:szCs w:val="24"/>
              </w:rPr>
              <w:t>(</w:t>
            </w:r>
            <w:r w:rsidRPr="004E79EC">
              <w:rPr>
                <w:b/>
                <w:spacing w:val="-2"/>
                <w:sz w:val="24"/>
                <w:szCs w:val="28"/>
              </w:rPr>
              <w:t>per</w:t>
            </w:r>
            <w:r w:rsidRPr="00AB6605" w:rsidR="00CA45DA">
              <w:rPr>
                <w:b/>
                <w:spacing w:val="-2"/>
                <w:sz w:val="24"/>
                <w:szCs w:val="24"/>
              </w:rPr>
              <w:t xml:space="preserve"> </w:t>
            </w:r>
            <w:r w:rsidR="004209E1">
              <w:rPr>
                <w:b/>
                <w:bCs/>
                <w:sz w:val="24"/>
                <w:szCs w:val="24"/>
              </w:rPr>
              <w:t>Respondent)</w:t>
            </w:r>
          </w:p>
        </w:tc>
        <w:tc>
          <w:tcPr>
            <w:tcW w:w="1621" w:type="dxa"/>
            <w:vAlign w:val="center"/>
          </w:tcPr>
          <w:p w:rsidR="009D3390" w:rsidRPr="004E79EC" w:rsidP="004E79EC" w14:paraId="04DA05D7" w14:textId="42BC8131">
            <w:pPr>
              <w:pStyle w:val="TableParagraph"/>
              <w:spacing w:line="240" w:lineRule="auto"/>
              <w:ind w:right="181"/>
              <w:rPr>
                <w:b/>
                <w:sz w:val="24"/>
                <w:szCs w:val="24"/>
              </w:rPr>
            </w:pPr>
            <w:r w:rsidRPr="004E79EC">
              <w:rPr>
                <w:b/>
                <w:sz w:val="24"/>
                <w:szCs w:val="24"/>
              </w:rPr>
              <w:t>Total</w:t>
            </w:r>
            <w:r w:rsidRPr="004E79EC">
              <w:rPr>
                <w:b/>
                <w:spacing w:val="-15"/>
                <w:sz w:val="24"/>
                <w:szCs w:val="24"/>
              </w:rPr>
              <w:t xml:space="preserve"> </w:t>
            </w:r>
            <w:r w:rsidRPr="004E79EC">
              <w:rPr>
                <w:b/>
                <w:sz w:val="24"/>
                <w:szCs w:val="24"/>
              </w:rPr>
              <w:t>Burden Costs (</w:t>
            </w:r>
            <w:r w:rsidR="004209E1">
              <w:rPr>
                <w:b/>
                <w:bCs/>
                <w:sz w:val="24"/>
                <w:szCs w:val="24"/>
              </w:rPr>
              <w:t>All Respondents</w:t>
            </w:r>
            <w:r w:rsidRPr="004E79EC">
              <w:rPr>
                <w:b/>
                <w:sz w:val="24"/>
                <w:szCs w:val="24"/>
              </w:rPr>
              <w:t>)</w:t>
            </w:r>
          </w:p>
        </w:tc>
      </w:tr>
      <w:tr w14:paraId="7F5C3D8E" w14:textId="77777777" w:rsidTr="00932B9A">
        <w:tblPrEx>
          <w:tblW w:w="9451" w:type="dxa"/>
          <w:tblInd w:w="-5" w:type="dxa"/>
          <w:tblLayout w:type="fixed"/>
          <w:tblCellMar>
            <w:left w:w="0" w:type="dxa"/>
            <w:right w:w="0" w:type="dxa"/>
          </w:tblCellMar>
          <w:tblLook w:val="01E0"/>
        </w:tblPrEx>
        <w:trPr>
          <w:trHeight w:val="597"/>
        </w:trPr>
        <w:tc>
          <w:tcPr>
            <w:tcW w:w="1524" w:type="dxa"/>
          </w:tcPr>
          <w:p w:rsidR="009D3390" w:rsidP="005E0067" w14:paraId="27437A23" w14:textId="31420C94">
            <w:pPr>
              <w:pStyle w:val="TableParagraph"/>
              <w:spacing w:before="24" w:line="240" w:lineRule="auto"/>
              <w:ind w:left="98"/>
              <w:jc w:val="left"/>
              <w:rPr>
                <w:sz w:val="24"/>
                <w:szCs w:val="24"/>
              </w:rPr>
            </w:pPr>
            <w:r w:rsidRPr="47826249">
              <w:rPr>
                <w:sz w:val="24"/>
                <w:szCs w:val="24"/>
              </w:rPr>
              <w:t>Insurance Claims and Policy Processing Clerks</w:t>
            </w:r>
            <w:r w:rsidR="005E5119">
              <w:rPr>
                <w:sz w:val="24"/>
                <w:szCs w:val="24"/>
              </w:rPr>
              <w:t xml:space="preserve"> </w:t>
            </w:r>
          </w:p>
        </w:tc>
        <w:tc>
          <w:tcPr>
            <w:tcW w:w="1404" w:type="dxa"/>
          </w:tcPr>
          <w:p w:rsidR="009D3390" w:rsidP="005E0067" w14:paraId="62B150DA" w14:textId="3049135B">
            <w:pPr>
              <w:pStyle w:val="TableParagraph"/>
              <w:spacing w:line="240" w:lineRule="auto"/>
              <w:ind w:left="79" w:right="58"/>
              <w:rPr>
                <w:sz w:val="24"/>
                <w:szCs w:val="24"/>
              </w:rPr>
            </w:pPr>
            <w:r>
              <w:rPr>
                <w:spacing w:val="-10"/>
                <w:sz w:val="24"/>
                <w:szCs w:val="24"/>
              </w:rPr>
              <w:t>366</w:t>
            </w:r>
          </w:p>
        </w:tc>
        <w:tc>
          <w:tcPr>
            <w:tcW w:w="1572" w:type="dxa"/>
          </w:tcPr>
          <w:p w:rsidR="009D3390" w:rsidP="005E0067" w14:paraId="4777A79E" w14:textId="77777777">
            <w:pPr>
              <w:pStyle w:val="TableParagraph"/>
              <w:spacing w:line="240" w:lineRule="auto"/>
              <w:ind w:left="9"/>
              <w:rPr>
                <w:sz w:val="24"/>
                <w:szCs w:val="24"/>
              </w:rPr>
            </w:pPr>
            <w:r>
              <w:t>$47.34</w:t>
            </w:r>
          </w:p>
        </w:tc>
        <w:tc>
          <w:tcPr>
            <w:tcW w:w="1716" w:type="dxa"/>
          </w:tcPr>
          <w:p w:rsidR="009D3390" w:rsidP="005E0067" w14:paraId="54662BDE" w14:textId="77777777">
            <w:pPr>
              <w:pStyle w:val="TableParagraph"/>
              <w:spacing w:line="240" w:lineRule="auto"/>
              <w:ind w:left="71" w:right="55"/>
              <w:rPr>
                <w:sz w:val="24"/>
                <w:szCs w:val="24"/>
              </w:rPr>
            </w:pPr>
            <w:r>
              <w:rPr>
                <w:spacing w:val="-5"/>
                <w:sz w:val="24"/>
                <w:szCs w:val="24"/>
              </w:rPr>
              <w:t>5</w:t>
            </w:r>
          </w:p>
        </w:tc>
        <w:tc>
          <w:tcPr>
            <w:tcW w:w="1614" w:type="dxa"/>
          </w:tcPr>
          <w:p w:rsidR="009D3390" w:rsidP="005E0067" w14:paraId="6EADCAD2" w14:textId="77777777">
            <w:pPr>
              <w:pStyle w:val="TableParagraph"/>
              <w:spacing w:line="240" w:lineRule="auto"/>
              <w:ind w:left="70" w:right="51"/>
              <w:rPr>
                <w:sz w:val="24"/>
                <w:szCs w:val="24"/>
              </w:rPr>
            </w:pPr>
            <w:bookmarkStart w:id="5" w:name="$731"/>
            <w:bookmarkEnd w:id="5"/>
            <w:r w:rsidRPr="47826249">
              <w:rPr>
                <w:spacing w:val="-4"/>
                <w:sz w:val="24"/>
                <w:szCs w:val="24"/>
              </w:rPr>
              <w:t>$</w:t>
            </w:r>
            <w:r>
              <w:rPr>
                <w:sz w:val="24"/>
                <w:szCs w:val="24"/>
              </w:rPr>
              <w:t>236.70</w:t>
            </w:r>
          </w:p>
        </w:tc>
        <w:tc>
          <w:tcPr>
            <w:tcW w:w="1621" w:type="dxa"/>
          </w:tcPr>
          <w:p w:rsidR="009D3390" w:rsidP="005E0067" w14:paraId="1C4ADF11" w14:textId="77777777">
            <w:pPr>
              <w:pStyle w:val="TableParagraph"/>
              <w:spacing w:line="240" w:lineRule="auto"/>
              <w:ind w:left="79"/>
              <w:rPr>
                <w:sz w:val="24"/>
                <w:szCs w:val="24"/>
              </w:rPr>
            </w:pPr>
            <w:bookmarkStart w:id="6" w:name="$220,641"/>
            <w:bookmarkEnd w:id="6"/>
            <w:r w:rsidRPr="2519A162">
              <w:rPr>
                <w:spacing w:val="-2"/>
                <w:sz w:val="24"/>
                <w:szCs w:val="24"/>
              </w:rPr>
              <w:t>$</w:t>
            </w:r>
            <w:r>
              <w:rPr>
                <w:sz w:val="24"/>
                <w:szCs w:val="24"/>
              </w:rPr>
              <w:t>86,632.20</w:t>
            </w:r>
          </w:p>
        </w:tc>
      </w:tr>
      <w:tr w14:paraId="7835C525" w14:textId="77777777" w:rsidTr="00932B9A">
        <w:tblPrEx>
          <w:tblW w:w="9451" w:type="dxa"/>
          <w:tblInd w:w="-5" w:type="dxa"/>
          <w:tblLayout w:type="fixed"/>
          <w:tblCellMar>
            <w:left w:w="0" w:type="dxa"/>
            <w:right w:w="0" w:type="dxa"/>
          </w:tblCellMar>
          <w:tblLook w:val="01E0"/>
        </w:tblPrEx>
        <w:trPr>
          <w:trHeight w:val="594"/>
        </w:trPr>
        <w:tc>
          <w:tcPr>
            <w:tcW w:w="1524" w:type="dxa"/>
          </w:tcPr>
          <w:p w:rsidR="009D3390" w:rsidP="005E0067" w14:paraId="10B25B23" w14:textId="66A00E75">
            <w:pPr>
              <w:pStyle w:val="TableParagraph"/>
              <w:spacing w:before="1" w:line="240" w:lineRule="auto"/>
              <w:ind w:left="98" w:right="275"/>
              <w:jc w:val="left"/>
              <w:rPr>
                <w:sz w:val="24"/>
                <w:szCs w:val="24"/>
              </w:rPr>
            </w:pPr>
            <w:r>
              <w:rPr>
                <w:spacing w:val="-2"/>
                <w:sz w:val="24"/>
                <w:szCs w:val="24"/>
              </w:rPr>
              <w:t>Health Policy Analyst</w:t>
            </w:r>
          </w:p>
        </w:tc>
        <w:tc>
          <w:tcPr>
            <w:tcW w:w="1404" w:type="dxa"/>
          </w:tcPr>
          <w:p w:rsidR="009D3390" w:rsidP="005E0067" w14:paraId="255F0C95" w14:textId="2C37BCE1">
            <w:pPr>
              <w:pStyle w:val="TableParagraph"/>
              <w:spacing w:line="240" w:lineRule="auto"/>
              <w:ind w:left="79" w:right="58"/>
              <w:rPr>
                <w:sz w:val="24"/>
                <w:szCs w:val="24"/>
              </w:rPr>
            </w:pPr>
            <w:r>
              <w:rPr>
                <w:spacing w:val="-10"/>
                <w:sz w:val="24"/>
                <w:szCs w:val="24"/>
              </w:rPr>
              <w:t>366</w:t>
            </w:r>
          </w:p>
        </w:tc>
        <w:tc>
          <w:tcPr>
            <w:tcW w:w="1572" w:type="dxa"/>
          </w:tcPr>
          <w:p w:rsidR="009D3390" w:rsidP="005E0067" w14:paraId="4A7272D1" w14:textId="29EE0E37">
            <w:pPr>
              <w:pStyle w:val="TableParagraph"/>
              <w:spacing w:line="240" w:lineRule="auto"/>
              <w:ind w:left="9"/>
              <w:rPr>
                <w:sz w:val="24"/>
                <w:szCs w:val="24"/>
              </w:rPr>
            </w:pPr>
            <w:r w:rsidRPr="47826249">
              <w:rPr>
                <w:spacing w:val="-2"/>
                <w:sz w:val="24"/>
                <w:szCs w:val="24"/>
              </w:rPr>
              <w:t>$</w:t>
            </w:r>
            <w:r w:rsidRPr="51527781" w:rsidR="00585201">
              <w:rPr>
                <w:sz w:val="24"/>
                <w:szCs w:val="24"/>
              </w:rPr>
              <w:t>79.86</w:t>
            </w:r>
          </w:p>
        </w:tc>
        <w:tc>
          <w:tcPr>
            <w:tcW w:w="1716" w:type="dxa"/>
          </w:tcPr>
          <w:p w:rsidR="009D3390" w:rsidP="005E0067" w14:paraId="23AB88BB" w14:textId="77777777">
            <w:pPr>
              <w:pStyle w:val="TableParagraph"/>
              <w:spacing w:line="240" w:lineRule="auto"/>
              <w:ind w:left="71" w:right="55"/>
              <w:rPr>
                <w:sz w:val="24"/>
                <w:szCs w:val="24"/>
              </w:rPr>
            </w:pPr>
            <w:bookmarkStart w:id="7" w:name="10"/>
            <w:bookmarkEnd w:id="7"/>
            <w:r>
              <w:rPr>
                <w:spacing w:val="-5"/>
                <w:sz w:val="24"/>
                <w:szCs w:val="24"/>
              </w:rPr>
              <w:t>5</w:t>
            </w:r>
          </w:p>
        </w:tc>
        <w:tc>
          <w:tcPr>
            <w:tcW w:w="1614" w:type="dxa"/>
          </w:tcPr>
          <w:p w:rsidR="009D3390" w:rsidP="005E0067" w14:paraId="06A92862" w14:textId="2CA42DAC">
            <w:pPr>
              <w:pStyle w:val="TableParagraph"/>
              <w:spacing w:line="240" w:lineRule="auto"/>
              <w:ind w:left="70" w:right="56"/>
              <w:rPr>
                <w:sz w:val="24"/>
                <w:szCs w:val="24"/>
              </w:rPr>
            </w:pPr>
            <w:bookmarkStart w:id="8" w:name="$824"/>
            <w:bookmarkEnd w:id="8"/>
            <w:r w:rsidRPr="47826249">
              <w:rPr>
                <w:spacing w:val="-4"/>
                <w:sz w:val="24"/>
                <w:szCs w:val="24"/>
              </w:rPr>
              <w:t>$</w:t>
            </w:r>
            <w:r w:rsidR="00647339">
              <w:rPr>
                <w:sz w:val="24"/>
                <w:szCs w:val="24"/>
              </w:rPr>
              <w:t>399.30</w:t>
            </w:r>
          </w:p>
        </w:tc>
        <w:tc>
          <w:tcPr>
            <w:tcW w:w="1621" w:type="dxa"/>
          </w:tcPr>
          <w:p w:rsidR="009D3390" w:rsidP="005E0067" w14:paraId="227EDECB" w14:textId="3178FA39">
            <w:pPr>
              <w:pStyle w:val="TableParagraph"/>
              <w:spacing w:line="240" w:lineRule="auto"/>
              <w:ind w:left="79"/>
              <w:rPr>
                <w:sz w:val="24"/>
                <w:szCs w:val="24"/>
              </w:rPr>
            </w:pPr>
            <w:bookmarkStart w:id="9" w:name="$248,908"/>
            <w:bookmarkEnd w:id="9"/>
            <w:r w:rsidRPr="2519A162">
              <w:rPr>
                <w:spacing w:val="-2"/>
                <w:sz w:val="24"/>
                <w:szCs w:val="24"/>
              </w:rPr>
              <w:t>$</w:t>
            </w:r>
            <w:r w:rsidR="00647339">
              <w:rPr>
                <w:sz w:val="24"/>
                <w:szCs w:val="24"/>
              </w:rPr>
              <w:t>146,143.80</w:t>
            </w:r>
          </w:p>
        </w:tc>
      </w:tr>
      <w:tr w14:paraId="090C8812" w14:textId="77777777" w:rsidTr="00932B9A">
        <w:tblPrEx>
          <w:tblW w:w="9451" w:type="dxa"/>
          <w:tblInd w:w="-5" w:type="dxa"/>
          <w:tblLayout w:type="fixed"/>
          <w:tblCellMar>
            <w:left w:w="0" w:type="dxa"/>
            <w:right w:w="0" w:type="dxa"/>
          </w:tblCellMar>
          <w:tblLook w:val="01E0"/>
        </w:tblPrEx>
        <w:trPr>
          <w:trHeight w:val="597"/>
        </w:trPr>
        <w:tc>
          <w:tcPr>
            <w:tcW w:w="1524" w:type="dxa"/>
          </w:tcPr>
          <w:p w:rsidR="009D3390" w:rsidP="005E0067" w14:paraId="41D90D82" w14:textId="77777777">
            <w:pPr>
              <w:pStyle w:val="TableParagraph"/>
              <w:spacing w:before="1" w:line="240" w:lineRule="auto"/>
              <w:ind w:left="98"/>
              <w:jc w:val="left"/>
              <w:rPr>
                <w:sz w:val="24"/>
                <w:szCs w:val="24"/>
              </w:rPr>
            </w:pPr>
            <w:r w:rsidRPr="47826249">
              <w:rPr>
                <w:spacing w:val="-2"/>
                <w:sz w:val="24"/>
                <w:szCs w:val="24"/>
              </w:rPr>
              <w:t>Computer Programmer</w:t>
            </w:r>
          </w:p>
        </w:tc>
        <w:tc>
          <w:tcPr>
            <w:tcW w:w="1404" w:type="dxa"/>
          </w:tcPr>
          <w:p w:rsidR="009D3390" w:rsidP="005E0067" w14:paraId="3EE811D0" w14:textId="5105BFB9">
            <w:pPr>
              <w:pStyle w:val="TableParagraph"/>
              <w:spacing w:line="240" w:lineRule="auto"/>
              <w:ind w:left="79" w:right="58"/>
              <w:rPr>
                <w:sz w:val="24"/>
                <w:szCs w:val="24"/>
              </w:rPr>
            </w:pPr>
            <w:r>
              <w:rPr>
                <w:spacing w:val="-10"/>
                <w:sz w:val="24"/>
                <w:szCs w:val="24"/>
              </w:rPr>
              <w:t>366</w:t>
            </w:r>
          </w:p>
        </w:tc>
        <w:tc>
          <w:tcPr>
            <w:tcW w:w="1572" w:type="dxa"/>
          </w:tcPr>
          <w:p w:rsidR="009D3390" w:rsidP="005E0067" w14:paraId="68002D61" w14:textId="77777777">
            <w:pPr>
              <w:pStyle w:val="TableParagraph"/>
              <w:spacing w:line="240" w:lineRule="auto"/>
              <w:ind w:left="9"/>
              <w:rPr>
                <w:sz w:val="24"/>
                <w:szCs w:val="24"/>
              </w:rPr>
            </w:pPr>
            <w:r w:rsidRPr="47826249">
              <w:rPr>
                <w:spacing w:val="-2"/>
                <w:sz w:val="24"/>
                <w:szCs w:val="24"/>
              </w:rPr>
              <w:t>$</w:t>
            </w:r>
            <w:r>
              <w:rPr>
                <w:spacing w:val="-2"/>
                <w:sz w:val="24"/>
                <w:szCs w:val="24"/>
              </w:rPr>
              <w:t>96.52</w:t>
            </w:r>
          </w:p>
        </w:tc>
        <w:tc>
          <w:tcPr>
            <w:tcW w:w="1716" w:type="dxa"/>
          </w:tcPr>
          <w:p w:rsidR="009D3390" w:rsidP="005E0067" w14:paraId="69D9D3C1" w14:textId="77777777">
            <w:pPr>
              <w:pStyle w:val="TableParagraph"/>
              <w:spacing w:line="240" w:lineRule="auto"/>
              <w:ind w:left="71" w:right="55"/>
              <w:rPr>
                <w:sz w:val="24"/>
                <w:szCs w:val="24"/>
              </w:rPr>
            </w:pPr>
            <w:bookmarkStart w:id="10" w:name="40"/>
            <w:bookmarkEnd w:id="10"/>
            <w:r>
              <w:rPr>
                <w:spacing w:val="-5"/>
                <w:sz w:val="24"/>
                <w:szCs w:val="24"/>
              </w:rPr>
              <w:t>20</w:t>
            </w:r>
          </w:p>
        </w:tc>
        <w:tc>
          <w:tcPr>
            <w:tcW w:w="1614" w:type="dxa"/>
          </w:tcPr>
          <w:p w:rsidR="009D3390" w:rsidP="005E0067" w14:paraId="649D7412" w14:textId="77777777">
            <w:pPr>
              <w:pStyle w:val="TableParagraph"/>
              <w:spacing w:line="240" w:lineRule="auto"/>
              <w:ind w:left="70" w:right="53"/>
              <w:rPr>
                <w:sz w:val="24"/>
                <w:szCs w:val="24"/>
              </w:rPr>
            </w:pPr>
            <w:bookmarkStart w:id="11" w:name="$3,762"/>
            <w:bookmarkEnd w:id="11"/>
            <w:r w:rsidRPr="47826249">
              <w:rPr>
                <w:spacing w:val="-2"/>
                <w:sz w:val="24"/>
                <w:szCs w:val="24"/>
              </w:rPr>
              <w:t>$</w:t>
            </w:r>
            <w:r>
              <w:rPr>
                <w:sz w:val="24"/>
                <w:szCs w:val="24"/>
              </w:rPr>
              <w:t>1,930.40</w:t>
            </w:r>
          </w:p>
        </w:tc>
        <w:tc>
          <w:tcPr>
            <w:tcW w:w="1621" w:type="dxa"/>
          </w:tcPr>
          <w:p w:rsidR="009D3390" w:rsidP="005E0067" w14:paraId="077AB208" w14:textId="77777777">
            <w:pPr>
              <w:pStyle w:val="TableParagraph"/>
              <w:spacing w:line="240" w:lineRule="auto"/>
              <w:ind w:left="79" w:right="2"/>
              <w:rPr>
                <w:sz w:val="24"/>
                <w:szCs w:val="24"/>
              </w:rPr>
            </w:pPr>
            <w:bookmarkStart w:id="12" w:name="$1,136,003"/>
            <w:bookmarkEnd w:id="12"/>
            <w:r w:rsidRPr="2519A162">
              <w:rPr>
                <w:spacing w:val="-2"/>
                <w:sz w:val="24"/>
                <w:szCs w:val="24"/>
              </w:rPr>
              <w:t>$</w:t>
            </w:r>
            <w:r>
              <w:rPr>
                <w:sz w:val="24"/>
                <w:szCs w:val="24"/>
              </w:rPr>
              <w:t>706,526.40</w:t>
            </w:r>
          </w:p>
        </w:tc>
      </w:tr>
      <w:tr w14:paraId="4FBA48FB" w14:textId="77777777" w:rsidTr="00AB6605">
        <w:tblPrEx>
          <w:tblW w:w="9451" w:type="dxa"/>
          <w:tblInd w:w="-5" w:type="dxa"/>
          <w:tblLayout w:type="fixed"/>
          <w:tblCellMar>
            <w:left w:w="0" w:type="dxa"/>
            <w:right w:w="0" w:type="dxa"/>
          </w:tblCellMar>
          <w:tblLook w:val="01E0"/>
        </w:tblPrEx>
        <w:trPr>
          <w:trHeight w:val="288"/>
        </w:trPr>
        <w:tc>
          <w:tcPr>
            <w:tcW w:w="1524" w:type="dxa"/>
          </w:tcPr>
          <w:p w:rsidR="009D3390" w:rsidRPr="004E79EC" w:rsidP="001318A8" w14:paraId="40CCBFA1" w14:textId="77777777">
            <w:pPr>
              <w:pStyle w:val="TableParagraph"/>
              <w:spacing w:line="240" w:lineRule="auto"/>
              <w:ind w:left="98"/>
              <w:jc w:val="left"/>
              <w:rPr>
                <w:b/>
                <w:sz w:val="24"/>
                <w:szCs w:val="24"/>
              </w:rPr>
            </w:pPr>
            <w:r w:rsidRPr="004E79EC">
              <w:rPr>
                <w:b/>
                <w:spacing w:val="-4"/>
                <w:sz w:val="24"/>
                <w:szCs w:val="24"/>
              </w:rPr>
              <w:t>Total</w:t>
            </w:r>
          </w:p>
        </w:tc>
        <w:tc>
          <w:tcPr>
            <w:tcW w:w="1404" w:type="dxa"/>
          </w:tcPr>
          <w:p w:rsidR="009D3390" w:rsidRPr="004E79EC" w:rsidP="001318A8" w14:paraId="09E059F6" w14:textId="6AF64EF8">
            <w:pPr>
              <w:pStyle w:val="TableParagraph"/>
              <w:spacing w:line="240" w:lineRule="auto"/>
              <w:ind w:left="79"/>
              <w:rPr>
                <w:b/>
                <w:sz w:val="24"/>
                <w:szCs w:val="24"/>
              </w:rPr>
            </w:pPr>
            <w:bookmarkStart w:id="13" w:name="3"/>
            <w:bookmarkEnd w:id="13"/>
          </w:p>
        </w:tc>
        <w:tc>
          <w:tcPr>
            <w:tcW w:w="1572" w:type="dxa"/>
          </w:tcPr>
          <w:p w:rsidR="009D3390" w:rsidRPr="004E79EC" w:rsidP="001318A8" w14:paraId="7EE7D701" w14:textId="75446C71">
            <w:pPr>
              <w:pStyle w:val="TableParagraph"/>
              <w:spacing w:line="240" w:lineRule="auto"/>
              <w:ind w:left="9"/>
              <w:rPr>
                <w:b/>
                <w:sz w:val="24"/>
                <w:szCs w:val="24"/>
              </w:rPr>
            </w:pPr>
            <w:bookmarkStart w:id="14" w:name="$249.52"/>
            <w:bookmarkEnd w:id="14"/>
          </w:p>
        </w:tc>
        <w:tc>
          <w:tcPr>
            <w:tcW w:w="1716" w:type="dxa"/>
          </w:tcPr>
          <w:p w:rsidR="009D3390" w:rsidRPr="004E79EC" w:rsidP="001318A8" w14:paraId="1F303AC0" w14:textId="14AA4D9D">
            <w:pPr>
              <w:pStyle w:val="TableParagraph"/>
              <w:spacing w:line="240" w:lineRule="auto"/>
              <w:ind w:left="71" w:right="55"/>
              <w:rPr>
                <w:b/>
                <w:sz w:val="24"/>
                <w:szCs w:val="24"/>
              </w:rPr>
            </w:pPr>
            <w:bookmarkStart w:id="15" w:name="60"/>
            <w:bookmarkEnd w:id="15"/>
            <w:r w:rsidRPr="004E79EC">
              <w:rPr>
                <w:b/>
                <w:spacing w:val="-5"/>
                <w:sz w:val="24"/>
                <w:szCs w:val="24"/>
              </w:rPr>
              <w:t>30</w:t>
            </w:r>
          </w:p>
        </w:tc>
        <w:tc>
          <w:tcPr>
            <w:tcW w:w="1614" w:type="dxa"/>
          </w:tcPr>
          <w:p w:rsidR="009D3390" w:rsidRPr="004E79EC" w:rsidP="001318A8" w14:paraId="184A951E" w14:textId="09243547">
            <w:pPr>
              <w:pStyle w:val="TableParagraph"/>
              <w:spacing w:line="240" w:lineRule="auto"/>
              <w:ind w:left="70" w:right="53"/>
              <w:rPr>
                <w:b/>
                <w:sz w:val="24"/>
                <w:szCs w:val="24"/>
              </w:rPr>
            </w:pPr>
            <w:bookmarkStart w:id="16" w:name="$5,317"/>
            <w:bookmarkEnd w:id="16"/>
            <w:r w:rsidRPr="004E79EC">
              <w:rPr>
                <w:b/>
                <w:spacing w:val="-2"/>
                <w:sz w:val="24"/>
                <w:szCs w:val="24"/>
              </w:rPr>
              <w:t>$</w:t>
            </w:r>
            <w:r w:rsidRPr="004E79EC">
              <w:rPr>
                <w:b/>
                <w:sz w:val="24"/>
                <w:szCs w:val="24"/>
              </w:rPr>
              <w:t>2,</w:t>
            </w:r>
            <w:r w:rsidRPr="004E79EC">
              <w:rPr>
                <w:b/>
                <w:sz w:val="24"/>
                <w:szCs w:val="24"/>
              </w:rPr>
              <w:t>594.70</w:t>
            </w:r>
          </w:p>
        </w:tc>
        <w:tc>
          <w:tcPr>
            <w:tcW w:w="1621" w:type="dxa"/>
          </w:tcPr>
          <w:p w:rsidR="009D3390" w:rsidRPr="004E79EC" w:rsidP="001318A8" w14:paraId="004770AD" w14:textId="1BD258E4">
            <w:pPr>
              <w:pStyle w:val="TableParagraph"/>
              <w:spacing w:line="240" w:lineRule="auto"/>
              <w:ind w:left="79" w:right="60"/>
              <w:rPr>
                <w:b/>
                <w:sz w:val="24"/>
                <w:szCs w:val="24"/>
              </w:rPr>
            </w:pPr>
            <w:bookmarkStart w:id="17" w:name="$1,605,552"/>
            <w:bookmarkEnd w:id="17"/>
            <w:r w:rsidRPr="005B1A3C">
              <w:rPr>
                <w:b/>
                <w:spacing w:val="-2"/>
                <w:sz w:val="24"/>
                <w:szCs w:val="24"/>
              </w:rPr>
              <w:t>$939,302.40</w:t>
            </w:r>
          </w:p>
        </w:tc>
      </w:tr>
    </w:tbl>
    <w:p w:rsidR="009D3390" w:rsidRPr="003E5351" w:rsidP="003E5351" w14:paraId="2DECD7BF" w14:textId="77777777">
      <w:pPr>
        <w:rPr>
          <w:rFonts w:eastAsia="Times New Roman"/>
          <w:b/>
          <w:iCs/>
        </w:rPr>
      </w:pPr>
    </w:p>
    <w:p w:rsidR="003C0678" w:rsidP="003C0678" w14:paraId="3EBFDEFD" w14:textId="6FA8DDB8">
      <w:pPr>
        <w:pStyle w:val="Heading4"/>
        <w:rPr>
          <w:rFonts w:eastAsia="Times New Roman" w:cs="Times New Roman"/>
          <w:b/>
          <w:bCs/>
          <w:i w:val="0"/>
          <w:iCs w:val="0"/>
          <w:color w:val="auto"/>
        </w:rPr>
      </w:pPr>
      <w:bookmarkStart w:id="18" w:name="Table_7"/>
      <w:bookmarkStart w:id="19" w:name="Computer_Programmer"/>
      <w:bookmarkEnd w:id="18"/>
      <w:bookmarkEnd w:id="19"/>
      <w:r w:rsidRPr="4FBE3120">
        <w:rPr>
          <w:rFonts w:eastAsia="Times New Roman" w:cs="Times New Roman"/>
          <w:b/>
          <w:bCs/>
          <w:i w:val="0"/>
          <w:iCs w:val="0"/>
          <w:color w:val="auto"/>
        </w:rPr>
        <w:t xml:space="preserve">TABLE </w:t>
      </w:r>
      <w:r w:rsidRPr="4FBE3120" w:rsidR="4FBE3120">
        <w:rPr>
          <w:rFonts w:eastAsia="Times New Roman" w:cs="Times New Roman"/>
          <w:b/>
          <w:bCs/>
          <w:i w:val="0"/>
          <w:iCs w:val="0"/>
          <w:color w:val="auto"/>
        </w:rPr>
        <w:t>3</w:t>
      </w:r>
      <w:r w:rsidRPr="4FBE3120">
        <w:rPr>
          <w:rFonts w:eastAsia="Times New Roman" w:cs="Times New Roman"/>
          <w:b/>
          <w:bCs/>
          <w:i w:val="0"/>
          <w:iCs w:val="0"/>
          <w:color w:val="auto"/>
        </w:rPr>
        <w:t xml:space="preserve">: Burden to ABs for Recommended Call Recordings </w:t>
      </w:r>
    </w:p>
    <w:p w:rsidR="003C0678" w:rsidRPr="003E5351" w:rsidP="003E5351" w14:paraId="7FFB1F27" w14:textId="77777777">
      <w:pPr>
        <w:rPr>
          <w:rFonts w:eastAsia="Times New Roman"/>
          <w:b/>
          <w:iCs/>
        </w:rPr>
      </w:pPr>
    </w:p>
    <w:tbl>
      <w:tblPr>
        <w:tblW w:w="9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24"/>
        <w:gridCol w:w="1404"/>
        <w:gridCol w:w="1572"/>
        <w:gridCol w:w="1716"/>
        <w:gridCol w:w="1614"/>
        <w:gridCol w:w="1621"/>
      </w:tblGrid>
      <w:tr w14:paraId="52332BDF" w14:textId="77777777" w:rsidTr="009D64F8">
        <w:tblPrEx>
          <w:tblW w:w="9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90"/>
        </w:trPr>
        <w:tc>
          <w:tcPr>
            <w:tcW w:w="1524" w:type="dxa"/>
            <w:vAlign w:val="center"/>
          </w:tcPr>
          <w:p w:rsidR="00691E06" w:rsidRPr="004E79EC" w:rsidP="009D64F8" w14:paraId="3FB683F8" w14:textId="77777777">
            <w:pPr>
              <w:pStyle w:val="TableParagraph"/>
              <w:spacing w:line="240" w:lineRule="auto"/>
              <w:ind w:right="275"/>
              <w:rPr>
                <w:b/>
                <w:sz w:val="24"/>
                <w:szCs w:val="24"/>
              </w:rPr>
            </w:pPr>
            <w:r w:rsidRPr="004E79EC">
              <w:rPr>
                <w:b/>
                <w:spacing w:val="-4"/>
                <w:sz w:val="24"/>
                <w:szCs w:val="24"/>
              </w:rPr>
              <w:t xml:space="preserve">Labor </w:t>
            </w:r>
            <w:r w:rsidRPr="004E79EC">
              <w:rPr>
                <w:b/>
                <w:spacing w:val="-2"/>
                <w:sz w:val="24"/>
                <w:szCs w:val="24"/>
              </w:rPr>
              <w:t>Categor</w:t>
            </w:r>
            <w:r w:rsidRPr="004E79EC">
              <w:rPr>
                <w:b/>
                <w:sz w:val="24"/>
                <w:szCs w:val="24"/>
              </w:rPr>
              <w:t>y</w:t>
            </w:r>
          </w:p>
        </w:tc>
        <w:tc>
          <w:tcPr>
            <w:tcW w:w="1404" w:type="dxa"/>
            <w:vAlign w:val="center"/>
          </w:tcPr>
          <w:p w:rsidR="00691E06" w:rsidRPr="004E79EC" w:rsidP="009D64F8" w14:paraId="57F1873A" w14:textId="77777777">
            <w:pPr>
              <w:pStyle w:val="TableParagraph"/>
              <w:spacing w:line="240" w:lineRule="auto"/>
              <w:rPr>
                <w:b/>
                <w:sz w:val="24"/>
                <w:szCs w:val="24"/>
              </w:rPr>
            </w:pPr>
            <w:r w:rsidRPr="004E79EC">
              <w:rPr>
                <w:b/>
                <w:bCs/>
                <w:sz w:val="24"/>
                <w:szCs w:val="24"/>
              </w:rPr>
              <w:t>Number</w:t>
            </w:r>
            <w:r w:rsidRPr="004E79EC">
              <w:rPr>
                <w:b/>
                <w:bCs/>
                <w:spacing w:val="-15"/>
                <w:sz w:val="24"/>
                <w:szCs w:val="24"/>
              </w:rPr>
              <w:t xml:space="preserve"> </w:t>
            </w:r>
            <w:r w:rsidRPr="004E79EC">
              <w:rPr>
                <w:b/>
                <w:bCs/>
                <w:sz w:val="24"/>
                <w:szCs w:val="24"/>
              </w:rPr>
              <w:t xml:space="preserve">of </w:t>
            </w:r>
            <w:r>
              <w:rPr>
                <w:b/>
                <w:bCs/>
                <w:spacing w:val="-2"/>
                <w:sz w:val="24"/>
                <w:szCs w:val="24"/>
              </w:rPr>
              <w:t>Respondents</w:t>
            </w:r>
          </w:p>
        </w:tc>
        <w:tc>
          <w:tcPr>
            <w:tcW w:w="1572" w:type="dxa"/>
            <w:vAlign w:val="center"/>
          </w:tcPr>
          <w:p w:rsidR="00691E06" w:rsidRPr="004E79EC" w:rsidP="009D64F8" w14:paraId="67DD9682" w14:textId="77777777">
            <w:pPr>
              <w:pStyle w:val="TableParagraph"/>
              <w:spacing w:line="240" w:lineRule="auto"/>
              <w:ind w:right="85"/>
              <w:rPr>
                <w:b/>
                <w:sz w:val="24"/>
                <w:szCs w:val="24"/>
              </w:rPr>
            </w:pPr>
            <w:r w:rsidRPr="004E79EC">
              <w:rPr>
                <w:b/>
                <w:sz w:val="24"/>
                <w:szCs w:val="24"/>
              </w:rPr>
              <w:t>Hourly</w:t>
            </w:r>
            <w:r w:rsidRPr="004E79EC">
              <w:rPr>
                <w:b/>
                <w:spacing w:val="-15"/>
                <w:sz w:val="24"/>
                <w:szCs w:val="24"/>
              </w:rPr>
              <w:t xml:space="preserve"> </w:t>
            </w:r>
            <w:r w:rsidRPr="004E79EC">
              <w:rPr>
                <w:b/>
                <w:sz w:val="24"/>
                <w:szCs w:val="24"/>
              </w:rPr>
              <w:t xml:space="preserve">Labor </w:t>
            </w:r>
            <w:r w:rsidRPr="004E79EC">
              <w:rPr>
                <w:b/>
                <w:spacing w:val="-4"/>
                <w:sz w:val="24"/>
                <w:szCs w:val="24"/>
              </w:rPr>
              <w:t>Costs</w:t>
            </w:r>
            <w:r>
              <w:rPr>
                <w:b/>
                <w:bCs/>
                <w:spacing w:val="-4"/>
                <w:sz w:val="24"/>
                <w:szCs w:val="24"/>
              </w:rPr>
              <w:t xml:space="preserve"> (Hourly Rate + 100% Fringe Benefits)</w:t>
            </w:r>
          </w:p>
        </w:tc>
        <w:tc>
          <w:tcPr>
            <w:tcW w:w="1716" w:type="dxa"/>
            <w:vAlign w:val="center"/>
          </w:tcPr>
          <w:p w:rsidR="00691E06" w:rsidRPr="004E79EC" w:rsidP="009D64F8" w14:paraId="3AE3DC48" w14:textId="77777777">
            <w:pPr>
              <w:pStyle w:val="TableParagraph"/>
              <w:spacing w:line="240" w:lineRule="auto"/>
              <w:rPr>
                <w:b/>
                <w:sz w:val="24"/>
                <w:szCs w:val="24"/>
              </w:rPr>
            </w:pPr>
            <w:r w:rsidRPr="004E79EC">
              <w:rPr>
                <w:b/>
                <w:sz w:val="24"/>
                <w:szCs w:val="24"/>
              </w:rPr>
              <w:t>Burden</w:t>
            </w:r>
            <w:r w:rsidRPr="004E79EC">
              <w:rPr>
                <w:b/>
                <w:spacing w:val="-2"/>
                <w:sz w:val="24"/>
                <w:szCs w:val="24"/>
              </w:rPr>
              <w:t xml:space="preserve"> Hours</w:t>
            </w:r>
            <w:r>
              <w:rPr>
                <w:b/>
                <w:bCs/>
                <w:spacing w:val="-2"/>
                <w:sz w:val="24"/>
                <w:szCs w:val="24"/>
              </w:rPr>
              <w:t xml:space="preserve"> (per Respondent)</w:t>
            </w:r>
          </w:p>
        </w:tc>
        <w:tc>
          <w:tcPr>
            <w:tcW w:w="1614" w:type="dxa"/>
            <w:vAlign w:val="center"/>
          </w:tcPr>
          <w:p w:rsidR="00691E06" w:rsidRPr="004E79EC" w:rsidP="009D64F8" w14:paraId="528694F1" w14:textId="77777777">
            <w:pPr>
              <w:pStyle w:val="TableParagraph"/>
              <w:spacing w:line="240" w:lineRule="auto"/>
              <w:ind w:right="258"/>
              <w:rPr>
                <w:b/>
                <w:sz w:val="24"/>
                <w:szCs w:val="24"/>
              </w:rPr>
            </w:pPr>
            <w:r w:rsidRPr="00AB6605">
              <w:rPr>
                <w:b/>
                <w:spacing w:val="-2"/>
                <w:sz w:val="24"/>
                <w:szCs w:val="24"/>
              </w:rPr>
              <w:t>Total Burden Costs</w:t>
            </w:r>
            <w:r w:rsidRPr="00AB6605">
              <w:rPr>
                <w:b/>
                <w:spacing w:val="-13"/>
                <w:sz w:val="24"/>
                <w:szCs w:val="24"/>
              </w:rPr>
              <w:t xml:space="preserve"> </w:t>
            </w:r>
            <w:r>
              <w:rPr>
                <w:b/>
                <w:bCs/>
                <w:spacing w:val="-13"/>
                <w:sz w:val="24"/>
                <w:szCs w:val="24"/>
              </w:rPr>
              <w:t>(</w:t>
            </w:r>
            <w:r w:rsidRPr="004E79EC">
              <w:rPr>
                <w:b/>
                <w:spacing w:val="-2"/>
                <w:sz w:val="24"/>
                <w:szCs w:val="28"/>
              </w:rPr>
              <w:t>per</w:t>
            </w:r>
            <w:r w:rsidRPr="00AB6605">
              <w:rPr>
                <w:b/>
                <w:spacing w:val="-2"/>
                <w:sz w:val="24"/>
                <w:szCs w:val="24"/>
              </w:rPr>
              <w:t xml:space="preserve"> </w:t>
            </w:r>
            <w:r>
              <w:rPr>
                <w:b/>
                <w:bCs/>
                <w:sz w:val="24"/>
                <w:szCs w:val="24"/>
              </w:rPr>
              <w:t>Respondent)</w:t>
            </w:r>
          </w:p>
        </w:tc>
        <w:tc>
          <w:tcPr>
            <w:tcW w:w="1621" w:type="dxa"/>
            <w:vAlign w:val="center"/>
          </w:tcPr>
          <w:p w:rsidR="00691E06" w:rsidRPr="004E79EC" w:rsidP="009D64F8" w14:paraId="100CB2C7" w14:textId="77777777">
            <w:pPr>
              <w:pStyle w:val="TableParagraph"/>
              <w:spacing w:line="240" w:lineRule="auto"/>
              <w:ind w:right="181"/>
              <w:rPr>
                <w:b/>
                <w:sz w:val="24"/>
                <w:szCs w:val="24"/>
              </w:rPr>
            </w:pPr>
            <w:r w:rsidRPr="004E79EC">
              <w:rPr>
                <w:b/>
                <w:sz w:val="24"/>
                <w:szCs w:val="24"/>
              </w:rPr>
              <w:t>Total</w:t>
            </w:r>
            <w:r w:rsidRPr="004E79EC">
              <w:rPr>
                <w:b/>
                <w:spacing w:val="-15"/>
                <w:sz w:val="24"/>
                <w:szCs w:val="24"/>
              </w:rPr>
              <w:t xml:space="preserve"> </w:t>
            </w:r>
            <w:r w:rsidRPr="004E79EC">
              <w:rPr>
                <w:b/>
                <w:sz w:val="24"/>
                <w:szCs w:val="24"/>
              </w:rPr>
              <w:t>Burden Costs (</w:t>
            </w:r>
            <w:r>
              <w:rPr>
                <w:b/>
                <w:bCs/>
                <w:sz w:val="24"/>
                <w:szCs w:val="24"/>
              </w:rPr>
              <w:t>All Respondents</w:t>
            </w:r>
            <w:r w:rsidRPr="004E79EC">
              <w:rPr>
                <w:b/>
                <w:sz w:val="24"/>
                <w:szCs w:val="24"/>
              </w:rPr>
              <w:t>)</w:t>
            </w:r>
          </w:p>
        </w:tc>
      </w:tr>
      <w:tr w14:paraId="66F93352" w14:textId="77777777" w:rsidTr="00691E06">
        <w:tblPrEx>
          <w:tblW w:w="9451" w:type="dxa"/>
          <w:tblInd w:w="-5" w:type="dxa"/>
          <w:tblLayout w:type="fixed"/>
          <w:tblCellMar>
            <w:left w:w="0" w:type="dxa"/>
            <w:right w:w="0" w:type="dxa"/>
          </w:tblCellMar>
          <w:tblLook w:val="01E0"/>
        </w:tblPrEx>
        <w:trPr>
          <w:trHeight w:val="1190"/>
        </w:trPr>
        <w:tc>
          <w:tcPr>
            <w:tcW w:w="1524" w:type="dxa"/>
            <w:tcBorders>
              <w:top w:val="single" w:sz="4" w:space="0" w:color="000000"/>
              <w:left w:val="single" w:sz="4" w:space="0" w:color="000000"/>
              <w:bottom w:val="single" w:sz="4" w:space="0" w:color="000000"/>
              <w:right w:val="single" w:sz="4" w:space="0" w:color="000000"/>
            </w:tcBorders>
            <w:vAlign w:val="center"/>
          </w:tcPr>
          <w:p w:rsidR="00691E06" w:rsidRPr="00AB6605" w:rsidP="00691E06" w14:paraId="760758E1" w14:textId="23BF96CB">
            <w:pPr>
              <w:pStyle w:val="TableParagraph"/>
              <w:spacing w:line="240" w:lineRule="auto"/>
              <w:ind w:right="275"/>
              <w:rPr>
                <w:spacing w:val="-4"/>
                <w:sz w:val="24"/>
                <w:szCs w:val="24"/>
              </w:rPr>
            </w:pPr>
            <w:r w:rsidRPr="00AB6605">
              <w:rPr>
                <w:spacing w:val="-4"/>
                <w:sz w:val="24"/>
                <w:szCs w:val="24"/>
              </w:rPr>
              <w:t>Insurance Claims and Policy Processing Clerks</w:t>
            </w:r>
          </w:p>
        </w:tc>
        <w:tc>
          <w:tcPr>
            <w:tcW w:w="1404" w:type="dxa"/>
            <w:tcBorders>
              <w:top w:val="single" w:sz="4" w:space="0" w:color="000000"/>
              <w:left w:val="single" w:sz="4" w:space="0" w:color="000000"/>
              <w:bottom w:val="single" w:sz="4" w:space="0" w:color="000000"/>
              <w:right w:val="single" w:sz="4" w:space="0" w:color="000000"/>
            </w:tcBorders>
            <w:vAlign w:val="center"/>
          </w:tcPr>
          <w:p w:rsidR="00691E06" w:rsidRPr="00AB6605" w:rsidP="00691E06" w14:paraId="12E9AF92" w14:textId="77777777">
            <w:pPr>
              <w:pStyle w:val="TableParagraph"/>
              <w:spacing w:line="240" w:lineRule="auto"/>
              <w:rPr>
                <w:sz w:val="24"/>
                <w:szCs w:val="24"/>
              </w:rPr>
            </w:pPr>
            <w:r w:rsidRPr="00AB6605">
              <w:rPr>
                <w:sz w:val="24"/>
                <w:szCs w:val="24"/>
              </w:rPr>
              <w:t>8,401</w:t>
            </w:r>
          </w:p>
        </w:tc>
        <w:tc>
          <w:tcPr>
            <w:tcW w:w="1572" w:type="dxa"/>
            <w:tcBorders>
              <w:top w:val="single" w:sz="4" w:space="0" w:color="000000"/>
              <w:left w:val="single" w:sz="4" w:space="0" w:color="000000"/>
              <w:bottom w:val="single" w:sz="4" w:space="0" w:color="000000"/>
              <w:right w:val="single" w:sz="4" w:space="0" w:color="000000"/>
            </w:tcBorders>
            <w:vAlign w:val="center"/>
          </w:tcPr>
          <w:p w:rsidR="00691E06" w:rsidRPr="00AB6605" w:rsidP="00691E06" w14:paraId="2A012305" w14:textId="77777777">
            <w:pPr>
              <w:pStyle w:val="TableParagraph"/>
              <w:spacing w:line="240" w:lineRule="auto"/>
              <w:ind w:right="85"/>
              <w:rPr>
                <w:sz w:val="24"/>
                <w:szCs w:val="24"/>
              </w:rPr>
            </w:pPr>
            <w:r w:rsidRPr="00AB6605">
              <w:rPr>
                <w:sz w:val="24"/>
                <w:szCs w:val="24"/>
              </w:rPr>
              <w:t>$47.34</w:t>
            </w:r>
          </w:p>
        </w:tc>
        <w:tc>
          <w:tcPr>
            <w:tcW w:w="1716" w:type="dxa"/>
            <w:tcBorders>
              <w:top w:val="single" w:sz="4" w:space="0" w:color="000000"/>
              <w:left w:val="single" w:sz="4" w:space="0" w:color="000000"/>
              <w:bottom w:val="single" w:sz="4" w:space="0" w:color="000000"/>
              <w:right w:val="single" w:sz="4" w:space="0" w:color="000000"/>
            </w:tcBorders>
            <w:vAlign w:val="center"/>
          </w:tcPr>
          <w:p w:rsidR="00691E06" w:rsidRPr="00AB6605" w:rsidP="00691E06" w14:paraId="08A94C63" w14:textId="77777777">
            <w:pPr>
              <w:pStyle w:val="TableParagraph"/>
              <w:spacing w:line="240" w:lineRule="auto"/>
              <w:rPr>
                <w:sz w:val="24"/>
                <w:szCs w:val="24"/>
              </w:rPr>
            </w:pPr>
            <w:r w:rsidRPr="00AB6605">
              <w:rPr>
                <w:sz w:val="24"/>
                <w:szCs w:val="24"/>
              </w:rPr>
              <w:t>1</w:t>
            </w:r>
          </w:p>
        </w:tc>
        <w:tc>
          <w:tcPr>
            <w:tcW w:w="1614" w:type="dxa"/>
            <w:tcBorders>
              <w:top w:val="single" w:sz="4" w:space="0" w:color="000000"/>
              <w:left w:val="single" w:sz="4" w:space="0" w:color="000000"/>
              <w:bottom w:val="single" w:sz="4" w:space="0" w:color="000000"/>
              <w:right w:val="single" w:sz="4" w:space="0" w:color="000000"/>
            </w:tcBorders>
            <w:vAlign w:val="center"/>
          </w:tcPr>
          <w:p w:rsidR="00691E06" w:rsidRPr="00AB6605" w:rsidP="00691E06" w14:paraId="61E43613" w14:textId="77777777">
            <w:pPr>
              <w:pStyle w:val="TableParagraph"/>
              <w:spacing w:line="240" w:lineRule="auto"/>
              <w:ind w:right="258"/>
              <w:rPr>
                <w:spacing w:val="-2"/>
                <w:szCs w:val="24"/>
              </w:rPr>
            </w:pPr>
            <w:r w:rsidRPr="00AB6605">
              <w:rPr>
                <w:spacing w:val="-2"/>
                <w:szCs w:val="24"/>
              </w:rPr>
              <w:t>$47.34</w:t>
            </w:r>
          </w:p>
        </w:tc>
        <w:tc>
          <w:tcPr>
            <w:tcW w:w="1621" w:type="dxa"/>
            <w:tcBorders>
              <w:top w:val="single" w:sz="4" w:space="0" w:color="000000"/>
              <w:left w:val="single" w:sz="4" w:space="0" w:color="000000"/>
              <w:bottom w:val="single" w:sz="4" w:space="0" w:color="000000"/>
              <w:right w:val="single" w:sz="4" w:space="0" w:color="000000"/>
            </w:tcBorders>
            <w:vAlign w:val="center"/>
          </w:tcPr>
          <w:p w:rsidR="00691E06" w:rsidRPr="00AB6605" w:rsidP="00691E06" w14:paraId="0AFB5504" w14:textId="77777777">
            <w:pPr>
              <w:pStyle w:val="TableParagraph"/>
              <w:spacing w:line="240" w:lineRule="auto"/>
              <w:ind w:right="181"/>
              <w:rPr>
                <w:sz w:val="24"/>
                <w:szCs w:val="24"/>
              </w:rPr>
            </w:pPr>
            <w:r w:rsidRPr="00AB6605">
              <w:rPr>
                <w:sz w:val="24"/>
                <w:szCs w:val="24"/>
              </w:rPr>
              <w:t>$397,703.34</w:t>
            </w:r>
          </w:p>
        </w:tc>
      </w:tr>
      <w:tr w14:paraId="42F4659C" w14:textId="77777777" w:rsidTr="00AB6605">
        <w:tblPrEx>
          <w:tblW w:w="9451" w:type="dxa"/>
          <w:tblInd w:w="-5" w:type="dxa"/>
          <w:tblLayout w:type="fixed"/>
          <w:tblCellMar>
            <w:left w:w="0" w:type="dxa"/>
            <w:right w:w="0" w:type="dxa"/>
          </w:tblCellMar>
          <w:tblLook w:val="01E0"/>
        </w:tblPrEx>
        <w:trPr>
          <w:trHeight w:val="288"/>
        </w:trPr>
        <w:tc>
          <w:tcPr>
            <w:tcW w:w="1524" w:type="dxa"/>
            <w:tcBorders>
              <w:top w:val="single" w:sz="4" w:space="0" w:color="000000"/>
              <w:left w:val="single" w:sz="4" w:space="0" w:color="000000"/>
              <w:bottom w:val="single" w:sz="4" w:space="0" w:color="000000"/>
              <w:right w:val="single" w:sz="4" w:space="0" w:color="000000"/>
            </w:tcBorders>
            <w:vAlign w:val="center"/>
          </w:tcPr>
          <w:p w:rsidR="00E83580" w:rsidRPr="00AB6605" w:rsidP="00E83580" w14:paraId="0E85C707" w14:textId="0ACB4C49">
            <w:pPr>
              <w:pStyle w:val="TableParagraph"/>
              <w:spacing w:line="240" w:lineRule="auto"/>
              <w:ind w:right="275"/>
              <w:rPr>
                <w:b/>
                <w:bCs/>
                <w:spacing w:val="-4"/>
                <w:sz w:val="24"/>
                <w:szCs w:val="24"/>
              </w:rPr>
            </w:pPr>
            <w:r w:rsidRPr="00AB6605">
              <w:rPr>
                <w:b/>
                <w:bCs/>
                <w:spacing w:val="-4"/>
                <w:sz w:val="24"/>
                <w:szCs w:val="24"/>
              </w:rPr>
              <w:t>Total</w:t>
            </w:r>
          </w:p>
        </w:tc>
        <w:tc>
          <w:tcPr>
            <w:tcW w:w="1404" w:type="dxa"/>
            <w:tcBorders>
              <w:top w:val="single" w:sz="4" w:space="0" w:color="000000"/>
              <w:left w:val="single" w:sz="4" w:space="0" w:color="000000"/>
              <w:bottom w:val="single" w:sz="4" w:space="0" w:color="000000"/>
              <w:right w:val="single" w:sz="4" w:space="0" w:color="000000"/>
            </w:tcBorders>
            <w:vAlign w:val="center"/>
          </w:tcPr>
          <w:p w:rsidR="00E83580" w:rsidRPr="00AB6605" w:rsidP="00E83580" w14:paraId="3D3118A8" w14:textId="77777777">
            <w:pPr>
              <w:pStyle w:val="TableParagraph"/>
              <w:spacing w:line="240" w:lineRule="auto"/>
              <w:rPr>
                <w:b/>
                <w:bCs/>
                <w:sz w:val="24"/>
                <w:szCs w:val="24"/>
              </w:rPr>
            </w:pPr>
          </w:p>
        </w:tc>
        <w:tc>
          <w:tcPr>
            <w:tcW w:w="1572" w:type="dxa"/>
            <w:tcBorders>
              <w:top w:val="single" w:sz="4" w:space="0" w:color="000000"/>
              <w:left w:val="single" w:sz="4" w:space="0" w:color="000000"/>
              <w:bottom w:val="single" w:sz="4" w:space="0" w:color="000000"/>
              <w:right w:val="single" w:sz="4" w:space="0" w:color="000000"/>
            </w:tcBorders>
            <w:vAlign w:val="center"/>
          </w:tcPr>
          <w:p w:rsidR="00E83580" w:rsidRPr="00AB6605" w:rsidP="00E83580" w14:paraId="1F8BB8F4" w14:textId="77777777">
            <w:pPr>
              <w:pStyle w:val="TableParagraph"/>
              <w:spacing w:line="240" w:lineRule="auto"/>
              <w:ind w:right="85"/>
              <w:rPr>
                <w:b/>
                <w:bCs/>
                <w:sz w:val="24"/>
                <w:szCs w:val="24"/>
              </w:rPr>
            </w:pPr>
          </w:p>
        </w:tc>
        <w:tc>
          <w:tcPr>
            <w:tcW w:w="1716" w:type="dxa"/>
            <w:tcBorders>
              <w:top w:val="single" w:sz="4" w:space="0" w:color="000000"/>
              <w:left w:val="single" w:sz="4" w:space="0" w:color="000000"/>
              <w:bottom w:val="single" w:sz="4" w:space="0" w:color="000000"/>
              <w:right w:val="single" w:sz="4" w:space="0" w:color="000000"/>
            </w:tcBorders>
            <w:vAlign w:val="center"/>
          </w:tcPr>
          <w:p w:rsidR="00E83580" w:rsidRPr="00AB6605" w:rsidP="00E83580" w14:paraId="4E432CE6" w14:textId="5DAAA596">
            <w:pPr>
              <w:pStyle w:val="TableParagraph"/>
              <w:spacing w:line="240" w:lineRule="auto"/>
              <w:rPr>
                <w:b/>
                <w:bCs/>
                <w:sz w:val="24"/>
                <w:szCs w:val="24"/>
              </w:rPr>
            </w:pPr>
            <w:r w:rsidRPr="00AB6605">
              <w:rPr>
                <w:b/>
                <w:bCs/>
                <w:sz w:val="24"/>
                <w:szCs w:val="24"/>
              </w:rPr>
              <w:t>1</w:t>
            </w:r>
          </w:p>
        </w:tc>
        <w:tc>
          <w:tcPr>
            <w:tcW w:w="1614" w:type="dxa"/>
            <w:tcBorders>
              <w:top w:val="single" w:sz="4" w:space="0" w:color="000000"/>
              <w:left w:val="single" w:sz="4" w:space="0" w:color="000000"/>
              <w:bottom w:val="single" w:sz="4" w:space="0" w:color="000000"/>
              <w:right w:val="single" w:sz="4" w:space="0" w:color="000000"/>
            </w:tcBorders>
            <w:vAlign w:val="center"/>
          </w:tcPr>
          <w:p w:rsidR="00E83580" w:rsidRPr="00AB6605" w:rsidP="00E83580" w14:paraId="021E5F9B" w14:textId="23C93211">
            <w:pPr>
              <w:pStyle w:val="TableParagraph"/>
              <w:spacing w:line="240" w:lineRule="auto"/>
              <w:ind w:right="258"/>
              <w:rPr>
                <w:b/>
                <w:bCs/>
                <w:spacing w:val="-2"/>
                <w:szCs w:val="24"/>
              </w:rPr>
            </w:pPr>
            <w:r w:rsidRPr="00AB6605">
              <w:rPr>
                <w:b/>
                <w:bCs/>
                <w:spacing w:val="-2"/>
                <w:szCs w:val="24"/>
              </w:rPr>
              <w:t>$47.34</w:t>
            </w:r>
          </w:p>
        </w:tc>
        <w:tc>
          <w:tcPr>
            <w:tcW w:w="1621" w:type="dxa"/>
            <w:tcBorders>
              <w:top w:val="single" w:sz="4" w:space="0" w:color="000000"/>
              <w:left w:val="single" w:sz="4" w:space="0" w:color="000000"/>
              <w:bottom w:val="single" w:sz="4" w:space="0" w:color="000000"/>
              <w:right w:val="single" w:sz="4" w:space="0" w:color="000000"/>
            </w:tcBorders>
            <w:vAlign w:val="center"/>
          </w:tcPr>
          <w:p w:rsidR="00E83580" w:rsidRPr="00AB6605" w:rsidP="00E83580" w14:paraId="62466DEF" w14:textId="78927ABB">
            <w:pPr>
              <w:pStyle w:val="TableParagraph"/>
              <w:spacing w:line="240" w:lineRule="auto"/>
              <w:ind w:right="181"/>
              <w:rPr>
                <w:b/>
                <w:bCs/>
                <w:sz w:val="24"/>
                <w:szCs w:val="24"/>
              </w:rPr>
            </w:pPr>
            <w:r w:rsidRPr="00AB6605">
              <w:rPr>
                <w:b/>
                <w:bCs/>
                <w:sz w:val="24"/>
                <w:szCs w:val="24"/>
              </w:rPr>
              <w:t>$397,703.34</w:t>
            </w:r>
          </w:p>
        </w:tc>
      </w:tr>
    </w:tbl>
    <w:p w:rsidR="008A5BA6" w:rsidP="004E79EC" w14:paraId="4A84719C" w14:textId="77777777">
      <w:pPr>
        <w:rPr>
          <w:rFonts w:eastAsia="Times New Roman"/>
        </w:rPr>
      </w:pPr>
    </w:p>
    <w:p w:rsidR="008E35C2" w:rsidP="004E79EC" w14:paraId="69E1A7D8" w14:textId="77777777">
      <w:pPr>
        <w:rPr>
          <w:rFonts w:eastAsia="Times New Roman"/>
        </w:rPr>
      </w:pPr>
    </w:p>
    <w:p w:rsidR="00370AEA" w:rsidP="47826249" w14:paraId="438C4416" w14:textId="3C4ED334">
      <w:pPr>
        <w:rPr>
          <w:rFonts w:eastAsia="Times New Roman"/>
          <w:b/>
        </w:rPr>
      </w:pPr>
      <w:r w:rsidRPr="47826249">
        <w:rPr>
          <w:rFonts w:eastAsia="Times New Roman"/>
          <w:b/>
          <w:bCs/>
        </w:rPr>
        <w:t xml:space="preserve">Part 2: Suspected Unauthorized Enrollments </w:t>
      </w:r>
      <w:r w:rsidR="00C576EB">
        <w:rPr>
          <w:rFonts w:eastAsia="Times New Roman"/>
          <w:b/>
          <w:bCs/>
        </w:rPr>
        <w:t xml:space="preserve">and AB Investigations </w:t>
      </w:r>
      <w:r w:rsidRPr="47826249">
        <w:rPr>
          <w:rFonts w:eastAsia="Times New Roman"/>
          <w:b/>
          <w:bCs/>
        </w:rPr>
        <w:t>Reporting</w:t>
      </w:r>
    </w:p>
    <w:p w:rsidR="00370AEA" w:rsidRPr="00C00059" w:rsidP="00370AEA" w14:paraId="2C12639B" w14:textId="77777777">
      <w:pPr>
        <w:pStyle w:val="BodyText"/>
        <w:ind w:right="60"/>
        <w:rPr>
          <w:sz w:val="20"/>
          <w:szCs w:val="20"/>
        </w:rPr>
      </w:pPr>
    </w:p>
    <w:p w:rsidR="60B6DFD7" w14:paraId="7F0BA7C4" w14:textId="3709595E">
      <w:pPr>
        <w:rPr>
          <w:rFonts w:eastAsia="Times New Roman"/>
        </w:rPr>
      </w:pPr>
      <w:r w:rsidRPr="47826249">
        <w:rPr>
          <w:rFonts w:eastAsia="Times New Roman"/>
        </w:rPr>
        <w:t xml:space="preserve">CMS recommends two actions pertaining to </w:t>
      </w:r>
      <w:r w:rsidRPr="44E23CBC" w:rsidR="44E23CBC">
        <w:rPr>
          <w:rFonts w:eastAsia="Times New Roman"/>
        </w:rPr>
        <w:t>ABs and suspected unauthorized enrollments</w:t>
      </w:r>
      <w:r w:rsidRPr="47826249">
        <w:rPr>
          <w:rFonts w:eastAsia="Times New Roman"/>
        </w:rPr>
        <w:t xml:space="preserve"> within the </w:t>
      </w:r>
      <w:r w:rsidR="00204A4E">
        <w:rPr>
          <w:rFonts w:eastAsia="Times New Roman"/>
        </w:rPr>
        <w:t>aforementioned guidance</w:t>
      </w:r>
      <w:r w:rsidRPr="47826249">
        <w:rPr>
          <w:rFonts w:eastAsia="Times New Roman"/>
        </w:rPr>
        <w:t xml:space="preserve"> that have ICR implications: </w:t>
      </w:r>
    </w:p>
    <w:p w:rsidR="60B6DFD7" w:rsidP="0F84AC36" w14:paraId="007E8E1E" w14:textId="43D1D080">
      <w:pPr>
        <w:pStyle w:val="ListParagraph"/>
        <w:numPr>
          <w:ilvl w:val="0"/>
          <w:numId w:val="4"/>
        </w:numPr>
        <w:rPr>
          <w:rFonts w:eastAsia="Times New Roman"/>
        </w:rPr>
      </w:pPr>
      <w:r w:rsidRPr="03E34B4A">
        <w:rPr>
          <w:rFonts w:eastAsia="Times New Roman"/>
        </w:rPr>
        <w:t>QHP issuers promptly</w:t>
      </w:r>
      <w:r w:rsidRPr="47826249">
        <w:rPr>
          <w:rFonts w:eastAsia="Times New Roman"/>
        </w:rPr>
        <w:t xml:space="preserve"> review enrollments associated with any AB found to be significantly noncompliant, investigate whether the enrollments are appropriate, and if suspected to be unauthorized, report those policies to CMS through the issuer-identified Unauthorized Enrollment process</w:t>
      </w:r>
      <w:r w:rsidR="004621ED">
        <w:rPr>
          <w:rFonts w:eastAsia="Times New Roman"/>
        </w:rPr>
        <w:t>; and</w:t>
      </w:r>
    </w:p>
    <w:p w:rsidR="60B6DFD7" w:rsidP="0F84AC36" w14:paraId="34679A9E" w14:textId="7CB63F11">
      <w:pPr>
        <w:pStyle w:val="ListParagraph"/>
        <w:numPr>
          <w:ilvl w:val="0"/>
          <w:numId w:val="4"/>
        </w:numPr>
        <w:rPr>
          <w:rFonts w:eastAsia="Times New Roman"/>
        </w:rPr>
      </w:pPr>
      <w:r w:rsidRPr="03E34B4A">
        <w:rPr>
          <w:rFonts w:eastAsia="Times New Roman"/>
        </w:rPr>
        <w:t>QHP issuers review</w:t>
      </w:r>
      <w:r w:rsidRPr="35005605" w:rsidR="35005605">
        <w:rPr>
          <w:rFonts w:eastAsia="Times New Roman"/>
        </w:rPr>
        <w:t xml:space="preserve"> appointed ABs associated with patterns that suggest noncompliance or misconduct, initiate timely and appropriate action, generally within one month</w:t>
      </w:r>
      <w:r w:rsidRPr="41FE7D58" w:rsidR="41FE7D58">
        <w:rPr>
          <w:rFonts w:eastAsia="Times New Roman"/>
        </w:rPr>
        <w:t xml:space="preserve"> of </w:t>
      </w:r>
      <w:r w:rsidRPr="41FE7D58" w:rsidR="41FE7D58">
        <w:rPr>
          <w:rFonts w:eastAsia="Times New Roman"/>
        </w:rPr>
        <w:t>action initiation</w:t>
      </w:r>
      <w:r w:rsidRPr="35005605" w:rsidR="35005605">
        <w:rPr>
          <w:rFonts w:eastAsia="Times New Roman"/>
        </w:rPr>
        <w:t xml:space="preserve">, against ABs found to be noncompliant with CMS requirements, and </w:t>
      </w:r>
      <w:r w:rsidRPr="03E34B4A">
        <w:rPr>
          <w:rFonts w:eastAsia="Times New Roman"/>
        </w:rPr>
        <w:t>report</w:t>
      </w:r>
      <w:r w:rsidRPr="35005605" w:rsidR="35005605">
        <w:rPr>
          <w:rFonts w:eastAsia="Times New Roman"/>
        </w:rPr>
        <w:t xml:space="preserve"> monthly to CMS on the status of those AB investigations.</w:t>
      </w:r>
    </w:p>
    <w:p w:rsidR="60B6DFD7" w:rsidP="60B6DFD7" w14:paraId="49081151" w14:textId="678F86EA">
      <w:pPr>
        <w:rPr>
          <w:rFonts w:eastAsia="Times New Roman"/>
        </w:rPr>
      </w:pPr>
    </w:p>
    <w:p w:rsidR="000D461B" w:rsidP="60B6DFD7" w14:paraId="3CF4E0A6" w14:textId="73A43065">
      <w:pPr>
        <w:rPr>
          <w:rFonts w:eastAsia="Times New Roman"/>
        </w:rPr>
      </w:pPr>
      <w:r w:rsidRPr="47826249">
        <w:rPr>
          <w:rFonts w:eastAsia="Times New Roman"/>
        </w:rPr>
        <w:t xml:space="preserve">The first action, reviewing and reporting suspected unauthorized enrollments associated with ABs to CMS, is covered by the Establishment of </w:t>
      </w:r>
      <w:r w:rsidRPr="29B23808" w:rsidR="29B23808">
        <w:rPr>
          <w:rFonts w:eastAsia="Times New Roman"/>
        </w:rPr>
        <w:t xml:space="preserve">Exchanges and </w:t>
      </w:r>
      <w:r w:rsidRPr="47826249">
        <w:rPr>
          <w:rFonts w:eastAsia="Times New Roman"/>
        </w:rPr>
        <w:t>Qualified Health Plans</w:t>
      </w:r>
      <w:r w:rsidRPr="29B23808" w:rsidR="29B23808">
        <w:rPr>
          <w:rFonts w:eastAsia="Times New Roman"/>
        </w:rPr>
        <w:t>; Exchange Standards for Employers</w:t>
      </w:r>
      <w:r w:rsidRPr="47826249">
        <w:rPr>
          <w:rFonts w:eastAsia="Times New Roman"/>
        </w:rPr>
        <w:t xml:space="preserve"> PRA package (CMS-</w:t>
      </w:r>
      <w:r w:rsidR="00DB20D3">
        <w:rPr>
          <w:rFonts w:eastAsia="Times New Roman"/>
        </w:rPr>
        <w:t>10592</w:t>
      </w:r>
      <w:r w:rsidRPr="47826249">
        <w:rPr>
          <w:rFonts w:eastAsia="Times New Roman"/>
        </w:rPr>
        <w:t>/OMB Control Number 0938-</w:t>
      </w:r>
      <w:r w:rsidR="00DB20D3">
        <w:rPr>
          <w:rFonts w:eastAsia="Times New Roman"/>
        </w:rPr>
        <w:t>1341</w:t>
      </w:r>
      <w:r w:rsidRPr="47826249">
        <w:rPr>
          <w:rFonts w:eastAsia="Times New Roman"/>
        </w:rPr>
        <w:t xml:space="preserve">, expiration date: </w:t>
      </w:r>
      <w:r w:rsidR="00A63B86">
        <w:rPr>
          <w:rFonts w:eastAsia="Times New Roman"/>
        </w:rPr>
        <w:t>April</w:t>
      </w:r>
      <w:r w:rsidRPr="47826249" w:rsidR="00A63B86">
        <w:rPr>
          <w:rFonts w:eastAsia="Times New Roman"/>
        </w:rPr>
        <w:t xml:space="preserve"> </w:t>
      </w:r>
      <w:r w:rsidRPr="47826249">
        <w:rPr>
          <w:rFonts w:eastAsia="Times New Roman"/>
        </w:rPr>
        <w:t xml:space="preserve">30, 2027). This PRA package discusses the burden associated with the enrollment reconciliation process authorized by </w:t>
      </w:r>
      <w:r w:rsidRPr="29B23808" w:rsidR="29B23808">
        <w:rPr>
          <w:rFonts w:eastAsia="Times New Roman"/>
        </w:rPr>
        <w:t>§§ 155.400(d) and </w:t>
      </w:r>
      <w:r w:rsidRPr="47826249">
        <w:rPr>
          <w:rFonts w:eastAsia="Times New Roman"/>
        </w:rPr>
        <w:t>156.265(f</w:t>
      </w:r>
      <w:r w:rsidR="004640A1">
        <w:rPr>
          <w:rFonts w:eastAsia="Times New Roman"/>
        </w:rPr>
        <w:t>)</w:t>
      </w:r>
      <w:r w:rsidRPr="47826249">
        <w:rPr>
          <w:rFonts w:eastAsia="Times New Roman"/>
        </w:rPr>
        <w:t xml:space="preserve">, which </w:t>
      </w:r>
      <w:r w:rsidRPr="47826249">
        <w:rPr>
          <w:rFonts w:eastAsia="Times New Roman"/>
        </w:rPr>
        <w:t>state</w:t>
      </w:r>
      <w:r w:rsidRPr="47826249">
        <w:rPr>
          <w:rFonts w:eastAsia="Times New Roman"/>
        </w:rPr>
        <w:t xml:space="preserve"> that QHP issuers </w:t>
      </w:r>
      <w:r w:rsidRPr="29B23808" w:rsidR="29B23808">
        <w:rPr>
          <w:rFonts w:eastAsia="Times New Roman"/>
        </w:rPr>
        <w:t xml:space="preserve">and Exchanges </w:t>
      </w:r>
      <w:r w:rsidRPr="47826249">
        <w:rPr>
          <w:rFonts w:eastAsia="Times New Roman"/>
        </w:rPr>
        <w:t>must reconcile enrollment files with the Exchange</w:t>
      </w:r>
      <w:r w:rsidR="005F6471">
        <w:rPr>
          <w:rFonts w:eastAsia="Times New Roman"/>
        </w:rPr>
        <w:t xml:space="preserve">. This PRA package describes </w:t>
      </w:r>
      <w:r>
        <w:rPr>
          <w:rFonts w:eastAsia="Times New Roman"/>
        </w:rPr>
        <w:t xml:space="preserve">the process for doing so, as follows: </w:t>
      </w:r>
    </w:p>
    <w:p w:rsidR="003C23F6" w:rsidP="60B6DFD7" w14:paraId="380193D3" w14:textId="77777777">
      <w:pPr>
        <w:rPr>
          <w:rFonts w:eastAsia="Times New Roman"/>
        </w:rPr>
      </w:pPr>
    </w:p>
    <w:p w:rsidR="000D461B" w:rsidP="000D461B" w14:paraId="5838CA41" w14:textId="7CB99747">
      <w:pPr>
        <w:ind w:left="720"/>
        <w:rPr>
          <w:rFonts w:eastAsia="Times New Roman"/>
        </w:rPr>
      </w:pPr>
      <w:r>
        <w:rPr>
          <w:rFonts w:eastAsia="Times New Roman"/>
        </w:rPr>
        <w:t>At least monthly, issuers and the FFE will exchange enrollment and financial data files to verify the integrity of the enrollment transaction processing and resulting records. The FFE employs a</w:t>
      </w:r>
      <w:r w:rsidR="0026538C">
        <w:rPr>
          <w:rFonts w:eastAsia="Times New Roman"/>
        </w:rPr>
        <w:t xml:space="preserve">n automated monthly reconciliation process comparing certain data fields with issuer data. </w:t>
      </w:r>
    </w:p>
    <w:p w:rsidR="0026538C" w:rsidP="000D461B" w14:paraId="7FA7C669" w14:textId="77777777">
      <w:pPr>
        <w:ind w:left="720"/>
        <w:rPr>
          <w:rFonts w:eastAsia="Times New Roman"/>
        </w:rPr>
      </w:pPr>
    </w:p>
    <w:p w:rsidR="0026538C" w:rsidP="00AB6605" w14:paraId="4F339361" w14:textId="556F6284">
      <w:pPr>
        <w:ind w:left="720"/>
        <w:rPr>
          <w:rFonts w:eastAsia="Times New Roman"/>
        </w:rPr>
      </w:pPr>
      <w:r>
        <w:rPr>
          <w:rFonts w:eastAsia="Times New Roman"/>
        </w:rPr>
        <w:t>Reconciliation ensures that QHP issuers and the Exchanges have equivalent information.</w:t>
      </w:r>
      <w:r w:rsidR="001C43D5">
        <w:rPr>
          <w:rFonts w:eastAsia="Times New Roman"/>
        </w:rPr>
        <w:t xml:space="preserve"> Accurate enrollment information allows CMS to make correct payments for advance payment of the premium tax credits and cost-sharing reductions, and to assess FFE user fees. It also prevents multiple enrollments by one individual and ensures that the data used for analytics and metrics </w:t>
      </w:r>
      <w:r w:rsidR="001C43D5">
        <w:rPr>
          <w:rFonts w:eastAsia="Times New Roman"/>
        </w:rPr>
        <w:t>are</w:t>
      </w:r>
      <w:r w:rsidR="001C43D5">
        <w:rPr>
          <w:rFonts w:eastAsia="Times New Roman"/>
        </w:rPr>
        <w:t xml:space="preserve"> accurate. We expect that QHP issuers will develop an electronic data system to house the enrollment information. We estimate that 302 QHP issuers will participate in the Exchanges and will be subject to this requirement. As such we estimate that it will take 228 hours for a QHP issuer to reconcile information </w:t>
      </w:r>
      <w:r w:rsidR="001C43D5">
        <w:rPr>
          <w:rFonts w:eastAsia="Times New Roman"/>
        </w:rPr>
        <w:t>on a monthly basis</w:t>
      </w:r>
      <w:r w:rsidR="001C43D5">
        <w:rPr>
          <w:rFonts w:eastAsia="Times New Roman"/>
        </w:rPr>
        <w:t>.</w:t>
      </w:r>
    </w:p>
    <w:p w:rsidR="51527781" w:rsidP="51527781" w14:paraId="4E3C52E1" w14:textId="72ED2275">
      <w:pPr>
        <w:rPr>
          <w:rFonts w:eastAsia="Times New Roman"/>
        </w:rPr>
      </w:pPr>
    </w:p>
    <w:p w:rsidR="60B6DFD7" w:rsidP="60B6DFD7" w14:paraId="6A6A5169" w14:textId="29519028">
      <w:pPr>
        <w:rPr>
          <w:rFonts w:eastAsia="Times New Roman"/>
        </w:rPr>
      </w:pPr>
      <w:r w:rsidRPr="47826249">
        <w:rPr>
          <w:rFonts w:eastAsia="Times New Roman"/>
        </w:rPr>
        <w:t>Reporting on</w:t>
      </w:r>
      <w:r w:rsidRPr="47826249">
        <w:rPr>
          <w:rFonts w:eastAsia="Times New Roman"/>
        </w:rPr>
        <w:t xml:space="preserve"> enrollments suspected to be unauthorized through the Unauthorized Enrollment process, as recommended by CMS in the </w:t>
      </w:r>
      <w:r w:rsidR="00863ED5">
        <w:rPr>
          <w:rFonts w:eastAsia="Times New Roman"/>
        </w:rPr>
        <w:t>aforementioned guidance</w:t>
      </w:r>
      <w:r w:rsidRPr="47826249">
        <w:rPr>
          <w:rFonts w:eastAsia="Times New Roman"/>
        </w:rPr>
        <w:t xml:space="preserve">, is part of the enrollment reconciliation process described in </w:t>
      </w:r>
      <w:r w:rsidRPr="51527781" w:rsidR="51527781">
        <w:rPr>
          <w:rFonts w:eastAsia="Times New Roman"/>
        </w:rPr>
        <w:t xml:space="preserve">§§ </w:t>
      </w:r>
      <w:r w:rsidR="00910D67">
        <w:rPr>
          <w:rFonts w:eastAsia="Times New Roman"/>
        </w:rPr>
        <w:t>155.400(d</w:t>
      </w:r>
      <w:r w:rsidRPr="51527781" w:rsidR="51527781">
        <w:rPr>
          <w:rFonts w:eastAsia="Times New Roman"/>
        </w:rPr>
        <w:t>) and </w:t>
      </w:r>
      <w:r w:rsidRPr="47826249">
        <w:rPr>
          <w:rFonts w:eastAsia="Times New Roman"/>
        </w:rPr>
        <w:t>156.265(f</w:t>
      </w:r>
      <w:r w:rsidR="00910D67">
        <w:rPr>
          <w:rFonts w:eastAsia="Times New Roman"/>
        </w:rPr>
        <w:t>)</w:t>
      </w:r>
      <w:r w:rsidR="00434122">
        <w:rPr>
          <w:rFonts w:eastAsia="Times New Roman"/>
        </w:rPr>
        <w:t>,</w:t>
      </w:r>
      <w:r w:rsidRPr="47826249">
        <w:rPr>
          <w:rFonts w:eastAsia="Times New Roman"/>
        </w:rPr>
        <w:t xml:space="preserve"> because CMS has operationalized the Unauthorized Enrollment process via the monthly enrollment reconciliation process. </w:t>
      </w:r>
      <w:r w:rsidR="003778D4">
        <w:rPr>
          <w:rFonts w:eastAsia="Times New Roman"/>
        </w:rPr>
        <w:t xml:space="preserve">Specifically, in the </w:t>
      </w:r>
      <w:r w:rsidR="003778D4">
        <w:rPr>
          <w:rFonts w:eastAsia="Times New Roman"/>
        </w:rPr>
        <w:t>aforementioned guidance</w:t>
      </w:r>
      <w:r w:rsidR="003778D4">
        <w:rPr>
          <w:rFonts w:eastAsia="Times New Roman"/>
        </w:rPr>
        <w:t xml:space="preserve">, CMS recommends that QHP issuers </w:t>
      </w:r>
      <w:r w:rsidR="003778D4">
        <w:t xml:space="preserve">promptly and regularly – generally each month – evaluate their enrollment records for patterns that may indicate AB noncompliance or misconduct. These evaluations should include reviewing records on open DMIs provided by CMS. </w:t>
      </w:r>
      <w:r w:rsidR="009F1AF6">
        <w:t>CMS also recommends that QHP issuers p</w:t>
      </w:r>
      <w:r w:rsidR="003778D4">
        <w:t>romptly review enrollments associated with any AB found to be significantly noncompliant, investigate whether the enrollments are appropriate, and if suspected to be unauthorized, report those policies to CMS through the issuer-identified Unauthorized Enrollment process.</w:t>
      </w:r>
      <w:r w:rsidR="009F1AF6">
        <w:t xml:space="preserve"> </w:t>
      </w:r>
      <w:r w:rsidRPr="47826249">
        <w:rPr>
          <w:rFonts w:eastAsia="Times New Roman"/>
        </w:rPr>
        <w:t xml:space="preserve">Therefore, </w:t>
      </w:r>
      <w:r w:rsidR="009F1AF6">
        <w:rPr>
          <w:rFonts w:eastAsia="Times New Roman"/>
        </w:rPr>
        <w:t xml:space="preserve">because these actions </w:t>
      </w:r>
      <w:r w:rsidR="00D97C10">
        <w:rPr>
          <w:rFonts w:eastAsia="Times New Roman"/>
        </w:rPr>
        <w:t>are considered to be</w:t>
      </w:r>
      <w:r w:rsidR="00D97C10">
        <w:rPr>
          <w:rFonts w:eastAsia="Times New Roman"/>
        </w:rPr>
        <w:t xml:space="preserve"> part of the enrollment reconciliation process, </w:t>
      </w:r>
      <w:r w:rsidRPr="47826249">
        <w:rPr>
          <w:rFonts w:eastAsia="Times New Roman"/>
        </w:rPr>
        <w:t xml:space="preserve">the </w:t>
      </w:r>
      <w:r w:rsidRPr="47826249" w:rsidR="47826249">
        <w:rPr>
          <w:rFonts w:eastAsia="Times New Roman"/>
        </w:rPr>
        <w:t xml:space="preserve">burden associated with the </w:t>
      </w:r>
      <w:r w:rsidRPr="47826249">
        <w:rPr>
          <w:rFonts w:eastAsia="Times New Roman"/>
        </w:rPr>
        <w:t xml:space="preserve">first action listed in the paragraph above is already </w:t>
      </w:r>
      <w:r w:rsidRPr="47826249" w:rsidR="47826249">
        <w:rPr>
          <w:rFonts w:eastAsia="Times New Roman"/>
        </w:rPr>
        <w:t>approved</w:t>
      </w:r>
      <w:r w:rsidRPr="47826249">
        <w:rPr>
          <w:rFonts w:eastAsia="Times New Roman"/>
        </w:rPr>
        <w:t xml:space="preserve"> in the current PRA package with OMB control number 0938-</w:t>
      </w:r>
      <w:r w:rsidR="00780FDA">
        <w:rPr>
          <w:rFonts w:eastAsia="Times New Roman"/>
        </w:rPr>
        <w:t>1341 for 302 QHP issuers</w:t>
      </w:r>
      <w:r w:rsidRPr="47826249">
        <w:rPr>
          <w:rFonts w:eastAsia="Times New Roman"/>
        </w:rPr>
        <w:t>.</w:t>
      </w:r>
    </w:p>
    <w:p w:rsidR="00780FDA" w:rsidP="60B6DFD7" w14:paraId="201F275B" w14:textId="77777777">
      <w:pPr>
        <w:rPr>
          <w:rFonts w:eastAsia="Times New Roman"/>
        </w:rPr>
      </w:pPr>
    </w:p>
    <w:p w:rsidR="00780FDA" w:rsidP="60B6DFD7" w14:paraId="01776E7C" w14:textId="391429CB">
      <w:pPr>
        <w:rPr>
          <w:rFonts w:eastAsia="Times New Roman"/>
        </w:rPr>
      </w:pPr>
      <w:r>
        <w:rPr>
          <w:rFonts w:eastAsia="Times New Roman"/>
        </w:rPr>
        <w:t>Because we have more recent</w:t>
      </w:r>
      <w:r w:rsidR="004F02D9">
        <w:rPr>
          <w:rFonts w:eastAsia="Times New Roman"/>
        </w:rPr>
        <w:t xml:space="preserve"> PY 2026</w:t>
      </w:r>
      <w:r>
        <w:rPr>
          <w:rFonts w:eastAsia="Times New Roman"/>
        </w:rPr>
        <w:t xml:space="preserve"> data since the PRA package with OMB control number 0938-1341 was approved by OMB in 2024, we are increasing the burden in this PRA package as follows to account for an estimated 366 issuers </w:t>
      </w:r>
      <w:r w:rsidR="00DA7FE3">
        <w:rPr>
          <w:rFonts w:eastAsia="Times New Roman"/>
        </w:rPr>
        <w:t>that</w:t>
      </w:r>
      <w:r>
        <w:rPr>
          <w:rFonts w:eastAsia="Times New Roman"/>
        </w:rPr>
        <w:t xml:space="preserve"> may comply with our recommendations in the aforementioned guidance</w:t>
      </w:r>
      <w:r w:rsidRPr="51527781" w:rsidR="51527781">
        <w:rPr>
          <w:rFonts w:eastAsia="Times New Roman"/>
        </w:rPr>
        <w:t>, as well as updated wage rates as referenced in Table 1</w:t>
      </w:r>
      <w:r>
        <w:rPr>
          <w:rFonts w:eastAsia="Times New Roman"/>
        </w:rPr>
        <w:t>.</w:t>
      </w:r>
    </w:p>
    <w:p w:rsidR="00900E1E" w:rsidP="60B6DFD7" w14:paraId="165F4B81" w14:textId="77777777">
      <w:pPr>
        <w:rPr>
          <w:rFonts w:eastAsia="Times New Roman"/>
        </w:rPr>
      </w:pPr>
    </w:p>
    <w:p w:rsidR="00900E1E" w:rsidP="60B6DFD7" w14:paraId="1B0BB904" w14:textId="6ED0787B">
      <w:pPr>
        <w:rPr>
          <w:rFonts w:eastAsia="Times New Roman"/>
        </w:rPr>
      </w:pPr>
      <w:r w:rsidRPr="00AB6605">
        <w:rPr>
          <w:rFonts w:eastAsia="Times New Roman"/>
          <w:b/>
          <w:bCs/>
        </w:rPr>
        <w:t xml:space="preserve">Table </w:t>
      </w:r>
      <w:r w:rsidRPr="4FBE3120" w:rsidR="4FBE3120">
        <w:rPr>
          <w:rFonts w:eastAsia="Times New Roman"/>
          <w:b/>
          <w:bCs/>
        </w:rPr>
        <w:t>4</w:t>
      </w:r>
      <w:r w:rsidRPr="00AB6605">
        <w:rPr>
          <w:rFonts w:eastAsia="Times New Roman"/>
          <w:b/>
          <w:bCs/>
        </w:rPr>
        <w:t>:</w:t>
      </w:r>
      <w:r>
        <w:rPr>
          <w:rFonts w:eastAsia="Times New Roman"/>
        </w:rPr>
        <w:t xml:space="preserve"> </w:t>
      </w:r>
      <w:r w:rsidRPr="00AB6605" w:rsidR="4EE3D595">
        <w:rPr>
          <w:rFonts w:eastAsia="Times New Roman"/>
          <w:b/>
          <w:bCs/>
        </w:rPr>
        <w:t xml:space="preserve">Annual </w:t>
      </w:r>
      <w:r w:rsidRPr="4FBE3120" w:rsidR="00261A0D">
        <w:rPr>
          <w:rFonts w:eastAsia="Times New Roman"/>
          <w:b/>
          <w:bCs/>
        </w:rPr>
        <w:t>Burden to QHP Issuers for Recommended Unauthorized Enrollment Reporting</w:t>
      </w:r>
    </w:p>
    <w:p w:rsidR="00900E1E" w:rsidP="60B6DFD7" w14:paraId="258A3864" w14:textId="77777777">
      <w:pPr>
        <w:rPr>
          <w:rFonts w:eastAsia="Times New Roman"/>
        </w:rPr>
      </w:pPr>
    </w:p>
    <w:tbl>
      <w:tblPr>
        <w:tblW w:w="9440" w:type="dxa"/>
        <w:tblCellMar>
          <w:left w:w="0" w:type="dxa"/>
          <w:right w:w="0" w:type="dxa"/>
        </w:tblCellMar>
        <w:tblLook w:val="01E0"/>
      </w:tblPr>
      <w:tblGrid>
        <w:gridCol w:w="1376"/>
        <w:gridCol w:w="1523"/>
        <w:gridCol w:w="1501"/>
        <w:gridCol w:w="1440"/>
        <w:gridCol w:w="1530"/>
        <w:gridCol w:w="2070"/>
      </w:tblGrid>
      <w:tr w14:paraId="553E4BEE" w14:textId="77777777" w:rsidTr="009D64F8">
        <w:tblPrEx>
          <w:tblW w:w="9440" w:type="dxa"/>
          <w:tblCellMar>
            <w:left w:w="0" w:type="dxa"/>
            <w:right w:w="0" w:type="dxa"/>
          </w:tblCellMar>
          <w:tblLook w:val="01E0"/>
        </w:tblPrEx>
        <w:trPr>
          <w:trHeight w:val="1110"/>
        </w:trPr>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9D64F8" w14:paraId="73AA8D87" w14:textId="77777777">
            <w:pPr>
              <w:keepNext/>
              <w:ind w:right="-14"/>
              <w:rPr>
                <w:rFonts w:eastAsia="Times New Roman"/>
                <w:b/>
                <w:szCs w:val="24"/>
              </w:rPr>
            </w:pPr>
            <w:r w:rsidRPr="004E79EC">
              <w:rPr>
                <w:rFonts w:eastAsia="Times New Roman"/>
                <w:b/>
                <w:szCs w:val="24"/>
              </w:rPr>
              <w:t>Labor</w:t>
            </w:r>
          </w:p>
          <w:p w:rsidR="00900E1E" w:rsidRPr="004E79EC" w:rsidP="009D64F8" w14:paraId="71046688" w14:textId="77777777">
            <w:pPr>
              <w:keepNext/>
              <w:ind w:right="-14"/>
              <w:rPr>
                <w:rFonts w:eastAsia="Times New Roman"/>
                <w:b/>
                <w:szCs w:val="24"/>
              </w:rPr>
            </w:pPr>
            <w:r w:rsidRPr="004E79EC">
              <w:rPr>
                <w:rFonts w:eastAsia="Times New Roman"/>
                <w:b/>
                <w:szCs w:val="24"/>
              </w:rPr>
              <w:t>Category</w:t>
            </w:r>
          </w:p>
        </w:tc>
        <w:tc>
          <w:tcPr>
            <w:tcW w:w="152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9D64F8" w14:paraId="50DE5E39" w14:textId="77777777">
            <w:pPr>
              <w:keepNext/>
              <w:ind w:right="-14"/>
              <w:jc w:val="center"/>
              <w:rPr>
                <w:rFonts w:eastAsia="Times New Roman"/>
                <w:b/>
                <w:szCs w:val="24"/>
              </w:rPr>
            </w:pPr>
            <w:r w:rsidRPr="004E79EC">
              <w:rPr>
                <w:rFonts w:eastAsia="Times New Roman"/>
                <w:b/>
                <w:szCs w:val="24"/>
              </w:rPr>
              <w:t>Number of</w:t>
            </w:r>
          </w:p>
          <w:p w:rsidR="00900E1E" w:rsidRPr="004E79EC" w:rsidP="009D64F8" w14:paraId="7DD1A36B" w14:textId="77777777">
            <w:pPr>
              <w:keepNext/>
              <w:ind w:right="-14"/>
              <w:jc w:val="center"/>
              <w:rPr>
                <w:rFonts w:eastAsia="Times New Roman"/>
                <w:b/>
                <w:szCs w:val="24"/>
              </w:rPr>
            </w:pPr>
            <w:r w:rsidRPr="004E79EC">
              <w:rPr>
                <w:rFonts w:eastAsia="Times New Roman"/>
                <w:b/>
                <w:szCs w:val="24"/>
              </w:rPr>
              <w:t>Respondents</w:t>
            </w:r>
          </w:p>
        </w:tc>
        <w:tc>
          <w:tcPr>
            <w:tcW w:w="15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9D64F8" w14:paraId="6E774398" w14:textId="77777777">
            <w:pPr>
              <w:keepNext/>
              <w:ind w:right="-14"/>
              <w:jc w:val="center"/>
              <w:rPr>
                <w:rFonts w:eastAsia="Times New Roman"/>
                <w:b/>
                <w:szCs w:val="24"/>
              </w:rPr>
            </w:pPr>
            <w:r w:rsidRPr="004E79EC">
              <w:rPr>
                <w:rFonts w:eastAsia="Times New Roman"/>
                <w:b/>
                <w:szCs w:val="24"/>
              </w:rPr>
              <w:t>Hourly Labor Costs (Hourly Rate + 100% Fringe Benefits)</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9D64F8" w14:paraId="7069047E" w14:textId="77777777">
            <w:pPr>
              <w:keepNext/>
              <w:ind w:right="-14"/>
              <w:jc w:val="center"/>
              <w:rPr>
                <w:rFonts w:eastAsia="Times New Roman"/>
                <w:b/>
                <w:szCs w:val="24"/>
              </w:rPr>
            </w:pPr>
            <w:r w:rsidRPr="004E79EC">
              <w:rPr>
                <w:rFonts w:eastAsia="Times New Roman"/>
                <w:b/>
                <w:szCs w:val="24"/>
              </w:rPr>
              <w:t>Burden</w:t>
            </w:r>
          </w:p>
          <w:p w:rsidR="00900E1E" w:rsidRPr="004E79EC" w:rsidP="009D64F8" w14:paraId="07DE53BB" w14:textId="77777777">
            <w:pPr>
              <w:keepNext/>
              <w:ind w:right="-14"/>
              <w:jc w:val="center"/>
              <w:rPr>
                <w:rFonts w:eastAsia="Times New Roman"/>
                <w:b/>
                <w:szCs w:val="24"/>
              </w:rPr>
            </w:pPr>
            <w:r w:rsidRPr="004E79EC">
              <w:rPr>
                <w:rFonts w:eastAsia="Times New Roman"/>
                <w:b/>
                <w:szCs w:val="24"/>
              </w:rPr>
              <w:t>Hours (per Respondent)</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9D64F8" w14:paraId="773EED72" w14:textId="77777777">
            <w:pPr>
              <w:keepNext/>
              <w:ind w:right="-14"/>
              <w:jc w:val="center"/>
              <w:rPr>
                <w:rFonts w:eastAsia="Times New Roman"/>
                <w:b/>
                <w:szCs w:val="24"/>
              </w:rPr>
            </w:pPr>
            <w:r w:rsidRPr="004E79EC">
              <w:rPr>
                <w:rFonts w:eastAsia="Times New Roman"/>
                <w:b/>
                <w:szCs w:val="24"/>
              </w:rPr>
              <w:t>Total Burden</w:t>
            </w:r>
          </w:p>
          <w:p w:rsidR="00900E1E" w:rsidRPr="004E79EC" w:rsidP="009D64F8" w14:paraId="44281750" w14:textId="77777777">
            <w:pPr>
              <w:keepNext/>
              <w:ind w:right="-14"/>
              <w:jc w:val="center"/>
              <w:rPr>
                <w:rFonts w:eastAsia="Times New Roman"/>
                <w:b/>
                <w:szCs w:val="24"/>
              </w:rPr>
            </w:pPr>
            <w:r w:rsidRPr="004E79EC">
              <w:rPr>
                <w:rFonts w:eastAsia="Times New Roman"/>
                <w:b/>
                <w:szCs w:val="24"/>
              </w:rPr>
              <w:t>Costs (per Respondent)</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9D64F8" w14:paraId="51133D4A" w14:textId="77777777">
            <w:pPr>
              <w:keepNext/>
              <w:ind w:right="-14"/>
              <w:jc w:val="center"/>
              <w:rPr>
                <w:rFonts w:eastAsia="Times New Roman"/>
                <w:b/>
                <w:szCs w:val="24"/>
              </w:rPr>
            </w:pPr>
            <w:r w:rsidRPr="004E79EC">
              <w:rPr>
                <w:rFonts w:eastAsia="Times New Roman"/>
                <w:b/>
                <w:szCs w:val="24"/>
              </w:rPr>
              <w:t>Total Burden</w:t>
            </w:r>
          </w:p>
          <w:p w:rsidR="00900E1E" w:rsidRPr="004E79EC" w:rsidP="009D64F8" w14:paraId="6A2328EE" w14:textId="77777777">
            <w:pPr>
              <w:keepNext/>
              <w:ind w:right="-14"/>
              <w:jc w:val="center"/>
              <w:rPr>
                <w:rFonts w:eastAsia="Times New Roman"/>
                <w:b/>
                <w:szCs w:val="24"/>
              </w:rPr>
            </w:pPr>
            <w:r w:rsidRPr="004E79EC">
              <w:rPr>
                <w:rFonts w:eastAsia="Times New Roman"/>
                <w:b/>
                <w:szCs w:val="24"/>
              </w:rPr>
              <w:t>Costs (All</w:t>
            </w:r>
          </w:p>
          <w:p w:rsidR="00900E1E" w:rsidRPr="004E79EC" w:rsidP="009D64F8" w14:paraId="61E625A0" w14:textId="77777777">
            <w:pPr>
              <w:keepNext/>
              <w:ind w:right="-14"/>
              <w:jc w:val="center"/>
              <w:rPr>
                <w:rFonts w:eastAsia="Times New Roman"/>
                <w:b/>
                <w:szCs w:val="24"/>
              </w:rPr>
            </w:pPr>
            <w:r w:rsidRPr="004E79EC">
              <w:rPr>
                <w:rFonts w:eastAsia="Times New Roman"/>
                <w:b/>
                <w:szCs w:val="24"/>
              </w:rPr>
              <w:t>Respondents)</w:t>
            </w:r>
          </w:p>
        </w:tc>
      </w:tr>
      <w:tr w14:paraId="5E88C063" w14:textId="77777777" w:rsidTr="009D64F8">
        <w:tblPrEx>
          <w:tblW w:w="9440" w:type="dxa"/>
          <w:tblCellMar>
            <w:left w:w="0" w:type="dxa"/>
            <w:right w:w="0" w:type="dxa"/>
          </w:tblCellMar>
          <w:tblLook w:val="01E0"/>
        </w:tblPrEx>
        <w:trPr>
          <w:trHeight w:val="570"/>
        </w:trPr>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51F3DD60" w14:textId="77777777">
            <w:pPr>
              <w:ind w:right="-14"/>
              <w:rPr>
                <w:rFonts w:eastAsia="Times New Roman"/>
                <w:szCs w:val="24"/>
              </w:rPr>
            </w:pPr>
            <w:r w:rsidRPr="004E79EC">
              <w:rPr>
                <w:rFonts w:eastAsia="Times New Roman"/>
                <w:szCs w:val="24"/>
              </w:rPr>
              <w:t>Health Policy Analyst</w:t>
            </w:r>
          </w:p>
        </w:tc>
        <w:tc>
          <w:tcPr>
            <w:tcW w:w="152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138085A4" w14:textId="77777777">
            <w:pPr>
              <w:ind w:right="-14"/>
              <w:jc w:val="center"/>
              <w:rPr>
                <w:rFonts w:eastAsia="Times New Roman"/>
                <w:szCs w:val="24"/>
              </w:rPr>
            </w:pPr>
            <w:r w:rsidRPr="004E79EC">
              <w:rPr>
                <w:rFonts w:eastAsia="Times New Roman"/>
                <w:szCs w:val="24"/>
              </w:rPr>
              <w:t>366</w:t>
            </w:r>
          </w:p>
        </w:tc>
        <w:tc>
          <w:tcPr>
            <w:tcW w:w="15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4493AF48" w14:textId="18ED6A38">
            <w:pPr>
              <w:ind w:right="-14"/>
              <w:jc w:val="center"/>
              <w:rPr>
                <w:rFonts w:eastAsia="Times New Roman"/>
                <w:szCs w:val="24"/>
              </w:rPr>
            </w:pPr>
            <w:r w:rsidRPr="004E79EC">
              <w:rPr>
                <w:rFonts w:eastAsia="Times New Roman"/>
                <w:szCs w:val="24"/>
              </w:rPr>
              <w:t>$</w:t>
            </w:r>
            <w:r w:rsidR="005C0CBA">
              <w:rPr>
                <w:rFonts w:eastAsia="Times New Roman"/>
                <w:szCs w:val="24"/>
              </w:rPr>
              <w:t>79.86</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70B83AAA" w14:textId="4F31044D">
            <w:pPr>
              <w:ind w:right="-14"/>
              <w:jc w:val="center"/>
              <w:rPr>
                <w:rFonts w:eastAsia="Times New Roman"/>
                <w:szCs w:val="24"/>
              </w:rPr>
            </w:pPr>
            <w:r>
              <w:rPr>
                <w:rFonts w:eastAsia="Times New Roman"/>
                <w:szCs w:val="24"/>
              </w:rPr>
              <w:t>6</w:t>
            </w:r>
            <w:r w:rsidRPr="004E79EC">
              <w:rPr>
                <w:rFonts w:eastAsia="Times New Roman"/>
                <w:szCs w:val="24"/>
              </w:rPr>
              <w:t>0</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66AF7FF8" w14:textId="0C0DF3F8">
            <w:pPr>
              <w:ind w:right="-14"/>
              <w:jc w:val="center"/>
              <w:rPr>
                <w:rFonts w:eastAsia="Times New Roman"/>
                <w:szCs w:val="24"/>
              </w:rPr>
            </w:pPr>
            <w:r w:rsidRPr="004E79EC">
              <w:rPr>
                <w:rFonts w:eastAsia="Times New Roman"/>
                <w:szCs w:val="24"/>
              </w:rPr>
              <w:t>$</w:t>
            </w:r>
            <w:r w:rsidR="005C0CBA">
              <w:rPr>
                <w:rFonts w:eastAsia="Times New Roman"/>
                <w:szCs w:val="24"/>
              </w:rPr>
              <w:t>4,791.60</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75CD42CE" w14:textId="379E3B4E">
            <w:pPr>
              <w:ind w:right="-14"/>
              <w:jc w:val="center"/>
              <w:rPr>
                <w:rFonts w:eastAsia="Times New Roman"/>
                <w:szCs w:val="24"/>
              </w:rPr>
            </w:pPr>
            <w:r w:rsidRPr="004E79EC">
              <w:rPr>
                <w:rFonts w:eastAsia="Times New Roman"/>
                <w:szCs w:val="24"/>
              </w:rPr>
              <w:t>$</w:t>
            </w:r>
            <w:r w:rsidR="00025641">
              <w:rPr>
                <w:rFonts w:eastAsia="Times New Roman"/>
                <w:szCs w:val="24"/>
              </w:rPr>
              <w:t>1,</w:t>
            </w:r>
            <w:r w:rsidR="003E6CB5">
              <w:rPr>
                <w:rFonts w:eastAsia="Times New Roman"/>
                <w:szCs w:val="24"/>
              </w:rPr>
              <w:t>753,725.60</w:t>
            </w:r>
          </w:p>
        </w:tc>
      </w:tr>
      <w:tr w14:paraId="4B6F9D4D" w14:textId="77777777" w:rsidTr="009D64F8">
        <w:tblPrEx>
          <w:tblW w:w="9440" w:type="dxa"/>
          <w:tblCellMar>
            <w:left w:w="0" w:type="dxa"/>
            <w:right w:w="0" w:type="dxa"/>
          </w:tblCellMar>
          <w:tblLook w:val="01E0"/>
        </w:tblPrEx>
        <w:trPr>
          <w:trHeight w:val="570"/>
        </w:trPr>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12E71AEC" w14:textId="4D0FEFA9">
            <w:pPr>
              <w:ind w:right="-14"/>
              <w:rPr>
                <w:rFonts w:eastAsia="Times New Roman"/>
                <w:szCs w:val="24"/>
              </w:rPr>
            </w:pPr>
            <w:r>
              <w:rPr>
                <w:rFonts w:eastAsia="Times New Roman"/>
                <w:szCs w:val="24"/>
              </w:rPr>
              <w:t>Senior Manager</w:t>
            </w:r>
          </w:p>
        </w:tc>
        <w:tc>
          <w:tcPr>
            <w:tcW w:w="152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47007A12" w14:textId="43164621">
            <w:pPr>
              <w:ind w:right="-14"/>
              <w:jc w:val="center"/>
              <w:rPr>
                <w:rFonts w:eastAsia="Times New Roman"/>
                <w:szCs w:val="24"/>
              </w:rPr>
            </w:pPr>
            <w:r>
              <w:rPr>
                <w:rFonts w:eastAsia="Times New Roman"/>
                <w:szCs w:val="24"/>
              </w:rPr>
              <w:t>366</w:t>
            </w:r>
          </w:p>
        </w:tc>
        <w:tc>
          <w:tcPr>
            <w:tcW w:w="15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7857D010" w14:textId="1BFCC9B1">
            <w:pPr>
              <w:ind w:right="-14"/>
              <w:jc w:val="center"/>
              <w:rPr>
                <w:rFonts w:eastAsia="Times New Roman"/>
                <w:szCs w:val="24"/>
              </w:rPr>
            </w:pPr>
            <w:r>
              <w:rPr>
                <w:rFonts w:eastAsia="Times New Roman"/>
                <w:szCs w:val="24"/>
              </w:rPr>
              <w:t>$101.70</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5BD5F99C" w14:textId="609C9889">
            <w:pPr>
              <w:ind w:right="-14"/>
              <w:jc w:val="center"/>
              <w:rPr>
                <w:rFonts w:eastAsia="Times New Roman"/>
                <w:szCs w:val="24"/>
              </w:rPr>
            </w:pPr>
            <w:r>
              <w:rPr>
                <w:rFonts w:eastAsia="Times New Roman"/>
                <w:szCs w:val="24"/>
              </w:rPr>
              <w:t>24</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AD5C2FE" w14:textId="29282392">
            <w:pPr>
              <w:ind w:right="-14"/>
              <w:jc w:val="center"/>
              <w:rPr>
                <w:rFonts w:eastAsia="Times New Roman"/>
                <w:szCs w:val="24"/>
              </w:rPr>
            </w:pPr>
            <w:r>
              <w:rPr>
                <w:rFonts w:eastAsia="Times New Roman"/>
                <w:szCs w:val="24"/>
              </w:rPr>
              <w:t>$2,440.80</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5A664A3" w14:textId="09F93C2A">
            <w:pPr>
              <w:ind w:right="-14"/>
              <w:jc w:val="center"/>
              <w:rPr>
                <w:rFonts w:eastAsia="Times New Roman"/>
                <w:szCs w:val="24"/>
              </w:rPr>
            </w:pPr>
            <w:r>
              <w:rPr>
                <w:rFonts w:eastAsia="Times New Roman"/>
                <w:szCs w:val="24"/>
              </w:rPr>
              <w:t>$893,332.80</w:t>
            </w:r>
          </w:p>
        </w:tc>
      </w:tr>
      <w:tr w14:paraId="09021702" w14:textId="77777777" w:rsidTr="009D64F8">
        <w:tblPrEx>
          <w:tblW w:w="9440" w:type="dxa"/>
          <w:tblCellMar>
            <w:left w:w="0" w:type="dxa"/>
            <w:right w:w="0" w:type="dxa"/>
          </w:tblCellMar>
          <w:tblLook w:val="01E0"/>
        </w:tblPrEx>
        <w:trPr>
          <w:trHeight w:val="570"/>
        </w:trPr>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0809ACA" w14:textId="5857B136">
            <w:pPr>
              <w:ind w:right="-14"/>
              <w:rPr>
                <w:rFonts w:eastAsia="Times New Roman"/>
                <w:szCs w:val="24"/>
              </w:rPr>
            </w:pPr>
            <w:r>
              <w:rPr>
                <w:rFonts w:eastAsia="Times New Roman"/>
                <w:szCs w:val="24"/>
              </w:rPr>
              <w:t>Operations Analyst</w:t>
            </w:r>
          </w:p>
        </w:tc>
        <w:tc>
          <w:tcPr>
            <w:tcW w:w="152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50BF150B" w14:textId="260D4C85">
            <w:pPr>
              <w:ind w:right="-14"/>
              <w:jc w:val="center"/>
              <w:rPr>
                <w:rFonts w:eastAsia="Times New Roman"/>
                <w:szCs w:val="24"/>
              </w:rPr>
            </w:pPr>
            <w:r>
              <w:rPr>
                <w:rFonts w:eastAsia="Times New Roman"/>
                <w:szCs w:val="24"/>
              </w:rPr>
              <w:t>366</w:t>
            </w:r>
          </w:p>
        </w:tc>
        <w:tc>
          <w:tcPr>
            <w:tcW w:w="15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4D9722C8" w14:textId="23527E64">
            <w:pPr>
              <w:ind w:right="-14"/>
              <w:jc w:val="center"/>
              <w:rPr>
                <w:rFonts w:eastAsia="Times New Roman"/>
                <w:szCs w:val="24"/>
              </w:rPr>
            </w:pPr>
            <w:r>
              <w:rPr>
                <w:rFonts w:eastAsia="Times New Roman"/>
                <w:szCs w:val="24"/>
              </w:rPr>
              <w:t>$85.52</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A1E400D" w14:textId="0BAD790E">
            <w:pPr>
              <w:ind w:right="-14"/>
              <w:jc w:val="center"/>
              <w:rPr>
                <w:rFonts w:eastAsia="Times New Roman"/>
                <w:szCs w:val="24"/>
              </w:rPr>
            </w:pPr>
            <w:r>
              <w:rPr>
                <w:rFonts w:eastAsia="Times New Roman"/>
                <w:szCs w:val="24"/>
              </w:rPr>
              <w:t>60</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58C140E" w14:textId="2E31BE57">
            <w:pPr>
              <w:ind w:right="-14"/>
              <w:jc w:val="center"/>
              <w:rPr>
                <w:rFonts w:eastAsia="Times New Roman"/>
                <w:szCs w:val="24"/>
              </w:rPr>
            </w:pPr>
            <w:r>
              <w:rPr>
                <w:rFonts w:eastAsia="Times New Roman"/>
                <w:szCs w:val="24"/>
              </w:rPr>
              <w:t>$5,131.20</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59EA350D" w14:textId="12B5475E">
            <w:pPr>
              <w:ind w:right="-14"/>
              <w:jc w:val="center"/>
              <w:rPr>
                <w:rFonts w:eastAsia="Times New Roman"/>
                <w:szCs w:val="24"/>
              </w:rPr>
            </w:pPr>
            <w:r>
              <w:rPr>
                <w:rFonts w:eastAsia="Times New Roman"/>
                <w:szCs w:val="24"/>
              </w:rPr>
              <w:t>$1,878,019.20</w:t>
            </w:r>
          </w:p>
        </w:tc>
      </w:tr>
      <w:tr w14:paraId="014B25BB" w14:textId="77777777" w:rsidTr="009D64F8">
        <w:tblPrEx>
          <w:tblW w:w="9440" w:type="dxa"/>
          <w:tblCellMar>
            <w:left w:w="0" w:type="dxa"/>
            <w:right w:w="0" w:type="dxa"/>
          </w:tblCellMar>
          <w:tblLook w:val="01E0"/>
        </w:tblPrEx>
        <w:trPr>
          <w:trHeight w:val="570"/>
        </w:trPr>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F4970DA" w14:textId="6E7FC45C">
            <w:pPr>
              <w:ind w:right="-14"/>
              <w:rPr>
                <w:rFonts w:eastAsia="Times New Roman"/>
                <w:szCs w:val="24"/>
              </w:rPr>
            </w:pPr>
            <w:r>
              <w:rPr>
                <w:rFonts w:eastAsia="Times New Roman"/>
                <w:szCs w:val="24"/>
              </w:rPr>
              <w:t>Computer Programmer</w:t>
            </w:r>
          </w:p>
        </w:tc>
        <w:tc>
          <w:tcPr>
            <w:tcW w:w="152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7F7B41B2" w14:textId="77777777">
            <w:pPr>
              <w:ind w:right="-14"/>
              <w:jc w:val="center"/>
              <w:rPr>
                <w:rFonts w:eastAsia="Times New Roman"/>
                <w:szCs w:val="24"/>
              </w:rPr>
            </w:pPr>
            <w:r w:rsidRPr="004E79EC">
              <w:rPr>
                <w:rFonts w:eastAsia="Times New Roman"/>
                <w:szCs w:val="24"/>
              </w:rPr>
              <w:t>366</w:t>
            </w:r>
          </w:p>
        </w:tc>
        <w:tc>
          <w:tcPr>
            <w:tcW w:w="15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6943616" w14:textId="77777777">
            <w:pPr>
              <w:ind w:right="-14"/>
              <w:jc w:val="center"/>
              <w:rPr>
                <w:rFonts w:eastAsia="Times New Roman"/>
                <w:szCs w:val="24"/>
              </w:rPr>
            </w:pPr>
            <w:r w:rsidRPr="004E79EC">
              <w:rPr>
                <w:rFonts w:eastAsia="Times New Roman"/>
                <w:szCs w:val="24"/>
              </w:rPr>
              <w:t>$76.62</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6EEBBD89" w14:textId="4EEDBFE8">
            <w:pPr>
              <w:ind w:right="-14"/>
              <w:jc w:val="center"/>
              <w:rPr>
                <w:rFonts w:eastAsia="Times New Roman"/>
                <w:szCs w:val="24"/>
              </w:rPr>
            </w:pPr>
            <w:r>
              <w:rPr>
                <w:rFonts w:eastAsia="Times New Roman"/>
                <w:szCs w:val="24"/>
              </w:rPr>
              <w:t>84</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64D31EEA" w14:textId="7A4A9C30">
            <w:pPr>
              <w:ind w:right="-14"/>
              <w:jc w:val="center"/>
              <w:rPr>
                <w:rFonts w:eastAsia="Times New Roman"/>
                <w:szCs w:val="24"/>
              </w:rPr>
            </w:pPr>
            <w:r w:rsidRPr="004E79EC">
              <w:rPr>
                <w:rFonts w:eastAsia="Times New Roman"/>
                <w:szCs w:val="24"/>
              </w:rPr>
              <w:t>$</w:t>
            </w:r>
            <w:r w:rsidR="00025641">
              <w:rPr>
                <w:rFonts w:eastAsia="Times New Roman"/>
                <w:szCs w:val="24"/>
              </w:rPr>
              <w:t>6,436.08</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1255D14D" w14:textId="6B8771D7">
            <w:pPr>
              <w:ind w:right="-14"/>
              <w:jc w:val="center"/>
              <w:rPr>
                <w:rFonts w:eastAsia="Times New Roman"/>
                <w:szCs w:val="24"/>
              </w:rPr>
            </w:pPr>
            <w:r w:rsidRPr="004E79EC">
              <w:rPr>
                <w:rFonts w:eastAsia="Times New Roman"/>
                <w:szCs w:val="24"/>
              </w:rPr>
              <w:t>$</w:t>
            </w:r>
            <w:r w:rsidR="00025641">
              <w:rPr>
                <w:rFonts w:eastAsia="Times New Roman"/>
                <w:szCs w:val="24"/>
              </w:rPr>
              <w:t>2,355,605.28</w:t>
            </w:r>
          </w:p>
        </w:tc>
      </w:tr>
      <w:tr w14:paraId="48F94F24" w14:textId="77777777" w:rsidTr="009D64F8">
        <w:tblPrEx>
          <w:tblW w:w="9440" w:type="dxa"/>
          <w:tblCellMar>
            <w:left w:w="0" w:type="dxa"/>
            <w:right w:w="0" w:type="dxa"/>
          </w:tblCellMar>
          <w:tblLook w:val="01E0"/>
        </w:tblPrEx>
        <w:trPr>
          <w:trHeight w:val="330"/>
        </w:trPr>
        <w:tc>
          <w:tcPr>
            <w:tcW w:w="137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AF33799" w14:textId="77777777">
            <w:pPr>
              <w:ind w:right="-14"/>
              <w:rPr>
                <w:rFonts w:eastAsia="Times New Roman"/>
                <w:b/>
                <w:szCs w:val="24"/>
              </w:rPr>
            </w:pPr>
            <w:r w:rsidRPr="004E79EC">
              <w:rPr>
                <w:rFonts w:eastAsia="Times New Roman"/>
                <w:b/>
                <w:szCs w:val="24"/>
              </w:rPr>
              <w:t xml:space="preserve">Total </w:t>
            </w:r>
          </w:p>
        </w:tc>
        <w:tc>
          <w:tcPr>
            <w:tcW w:w="152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1FA8B90F" w14:textId="77777777">
            <w:pPr>
              <w:ind w:right="-14"/>
              <w:jc w:val="center"/>
              <w:rPr>
                <w:rFonts w:eastAsia="Times New Roman"/>
                <w:b/>
                <w:szCs w:val="24"/>
              </w:rPr>
            </w:pPr>
            <w:r w:rsidRPr="004E79EC">
              <w:rPr>
                <w:rFonts w:eastAsia="Times New Roman"/>
                <w:b/>
                <w:szCs w:val="24"/>
              </w:rPr>
              <w:t xml:space="preserve"> </w:t>
            </w:r>
          </w:p>
        </w:tc>
        <w:tc>
          <w:tcPr>
            <w:tcW w:w="15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26D0368A" w14:textId="77777777">
            <w:pPr>
              <w:ind w:right="-14"/>
              <w:jc w:val="center"/>
              <w:rPr>
                <w:rFonts w:eastAsia="Times New Roman"/>
                <w:b/>
                <w:szCs w:val="24"/>
              </w:rPr>
            </w:pPr>
            <w:r w:rsidRPr="004E79EC">
              <w:rPr>
                <w:rFonts w:eastAsia="Times New Roman"/>
                <w:b/>
                <w:szCs w:val="24"/>
              </w:rPr>
              <w:t xml:space="preserve"> </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1CC9078E" w14:textId="62882010">
            <w:pPr>
              <w:ind w:right="-14"/>
              <w:jc w:val="center"/>
              <w:rPr>
                <w:rFonts w:eastAsia="Times New Roman"/>
                <w:b/>
                <w:szCs w:val="24"/>
              </w:rPr>
            </w:pPr>
            <w:r>
              <w:rPr>
                <w:rFonts w:eastAsia="Times New Roman"/>
                <w:b/>
                <w:szCs w:val="24"/>
              </w:rPr>
              <w:t>228</w:t>
            </w:r>
          </w:p>
        </w:tc>
        <w:tc>
          <w:tcPr>
            <w:tcW w:w="15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673387A2" w14:textId="20A0BB45">
            <w:pPr>
              <w:ind w:right="-14"/>
              <w:jc w:val="center"/>
              <w:rPr>
                <w:rFonts w:eastAsia="Times New Roman"/>
                <w:b/>
                <w:szCs w:val="24"/>
              </w:rPr>
            </w:pPr>
            <w:r w:rsidRPr="004E79EC">
              <w:rPr>
                <w:rFonts w:eastAsia="Times New Roman"/>
                <w:b/>
                <w:szCs w:val="24"/>
              </w:rPr>
              <w:t>$</w:t>
            </w:r>
            <w:r w:rsidR="00DA6686">
              <w:rPr>
                <w:rFonts w:eastAsia="Times New Roman"/>
                <w:b/>
                <w:szCs w:val="24"/>
              </w:rPr>
              <w:t>18,799.68</w:t>
            </w:r>
          </w:p>
        </w:tc>
        <w:tc>
          <w:tcPr>
            <w:tcW w:w="207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900E1E" w:rsidRPr="004E79EC" w:rsidP="00AB6605" w14:paraId="3EE742C5" w14:textId="73DFF6E5">
            <w:pPr>
              <w:ind w:right="-14"/>
              <w:jc w:val="center"/>
              <w:rPr>
                <w:rFonts w:eastAsia="Times New Roman"/>
                <w:b/>
                <w:szCs w:val="24"/>
              </w:rPr>
            </w:pPr>
            <w:r w:rsidRPr="004E79EC">
              <w:rPr>
                <w:rFonts w:eastAsia="Times New Roman"/>
                <w:b/>
                <w:szCs w:val="24"/>
              </w:rPr>
              <w:t>$</w:t>
            </w:r>
            <w:r w:rsidR="00B66373">
              <w:rPr>
                <w:rFonts w:eastAsia="Times New Roman"/>
                <w:b/>
                <w:szCs w:val="24"/>
              </w:rPr>
              <w:t>6,880,682.88</w:t>
            </w:r>
          </w:p>
        </w:tc>
      </w:tr>
    </w:tbl>
    <w:p w:rsidR="00900E1E" w:rsidP="60B6DFD7" w14:paraId="1A7E2051" w14:textId="77777777">
      <w:pPr>
        <w:rPr>
          <w:rFonts w:eastAsia="Times New Roman"/>
        </w:rPr>
      </w:pPr>
    </w:p>
    <w:p w:rsidR="60B6DFD7" w:rsidP="60B6DFD7" w14:paraId="72D9CFC9" w14:textId="4BB53ABD">
      <w:pPr>
        <w:rPr>
          <w:rFonts w:eastAsia="Times New Roman"/>
        </w:rPr>
      </w:pPr>
      <w:r>
        <w:rPr>
          <w:rFonts w:eastAsia="Times New Roman"/>
        </w:rPr>
        <w:t xml:space="preserve">The currently approved burden is 228 hours per </w:t>
      </w:r>
      <w:r w:rsidRPr="4EE3D595" w:rsidR="4EE3D595">
        <w:rPr>
          <w:rFonts w:eastAsia="Times New Roman"/>
        </w:rPr>
        <w:t xml:space="preserve">year per </w:t>
      </w:r>
      <w:r>
        <w:rPr>
          <w:rFonts w:eastAsia="Times New Roman"/>
        </w:rPr>
        <w:t>QHP issuer for 302 issuers, representing a total of 68,</w:t>
      </w:r>
      <w:r w:rsidR="002C0309">
        <w:rPr>
          <w:rFonts w:eastAsia="Times New Roman"/>
        </w:rPr>
        <w:t xml:space="preserve">856 hours with an associated cost of $5,886,535. Because we are increasing the number of respondents in accordance with more recent </w:t>
      </w:r>
      <w:r w:rsidR="00426F62">
        <w:rPr>
          <w:rFonts w:eastAsia="Times New Roman"/>
        </w:rPr>
        <w:t xml:space="preserve">PY 2026 </w:t>
      </w:r>
      <w:r w:rsidR="002C0309">
        <w:rPr>
          <w:rFonts w:eastAsia="Times New Roman"/>
        </w:rPr>
        <w:t xml:space="preserve">data to 366 QHP issuers, </w:t>
      </w:r>
      <w:r w:rsidR="00703CDE">
        <w:rPr>
          <w:rFonts w:eastAsia="Times New Roman"/>
        </w:rPr>
        <w:t xml:space="preserve">although the burden per issuer remains the same, </w:t>
      </w:r>
      <w:r w:rsidR="002C0309">
        <w:rPr>
          <w:rFonts w:eastAsia="Times New Roman"/>
        </w:rPr>
        <w:t xml:space="preserve">this now represents </w:t>
      </w:r>
      <w:r w:rsidR="001E7B2A">
        <w:rPr>
          <w:rFonts w:eastAsia="Times New Roman"/>
        </w:rPr>
        <w:t xml:space="preserve">a total burden of 83,448 hours (an increase of 14,592 total hours) with an associated cost (using updated wage rates) of $6,880,682.88 (an increase of </w:t>
      </w:r>
      <w:r w:rsidR="00703CDE">
        <w:rPr>
          <w:rFonts w:eastAsia="Times New Roman"/>
        </w:rPr>
        <w:t xml:space="preserve">$994,147.88). </w:t>
      </w:r>
    </w:p>
    <w:p w:rsidR="00703CDE" w:rsidP="60B6DFD7" w14:paraId="503CCFB4" w14:textId="77777777">
      <w:pPr>
        <w:rPr>
          <w:rFonts w:eastAsia="Times New Roman"/>
        </w:rPr>
      </w:pPr>
    </w:p>
    <w:p w:rsidR="60B6DFD7" w:rsidP="60B6DFD7" w14:paraId="2B9F1B20" w14:textId="2C13314F">
      <w:pPr>
        <w:rPr>
          <w:rFonts w:eastAsia="Times New Roman"/>
        </w:rPr>
      </w:pPr>
      <w:r w:rsidRPr="47826249">
        <w:rPr>
          <w:rFonts w:eastAsia="Times New Roman"/>
        </w:rPr>
        <w:t xml:space="preserve">The second action, reporting monthly to CMS on the status of issuers’ AB investigations, is </w:t>
      </w:r>
      <w:r w:rsidRPr="6B2B347B" w:rsidR="6B2B347B">
        <w:rPr>
          <w:rFonts w:eastAsia="Times New Roman"/>
        </w:rPr>
        <w:t>related to and augments burden already approved under</w:t>
      </w:r>
      <w:r w:rsidRPr="47826249">
        <w:rPr>
          <w:rFonts w:eastAsia="Times New Roman"/>
        </w:rPr>
        <w:t xml:space="preserve"> the Program Integrity: Exchange, Premium Stabilization Programs, and Market Standards; Amendments to the HHS Notice of Benefit and Payment Parameters for 2014; Final Rule II PRA package (CMS-10516/OMB Control Number 0938-1277, expiration date: April 30, 2028). That PRA package includes information collection burden pertaining to </w:t>
      </w:r>
      <w:r w:rsidRPr="47826249" w:rsidR="47826249">
        <w:rPr>
          <w:rFonts w:eastAsia="Times New Roman"/>
        </w:rPr>
        <w:t>§§</w:t>
      </w:r>
      <w:r w:rsidRPr="47826249">
        <w:rPr>
          <w:rFonts w:eastAsia="Times New Roman"/>
        </w:rPr>
        <w:t xml:space="preserve"> 156.705 and 156.715, which authorize CMS to require QHP issuers in the FFE to maintain records necessary for HHS to conduct activities necessary to safeguard the financial and programmatic integrity of the FFE, including compliance reviews and other monitoring of a QHP issuer’s compliance with all Exchange standards applicable to issuers offering QHPs in the FFE listed in 45 CFR part 156. </w:t>
      </w:r>
    </w:p>
    <w:p w:rsidR="60B6DFD7" w:rsidP="60B6DFD7" w14:paraId="12726A47" w14:textId="3EA167FA">
      <w:pPr>
        <w:rPr>
          <w:rFonts w:eastAsia="Times New Roman"/>
        </w:rPr>
      </w:pPr>
    </w:p>
    <w:p w:rsidR="00107996" w:rsidP="60B6DFD7" w14:paraId="495A988F" w14:textId="6E9F97E1">
      <w:pPr>
        <w:rPr>
          <w:rFonts w:eastAsia="Times New Roman"/>
        </w:rPr>
      </w:pPr>
      <w:r w:rsidRPr="47826249">
        <w:rPr>
          <w:rFonts w:eastAsia="Times New Roman"/>
        </w:rPr>
        <w:t xml:space="preserve">The current PRA package with OMB control number 0938-1277 already accounts for the burden for 382 QHP issuers on the FFE to maintain records </w:t>
      </w:r>
      <w:r w:rsidR="009E1D48">
        <w:rPr>
          <w:rFonts w:eastAsia="Times New Roman"/>
        </w:rPr>
        <w:t xml:space="preserve">necessary for HHS to conduct compliance reviews or otherwise monitor QHP issuers’ compliance with all Exchange standards applicable to QHP issuers in part 156 </w:t>
      </w:r>
      <w:r w:rsidRPr="47826249">
        <w:rPr>
          <w:rFonts w:eastAsia="Times New Roman"/>
        </w:rPr>
        <w:t xml:space="preserve">for the required 10-year period. </w:t>
      </w:r>
      <w:r w:rsidR="00A410B0">
        <w:rPr>
          <w:rFonts w:eastAsia="Times New Roman"/>
        </w:rPr>
        <w:t>It reads as follows</w:t>
      </w:r>
      <w:r w:rsidR="006B3EF6">
        <w:rPr>
          <w:rFonts w:eastAsia="Times New Roman"/>
        </w:rPr>
        <w:t xml:space="preserve"> (using prior wage rates available</w:t>
      </w:r>
      <w:r w:rsidR="00EF1C78">
        <w:rPr>
          <w:rFonts w:eastAsia="Times New Roman"/>
        </w:rPr>
        <w:t xml:space="preserve"> at the time of that PRA package’s submission to OMB)</w:t>
      </w:r>
      <w:r w:rsidR="00A410B0">
        <w:rPr>
          <w:rFonts w:eastAsia="Times New Roman"/>
        </w:rPr>
        <w:t xml:space="preserve">: </w:t>
      </w:r>
    </w:p>
    <w:p w:rsidR="00A410B0" w:rsidP="60B6DFD7" w14:paraId="74AFB8A6" w14:textId="77777777">
      <w:pPr>
        <w:rPr>
          <w:rFonts w:eastAsia="Times New Roman"/>
        </w:rPr>
      </w:pPr>
    </w:p>
    <w:p w:rsidR="002A12A1" w:rsidRPr="00AB6605" w:rsidP="002A12A1" w14:paraId="79F37D67" w14:textId="458465D5">
      <w:pPr>
        <w:pStyle w:val="Heading4"/>
        <w:spacing w:after="0"/>
        <w:ind w:left="720"/>
        <w:rPr>
          <w:i w:val="0"/>
          <w:iCs w:val="0"/>
          <w:color w:val="auto"/>
        </w:rPr>
      </w:pPr>
      <w:r w:rsidRPr="00AB6605">
        <w:rPr>
          <w:i w:val="0"/>
          <w:iCs w:val="0"/>
          <w:color w:val="auto"/>
        </w:rPr>
        <w:t>The</w:t>
      </w:r>
      <w:r w:rsidRPr="00AB6605">
        <w:rPr>
          <w:i w:val="0"/>
          <w:iCs w:val="0"/>
          <w:color w:val="auto"/>
          <w:spacing w:val="-1"/>
        </w:rPr>
        <w:t xml:space="preserve"> </w:t>
      </w:r>
      <w:r w:rsidRPr="00AB6605">
        <w:rPr>
          <w:i w:val="0"/>
          <w:iCs w:val="0"/>
          <w:color w:val="auto"/>
        </w:rPr>
        <w:t>bu</w:t>
      </w:r>
      <w:r w:rsidRPr="00AB6605">
        <w:rPr>
          <w:i w:val="0"/>
          <w:iCs w:val="0"/>
          <w:color w:val="auto"/>
          <w:spacing w:val="-1"/>
        </w:rPr>
        <w:t>r</w:t>
      </w:r>
      <w:r w:rsidRPr="00AB6605">
        <w:rPr>
          <w:i w:val="0"/>
          <w:iCs w:val="0"/>
          <w:color w:val="auto"/>
        </w:rPr>
        <w:t>d</w:t>
      </w:r>
      <w:r w:rsidRPr="00AB6605">
        <w:rPr>
          <w:i w:val="0"/>
          <w:iCs w:val="0"/>
          <w:color w:val="auto"/>
          <w:spacing w:val="-1"/>
        </w:rPr>
        <w:t>e</w:t>
      </w:r>
      <w:r w:rsidRPr="00AB6605">
        <w:rPr>
          <w:i w:val="0"/>
          <w:iCs w:val="0"/>
          <w:color w:val="auto"/>
        </w:rPr>
        <w:t>n</w:t>
      </w:r>
      <w:r w:rsidRPr="00AB6605">
        <w:rPr>
          <w:i w:val="0"/>
          <w:iCs w:val="0"/>
          <w:color w:val="auto"/>
          <w:spacing w:val="2"/>
        </w:rPr>
        <w:t xml:space="preserve"> </w:t>
      </w:r>
      <w:r w:rsidRPr="00AB6605">
        <w:rPr>
          <w:i w:val="0"/>
          <w:iCs w:val="0"/>
          <w:color w:val="auto"/>
          <w:spacing w:val="-1"/>
        </w:rPr>
        <w:t>e</w:t>
      </w:r>
      <w:r w:rsidRPr="00AB6605">
        <w:rPr>
          <w:i w:val="0"/>
          <w:iCs w:val="0"/>
          <w:color w:val="auto"/>
        </w:rPr>
        <w:t>stim</w:t>
      </w:r>
      <w:r w:rsidRPr="00AB6605">
        <w:rPr>
          <w:i w:val="0"/>
          <w:iCs w:val="0"/>
          <w:color w:val="auto"/>
          <w:spacing w:val="-1"/>
        </w:rPr>
        <w:t>a</w:t>
      </w:r>
      <w:r w:rsidRPr="00AB6605">
        <w:rPr>
          <w:i w:val="0"/>
          <w:iCs w:val="0"/>
          <w:color w:val="auto"/>
        </w:rPr>
        <w:t>t</w:t>
      </w:r>
      <w:r w:rsidRPr="00AB6605">
        <w:rPr>
          <w:i w:val="0"/>
          <w:iCs w:val="0"/>
          <w:color w:val="auto"/>
          <w:spacing w:val="-1"/>
        </w:rPr>
        <w:t>e</w:t>
      </w:r>
      <w:r w:rsidRPr="00AB6605">
        <w:rPr>
          <w:i w:val="0"/>
          <w:iCs w:val="0"/>
          <w:color w:val="auto"/>
        </w:rPr>
        <w:t xml:space="preserve">s </w:t>
      </w:r>
      <w:r w:rsidRPr="00AB6605">
        <w:rPr>
          <w:i w:val="0"/>
          <w:iCs w:val="0"/>
          <w:color w:val="auto"/>
          <w:spacing w:val="-1"/>
        </w:rPr>
        <w:t>f</w:t>
      </w:r>
      <w:r w:rsidRPr="00AB6605">
        <w:rPr>
          <w:i w:val="0"/>
          <w:iCs w:val="0"/>
          <w:color w:val="auto"/>
        </w:rPr>
        <w:t>or</w:t>
      </w:r>
      <w:r w:rsidRPr="00AB6605">
        <w:rPr>
          <w:i w:val="0"/>
          <w:iCs w:val="0"/>
          <w:color w:val="auto"/>
          <w:spacing w:val="2"/>
        </w:rPr>
        <w:t xml:space="preserve"> </w:t>
      </w:r>
      <w:r w:rsidRPr="00AB6605">
        <w:rPr>
          <w:i w:val="0"/>
          <w:iCs w:val="0"/>
          <w:color w:val="auto"/>
        </w:rPr>
        <w:t xml:space="preserve">§§156.705 </w:t>
      </w:r>
      <w:r w:rsidRPr="00AB6605">
        <w:rPr>
          <w:i w:val="0"/>
          <w:iCs w:val="0"/>
          <w:color w:val="auto"/>
          <w:spacing w:val="-1"/>
        </w:rPr>
        <w:t>a</w:t>
      </w:r>
      <w:r w:rsidRPr="00AB6605">
        <w:rPr>
          <w:i w:val="0"/>
          <w:iCs w:val="0"/>
          <w:color w:val="auto"/>
        </w:rPr>
        <w:t xml:space="preserve">nd 156.715 </w:t>
      </w:r>
      <w:r w:rsidRPr="00AB6605">
        <w:rPr>
          <w:i w:val="0"/>
          <w:iCs w:val="0"/>
          <w:color w:val="auto"/>
          <w:spacing w:val="2"/>
        </w:rPr>
        <w:t>r</w:t>
      </w:r>
      <w:r w:rsidRPr="00AB6605">
        <w:rPr>
          <w:i w:val="0"/>
          <w:iCs w:val="0"/>
          <w:color w:val="auto"/>
          <w:spacing w:val="-1"/>
        </w:rPr>
        <w:t>ef</w:t>
      </w:r>
      <w:r w:rsidRPr="00AB6605">
        <w:rPr>
          <w:i w:val="0"/>
          <w:iCs w:val="0"/>
          <w:color w:val="auto"/>
        </w:rPr>
        <w:t>l</w:t>
      </w:r>
      <w:r w:rsidRPr="00AB6605">
        <w:rPr>
          <w:i w:val="0"/>
          <w:iCs w:val="0"/>
          <w:color w:val="auto"/>
          <w:spacing w:val="-1"/>
        </w:rPr>
        <w:t>ec</w:t>
      </w:r>
      <w:r w:rsidRPr="00AB6605">
        <w:rPr>
          <w:i w:val="0"/>
          <w:iCs w:val="0"/>
          <w:color w:val="auto"/>
        </w:rPr>
        <w:t>t th</w:t>
      </w:r>
      <w:r w:rsidRPr="00AB6605">
        <w:rPr>
          <w:i w:val="0"/>
          <w:iCs w:val="0"/>
          <w:color w:val="auto"/>
          <w:spacing w:val="-1"/>
        </w:rPr>
        <w:t>a</w:t>
      </w:r>
      <w:r w:rsidRPr="00AB6605">
        <w:rPr>
          <w:i w:val="0"/>
          <w:iCs w:val="0"/>
          <w:color w:val="auto"/>
        </w:rPr>
        <w:t>t the</w:t>
      </w:r>
      <w:r w:rsidRPr="00AB6605">
        <w:rPr>
          <w:i w:val="0"/>
          <w:iCs w:val="0"/>
          <w:color w:val="auto"/>
          <w:spacing w:val="-1"/>
        </w:rPr>
        <w:t xml:space="preserve"> FF</w:t>
      </w:r>
      <w:r w:rsidRPr="00AB6605">
        <w:rPr>
          <w:i w:val="0"/>
          <w:iCs w:val="0"/>
          <w:color w:val="auto"/>
        </w:rPr>
        <w:t>Es in</w:t>
      </w:r>
      <w:r w:rsidRPr="00AB6605">
        <w:rPr>
          <w:i w:val="0"/>
          <w:iCs w:val="0"/>
          <w:color w:val="auto"/>
          <w:spacing w:val="-1"/>
        </w:rPr>
        <w:t>c</w:t>
      </w:r>
      <w:r w:rsidRPr="00AB6605">
        <w:rPr>
          <w:i w:val="0"/>
          <w:iCs w:val="0"/>
          <w:color w:val="auto"/>
        </w:rPr>
        <w:t>lude</w:t>
      </w:r>
      <w:r w:rsidRPr="00AB6605">
        <w:rPr>
          <w:i w:val="0"/>
          <w:iCs w:val="0"/>
          <w:color w:val="auto"/>
          <w:spacing w:val="-1"/>
        </w:rPr>
        <w:t xml:space="preserve"> </w:t>
      </w:r>
      <w:r w:rsidRPr="00AB6605">
        <w:rPr>
          <w:i w:val="0"/>
          <w:iCs w:val="0"/>
          <w:color w:val="auto"/>
        </w:rPr>
        <w:t>382 QHP issu</w:t>
      </w:r>
      <w:r w:rsidRPr="00AB6605">
        <w:rPr>
          <w:i w:val="0"/>
          <w:iCs w:val="0"/>
          <w:color w:val="auto"/>
          <w:spacing w:val="-1"/>
        </w:rPr>
        <w:t>er</w:t>
      </w:r>
      <w:r w:rsidRPr="00AB6605">
        <w:rPr>
          <w:i w:val="0"/>
          <w:iCs w:val="0"/>
          <w:color w:val="auto"/>
        </w:rPr>
        <w:t>s. We</w:t>
      </w:r>
      <w:r w:rsidRPr="00AB6605">
        <w:rPr>
          <w:i w:val="0"/>
          <w:iCs w:val="0"/>
          <w:color w:val="auto"/>
          <w:spacing w:val="-1"/>
        </w:rPr>
        <w:t xml:space="preserve"> </w:t>
      </w:r>
      <w:r w:rsidRPr="00AB6605">
        <w:rPr>
          <w:i w:val="0"/>
          <w:iCs w:val="0"/>
          <w:color w:val="auto"/>
        </w:rPr>
        <w:t>upd</w:t>
      </w:r>
      <w:r w:rsidRPr="00AB6605">
        <w:rPr>
          <w:i w:val="0"/>
          <w:iCs w:val="0"/>
          <w:color w:val="auto"/>
          <w:spacing w:val="-1"/>
        </w:rPr>
        <w:t>a</w:t>
      </w:r>
      <w:r w:rsidRPr="00AB6605">
        <w:rPr>
          <w:i w:val="0"/>
          <w:iCs w:val="0"/>
          <w:color w:val="auto"/>
        </w:rPr>
        <w:t>te</w:t>
      </w:r>
      <w:r w:rsidRPr="00AB6605">
        <w:rPr>
          <w:i w:val="0"/>
          <w:iCs w:val="0"/>
          <w:color w:val="auto"/>
          <w:spacing w:val="-1"/>
        </w:rPr>
        <w:t xml:space="preserve"> </w:t>
      </w:r>
      <w:r w:rsidRPr="00AB6605">
        <w:rPr>
          <w:i w:val="0"/>
          <w:iCs w:val="0"/>
          <w:color w:val="auto"/>
        </w:rPr>
        <w:t>the</w:t>
      </w:r>
      <w:r w:rsidRPr="00AB6605">
        <w:rPr>
          <w:i w:val="0"/>
          <w:iCs w:val="0"/>
          <w:color w:val="auto"/>
          <w:spacing w:val="-1"/>
        </w:rPr>
        <w:t xml:space="preserve"> </w:t>
      </w:r>
      <w:r w:rsidRPr="00AB6605">
        <w:rPr>
          <w:i w:val="0"/>
          <w:iCs w:val="0"/>
          <w:color w:val="auto"/>
        </w:rPr>
        <w:t>nu</w:t>
      </w:r>
      <w:r w:rsidRPr="00AB6605">
        <w:rPr>
          <w:i w:val="0"/>
          <w:iCs w:val="0"/>
          <w:color w:val="auto"/>
          <w:spacing w:val="3"/>
        </w:rPr>
        <w:t>m</w:t>
      </w:r>
      <w:r w:rsidRPr="00AB6605">
        <w:rPr>
          <w:i w:val="0"/>
          <w:iCs w:val="0"/>
          <w:color w:val="auto"/>
        </w:rPr>
        <w:t>b</w:t>
      </w:r>
      <w:r w:rsidRPr="00AB6605">
        <w:rPr>
          <w:i w:val="0"/>
          <w:iCs w:val="0"/>
          <w:color w:val="auto"/>
          <w:spacing w:val="-1"/>
        </w:rPr>
        <w:t>e</w:t>
      </w:r>
      <w:r w:rsidRPr="00AB6605">
        <w:rPr>
          <w:i w:val="0"/>
          <w:iCs w:val="0"/>
          <w:color w:val="auto"/>
        </w:rPr>
        <w:t>r</w:t>
      </w:r>
      <w:r w:rsidRPr="00AB6605">
        <w:rPr>
          <w:i w:val="0"/>
          <w:iCs w:val="0"/>
          <w:color w:val="auto"/>
          <w:spacing w:val="-1"/>
        </w:rPr>
        <w:t xml:space="preserve"> </w:t>
      </w:r>
      <w:r w:rsidRPr="00AB6605">
        <w:rPr>
          <w:i w:val="0"/>
          <w:iCs w:val="0"/>
          <w:color w:val="auto"/>
        </w:rPr>
        <w:t>of</w:t>
      </w:r>
      <w:r w:rsidRPr="00AB6605">
        <w:rPr>
          <w:i w:val="0"/>
          <w:iCs w:val="0"/>
          <w:color w:val="auto"/>
          <w:spacing w:val="-1"/>
        </w:rPr>
        <w:t xml:space="preserve"> </w:t>
      </w:r>
      <w:r w:rsidRPr="00AB6605">
        <w:rPr>
          <w:i w:val="0"/>
          <w:iCs w:val="0"/>
          <w:color w:val="auto"/>
        </w:rPr>
        <w:t>issu</w:t>
      </w:r>
      <w:r w:rsidRPr="00AB6605">
        <w:rPr>
          <w:i w:val="0"/>
          <w:iCs w:val="0"/>
          <w:color w:val="auto"/>
          <w:spacing w:val="-1"/>
        </w:rPr>
        <w:t>er</w:t>
      </w:r>
      <w:r w:rsidRPr="00AB6605">
        <w:rPr>
          <w:i w:val="0"/>
          <w:iCs w:val="0"/>
          <w:color w:val="auto"/>
        </w:rPr>
        <w:t xml:space="preserve">s in the </w:t>
      </w:r>
      <w:r w:rsidRPr="00AB6605">
        <w:rPr>
          <w:i w:val="0"/>
          <w:iCs w:val="0"/>
          <w:color w:val="auto"/>
          <w:spacing w:val="-1"/>
        </w:rPr>
        <w:t>F</w:t>
      </w:r>
      <w:r w:rsidRPr="00AB6605">
        <w:rPr>
          <w:i w:val="0"/>
          <w:iCs w:val="0"/>
          <w:color w:val="auto"/>
        </w:rPr>
        <w:t xml:space="preserve">FEs </w:t>
      </w:r>
      <w:r w:rsidRPr="00AB6605">
        <w:rPr>
          <w:i w:val="0"/>
          <w:iCs w:val="0"/>
          <w:color w:val="auto"/>
          <w:spacing w:val="-1"/>
        </w:rPr>
        <w:t>fr</w:t>
      </w:r>
      <w:r w:rsidRPr="00AB6605">
        <w:rPr>
          <w:i w:val="0"/>
          <w:iCs w:val="0"/>
          <w:color w:val="auto"/>
        </w:rPr>
        <w:t>om the</w:t>
      </w:r>
      <w:r w:rsidRPr="00AB6605">
        <w:rPr>
          <w:i w:val="0"/>
          <w:iCs w:val="0"/>
          <w:color w:val="auto"/>
          <w:spacing w:val="-1"/>
        </w:rPr>
        <w:t xml:space="preserve"> </w:t>
      </w:r>
      <w:r w:rsidRPr="00AB6605">
        <w:rPr>
          <w:i w:val="0"/>
          <w:iCs w:val="0"/>
          <w:color w:val="auto"/>
        </w:rPr>
        <w:t>o</w:t>
      </w:r>
      <w:r w:rsidRPr="00AB6605">
        <w:rPr>
          <w:i w:val="0"/>
          <w:iCs w:val="0"/>
          <w:color w:val="auto"/>
          <w:spacing w:val="-1"/>
        </w:rPr>
        <w:t>r</w:t>
      </w:r>
      <w:r w:rsidRPr="00AB6605">
        <w:rPr>
          <w:i w:val="0"/>
          <w:iCs w:val="0"/>
          <w:color w:val="auto"/>
          <w:spacing w:val="3"/>
        </w:rPr>
        <w:t>i</w:t>
      </w:r>
      <w:r w:rsidRPr="00AB6605">
        <w:rPr>
          <w:i w:val="0"/>
          <w:iCs w:val="0"/>
          <w:color w:val="auto"/>
          <w:spacing w:val="-2"/>
        </w:rPr>
        <w:t>g</w:t>
      </w:r>
      <w:r w:rsidRPr="00AB6605">
        <w:rPr>
          <w:i w:val="0"/>
          <w:iCs w:val="0"/>
          <w:color w:val="auto"/>
        </w:rPr>
        <w:t>in</w:t>
      </w:r>
      <w:r w:rsidRPr="00AB6605">
        <w:rPr>
          <w:i w:val="0"/>
          <w:iCs w:val="0"/>
          <w:color w:val="auto"/>
          <w:spacing w:val="-1"/>
        </w:rPr>
        <w:t>a</w:t>
      </w:r>
      <w:r w:rsidRPr="00AB6605">
        <w:rPr>
          <w:i w:val="0"/>
          <w:iCs w:val="0"/>
          <w:color w:val="auto"/>
        </w:rPr>
        <w:t xml:space="preserve">l </w:t>
      </w:r>
      <w:r w:rsidRPr="00AB6605">
        <w:rPr>
          <w:i w:val="0"/>
          <w:iCs w:val="0"/>
          <w:color w:val="auto"/>
          <w:spacing w:val="-1"/>
        </w:rPr>
        <w:t>e</w:t>
      </w:r>
      <w:r w:rsidRPr="00AB6605">
        <w:rPr>
          <w:i w:val="0"/>
          <w:iCs w:val="0"/>
          <w:color w:val="auto"/>
        </w:rPr>
        <w:t>stim</w:t>
      </w:r>
      <w:r w:rsidRPr="00AB6605">
        <w:rPr>
          <w:i w:val="0"/>
          <w:iCs w:val="0"/>
          <w:color w:val="auto"/>
          <w:spacing w:val="-1"/>
        </w:rPr>
        <w:t>a</w:t>
      </w:r>
      <w:r w:rsidRPr="00AB6605">
        <w:rPr>
          <w:i w:val="0"/>
          <w:iCs w:val="0"/>
          <w:color w:val="auto"/>
        </w:rPr>
        <w:t>t</w:t>
      </w:r>
      <w:r w:rsidRPr="00AB6605">
        <w:rPr>
          <w:i w:val="0"/>
          <w:iCs w:val="0"/>
          <w:color w:val="auto"/>
          <w:spacing w:val="-1"/>
        </w:rPr>
        <w:t>e</w:t>
      </w:r>
      <w:r w:rsidRPr="00AB6605">
        <w:rPr>
          <w:i w:val="0"/>
          <w:iCs w:val="0"/>
          <w:color w:val="auto"/>
        </w:rPr>
        <w:t>d numb</w:t>
      </w:r>
      <w:r w:rsidRPr="00AB6605">
        <w:rPr>
          <w:i w:val="0"/>
          <w:iCs w:val="0"/>
          <w:color w:val="auto"/>
          <w:spacing w:val="-1"/>
        </w:rPr>
        <w:t>e</w:t>
      </w:r>
      <w:r w:rsidRPr="00AB6605">
        <w:rPr>
          <w:i w:val="0"/>
          <w:iCs w:val="0"/>
          <w:color w:val="auto"/>
        </w:rPr>
        <w:t>r</w:t>
      </w:r>
      <w:r w:rsidRPr="00AB6605">
        <w:rPr>
          <w:i w:val="0"/>
          <w:iCs w:val="0"/>
          <w:color w:val="auto"/>
          <w:spacing w:val="-1"/>
        </w:rPr>
        <w:t xml:space="preserve"> </w:t>
      </w:r>
      <w:r w:rsidRPr="00AB6605">
        <w:rPr>
          <w:i w:val="0"/>
          <w:iCs w:val="0"/>
          <w:color w:val="auto"/>
        </w:rPr>
        <w:t xml:space="preserve">to </w:t>
      </w:r>
      <w:r w:rsidRPr="00AB6605">
        <w:rPr>
          <w:i w:val="0"/>
          <w:iCs w:val="0"/>
          <w:color w:val="auto"/>
          <w:spacing w:val="-1"/>
        </w:rPr>
        <w:t>r</w:t>
      </w:r>
      <w:r w:rsidRPr="00AB6605">
        <w:rPr>
          <w:i w:val="0"/>
          <w:iCs w:val="0"/>
          <w:color w:val="auto"/>
        </w:rPr>
        <w:t>e</w:t>
      </w:r>
      <w:r w:rsidRPr="00AB6605">
        <w:rPr>
          <w:i w:val="0"/>
          <w:iCs w:val="0"/>
          <w:color w:val="auto"/>
          <w:spacing w:val="-1"/>
        </w:rPr>
        <w:t>f</w:t>
      </w:r>
      <w:r w:rsidRPr="00AB6605">
        <w:rPr>
          <w:i w:val="0"/>
          <w:iCs w:val="0"/>
          <w:color w:val="auto"/>
        </w:rPr>
        <w:t>l</w:t>
      </w:r>
      <w:r w:rsidRPr="00AB6605">
        <w:rPr>
          <w:i w:val="0"/>
          <w:iCs w:val="0"/>
          <w:color w:val="auto"/>
          <w:spacing w:val="-1"/>
        </w:rPr>
        <w:t>ec</w:t>
      </w:r>
      <w:r w:rsidRPr="00AB6605">
        <w:rPr>
          <w:i w:val="0"/>
          <w:iCs w:val="0"/>
          <w:color w:val="auto"/>
        </w:rPr>
        <w:t>t mo</w:t>
      </w:r>
      <w:r w:rsidRPr="00AB6605">
        <w:rPr>
          <w:i w:val="0"/>
          <w:iCs w:val="0"/>
          <w:color w:val="auto"/>
          <w:spacing w:val="-1"/>
        </w:rPr>
        <w:t>r</w:t>
      </w:r>
      <w:r w:rsidRPr="00AB6605">
        <w:rPr>
          <w:i w:val="0"/>
          <w:iCs w:val="0"/>
          <w:color w:val="auto"/>
        </w:rPr>
        <w:t>e</w:t>
      </w:r>
      <w:r w:rsidRPr="00AB6605">
        <w:rPr>
          <w:i w:val="0"/>
          <w:iCs w:val="0"/>
          <w:color w:val="auto"/>
          <w:spacing w:val="-1"/>
        </w:rPr>
        <w:t xml:space="preserve"> c</w:t>
      </w:r>
      <w:r w:rsidRPr="00AB6605">
        <w:rPr>
          <w:i w:val="0"/>
          <w:iCs w:val="0"/>
          <w:color w:val="auto"/>
          <w:spacing w:val="2"/>
        </w:rPr>
        <w:t>u</w:t>
      </w:r>
      <w:r w:rsidRPr="00AB6605">
        <w:rPr>
          <w:i w:val="0"/>
          <w:iCs w:val="0"/>
          <w:color w:val="auto"/>
          <w:spacing w:val="-1"/>
        </w:rPr>
        <w:t>rre</w:t>
      </w:r>
      <w:r w:rsidRPr="00AB6605">
        <w:rPr>
          <w:i w:val="0"/>
          <w:iCs w:val="0"/>
          <w:color w:val="auto"/>
        </w:rPr>
        <w:t>nt in</w:t>
      </w:r>
      <w:r w:rsidRPr="00AB6605">
        <w:rPr>
          <w:i w:val="0"/>
          <w:iCs w:val="0"/>
          <w:color w:val="auto"/>
          <w:spacing w:val="-1"/>
        </w:rPr>
        <w:t>f</w:t>
      </w:r>
      <w:r w:rsidRPr="00AB6605">
        <w:rPr>
          <w:i w:val="0"/>
          <w:iCs w:val="0"/>
          <w:color w:val="auto"/>
          <w:spacing w:val="2"/>
        </w:rPr>
        <w:t>o</w:t>
      </w:r>
      <w:r w:rsidRPr="00AB6605">
        <w:rPr>
          <w:i w:val="0"/>
          <w:iCs w:val="0"/>
          <w:color w:val="auto"/>
          <w:spacing w:val="-1"/>
        </w:rPr>
        <w:t>r</w:t>
      </w:r>
      <w:r w:rsidRPr="00AB6605">
        <w:rPr>
          <w:i w:val="0"/>
          <w:iCs w:val="0"/>
          <w:color w:val="auto"/>
        </w:rPr>
        <w:t>mation on the</w:t>
      </w:r>
      <w:r w:rsidRPr="00AB6605">
        <w:rPr>
          <w:i w:val="0"/>
          <w:iCs w:val="0"/>
          <w:color w:val="auto"/>
          <w:spacing w:val="-1"/>
        </w:rPr>
        <w:t xml:space="preserve"> </w:t>
      </w:r>
      <w:r w:rsidRPr="00AB6605">
        <w:rPr>
          <w:i w:val="0"/>
          <w:iCs w:val="0"/>
          <w:color w:val="auto"/>
        </w:rPr>
        <w:t>numb</w:t>
      </w:r>
      <w:r w:rsidRPr="00AB6605">
        <w:rPr>
          <w:i w:val="0"/>
          <w:iCs w:val="0"/>
          <w:color w:val="auto"/>
          <w:spacing w:val="-1"/>
        </w:rPr>
        <w:t>e</w:t>
      </w:r>
      <w:r w:rsidRPr="00AB6605">
        <w:rPr>
          <w:i w:val="0"/>
          <w:iCs w:val="0"/>
          <w:color w:val="auto"/>
        </w:rPr>
        <w:t>r</w:t>
      </w:r>
      <w:r w:rsidRPr="00AB6605">
        <w:rPr>
          <w:i w:val="0"/>
          <w:iCs w:val="0"/>
          <w:color w:val="auto"/>
          <w:spacing w:val="-1"/>
        </w:rPr>
        <w:t xml:space="preserve"> </w:t>
      </w:r>
      <w:r w:rsidRPr="00AB6605">
        <w:rPr>
          <w:i w:val="0"/>
          <w:iCs w:val="0"/>
          <w:color w:val="auto"/>
        </w:rPr>
        <w:t>of</w:t>
      </w:r>
      <w:r w:rsidRPr="00AB6605">
        <w:rPr>
          <w:i w:val="0"/>
          <w:iCs w:val="0"/>
          <w:color w:val="auto"/>
          <w:spacing w:val="-1"/>
        </w:rPr>
        <w:t xml:space="preserve"> </w:t>
      </w:r>
      <w:r w:rsidRPr="00AB6605">
        <w:rPr>
          <w:i w:val="0"/>
          <w:iCs w:val="0"/>
          <w:color w:val="auto"/>
        </w:rPr>
        <w:t>issu</w:t>
      </w:r>
      <w:r w:rsidRPr="00AB6605">
        <w:rPr>
          <w:i w:val="0"/>
          <w:iCs w:val="0"/>
          <w:color w:val="auto"/>
          <w:spacing w:val="-1"/>
        </w:rPr>
        <w:t>er</w:t>
      </w:r>
      <w:r w:rsidRPr="00AB6605">
        <w:rPr>
          <w:i w:val="0"/>
          <w:iCs w:val="0"/>
          <w:color w:val="auto"/>
        </w:rPr>
        <w:t xml:space="preserve">s </w:t>
      </w:r>
      <w:r w:rsidRPr="00AB6605">
        <w:rPr>
          <w:i w:val="0"/>
          <w:iCs w:val="0"/>
          <w:color w:val="auto"/>
          <w:spacing w:val="-1"/>
        </w:rPr>
        <w:t>e</w:t>
      </w:r>
      <w:r w:rsidRPr="00AB6605">
        <w:rPr>
          <w:i w:val="0"/>
          <w:iCs w:val="0"/>
          <w:color w:val="auto"/>
          <w:spacing w:val="2"/>
        </w:rPr>
        <w:t>x</w:t>
      </w:r>
      <w:r w:rsidRPr="00AB6605">
        <w:rPr>
          <w:i w:val="0"/>
          <w:iCs w:val="0"/>
          <w:color w:val="auto"/>
        </w:rPr>
        <w:t>p</w:t>
      </w:r>
      <w:r w:rsidRPr="00AB6605">
        <w:rPr>
          <w:i w:val="0"/>
          <w:iCs w:val="0"/>
          <w:color w:val="auto"/>
          <w:spacing w:val="-1"/>
        </w:rPr>
        <w:t>ec</w:t>
      </w:r>
      <w:r w:rsidRPr="00AB6605">
        <w:rPr>
          <w:i w:val="0"/>
          <w:iCs w:val="0"/>
          <w:color w:val="auto"/>
        </w:rPr>
        <w:t>t</w:t>
      </w:r>
      <w:r w:rsidRPr="00AB6605">
        <w:rPr>
          <w:i w:val="0"/>
          <w:iCs w:val="0"/>
          <w:color w:val="auto"/>
          <w:spacing w:val="-1"/>
        </w:rPr>
        <w:t>e</w:t>
      </w:r>
      <w:r w:rsidRPr="00AB6605">
        <w:rPr>
          <w:i w:val="0"/>
          <w:iCs w:val="0"/>
          <w:color w:val="auto"/>
        </w:rPr>
        <w:t>d to p</w:t>
      </w:r>
      <w:r w:rsidRPr="00AB6605">
        <w:rPr>
          <w:i w:val="0"/>
          <w:iCs w:val="0"/>
          <w:color w:val="auto"/>
          <w:spacing w:val="-1"/>
        </w:rPr>
        <w:t>ar</w:t>
      </w:r>
      <w:r w:rsidRPr="00AB6605">
        <w:rPr>
          <w:i w:val="0"/>
          <w:iCs w:val="0"/>
          <w:color w:val="auto"/>
        </w:rPr>
        <w:t>ti</w:t>
      </w:r>
      <w:r w:rsidRPr="00AB6605">
        <w:rPr>
          <w:i w:val="0"/>
          <w:iCs w:val="0"/>
          <w:color w:val="auto"/>
          <w:spacing w:val="-1"/>
        </w:rPr>
        <w:t>c</w:t>
      </w:r>
      <w:r w:rsidRPr="00AB6605">
        <w:rPr>
          <w:i w:val="0"/>
          <w:iCs w:val="0"/>
          <w:color w:val="auto"/>
        </w:rPr>
        <w:t>ip</w:t>
      </w:r>
      <w:r w:rsidRPr="00AB6605">
        <w:rPr>
          <w:i w:val="0"/>
          <w:iCs w:val="0"/>
          <w:color w:val="auto"/>
          <w:spacing w:val="-1"/>
        </w:rPr>
        <w:t>a</w:t>
      </w:r>
      <w:r w:rsidRPr="00AB6605">
        <w:rPr>
          <w:i w:val="0"/>
          <w:iCs w:val="0"/>
          <w:color w:val="auto"/>
        </w:rPr>
        <w:t>te</w:t>
      </w:r>
      <w:r w:rsidRPr="00AB6605">
        <w:rPr>
          <w:i w:val="0"/>
          <w:iCs w:val="0"/>
          <w:color w:val="auto"/>
          <w:spacing w:val="-1"/>
        </w:rPr>
        <w:t xml:space="preserve"> </w:t>
      </w:r>
      <w:r w:rsidRPr="00AB6605">
        <w:rPr>
          <w:i w:val="0"/>
          <w:iCs w:val="0"/>
          <w:color w:val="auto"/>
        </w:rPr>
        <w:t xml:space="preserve">in the </w:t>
      </w:r>
      <w:r w:rsidRPr="00AB6605">
        <w:rPr>
          <w:i w:val="0"/>
          <w:iCs w:val="0"/>
          <w:color w:val="auto"/>
          <w:spacing w:val="-1"/>
        </w:rPr>
        <w:t>FF</w:t>
      </w:r>
      <w:r w:rsidRPr="00AB6605">
        <w:rPr>
          <w:i w:val="0"/>
          <w:iCs w:val="0"/>
          <w:color w:val="auto"/>
        </w:rPr>
        <w:t>Es.</w:t>
      </w:r>
      <w:r w:rsidRPr="00AB6605">
        <w:rPr>
          <w:color w:val="auto"/>
        </w:rPr>
        <w:t xml:space="preserve"> </w:t>
      </w:r>
      <w:r w:rsidRPr="00AB6605">
        <w:rPr>
          <w:i w:val="0"/>
          <w:iCs w:val="0"/>
          <w:color w:val="auto"/>
        </w:rPr>
        <w:t>The burden estimate is based on HHS estimates of the labor costs related to maintaining these records; issuers already have the records associated with this provision. Additionally, HHS does not specify the technology issuers choose to use to maintain these records. Therefore, HHS will not provide issuers with a standardized collection instrument for issuers to submit this information.</w:t>
      </w:r>
    </w:p>
    <w:p w:rsidR="002A12A1" w:rsidP="002A12A1" w14:paraId="0D1EC524" w14:textId="77777777">
      <w:pPr>
        <w:pStyle w:val="BodyText"/>
        <w:ind w:left="720"/>
        <w:rPr>
          <w:spacing w:val="1"/>
        </w:rPr>
      </w:pPr>
    </w:p>
    <w:p w:rsidR="002A12A1" w:rsidP="002A12A1" w14:paraId="707DBF21" w14:textId="77777777">
      <w:pPr>
        <w:pStyle w:val="BodyText"/>
        <w:ind w:left="720"/>
      </w:pPr>
      <w:r w:rsidRPr="004069C8">
        <w:rPr>
          <w:spacing w:val="1"/>
        </w:rPr>
        <w:t>S</w:t>
      </w:r>
      <w:r w:rsidRPr="004069C8">
        <w:rPr>
          <w:spacing w:val="-1"/>
        </w:rPr>
        <w:t>ec</w:t>
      </w:r>
      <w:r w:rsidRPr="004069C8">
        <w:t>tion 156.705 p</w:t>
      </w:r>
      <w:r w:rsidRPr="004069C8">
        <w:rPr>
          <w:spacing w:val="-1"/>
        </w:rPr>
        <w:t>r</w:t>
      </w:r>
      <w:r w:rsidRPr="004069C8">
        <w:t>ovid</w:t>
      </w:r>
      <w:r w:rsidRPr="004069C8">
        <w:rPr>
          <w:spacing w:val="-1"/>
        </w:rPr>
        <w:t>e</w:t>
      </w:r>
      <w:r w:rsidRPr="004069C8">
        <w:t>s th</w:t>
      </w:r>
      <w:r w:rsidRPr="004069C8">
        <w:rPr>
          <w:spacing w:val="-1"/>
        </w:rPr>
        <w:t>a</w:t>
      </w:r>
      <w:r w:rsidRPr="004069C8">
        <w:t>t issu</w:t>
      </w:r>
      <w:r w:rsidRPr="004069C8">
        <w:rPr>
          <w:spacing w:val="-1"/>
        </w:rPr>
        <w:t>er</w:t>
      </w:r>
      <w:r w:rsidRPr="004069C8">
        <w:t>s o</w:t>
      </w:r>
      <w:r w:rsidRPr="004069C8">
        <w:rPr>
          <w:spacing w:val="-1"/>
        </w:rPr>
        <w:t>ff</w:t>
      </w:r>
      <w:r w:rsidRPr="004069C8">
        <w:rPr>
          <w:spacing w:val="1"/>
        </w:rPr>
        <w:t>e</w:t>
      </w:r>
      <w:r w:rsidRPr="004069C8">
        <w:rPr>
          <w:spacing w:val="-1"/>
        </w:rPr>
        <w:t>r</w:t>
      </w:r>
      <w:r w:rsidRPr="004069C8">
        <w:t>ing Q</w:t>
      </w:r>
      <w:r w:rsidRPr="004069C8">
        <w:rPr>
          <w:spacing w:val="2"/>
        </w:rPr>
        <w:t>H</w:t>
      </w:r>
      <w:r w:rsidRPr="004069C8">
        <w:rPr>
          <w:spacing w:val="1"/>
        </w:rPr>
        <w:t>P</w:t>
      </w:r>
      <w:r w:rsidRPr="004069C8">
        <w:t xml:space="preserve">s in </w:t>
      </w:r>
      <w:r w:rsidRPr="004069C8">
        <w:rPr>
          <w:spacing w:val="-1"/>
        </w:rPr>
        <w:t>a</w:t>
      </w:r>
      <w:r w:rsidRPr="004069C8">
        <w:t xml:space="preserve">n </w:t>
      </w:r>
      <w:r w:rsidRPr="004069C8">
        <w:rPr>
          <w:spacing w:val="-1"/>
        </w:rPr>
        <w:t>FF</w:t>
      </w:r>
      <w:r w:rsidRPr="004069C8">
        <w:t>E must m</w:t>
      </w:r>
      <w:r w:rsidRPr="004069C8">
        <w:rPr>
          <w:spacing w:val="-1"/>
        </w:rPr>
        <w:t>a</w:t>
      </w:r>
      <w:r w:rsidRPr="004069C8">
        <w:t>int</w:t>
      </w:r>
      <w:r w:rsidRPr="004069C8">
        <w:rPr>
          <w:spacing w:val="-1"/>
        </w:rPr>
        <w:t>a</w:t>
      </w:r>
      <w:r w:rsidRPr="004069C8">
        <w:t xml:space="preserve">in </w:t>
      </w:r>
      <w:r w:rsidRPr="004069C8">
        <w:rPr>
          <w:spacing w:val="-1"/>
        </w:rPr>
        <w:t>a</w:t>
      </w:r>
      <w:r>
        <w:t xml:space="preserve">ll </w:t>
      </w:r>
      <w:r w:rsidRPr="004069C8">
        <w:t>do</w:t>
      </w:r>
      <w:r w:rsidRPr="004069C8">
        <w:rPr>
          <w:spacing w:val="-1"/>
        </w:rPr>
        <w:t>c</w:t>
      </w:r>
      <w:r w:rsidRPr="004069C8">
        <w:t>um</w:t>
      </w:r>
      <w:r w:rsidRPr="004069C8">
        <w:rPr>
          <w:spacing w:val="-1"/>
        </w:rPr>
        <w:t>e</w:t>
      </w:r>
      <w:r w:rsidRPr="004069C8">
        <w:t xml:space="preserve">nts </w:t>
      </w:r>
      <w:r w:rsidRPr="004069C8">
        <w:rPr>
          <w:spacing w:val="-1"/>
        </w:rPr>
        <w:t>a</w:t>
      </w:r>
      <w:r w:rsidRPr="004069C8">
        <w:t xml:space="preserve">nd </w:t>
      </w:r>
      <w:r w:rsidRPr="004069C8">
        <w:rPr>
          <w:spacing w:val="-1"/>
        </w:rPr>
        <w:t>r</w:t>
      </w:r>
      <w:r w:rsidRPr="004069C8">
        <w:rPr>
          <w:spacing w:val="1"/>
        </w:rPr>
        <w:t>e</w:t>
      </w:r>
      <w:r w:rsidRPr="004069C8">
        <w:rPr>
          <w:spacing w:val="-1"/>
        </w:rPr>
        <w:t>c</w:t>
      </w:r>
      <w:r w:rsidRPr="004069C8">
        <w:t>o</w:t>
      </w:r>
      <w:r w:rsidRPr="004069C8">
        <w:rPr>
          <w:spacing w:val="-1"/>
        </w:rPr>
        <w:t>r</w:t>
      </w:r>
      <w:r w:rsidRPr="004069C8">
        <w:t xml:space="preserve">ds </w:t>
      </w:r>
      <w:r w:rsidRPr="004069C8">
        <w:rPr>
          <w:spacing w:val="2"/>
        </w:rPr>
        <w:t>(</w:t>
      </w:r>
      <w:r w:rsidRPr="004069C8">
        <w:t>wh</w:t>
      </w:r>
      <w:r w:rsidRPr="004069C8">
        <w:rPr>
          <w:spacing w:val="-1"/>
        </w:rPr>
        <w:t>e</w:t>
      </w:r>
      <w:r w:rsidRPr="004069C8">
        <w:t>th</w:t>
      </w:r>
      <w:r w:rsidRPr="004069C8">
        <w:rPr>
          <w:spacing w:val="-1"/>
        </w:rPr>
        <w:t>e</w:t>
      </w:r>
      <w:r w:rsidRPr="004069C8">
        <w:t>r</w:t>
      </w:r>
      <w:r w:rsidRPr="004069C8">
        <w:rPr>
          <w:spacing w:val="-1"/>
        </w:rPr>
        <w:t xml:space="preserve"> </w:t>
      </w:r>
      <w:r w:rsidRPr="004069C8">
        <w:t>p</w:t>
      </w:r>
      <w:r w:rsidRPr="004069C8">
        <w:rPr>
          <w:spacing w:val="-1"/>
        </w:rPr>
        <w:t>a</w:t>
      </w:r>
      <w:r w:rsidRPr="004069C8">
        <w:rPr>
          <w:spacing w:val="2"/>
        </w:rPr>
        <w:t>p</w:t>
      </w:r>
      <w:r w:rsidRPr="004069C8">
        <w:rPr>
          <w:spacing w:val="-1"/>
        </w:rPr>
        <w:t>er</w:t>
      </w:r>
      <w:r w:rsidRPr="004069C8">
        <w:t>,</w:t>
      </w:r>
      <w:r w:rsidRPr="004069C8">
        <w:rPr>
          <w:spacing w:val="2"/>
        </w:rPr>
        <w:t xml:space="preserve"> </w:t>
      </w:r>
      <w:r w:rsidRPr="004069C8">
        <w:rPr>
          <w:spacing w:val="-1"/>
        </w:rPr>
        <w:t>e</w:t>
      </w:r>
      <w:r w:rsidRPr="004069C8">
        <w:t>l</w:t>
      </w:r>
      <w:r w:rsidRPr="004069C8">
        <w:rPr>
          <w:spacing w:val="-1"/>
        </w:rPr>
        <w:t>ec</w:t>
      </w:r>
      <w:r w:rsidRPr="004069C8">
        <w:t>t</w:t>
      </w:r>
      <w:r w:rsidRPr="004069C8">
        <w:rPr>
          <w:spacing w:val="-1"/>
        </w:rPr>
        <w:t>r</w:t>
      </w:r>
      <w:r w:rsidRPr="004069C8">
        <w:t>onic</w:t>
      </w:r>
      <w:r w:rsidRPr="004069C8">
        <w:rPr>
          <w:spacing w:val="1"/>
        </w:rPr>
        <w:t xml:space="preserve"> </w:t>
      </w:r>
      <w:r w:rsidRPr="004069C8">
        <w:t>or</w:t>
      </w:r>
      <w:r w:rsidRPr="004069C8">
        <w:rPr>
          <w:spacing w:val="-1"/>
        </w:rPr>
        <w:t xml:space="preserve"> </w:t>
      </w:r>
      <w:r w:rsidRPr="004069C8">
        <w:t>oth</w:t>
      </w:r>
      <w:r w:rsidRPr="004069C8">
        <w:rPr>
          <w:spacing w:val="-1"/>
        </w:rPr>
        <w:t>e</w:t>
      </w:r>
      <w:r w:rsidRPr="004069C8">
        <w:t>r</w:t>
      </w:r>
      <w:r w:rsidRPr="004069C8">
        <w:rPr>
          <w:spacing w:val="-1"/>
        </w:rPr>
        <w:t xml:space="preserve"> </w:t>
      </w:r>
      <w:r w:rsidRPr="004069C8">
        <w:t>m</w:t>
      </w:r>
      <w:r w:rsidRPr="004069C8">
        <w:rPr>
          <w:spacing w:val="-1"/>
        </w:rPr>
        <w:t>e</w:t>
      </w:r>
      <w:r w:rsidRPr="004069C8">
        <w:t>di</w:t>
      </w:r>
      <w:r w:rsidRPr="004069C8">
        <w:rPr>
          <w:spacing w:val="-1"/>
        </w:rPr>
        <w:t>a)</w:t>
      </w:r>
      <w:r w:rsidRPr="004069C8">
        <w:t>,</w:t>
      </w:r>
      <w:r w:rsidRPr="004069C8">
        <w:rPr>
          <w:spacing w:val="2"/>
        </w:rPr>
        <w:t xml:space="preserve"> </w:t>
      </w:r>
      <w:r w:rsidRPr="004069C8">
        <w:rPr>
          <w:spacing w:val="-1"/>
        </w:rPr>
        <w:t>a</w:t>
      </w:r>
      <w:r w:rsidRPr="004069C8">
        <w:t>nd ot</w:t>
      </w:r>
      <w:r w:rsidRPr="004069C8">
        <w:rPr>
          <w:spacing w:val="2"/>
        </w:rPr>
        <w:t>h</w:t>
      </w:r>
      <w:r w:rsidRPr="004069C8">
        <w:rPr>
          <w:spacing w:val="-1"/>
        </w:rPr>
        <w:t>e</w:t>
      </w:r>
      <w:r w:rsidRPr="004069C8">
        <w:t>r</w:t>
      </w:r>
      <w:r w:rsidRPr="004069C8">
        <w:rPr>
          <w:spacing w:val="-1"/>
        </w:rPr>
        <w:t xml:space="preserve"> e</w:t>
      </w:r>
      <w:r w:rsidRPr="004069C8">
        <w:t>vid</w:t>
      </w:r>
      <w:r w:rsidRPr="004069C8">
        <w:rPr>
          <w:spacing w:val="-1"/>
        </w:rPr>
        <w:t>e</w:t>
      </w:r>
      <w:r w:rsidRPr="004069C8">
        <w:rPr>
          <w:spacing w:val="2"/>
        </w:rPr>
        <w:t>n</w:t>
      </w:r>
      <w:r w:rsidRPr="004069C8">
        <w:rPr>
          <w:spacing w:val="-1"/>
        </w:rPr>
        <w:t>c</w:t>
      </w:r>
      <w:r w:rsidRPr="004069C8">
        <w:t>e</w:t>
      </w:r>
      <w:r w:rsidRPr="004069C8">
        <w:rPr>
          <w:spacing w:val="-1"/>
        </w:rPr>
        <w:t xml:space="preserve"> </w:t>
      </w:r>
      <w:r w:rsidRPr="004069C8">
        <w:t xml:space="preserve">of </w:t>
      </w:r>
      <w:r w:rsidRPr="004069C8">
        <w:rPr>
          <w:spacing w:val="-1"/>
        </w:rPr>
        <w:t>acc</w:t>
      </w:r>
      <w:r w:rsidRPr="004069C8">
        <w:t>ounti</w:t>
      </w:r>
      <w:r w:rsidRPr="004069C8">
        <w:rPr>
          <w:spacing w:val="2"/>
        </w:rPr>
        <w:t>n</w:t>
      </w:r>
      <w:r w:rsidRPr="004069C8">
        <w:t>g</w:t>
      </w:r>
      <w:r w:rsidRPr="004069C8">
        <w:rPr>
          <w:spacing w:val="-2"/>
        </w:rPr>
        <w:t xml:space="preserve"> </w:t>
      </w:r>
      <w:r w:rsidRPr="004069C8">
        <w:t>p</w:t>
      </w:r>
      <w:r w:rsidRPr="004069C8">
        <w:rPr>
          <w:spacing w:val="-1"/>
        </w:rPr>
        <w:t>r</w:t>
      </w:r>
      <w:r w:rsidRPr="004069C8">
        <w:t>o</w:t>
      </w:r>
      <w:r w:rsidRPr="004069C8">
        <w:rPr>
          <w:spacing w:val="1"/>
        </w:rPr>
        <w:t>c</w:t>
      </w:r>
      <w:r w:rsidRPr="004069C8">
        <w:rPr>
          <w:spacing w:val="-1"/>
        </w:rPr>
        <w:t>e</w:t>
      </w:r>
      <w:r w:rsidRPr="004069C8">
        <w:t>du</w:t>
      </w:r>
      <w:r w:rsidRPr="004069C8">
        <w:rPr>
          <w:spacing w:val="2"/>
        </w:rPr>
        <w:t>r</w:t>
      </w:r>
      <w:r w:rsidRPr="004069C8">
        <w:rPr>
          <w:spacing w:val="-1"/>
        </w:rPr>
        <w:t>e</w:t>
      </w:r>
      <w:r w:rsidRPr="004069C8">
        <w:t xml:space="preserve">s </w:t>
      </w:r>
      <w:r w:rsidRPr="004069C8">
        <w:rPr>
          <w:spacing w:val="-1"/>
        </w:rPr>
        <w:t>a</w:t>
      </w:r>
      <w:r w:rsidRPr="004069C8">
        <w:rPr>
          <w:spacing w:val="2"/>
        </w:rPr>
        <w:t>n</w:t>
      </w:r>
      <w:r w:rsidRPr="004069C8">
        <w:t>d p</w:t>
      </w:r>
      <w:r w:rsidRPr="004069C8">
        <w:rPr>
          <w:spacing w:val="-1"/>
        </w:rPr>
        <w:t>rac</w:t>
      </w:r>
      <w:r w:rsidRPr="004069C8">
        <w:t>ti</w:t>
      </w:r>
      <w:r w:rsidRPr="004069C8">
        <w:rPr>
          <w:spacing w:val="-1"/>
        </w:rPr>
        <w:t>ce</w:t>
      </w:r>
      <w:r w:rsidRPr="004069C8">
        <w:t xml:space="preserve">s </w:t>
      </w:r>
      <w:r w:rsidRPr="004069C8">
        <w:rPr>
          <w:spacing w:val="2"/>
        </w:rPr>
        <w:t>n</w:t>
      </w:r>
      <w:r w:rsidRPr="004069C8">
        <w:rPr>
          <w:spacing w:val="-1"/>
        </w:rPr>
        <w:t>e</w:t>
      </w:r>
      <w:r w:rsidRPr="004069C8">
        <w:rPr>
          <w:spacing w:val="1"/>
        </w:rPr>
        <w:t>c</w:t>
      </w:r>
      <w:r w:rsidRPr="004069C8">
        <w:rPr>
          <w:spacing w:val="-1"/>
        </w:rPr>
        <w:t>e</w:t>
      </w:r>
      <w:r w:rsidRPr="004069C8">
        <w:t>ss</w:t>
      </w:r>
      <w:r w:rsidRPr="004069C8">
        <w:rPr>
          <w:spacing w:val="-1"/>
        </w:rPr>
        <w:t>a</w:t>
      </w:r>
      <w:r w:rsidRPr="004069C8">
        <w:rPr>
          <w:spacing w:val="4"/>
        </w:rPr>
        <w:t>r</w:t>
      </w:r>
      <w:r w:rsidRPr="004069C8">
        <w:t>y</w:t>
      </w:r>
      <w:r w:rsidRPr="004069C8">
        <w:rPr>
          <w:spacing w:val="-5"/>
        </w:rPr>
        <w:t xml:space="preserve"> </w:t>
      </w:r>
      <w:r w:rsidRPr="004069C8">
        <w:rPr>
          <w:spacing w:val="-1"/>
        </w:rPr>
        <w:t>f</w:t>
      </w:r>
      <w:r w:rsidRPr="004069C8">
        <w:rPr>
          <w:spacing w:val="2"/>
        </w:rPr>
        <w:t>o</w:t>
      </w:r>
      <w:r w:rsidRPr="004069C8">
        <w:t>r</w:t>
      </w:r>
      <w:r w:rsidRPr="004069C8">
        <w:rPr>
          <w:spacing w:val="2"/>
        </w:rPr>
        <w:t xml:space="preserve"> </w:t>
      </w:r>
      <w:r w:rsidRPr="004069C8">
        <w:t>HHS</w:t>
      </w:r>
      <w:r w:rsidRPr="004069C8">
        <w:rPr>
          <w:spacing w:val="1"/>
        </w:rPr>
        <w:t xml:space="preserve"> </w:t>
      </w:r>
      <w:r w:rsidRPr="004069C8">
        <w:t xml:space="preserve">to </w:t>
      </w:r>
      <w:r w:rsidRPr="004069C8">
        <w:rPr>
          <w:spacing w:val="-1"/>
        </w:rPr>
        <w:t>c</w:t>
      </w:r>
      <w:r w:rsidRPr="004069C8">
        <w:t>ondu</w:t>
      </w:r>
      <w:r w:rsidRPr="004069C8">
        <w:rPr>
          <w:spacing w:val="-1"/>
        </w:rPr>
        <w:t>c</w:t>
      </w:r>
      <w:r w:rsidRPr="004069C8">
        <w:t xml:space="preserve">t </w:t>
      </w:r>
      <w:r w:rsidRPr="004069C8">
        <w:rPr>
          <w:spacing w:val="-1"/>
        </w:rPr>
        <w:t>ac</w:t>
      </w:r>
      <w:r w:rsidRPr="004069C8">
        <w:t>tiviti</w:t>
      </w:r>
      <w:r w:rsidRPr="004069C8">
        <w:rPr>
          <w:spacing w:val="1"/>
        </w:rPr>
        <w:t>e</w:t>
      </w:r>
      <w:r w:rsidRPr="004069C8">
        <w:t>s n</w:t>
      </w:r>
      <w:r w:rsidRPr="004069C8">
        <w:rPr>
          <w:spacing w:val="-1"/>
        </w:rPr>
        <w:t>ece</w:t>
      </w:r>
      <w:r w:rsidRPr="004069C8">
        <w:t>ss</w:t>
      </w:r>
      <w:r w:rsidRPr="004069C8">
        <w:rPr>
          <w:spacing w:val="1"/>
        </w:rPr>
        <w:t>a</w:t>
      </w:r>
      <w:r w:rsidRPr="004069C8">
        <w:rPr>
          <w:spacing w:val="4"/>
        </w:rPr>
        <w:t>r</w:t>
      </w:r>
      <w:r w:rsidRPr="004069C8">
        <w:t>y</w:t>
      </w:r>
      <w:r w:rsidRPr="004069C8">
        <w:rPr>
          <w:spacing w:val="-5"/>
        </w:rPr>
        <w:t xml:space="preserve"> </w:t>
      </w:r>
      <w:r w:rsidRPr="004069C8">
        <w:t>to s</w:t>
      </w:r>
      <w:r w:rsidRPr="004069C8">
        <w:rPr>
          <w:spacing w:val="-1"/>
        </w:rPr>
        <w:t>af</w:t>
      </w:r>
      <w:r w:rsidRPr="004069C8">
        <w:rPr>
          <w:spacing w:val="1"/>
        </w:rPr>
        <w:t>e</w:t>
      </w:r>
      <w:r w:rsidRPr="004069C8">
        <w:rPr>
          <w:spacing w:val="-2"/>
        </w:rPr>
        <w:t>g</w:t>
      </w:r>
      <w:r w:rsidRPr="004069C8">
        <w:t>u</w:t>
      </w:r>
      <w:r w:rsidRPr="004069C8">
        <w:rPr>
          <w:spacing w:val="1"/>
        </w:rPr>
        <w:t>a</w:t>
      </w:r>
      <w:r w:rsidRPr="004069C8">
        <w:rPr>
          <w:spacing w:val="-1"/>
        </w:rPr>
        <w:t>r</w:t>
      </w:r>
      <w:r w:rsidRPr="004069C8">
        <w:t>d the</w:t>
      </w:r>
      <w:r w:rsidRPr="004069C8">
        <w:rPr>
          <w:spacing w:val="-1"/>
        </w:rPr>
        <w:t xml:space="preserve"> f</w:t>
      </w:r>
      <w:r w:rsidRPr="004069C8">
        <w:t>in</w:t>
      </w:r>
      <w:r w:rsidRPr="004069C8">
        <w:rPr>
          <w:spacing w:val="-1"/>
        </w:rPr>
        <w:t>a</w:t>
      </w:r>
      <w:r w:rsidRPr="004069C8">
        <w:rPr>
          <w:spacing w:val="2"/>
        </w:rPr>
        <w:t>n</w:t>
      </w:r>
      <w:r w:rsidRPr="004069C8">
        <w:rPr>
          <w:spacing w:val="-1"/>
        </w:rPr>
        <w:t>c</w:t>
      </w:r>
      <w:r w:rsidRPr="004069C8">
        <w:t>i</w:t>
      </w:r>
      <w:r w:rsidRPr="004069C8">
        <w:rPr>
          <w:spacing w:val="-1"/>
        </w:rPr>
        <w:t>a</w:t>
      </w:r>
      <w:r w:rsidRPr="004069C8">
        <w:t xml:space="preserve">l </w:t>
      </w:r>
      <w:r w:rsidRPr="004069C8">
        <w:rPr>
          <w:spacing w:val="1"/>
        </w:rPr>
        <w:t>a</w:t>
      </w:r>
      <w:r w:rsidRPr="004069C8">
        <w:t>nd p</w:t>
      </w:r>
      <w:r w:rsidRPr="004069C8">
        <w:rPr>
          <w:spacing w:val="-1"/>
        </w:rPr>
        <w:t>r</w:t>
      </w:r>
      <w:r w:rsidRPr="004069C8">
        <w:t>og</w:t>
      </w:r>
      <w:r w:rsidRPr="004069C8">
        <w:rPr>
          <w:spacing w:val="-1"/>
        </w:rPr>
        <w:t>ra</w:t>
      </w:r>
      <w:r w:rsidRPr="004069C8">
        <w:t>mm</w:t>
      </w:r>
      <w:r w:rsidRPr="004069C8">
        <w:rPr>
          <w:spacing w:val="-1"/>
        </w:rPr>
        <w:t>a</w:t>
      </w:r>
      <w:r w:rsidRPr="004069C8">
        <w:t>tic</w:t>
      </w:r>
      <w:r w:rsidRPr="004069C8">
        <w:rPr>
          <w:spacing w:val="-1"/>
        </w:rPr>
        <w:t xml:space="preserve"> </w:t>
      </w:r>
      <w:r w:rsidRPr="004069C8">
        <w:t>int</w:t>
      </w:r>
      <w:r w:rsidRPr="004069C8">
        <w:rPr>
          <w:spacing w:val="1"/>
        </w:rPr>
        <w:t>e</w:t>
      </w:r>
      <w:r w:rsidRPr="004069C8">
        <w:rPr>
          <w:spacing w:val="-2"/>
        </w:rPr>
        <w:t>g</w:t>
      </w:r>
      <w:r w:rsidRPr="004069C8">
        <w:rPr>
          <w:spacing w:val="-1"/>
        </w:rPr>
        <w:t>r</w:t>
      </w:r>
      <w:r w:rsidRPr="004069C8">
        <w:t>i</w:t>
      </w:r>
      <w:r w:rsidRPr="004069C8">
        <w:rPr>
          <w:spacing w:val="3"/>
        </w:rPr>
        <w:t>t</w:t>
      </w:r>
      <w:r w:rsidRPr="004069C8">
        <w:t>y</w:t>
      </w:r>
      <w:r w:rsidRPr="004069C8">
        <w:rPr>
          <w:spacing w:val="-2"/>
        </w:rPr>
        <w:t xml:space="preserve"> </w:t>
      </w:r>
      <w:r w:rsidRPr="004069C8">
        <w:t>of</w:t>
      </w:r>
      <w:r w:rsidRPr="004069C8">
        <w:rPr>
          <w:spacing w:val="-1"/>
        </w:rPr>
        <w:t xml:space="preserve"> </w:t>
      </w:r>
      <w:r w:rsidRPr="004069C8">
        <w:t>the</w:t>
      </w:r>
      <w:r w:rsidRPr="004069C8">
        <w:rPr>
          <w:spacing w:val="1"/>
        </w:rPr>
        <w:t xml:space="preserve"> F</w:t>
      </w:r>
      <w:r w:rsidRPr="004069C8">
        <w:rPr>
          <w:spacing w:val="-1"/>
        </w:rPr>
        <w:t>F</w:t>
      </w:r>
      <w:r w:rsidRPr="004069C8">
        <w:t>Es.</w:t>
      </w:r>
    </w:p>
    <w:p w:rsidR="002A12A1" w:rsidRPr="004069C8" w:rsidP="002A12A1" w14:paraId="231A5904" w14:textId="034515EA">
      <w:pPr>
        <w:pStyle w:val="BodyText"/>
      </w:pPr>
    </w:p>
    <w:p w:rsidR="003214C0" w:rsidP="00AB6605" w14:paraId="7C5D87E2" w14:textId="2E3BE501">
      <w:pPr>
        <w:pStyle w:val="BodyText"/>
        <w:ind w:left="720"/>
      </w:pPr>
      <w:r>
        <w:t>S</w:t>
      </w:r>
      <w:r w:rsidRPr="004069C8">
        <w:t>u</w:t>
      </w:r>
      <w:r>
        <w:t>c</w:t>
      </w:r>
      <w:r w:rsidRPr="004069C8">
        <w:t xml:space="preserve">h </w:t>
      </w:r>
      <w:r>
        <w:t>ac</w:t>
      </w:r>
      <w:r w:rsidRPr="004069C8">
        <w:t>tiviti</w:t>
      </w:r>
      <w:r>
        <w:t>e</w:t>
      </w:r>
      <w:r w:rsidRPr="004069C8">
        <w:t>s in</w:t>
      </w:r>
      <w:r>
        <w:t>c</w:t>
      </w:r>
      <w:r w:rsidRPr="004069C8">
        <w:t>lud</w:t>
      </w:r>
      <w:r>
        <w:t>e</w:t>
      </w:r>
      <w:r w:rsidRPr="004069C8">
        <w:t xml:space="preserve">: </w:t>
      </w:r>
      <w:r>
        <w:t>(</w:t>
      </w:r>
      <w:r w:rsidRPr="004069C8">
        <w:t>1) p</w:t>
      </w:r>
      <w:r>
        <w:t>er</w:t>
      </w:r>
      <w:r w:rsidRPr="004069C8">
        <w:t>iodic</w:t>
      </w:r>
      <w:r>
        <w:t xml:space="preserve"> a</w:t>
      </w:r>
      <w:r w:rsidRPr="004069C8">
        <w:t>uditing</w:t>
      </w:r>
      <w:r>
        <w:t xml:space="preserve"> o</w:t>
      </w:r>
      <w:r w:rsidRPr="004069C8">
        <w:t>f</w:t>
      </w:r>
      <w:r>
        <w:t xml:space="preserve"> </w:t>
      </w:r>
      <w:r w:rsidRPr="004069C8">
        <w:t>the</w:t>
      </w:r>
      <w:r>
        <w:t xml:space="preserve"> </w:t>
      </w:r>
      <w:r w:rsidRPr="004069C8">
        <w:t>QHP</w:t>
      </w:r>
      <w:r>
        <w:t xml:space="preserve"> </w:t>
      </w:r>
      <w:r w:rsidRPr="004069C8">
        <w:t>issu</w:t>
      </w:r>
      <w:r>
        <w:t>er’</w:t>
      </w:r>
      <w:r w:rsidRPr="004069C8">
        <w:t xml:space="preserve">s </w:t>
      </w:r>
      <w:r>
        <w:t>f</w:t>
      </w:r>
      <w:r w:rsidRPr="004069C8">
        <w:t>in</w:t>
      </w:r>
      <w:r>
        <w:t>a</w:t>
      </w:r>
      <w:r w:rsidRPr="004069C8">
        <w:t>n</w:t>
      </w:r>
      <w:r>
        <w:t>cia</w:t>
      </w:r>
      <w:r w:rsidRPr="004069C8">
        <w:t xml:space="preserve">l </w:t>
      </w:r>
      <w:r>
        <w:t>rec</w:t>
      </w:r>
      <w:r w:rsidRPr="004069C8">
        <w:t>o</w:t>
      </w:r>
      <w:r>
        <w:t>r</w:t>
      </w:r>
      <w:r w:rsidRPr="004069C8">
        <w:t>ds, in</w:t>
      </w:r>
      <w:r>
        <w:t>c</w:t>
      </w:r>
      <w:r w:rsidRPr="004069C8">
        <w:t>luding</w:t>
      </w:r>
      <w:r>
        <w:t xml:space="preserve"> da</w:t>
      </w:r>
      <w:r w:rsidRPr="004069C8">
        <w:t>ta</w:t>
      </w:r>
      <w:r>
        <w:t xml:space="preserve"> re</w:t>
      </w:r>
      <w:r w:rsidRPr="004069C8">
        <w:t>l</w:t>
      </w:r>
      <w:r>
        <w:t>a</w:t>
      </w:r>
      <w:r w:rsidRPr="004069C8">
        <w:t>t</w:t>
      </w:r>
      <w:r>
        <w:t>e</w:t>
      </w:r>
      <w:r w:rsidRPr="004069C8">
        <w:t>d to the</w:t>
      </w:r>
      <w:r>
        <w:t xml:space="preserve"> </w:t>
      </w:r>
      <w:r w:rsidRPr="004069C8">
        <w:t>QHP</w:t>
      </w:r>
      <w:r>
        <w:t xml:space="preserve"> </w:t>
      </w:r>
      <w:r w:rsidRPr="004069C8">
        <w:t>issu</w:t>
      </w:r>
      <w:r>
        <w:t>er’</w:t>
      </w:r>
      <w:r w:rsidRPr="004069C8">
        <w:t xml:space="preserve">s </w:t>
      </w:r>
      <w:r>
        <w:t>a</w:t>
      </w:r>
      <w:r w:rsidRPr="004069C8">
        <w:t>bili</w:t>
      </w:r>
      <w:r>
        <w:t>t</w:t>
      </w:r>
      <w:r w:rsidRPr="004069C8">
        <w:t>y</w:t>
      </w:r>
      <w:r>
        <w:t xml:space="preserve"> </w:t>
      </w:r>
      <w:r w:rsidRPr="004069C8">
        <w:t>to b</w:t>
      </w:r>
      <w:r>
        <w:t>ea</w:t>
      </w:r>
      <w:r w:rsidRPr="004069C8">
        <w:t>r</w:t>
      </w:r>
      <w:r>
        <w:t xml:space="preserve"> </w:t>
      </w:r>
      <w:r w:rsidRPr="004069C8">
        <w:t>t</w:t>
      </w:r>
      <w:r>
        <w:t>h</w:t>
      </w:r>
      <w:r w:rsidRPr="004069C8">
        <w:t>e</w:t>
      </w:r>
      <w:r>
        <w:t xml:space="preserve"> r</w:t>
      </w:r>
      <w:r w:rsidRPr="004069C8">
        <w:t>isk of</w:t>
      </w:r>
      <w:r>
        <w:t xml:space="preserve"> </w:t>
      </w:r>
      <w:r w:rsidRPr="004069C8">
        <w:t>pot</w:t>
      </w:r>
      <w:r>
        <w:t>e</w:t>
      </w:r>
      <w:r w:rsidRPr="004069C8">
        <w:t>nti</w:t>
      </w:r>
      <w:r>
        <w:t>a</w:t>
      </w:r>
      <w:r w:rsidRPr="004069C8">
        <w:t xml:space="preserve">l </w:t>
      </w:r>
      <w:r>
        <w:t>f</w:t>
      </w:r>
      <w:r w:rsidRPr="004069C8">
        <w:t>in</w:t>
      </w:r>
      <w:r>
        <w:t>anc</w:t>
      </w:r>
      <w:r w:rsidRPr="004069C8">
        <w:t>i</w:t>
      </w:r>
      <w:r>
        <w:t>a</w:t>
      </w:r>
      <w:r w:rsidRPr="004069C8">
        <w:t>l loss</w:t>
      </w:r>
      <w:r>
        <w:t>e</w:t>
      </w:r>
      <w:r w:rsidRPr="004069C8">
        <w:t xml:space="preserve">s; </w:t>
      </w:r>
      <w:r>
        <w:t>a</w:t>
      </w:r>
      <w:r w:rsidRPr="004069C8">
        <w:t xml:space="preserve">nd </w:t>
      </w:r>
      <w:r>
        <w:t>(</w:t>
      </w:r>
      <w:r w:rsidRPr="004069C8">
        <w:t>2)</w:t>
      </w:r>
      <w:r>
        <w:t xml:space="preserve"> c</w:t>
      </w:r>
      <w:r w:rsidRPr="004069C8">
        <w:t>ompli</w:t>
      </w:r>
      <w:r>
        <w:t>a</w:t>
      </w:r>
      <w:r w:rsidRPr="004069C8">
        <w:t>n</w:t>
      </w:r>
      <w:r>
        <w:t>c</w:t>
      </w:r>
      <w:r w:rsidRPr="004069C8">
        <w:t>e</w:t>
      </w:r>
      <w:r>
        <w:t xml:space="preserve"> re</w:t>
      </w:r>
      <w:r w:rsidRPr="004069C8">
        <w:t>v</w:t>
      </w:r>
      <w:r>
        <w:t>ie</w:t>
      </w:r>
      <w:r w:rsidRPr="004069C8">
        <w:t xml:space="preserve">ws </w:t>
      </w:r>
      <w:r>
        <w:t>a</w:t>
      </w:r>
      <w:r w:rsidRPr="004069C8">
        <w:t>nd oth</w:t>
      </w:r>
      <w:r>
        <w:t>e</w:t>
      </w:r>
      <w:r w:rsidRPr="004069C8">
        <w:t>r monito</w:t>
      </w:r>
      <w:r>
        <w:t>r</w:t>
      </w:r>
      <w:r w:rsidRPr="004069C8">
        <w:t>ing</w:t>
      </w:r>
      <w:r>
        <w:t xml:space="preserve"> </w:t>
      </w:r>
      <w:r w:rsidRPr="004069C8">
        <w:t>of</w:t>
      </w:r>
      <w:r>
        <w:t xml:space="preserve"> </w:t>
      </w:r>
      <w:r w:rsidRPr="004069C8">
        <w:t>a</w:t>
      </w:r>
      <w:r>
        <w:t xml:space="preserve"> Q</w:t>
      </w:r>
      <w:r w:rsidRPr="004069C8">
        <w:t>HP</w:t>
      </w:r>
      <w:r>
        <w:t xml:space="preserve"> </w:t>
      </w:r>
      <w:r w:rsidRPr="004069C8">
        <w:t>issu</w:t>
      </w:r>
      <w:r>
        <w:t>er’</w:t>
      </w:r>
      <w:r w:rsidRPr="004069C8">
        <w:t xml:space="preserve">s </w:t>
      </w:r>
      <w:r>
        <w:t>c</w:t>
      </w:r>
      <w:r w:rsidRPr="004069C8">
        <w:t>ompli</w:t>
      </w:r>
      <w:r>
        <w:t>a</w:t>
      </w:r>
      <w:r w:rsidRPr="004069C8">
        <w:t>n</w:t>
      </w:r>
      <w:r>
        <w:t>c</w:t>
      </w:r>
      <w:r w:rsidRPr="004069C8">
        <w:t>e</w:t>
      </w:r>
      <w:r>
        <w:t xml:space="preserve"> </w:t>
      </w:r>
      <w:r w:rsidRPr="004069C8">
        <w:t xml:space="preserve">with </w:t>
      </w:r>
      <w:r>
        <w:t>a</w:t>
      </w:r>
      <w:r w:rsidRPr="004069C8">
        <w:t>ll</w:t>
      </w:r>
      <w:r>
        <w:t xml:space="preserve"> </w:t>
      </w:r>
      <w:r w:rsidRPr="004069C8">
        <w:t>E</w:t>
      </w:r>
      <w:r>
        <w:t>xc</w:t>
      </w:r>
      <w:r w:rsidRPr="004069C8">
        <w:t>h</w:t>
      </w:r>
      <w:r>
        <w:t>a</w:t>
      </w:r>
      <w:r w:rsidRPr="004069C8">
        <w:t>n</w:t>
      </w:r>
      <w:r>
        <w:t>g</w:t>
      </w:r>
      <w:r w:rsidRPr="004069C8">
        <w:t>e</w:t>
      </w:r>
      <w:r>
        <w:t xml:space="preserve"> </w:t>
      </w:r>
      <w:r w:rsidRPr="004069C8">
        <w:t>st</w:t>
      </w:r>
      <w:r>
        <w:t>a</w:t>
      </w:r>
      <w:r w:rsidRPr="004069C8">
        <w:t>n</w:t>
      </w:r>
      <w:r>
        <w:t>dar</w:t>
      </w:r>
      <w:r w:rsidRPr="004069C8">
        <w:t xml:space="preserve">ds </w:t>
      </w:r>
      <w:r>
        <w:t>a</w:t>
      </w:r>
      <w:r w:rsidRPr="004069C8">
        <w:t>pp</w:t>
      </w:r>
      <w:r>
        <w:t>l</w:t>
      </w:r>
      <w:r w:rsidRPr="004069C8">
        <w:t>i</w:t>
      </w:r>
      <w:r>
        <w:t>ca</w:t>
      </w:r>
      <w:r w:rsidRPr="004069C8">
        <w:t>ble</w:t>
      </w:r>
      <w:r>
        <w:t xml:space="preserve"> </w:t>
      </w:r>
      <w:r w:rsidRPr="004069C8">
        <w:t>to issu</w:t>
      </w:r>
      <w:r>
        <w:t>er</w:t>
      </w:r>
      <w:r w:rsidRPr="004069C8">
        <w:t>s o</w:t>
      </w:r>
      <w:r>
        <w:t>ffer</w:t>
      </w:r>
      <w:r w:rsidRPr="004069C8">
        <w:t>i</w:t>
      </w:r>
      <w:r>
        <w:t>n</w:t>
      </w:r>
      <w:r w:rsidRPr="004069C8">
        <w:t>g</w:t>
      </w:r>
      <w:r>
        <w:t xml:space="preserve"> Q</w:t>
      </w:r>
      <w:r w:rsidRPr="004069C8">
        <w:t>H</w:t>
      </w:r>
      <w:r>
        <w:t>P</w:t>
      </w:r>
      <w:r w:rsidRPr="004069C8">
        <w:t>s in the</w:t>
      </w:r>
      <w:r>
        <w:t xml:space="preserve"> FF</w:t>
      </w:r>
      <w:r w:rsidRPr="004069C8">
        <w:t>Es list</w:t>
      </w:r>
      <w:r>
        <w:t>e</w:t>
      </w:r>
      <w:r w:rsidRPr="004069C8">
        <w:t>d in p</w:t>
      </w:r>
      <w:r>
        <w:t>ar</w:t>
      </w:r>
      <w:r w:rsidRPr="004069C8">
        <w:t>t 156. The</w:t>
      </w:r>
      <w:r>
        <w:t xml:space="preserve"> </w:t>
      </w:r>
      <w:r w:rsidRPr="004069C8">
        <w:t>bu</w:t>
      </w:r>
      <w:r>
        <w:t>r</w:t>
      </w:r>
      <w:r w:rsidRPr="004069C8">
        <w:t>d</w:t>
      </w:r>
      <w:r>
        <w:t>e</w:t>
      </w:r>
      <w:r w:rsidRPr="004069C8">
        <w:t>n in</w:t>
      </w:r>
      <w:r>
        <w:t>c</w:t>
      </w:r>
      <w:r w:rsidRPr="004069C8">
        <w:t>lud</w:t>
      </w:r>
      <w:r>
        <w:t>e</w:t>
      </w:r>
      <w:r w:rsidRPr="004069C8">
        <w:t>s utili</w:t>
      </w:r>
      <w:r>
        <w:t>z</w:t>
      </w:r>
      <w:r w:rsidRPr="004069C8">
        <w:t>ing</w:t>
      </w:r>
      <w:r>
        <w:t xml:space="preserve"> ex</w:t>
      </w:r>
      <w:r w:rsidRPr="004069C8">
        <w:t>isting</w:t>
      </w:r>
      <w:r>
        <w:t xml:space="preserve"> </w:t>
      </w:r>
      <w:r w:rsidRPr="004069C8">
        <w:t>t</w:t>
      </w:r>
      <w:r>
        <w:t>ec</w:t>
      </w:r>
      <w:r w:rsidRPr="004069C8">
        <w:t>hnolo</w:t>
      </w:r>
      <w:r>
        <w:t>g</w:t>
      </w:r>
      <w:r w:rsidRPr="004069C8">
        <w:t xml:space="preserve">y </w:t>
      </w:r>
      <w:r>
        <w:t>a</w:t>
      </w:r>
      <w:r w:rsidRPr="004069C8">
        <w:t xml:space="preserve">nd </w:t>
      </w:r>
      <w:r>
        <w:t>sy</w:t>
      </w:r>
      <w:r w:rsidRPr="004069C8">
        <w:t>st</w:t>
      </w:r>
      <w:r>
        <w:t>e</w:t>
      </w:r>
      <w:r w:rsidRPr="004069C8">
        <w:t>ms to p</w:t>
      </w:r>
      <w:r>
        <w:t>roce</w:t>
      </w:r>
      <w:r w:rsidRPr="004069C8">
        <w:t xml:space="preserve">ss </w:t>
      </w:r>
      <w:r>
        <w:t>a</w:t>
      </w:r>
      <w:r w:rsidRPr="004069C8">
        <w:t>nd m</w:t>
      </w:r>
      <w:r>
        <w:t>a</w:t>
      </w:r>
      <w:r w:rsidRPr="004069C8">
        <w:t>int</w:t>
      </w:r>
      <w:r>
        <w:t>a</w:t>
      </w:r>
      <w:r w:rsidRPr="004069C8">
        <w:t>in this in</w:t>
      </w:r>
      <w:r>
        <w:t>f</w:t>
      </w:r>
      <w:r w:rsidRPr="004069C8">
        <w:t>o</w:t>
      </w:r>
      <w:r>
        <w:t>r</w:t>
      </w:r>
      <w:r w:rsidRPr="004069C8">
        <w:t>m</w:t>
      </w:r>
      <w:r>
        <w:t>a</w:t>
      </w:r>
      <w:r w:rsidRPr="004069C8">
        <w:t>tion.</w:t>
      </w:r>
      <w:r>
        <w:t xml:space="preserve"> </w:t>
      </w:r>
      <w:r w:rsidRPr="004069C8">
        <w:t xml:space="preserve">This </w:t>
      </w:r>
      <w:r>
        <w:t>ref</w:t>
      </w:r>
      <w:r w:rsidRPr="004069C8">
        <w:t>l</w:t>
      </w:r>
      <w:r>
        <w:t>ec</w:t>
      </w:r>
      <w:r w:rsidRPr="004069C8">
        <w:t>ts 60 ho</w:t>
      </w:r>
      <w:r>
        <w:t>ur</w:t>
      </w:r>
      <w:r w:rsidRPr="004069C8">
        <w:t>s of</w:t>
      </w:r>
      <w:r>
        <w:t xml:space="preserve"> </w:t>
      </w:r>
      <w:r w:rsidRPr="004069C8">
        <w:t>wo</w:t>
      </w:r>
      <w:r>
        <w:t>r</w:t>
      </w:r>
      <w:r w:rsidRPr="004069C8">
        <w:t xml:space="preserve">k </w:t>
      </w:r>
      <w:r>
        <w:t>b</w:t>
      </w:r>
      <w:r w:rsidRPr="004069C8">
        <w:t>y</w:t>
      </w:r>
      <w:r>
        <w:t xml:space="preserve"> a</w:t>
      </w:r>
      <w:r w:rsidRPr="004069C8">
        <w:t xml:space="preserve">n </w:t>
      </w:r>
      <w:r>
        <w:t>ac</w:t>
      </w:r>
      <w:r w:rsidRPr="004069C8">
        <w:t>tu</w:t>
      </w:r>
      <w:r>
        <w:t>ar</w:t>
      </w:r>
      <w:r w:rsidRPr="004069C8">
        <w:t>y</w:t>
      </w:r>
      <w:r>
        <w:t xml:space="preserve"> (a</w:t>
      </w:r>
      <w:r w:rsidRPr="004069C8">
        <w:t>t $</w:t>
      </w:r>
      <w:r>
        <w:t>115.38 a</w:t>
      </w:r>
      <w:r w:rsidRPr="004069C8">
        <w:t>n ho</w:t>
      </w:r>
      <w:r>
        <w:t>ur)</w:t>
      </w:r>
      <w:r w:rsidRPr="004069C8">
        <w:t>, 15 hou</w:t>
      </w:r>
      <w:r>
        <w:t>r</w:t>
      </w:r>
      <w:r w:rsidRPr="004069C8">
        <w:t xml:space="preserve">s </w:t>
      </w:r>
      <w:r>
        <w:t>b</w:t>
      </w:r>
      <w:r w:rsidRPr="004069C8">
        <w:t>y</w:t>
      </w:r>
      <w:r>
        <w:t xml:space="preserve"> </w:t>
      </w:r>
      <w:r w:rsidRPr="004069C8">
        <w:t>a</w:t>
      </w:r>
      <w:r>
        <w:t xml:space="preserve"> ne</w:t>
      </w:r>
      <w:r w:rsidRPr="004069C8">
        <w:t>two</w:t>
      </w:r>
      <w:r>
        <w:t>r</w:t>
      </w:r>
      <w:r w:rsidRPr="004069C8">
        <w:t>k</w:t>
      </w:r>
      <w:r>
        <w:t xml:space="preserve"> a</w:t>
      </w:r>
      <w:r w:rsidRPr="004069C8">
        <w:t>dminist</w:t>
      </w:r>
      <w:r>
        <w:t>ra</w:t>
      </w:r>
      <w:r w:rsidRPr="004069C8">
        <w:t>tor</w:t>
      </w:r>
      <w:r>
        <w:t xml:space="preserve"> (a</w:t>
      </w:r>
      <w:r w:rsidRPr="004069C8">
        <w:t xml:space="preserve">t </w:t>
      </w:r>
      <w:r>
        <w:t>$91.68 a</w:t>
      </w:r>
      <w:r w:rsidRPr="004069C8">
        <w:t>n hou</w:t>
      </w:r>
      <w:r>
        <w:t>r)</w:t>
      </w:r>
      <w:r w:rsidRPr="004069C8">
        <w:t>, 15 hou</w:t>
      </w:r>
      <w:r>
        <w:t>r</w:t>
      </w:r>
      <w:r w:rsidRPr="004069C8">
        <w:t>s</w:t>
      </w:r>
      <w:r>
        <w:t xml:space="preserve"> b</w:t>
      </w:r>
      <w:r w:rsidRPr="004069C8">
        <w:t>y</w:t>
      </w:r>
      <w:r>
        <w:t xml:space="preserve"> </w:t>
      </w:r>
      <w:r w:rsidRPr="004069C8">
        <w:t>a</w:t>
      </w:r>
      <w:r>
        <w:t xml:space="preserve"> c</w:t>
      </w:r>
      <w:r w:rsidRPr="004069C8">
        <w:t>ompli</w:t>
      </w:r>
      <w:r>
        <w:t>a</w:t>
      </w:r>
      <w:r w:rsidRPr="004069C8">
        <w:t>n</w:t>
      </w:r>
      <w:r>
        <w:t>c</w:t>
      </w:r>
      <w:r w:rsidRPr="004069C8">
        <w:t>e</w:t>
      </w:r>
      <w:r>
        <w:t xml:space="preserve"> off</w:t>
      </w:r>
      <w:r w:rsidRPr="004069C8">
        <w:t>i</w:t>
      </w:r>
      <w:r>
        <w:t>ce</w:t>
      </w:r>
      <w:r w:rsidRPr="004069C8">
        <w:t>r</w:t>
      </w:r>
      <w:r>
        <w:t xml:space="preserve"> (a</w:t>
      </w:r>
      <w:r w:rsidRPr="004069C8">
        <w:t xml:space="preserve">t </w:t>
      </w:r>
      <w:r>
        <w:t>$72.76 a</w:t>
      </w:r>
      <w:r w:rsidRPr="004069C8">
        <w:t>n hou</w:t>
      </w:r>
      <w:r>
        <w:t>r)</w:t>
      </w:r>
      <w:r w:rsidRPr="004069C8">
        <w:t>,</w:t>
      </w:r>
      <w:r>
        <w:t xml:space="preserve"> a</w:t>
      </w:r>
      <w:r w:rsidRPr="004069C8">
        <w:t xml:space="preserve">nd </w:t>
      </w:r>
      <w:r>
        <w:t>1</w:t>
      </w:r>
      <w:r w:rsidRPr="004069C8">
        <w:t>0 hou</w:t>
      </w:r>
      <w:r>
        <w:t>r</w:t>
      </w:r>
      <w:r w:rsidRPr="004069C8">
        <w:t xml:space="preserve">s </w:t>
      </w:r>
      <w:r>
        <w:t>f</w:t>
      </w:r>
      <w:r w:rsidRPr="004069C8">
        <w:t>or</w:t>
      </w:r>
      <w:r>
        <w:t xml:space="preserve"> </w:t>
      </w:r>
      <w:r w:rsidRPr="004069C8">
        <w:t>a</w:t>
      </w:r>
      <w:r>
        <w:t xml:space="preserve"> se</w:t>
      </w:r>
      <w:r w:rsidRPr="004069C8">
        <w:t>nior</w:t>
      </w:r>
      <w:r>
        <w:t xml:space="preserve"> </w:t>
      </w:r>
      <w:r w:rsidRPr="004069C8">
        <w:t>m</w:t>
      </w:r>
      <w:r>
        <w:t>a</w:t>
      </w:r>
      <w:r w:rsidRPr="004069C8">
        <w:t>n</w:t>
      </w:r>
      <w:r>
        <w:t>age</w:t>
      </w:r>
      <w:r w:rsidRPr="004069C8">
        <w:t>r</w:t>
      </w:r>
      <w:r>
        <w:t xml:space="preserve"> </w:t>
      </w:r>
      <w:r w:rsidRPr="004069C8">
        <w:t xml:space="preserve">to </w:t>
      </w:r>
      <w:r>
        <w:t>re</w:t>
      </w:r>
      <w:r w:rsidRPr="004069C8">
        <w:t>vi</w:t>
      </w:r>
      <w:r>
        <w:t>e</w:t>
      </w:r>
      <w:r w:rsidRPr="004069C8">
        <w:t xml:space="preserve">w </w:t>
      </w:r>
      <w:r>
        <w:t>(a</w:t>
      </w:r>
      <w:r w:rsidRPr="004069C8">
        <w:t>t</w:t>
      </w:r>
      <w:r>
        <w:t xml:space="preserve"> </w:t>
      </w:r>
      <w:r w:rsidRPr="004069C8">
        <w:t>$</w:t>
      </w:r>
      <w:r>
        <w:t>97.38</w:t>
      </w:r>
      <w:r w:rsidRPr="004069C8">
        <w:t xml:space="preserve"> </w:t>
      </w:r>
      <w:r>
        <w:t>a</w:t>
      </w:r>
      <w:r w:rsidRPr="004069C8">
        <w:t>n hou</w:t>
      </w:r>
      <w:r>
        <w:t>r)</w:t>
      </w:r>
      <w:r w:rsidRPr="004069C8">
        <w:t xml:space="preserve">. </w:t>
      </w:r>
      <w:r>
        <w:t>The total e</w:t>
      </w:r>
      <w:r w:rsidRPr="004069C8">
        <w:t>st</w:t>
      </w:r>
      <w:r>
        <w:t>i</w:t>
      </w:r>
      <w:r w:rsidRPr="004069C8">
        <w:t>m</w:t>
      </w:r>
      <w:r>
        <w:t>a</w:t>
      </w:r>
      <w:r w:rsidRPr="004069C8">
        <w:t>te</w:t>
      </w:r>
      <w:r>
        <w:t xml:space="preserve">d burden per QHP issuer </w:t>
      </w:r>
      <w:r w:rsidRPr="004069C8">
        <w:t>to m</w:t>
      </w:r>
      <w:r>
        <w:t>a</w:t>
      </w:r>
      <w:r w:rsidRPr="004069C8">
        <w:t>int</w:t>
      </w:r>
      <w:r>
        <w:t>a</w:t>
      </w:r>
      <w:r w:rsidRPr="004069C8">
        <w:t>in th</w:t>
      </w:r>
      <w:r>
        <w:t>e</w:t>
      </w:r>
      <w:r w:rsidRPr="004069C8">
        <w:t>se</w:t>
      </w:r>
      <w:r>
        <w:t xml:space="preserve"> rec</w:t>
      </w:r>
      <w:r w:rsidRPr="004069C8">
        <w:t>o</w:t>
      </w:r>
      <w:r>
        <w:t>r</w:t>
      </w:r>
      <w:r w:rsidRPr="004069C8">
        <w:t xml:space="preserve">ds </w:t>
      </w:r>
      <w:r>
        <w:t xml:space="preserve">is </w:t>
      </w:r>
      <w:r w:rsidRPr="004069C8">
        <w:t>100 hou</w:t>
      </w:r>
      <w:r>
        <w:t>r</w:t>
      </w:r>
      <w:r w:rsidRPr="004069C8">
        <w:t xml:space="preserve">s </w:t>
      </w:r>
      <w:r>
        <w:t>a</w:t>
      </w:r>
      <w:r w:rsidRPr="004069C8">
        <w:t>t a</w:t>
      </w:r>
      <w:r>
        <w:t xml:space="preserve"> c</w:t>
      </w:r>
      <w:r w:rsidRPr="004069C8">
        <w:t>ost of</w:t>
      </w:r>
      <w:r>
        <w:t xml:space="preserve"> </w:t>
      </w:r>
      <w:r w:rsidRPr="004069C8">
        <w:t>$</w:t>
      </w:r>
      <w:r>
        <w:t xml:space="preserve">10,363.20. For all QHP issuers, the total estimated burden is 38,200 </w:t>
      </w:r>
      <w:r w:rsidRPr="004069C8">
        <w:t>hou</w:t>
      </w:r>
      <w:r>
        <w:t>r</w:t>
      </w:r>
      <w:r w:rsidRPr="004069C8">
        <w:t>s</w:t>
      </w:r>
      <w:r>
        <w:t xml:space="preserve"> at a cost of</w:t>
      </w:r>
      <w:r w:rsidRPr="004069C8">
        <w:t xml:space="preserve"> </w:t>
      </w:r>
      <w:r w:rsidRPr="00160EC1">
        <w:t>$</w:t>
      </w:r>
      <w:r>
        <w:t>3,958,742.40</w:t>
      </w:r>
      <w:r w:rsidRPr="004069C8">
        <w:t>.</w:t>
      </w:r>
    </w:p>
    <w:p w:rsidR="00107996" w:rsidP="60B6DFD7" w14:paraId="6E7CA5D2" w14:textId="7DF29F8C">
      <w:pPr>
        <w:rPr>
          <w:rFonts w:eastAsia="Times New Roman"/>
        </w:rPr>
      </w:pPr>
    </w:p>
    <w:p w:rsidR="60B6DFD7" w:rsidP="60B6DFD7" w14:paraId="3A11C708" w14:textId="7582AFCC">
      <w:pPr>
        <w:rPr>
          <w:rFonts w:eastAsia="Times New Roman"/>
        </w:rPr>
      </w:pPr>
      <w:r w:rsidRPr="47826249">
        <w:rPr>
          <w:rFonts w:eastAsia="Times New Roman"/>
        </w:rPr>
        <w:t xml:space="preserve">However, </w:t>
      </w:r>
      <w:r w:rsidR="005C4E62">
        <w:rPr>
          <w:rFonts w:eastAsia="Times New Roman"/>
        </w:rPr>
        <w:t>the current PRA package with OMB control number 0938-1277</w:t>
      </w:r>
      <w:r w:rsidRPr="47826249" w:rsidR="005C4E62">
        <w:rPr>
          <w:rFonts w:eastAsia="Times New Roman"/>
        </w:rPr>
        <w:t xml:space="preserve"> </w:t>
      </w:r>
      <w:r w:rsidRPr="58E6E65E" w:rsidR="58E6E65E">
        <w:rPr>
          <w:rFonts w:eastAsia="Times New Roman"/>
        </w:rPr>
        <w:t xml:space="preserve">does not account for the burden for QHP issuers to collate certain information regarding their AB investigations and transmit that information to CMS once per month, in accordance with the recommendation in the </w:t>
      </w:r>
      <w:r w:rsidRPr="58E6E65E" w:rsidR="58E6E65E">
        <w:rPr>
          <w:rFonts w:eastAsia="Times New Roman"/>
        </w:rPr>
        <w:t>aforementioned guidance</w:t>
      </w:r>
      <w:r w:rsidRPr="58E6E65E" w:rsidR="58E6E65E">
        <w:rPr>
          <w:rFonts w:eastAsia="Times New Roman"/>
        </w:rPr>
        <w:t xml:space="preserve"> document. CMS anticipates that QHP issuers could submit the following illustrative but non-exhaustive types of information to CMS if they take this recommended action: Name of AB, identifier such as National Producer Number, summary of issuer’s investigation into AB (including findings), and summary of results and actions taken.</w:t>
      </w:r>
      <w:r w:rsidRPr="47826249">
        <w:rPr>
          <w:rFonts w:eastAsia="Times New Roman"/>
        </w:rPr>
        <w:t xml:space="preserve"> Therefore, we </w:t>
      </w:r>
      <w:r w:rsidRPr="58E6E65E" w:rsidR="58E6E65E">
        <w:rPr>
          <w:rFonts w:eastAsia="Times New Roman"/>
        </w:rPr>
        <w:t xml:space="preserve">anticipate that QHP issuers will incur additional burden to collate and transmit this information to CMS, as follows. </w:t>
      </w:r>
    </w:p>
    <w:p w:rsidR="60B6DFD7" w:rsidP="60B6DFD7" w14:paraId="730A41FA" w14:textId="39B687B6">
      <w:pPr>
        <w:rPr>
          <w:rFonts w:eastAsia="Times New Roman"/>
        </w:rPr>
      </w:pPr>
    </w:p>
    <w:p w:rsidR="60B6DFD7" w:rsidP="00F3626A" w14:paraId="4095048E" w14:textId="319F1AD3">
      <w:pPr>
        <w:keepNext/>
        <w:ind w:right="-14"/>
        <w:rPr>
          <w:rFonts w:eastAsia="Times New Roman"/>
          <w:b/>
          <w:bCs/>
        </w:rPr>
      </w:pPr>
      <w:r w:rsidRPr="4FBE3120">
        <w:rPr>
          <w:rFonts w:eastAsia="Times New Roman"/>
          <w:b/>
          <w:bCs/>
        </w:rPr>
        <w:t xml:space="preserve">Table </w:t>
      </w:r>
      <w:r w:rsidRPr="4FBE3120" w:rsidR="4FBE3120">
        <w:rPr>
          <w:rFonts w:eastAsia="Times New Roman"/>
          <w:b/>
          <w:bCs/>
        </w:rPr>
        <w:t>5</w:t>
      </w:r>
      <w:r w:rsidRPr="4FBE3120">
        <w:rPr>
          <w:rFonts w:eastAsia="Times New Roman"/>
          <w:b/>
          <w:bCs/>
        </w:rPr>
        <w:t xml:space="preserve">: </w:t>
      </w:r>
      <w:r w:rsidRPr="58E6E65E" w:rsidR="58E6E65E">
        <w:rPr>
          <w:rFonts w:eastAsia="Times New Roman"/>
          <w:b/>
          <w:bCs/>
        </w:rPr>
        <w:t xml:space="preserve">Annual </w:t>
      </w:r>
      <w:r w:rsidRPr="4FBE3120">
        <w:rPr>
          <w:rFonts w:eastAsia="Times New Roman"/>
          <w:b/>
          <w:bCs/>
        </w:rPr>
        <w:t xml:space="preserve">Burden to QHP Issuers for </w:t>
      </w:r>
      <w:r w:rsidRPr="4FBE3120" w:rsidR="001411BA">
        <w:rPr>
          <w:rFonts w:eastAsia="Times New Roman"/>
          <w:b/>
          <w:bCs/>
        </w:rPr>
        <w:t>Recommended AB Investigation Reporting</w:t>
      </w:r>
    </w:p>
    <w:p w:rsidR="00CA45DA" w:rsidP="00F3626A" w14:paraId="688BBD7F" w14:textId="77777777">
      <w:pPr>
        <w:keepNext/>
        <w:ind w:right="-14"/>
        <w:rPr>
          <w:rFonts w:eastAsia="Times New Roman"/>
          <w:b/>
        </w:rPr>
      </w:pPr>
    </w:p>
    <w:tbl>
      <w:tblPr>
        <w:tblW w:w="9440" w:type="dxa"/>
        <w:tblLayout w:type="fixed"/>
        <w:tblCellMar>
          <w:left w:w="0" w:type="dxa"/>
          <w:right w:w="0" w:type="dxa"/>
        </w:tblCellMar>
        <w:tblLook w:val="01E0"/>
      </w:tblPr>
      <w:tblGrid>
        <w:gridCol w:w="1249"/>
        <w:gridCol w:w="1395"/>
        <w:gridCol w:w="1756"/>
        <w:gridCol w:w="1440"/>
        <w:gridCol w:w="1620"/>
        <w:gridCol w:w="1980"/>
      </w:tblGrid>
      <w:tr w14:paraId="653BD74E" w14:textId="77777777" w:rsidTr="00AB6605">
        <w:tblPrEx>
          <w:tblW w:w="9440" w:type="dxa"/>
          <w:tblLayout w:type="fixed"/>
          <w:tblCellMar>
            <w:left w:w="0" w:type="dxa"/>
            <w:right w:w="0" w:type="dxa"/>
          </w:tblCellMar>
          <w:tblLook w:val="01E0"/>
        </w:tblPrEx>
        <w:trPr>
          <w:trHeight w:val="1110"/>
        </w:trPr>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F3626A" w14:paraId="3E07D048" w14:textId="7CAE740D">
            <w:pPr>
              <w:keepNext/>
              <w:ind w:right="-14"/>
              <w:rPr>
                <w:rFonts w:eastAsia="Times New Roman"/>
                <w:b/>
                <w:szCs w:val="24"/>
              </w:rPr>
            </w:pPr>
            <w:r w:rsidRPr="004E79EC">
              <w:rPr>
                <w:rFonts w:eastAsia="Times New Roman"/>
                <w:b/>
                <w:szCs w:val="24"/>
              </w:rPr>
              <w:t>Labor</w:t>
            </w:r>
          </w:p>
          <w:p w:rsidR="60B6DFD7" w:rsidRPr="004E79EC" w:rsidP="00F3626A" w14:paraId="5FF5FFC0" w14:textId="183DB9A6">
            <w:pPr>
              <w:keepNext/>
              <w:ind w:right="-14"/>
              <w:rPr>
                <w:rFonts w:eastAsia="Times New Roman"/>
                <w:b/>
                <w:szCs w:val="24"/>
              </w:rPr>
            </w:pPr>
            <w:r w:rsidRPr="004E79EC">
              <w:rPr>
                <w:rFonts w:eastAsia="Times New Roman"/>
                <w:b/>
                <w:szCs w:val="24"/>
              </w:rPr>
              <w:t>Category</w:t>
            </w:r>
          </w:p>
        </w:tc>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F3626A" w14:paraId="6227CC02" w14:textId="7602E961">
            <w:pPr>
              <w:keepNext/>
              <w:ind w:right="-14"/>
              <w:jc w:val="center"/>
              <w:rPr>
                <w:rFonts w:eastAsia="Times New Roman"/>
                <w:b/>
                <w:szCs w:val="24"/>
              </w:rPr>
            </w:pPr>
            <w:r w:rsidRPr="004E79EC">
              <w:rPr>
                <w:rFonts w:eastAsia="Times New Roman"/>
                <w:b/>
                <w:szCs w:val="24"/>
              </w:rPr>
              <w:t>Number of</w:t>
            </w:r>
          </w:p>
          <w:p w:rsidR="60B6DFD7" w:rsidRPr="004E79EC" w:rsidP="00F3626A" w14:paraId="64EB119D" w14:textId="38005661">
            <w:pPr>
              <w:keepNext/>
              <w:ind w:right="-14"/>
              <w:jc w:val="center"/>
              <w:rPr>
                <w:rFonts w:eastAsia="Times New Roman"/>
                <w:b/>
                <w:szCs w:val="24"/>
              </w:rPr>
            </w:pPr>
            <w:r w:rsidRPr="004E79EC">
              <w:rPr>
                <w:rFonts w:eastAsia="Times New Roman"/>
                <w:b/>
                <w:szCs w:val="24"/>
              </w:rPr>
              <w:t>Respondents</w:t>
            </w:r>
          </w:p>
        </w:tc>
        <w:tc>
          <w:tcPr>
            <w:tcW w:w="17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F3626A" w14:paraId="7FBE77B4" w14:textId="6036DAC1">
            <w:pPr>
              <w:keepNext/>
              <w:ind w:right="-14"/>
              <w:jc w:val="center"/>
              <w:rPr>
                <w:rFonts w:eastAsia="Times New Roman"/>
                <w:b/>
                <w:szCs w:val="24"/>
              </w:rPr>
            </w:pPr>
            <w:r w:rsidRPr="004E79EC">
              <w:rPr>
                <w:rFonts w:eastAsia="Times New Roman"/>
                <w:b/>
                <w:szCs w:val="24"/>
              </w:rPr>
              <w:t xml:space="preserve">Hourly Labor Costs (Hourly </w:t>
            </w:r>
            <w:r w:rsidRPr="004E79EC" w:rsidR="0F84AC36">
              <w:rPr>
                <w:rFonts w:eastAsia="Times New Roman"/>
                <w:b/>
                <w:szCs w:val="24"/>
              </w:rPr>
              <w:t>Rate</w:t>
            </w:r>
            <w:r w:rsidRPr="004E79EC">
              <w:rPr>
                <w:rFonts w:eastAsia="Times New Roman"/>
                <w:b/>
                <w:szCs w:val="24"/>
              </w:rPr>
              <w:t xml:space="preserve"> + 100% Fringe </w:t>
            </w:r>
            <w:r w:rsidRPr="004E79EC" w:rsidR="0F84AC36">
              <w:rPr>
                <w:rFonts w:eastAsia="Times New Roman"/>
                <w:b/>
                <w:szCs w:val="24"/>
              </w:rPr>
              <w:t>Benefits</w:t>
            </w:r>
            <w:r w:rsidRPr="004E79EC">
              <w:rPr>
                <w:rFonts w:eastAsia="Times New Roman"/>
                <w:b/>
                <w:szCs w:val="24"/>
              </w:rPr>
              <w:t>)</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F3626A" w14:paraId="1040A890" w14:textId="19D37A15">
            <w:pPr>
              <w:keepNext/>
              <w:ind w:right="-14"/>
              <w:jc w:val="center"/>
              <w:rPr>
                <w:rFonts w:eastAsia="Times New Roman"/>
                <w:b/>
                <w:szCs w:val="24"/>
              </w:rPr>
            </w:pPr>
            <w:r w:rsidRPr="004E79EC">
              <w:rPr>
                <w:rFonts w:eastAsia="Times New Roman"/>
                <w:b/>
                <w:szCs w:val="24"/>
              </w:rPr>
              <w:t>Burden</w:t>
            </w:r>
          </w:p>
          <w:p w:rsidR="60B6DFD7" w:rsidRPr="004E79EC" w:rsidP="00F3626A" w14:paraId="71C3B8BA" w14:textId="20F1178C">
            <w:pPr>
              <w:keepNext/>
              <w:ind w:right="-14"/>
              <w:jc w:val="center"/>
              <w:rPr>
                <w:rFonts w:eastAsia="Times New Roman"/>
                <w:b/>
                <w:szCs w:val="24"/>
              </w:rPr>
            </w:pPr>
            <w:r w:rsidRPr="004E79EC">
              <w:rPr>
                <w:rFonts w:eastAsia="Times New Roman"/>
                <w:b/>
                <w:szCs w:val="24"/>
              </w:rPr>
              <w:t>Hours (per Respondent)</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F3626A" w14:paraId="77536ED8" w14:textId="129899F4">
            <w:pPr>
              <w:keepNext/>
              <w:ind w:right="-14"/>
              <w:jc w:val="center"/>
              <w:rPr>
                <w:rFonts w:eastAsia="Times New Roman"/>
                <w:b/>
                <w:szCs w:val="24"/>
              </w:rPr>
            </w:pPr>
            <w:r w:rsidRPr="004E79EC">
              <w:rPr>
                <w:rFonts w:eastAsia="Times New Roman"/>
                <w:b/>
                <w:szCs w:val="24"/>
              </w:rPr>
              <w:t>Total Burden</w:t>
            </w:r>
          </w:p>
          <w:p w:rsidR="60B6DFD7" w:rsidRPr="004E79EC" w:rsidP="00F3626A" w14:paraId="7C020BB7" w14:textId="4C3C3BCE">
            <w:pPr>
              <w:keepNext/>
              <w:ind w:right="-14"/>
              <w:jc w:val="center"/>
              <w:rPr>
                <w:rFonts w:eastAsia="Times New Roman"/>
                <w:b/>
                <w:szCs w:val="24"/>
              </w:rPr>
            </w:pPr>
            <w:r w:rsidRPr="004E79EC">
              <w:rPr>
                <w:rFonts w:eastAsia="Times New Roman"/>
                <w:b/>
                <w:szCs w:val="24"/>
              </w:rPr>
              <w:t>Costs (per Respondent)</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F3626A" w14:paraId="3785B546" w14:textId="4679E4FF">
            <w:pPr>
              <w:keepNext/>
              <w:ind w:right="-14"/>
              <w:jc w:val="center"/>
              <w:rPr>
                <w:rFonts w:eastAsia="Times New Roman"/>
                <w:b/>
                <w:szCs w:val="24"/>
              </w:rPr>
            </w:pPr>
            <w:r w:rsidRPr="004E79EC">
              <w:rPr>
                <w:rFonts w:eastAsia="Times New Roman"/>
                <w:b/>
                <w:szCs w:val="24"/>
              </w:rPr>
              <w:t>Total Burden</w:t>
            </w:r>
          </w:p>
          <w:p w:rsidR="60B6DFD7" w:rsidRPr="004E79EC" w:rsidP="00F3626A" w14:paraId="79904D3A" w14:textId="09C746E0">
            <w:pPr>
              <w:keepNext/>
              <w:ind w:right="-14"/>
              <w:jc w:val="center"/>
              <w:rPr>
                <w:rFonts w:eastAsia="Times New Roman"/>
                <w:b/>
                <w:szCs w:val="24"/>
              </w:rPr>
            </w:pPr>
            <w:r w:rsidRPr="004E79EC">
              <w:rPr>
                <w:rFonts w:eastAsia="Times New Roman"/>
                <w:b/>
                <w:szCs w:val="24"/>
              </w:rPr>
              <w:t>Costs (All</w:t>
            </w:r>
          </w:p>
          <w:p w:rsidR="60B6DFD7" w:rsidRPr="004E79EC" w:rsidP="00F3626A" w14:paraId="5E2C6D54" w14:textId="7C8167A3">
            <w:pPr>
              <w:keepNext/>
              <w:ind w:right="-14"/>
              <w:jc w:val="center"/>
              <w:rPr>
                <w:rFonts w:eastAsia="Times New Roman"/>
                <w:b/>
                <w:szCs w:val="24"/>
              </w:rPr>
            </w:pPr>
            <w:r w:rsidRPr="004E79EC">
              <w:rPr>
                <w:rFonts w:eastAsia="Times New Roman"/>
                <w:b/>
                <w:szCs w:val="24"/>
              </w:rPr>
              <w:t>Respondents)</w:t>
            </w:r>
          </w:p>
        </w:tc>
      </w:tr>
      <w:tr w14:paraId="45BC62F1" w14:textId="77777777" w:rsidTr="00AB6605">
        <w:tblPrEx>
          <w:tblW w:w="9440" w:type="dxa"/>
          <w:tblLayout w:type="fixed"/>
          <w:tblCellMar>
            <w:left w:w="0" w:type="dxa"/>
            <w:right w:w="0" w:type="dxa"/>
          </w:tblCellMar>
          <w:tblLook w:val="01E0"/>
        </w:tblPrEx>
        <w:trPr>
          <w:trHeight w:val="432"/>
        </w:trPr>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7FFF8BFC" w14:textId="0107467D">
            <w:pPr>
              <w:keepNext/>
              <w:ind w:right="-14"/>
              <w:rPr>
                <w:rFonts w:eastAsia="Times New Roman"/>
                <w:szCs w:val="24"/>
              </w:rPr>
            </w:pPr>
            <w:r w:rsidRPr="004E79EC">
              <w:rPr>
                <w:rFonts w:eastAsia="Times New Roman"/>
                <w:szCs w:val="24"/>
              </w:rPr>
              <w:t>Health Policy Analyst</w:t>
            </w:r>
          </w:p>
        </w:tc>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716B0C37" w14:textId="12F719D9">
            <w:pPr>
              <w:keepNext/>
              <w:spacing w:after="240"/>
              <w:ind w:right="-14"/>
              <w:jc w:val="center"/>
              <w:rPr>
                <w:rFonts w:eastAsia="Times New Roman"/>
                <w:szCs w:val="24"/>
              </w:rPr>
            </w:pPr>
            <w:r w:rsidRPr="004E79EC">
              <w:rPr>
                <w:rFonts w:eastAsia="Times New Roman"/>
                <w:szCs w:val="24"/>
              </w:rPr>
              <w:t>366</w:t>
            </w:r>
          </w:p>
        </w:tc>
        <w:tc>
          <w:tcPr>
            <w:tcW w:w="17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3A5C0AFF" w14:textId="3FD4D1EA">
            <w:pPr>
              <w:keepNext/>
              <w:spacing w:after="240"/>
              <w:ind w:right="-14"/>
              <w:jc w:val="center"/>
              <w:rPr>
                <w:rFonts w:eastAsia="Times New Roman"/>
                <w:szCs w:val="24"/>
              </w:rPr>
            </w:pPr>
            <w:r w:rsidRPr="004E79EC">
              <w:rPr>
                <w:rFonts w:eastAsia="Times New Roman"/>
                <w:szCs w:val="24"/>
              </w:rPr>
              <w:t>$</w:t>
            </w:r>
            <w:r w:rsidR="00776F6D">
              <w:rPr>
                <w:rFonts w:eastAsia="Times New Roman"/>
                <w:szCs w:val="24"/>
              </w:rPr>
              <w:t>79.86</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5CBDADE0" w14:textId="6285DFDD">
            <w:pPr>
              <w:keepNext/>
              <w:spacing w:after="240"/>
              <w:ind w:right="-14"/>
              <w:jc w:val="center"/>
              <w:rPr>
                <w:rFonts w:eastAsia="Times New Roman"/>
              </w:rPr>
            </w:pPr>
            <w:r w:rsidRPr="5CEDB2D5">
              <w:rPr>
                <w:rFonts w:eastAsia="Times New Roman"/>
              </w:rPr>
              <w:t>36</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0B2EED50" w14:textId="482C8089">
            <w:pPr>
              <w:keepNext/>
              <w:spacing w:after="240"/>
              <w:ind w:right="-14"/>
              <w:jc w:val="center"/>
              <w:rPr>
                <w:rFonts w:eastAsia="Times New Roman"/>
              </w:rPr>
            </w:pPr>
            <w:r w:rsidRPr="1E5830D7">
              <w:rPr>
                <w:rFonts w:eastAsia="Times New Roman"/>
              </w:rPr>
              <w:t>$</w:t>
            </w:r>
            <w:r w:rsidRPr="1E5830D7" w:rsidR="1E5830D7">
              <w:rPr>
                <w:rFonts w:eastAsia="Times New Roman"/>
              </w:rPr>
              <w:t>2,874.96</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57AEDF86" w14:textId="6E4BDA57">
            <w:pPr>
              <w:keepNext/>
              <w:spacing w:after="240"/>
              <w:ind w:right="-14"/>
              <w:jc w:val="center"/>
              <w:rPr>
                <w:rFonts w:eastAsia="Times New Roman"/>
              </w:rPr>
            </w:pPr>
            <w:r w:rsidRPr="1E5830D7">
              <w:rPr>
                <w:rFonts w:eastAsia="Times New Roman"/>
              </w:rPr>
              <w:t>$1,</w:t>
            </w:r>
            <w:r w:rsidRPr="1E5830D7" w:rsidR="1E5830D7">
              <w:rPr>
                <w:rFonts w:eastAsia="Times New Roman"/>
              </w:rPr>
              <w:t>052,235.36</w:t>
            </w:r>
          </w:p>
        </w:tc>
      </w:tr>
      <w:tr w14:paraId="47D12043" w14:textId="77777777" w:rsidTr="00AB6605">
        <w:tblPrEx>
          <w:tblW w:w="9440" w:type="dxa"/>
          <w:tblLayout w:type="fixed"/>
          <w:tblCellMar>
            <w:left w:w="0" w:type="dxa"/>
            <w:right w:w="0" w:type="dxa"/>
          </w:tblCellMar>
          <w:tblLook w:val="01E0"/>
        </w:tblPrEx>
        <w:trPr>
          <w:trHeight w:val="570"/>
        </w:trPr>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1D33534E" w14:textId="7C0C25D0">
            <w:pPr>
              <w:keepNext/>
              <w:ind w:right="-14"/>
              <w:rPr>
                <w:rFonts w:eastAsia="Times New Roman"/>
                <w:szCs w:val="24"/>
              </w:rPr>
            </w:pPr>
            <w:r w:rsidRPr="004E79EC">
              <w:rPr>
                <w:rFonts w:eastAsia="Times New Roman"/>
                <w:szCs w:val="24"/>
              </w:rPr>
              <w:t>Compliance Officer</w:t>
            </w:r>
          </w:p>
        </w:tc>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49BCC314" w14:textId="063B949D">
            <w:pPr>
              <w:keepNext/>
              <w:spacing w:after="240"/>
              <w:ind w:right="-14"/>
              <w:jc w:val="center"/>
              <w:rPr>
                <w:rFonts w:eastAsia="Times New Roman"/>
                <w:szCs w:val="24"/>
              </w:rPr>
            </w:pPr>
            <w:r w:rsidRPr="004E79EC">
              <w:rPr>
                <w:rFonts w:eastAsia="Times New Roman"/>
                <w:szCs w:val="24"/>
              </w:rPr>
              <w:t>366</w:t>
            </w:r>
          </w:p>
        </w:tc>
        <w:tc>
          <w:tcPr>
            <w:tcW w:w="17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053F630F" w14:textId="19AFD5A5">
            <w:pPr>
              <w:keepNext/>
              <w:spacing w:after="240"/>
              <w:ind w:right="-14"/>
              <w:jc w:val="center"/>
              <w:rPr>
                <w:rFonts w:eastAsia="Times New Roman"/>
                <w:szCs w:val="24"/>
              </w:rPr>
            </w:pPr>
            <w:r w:rsidRPr="004E79EC">
              <w:rPr>
                <w:rFonts w:eastAsia="Times New Roman"/>
                <w:szCs w:val="24"/>
              </w:rPr>
              <w:t>$</w:t>
            </w:r>
            <w:r w:rsidRPr="004E79EC" w:rsidR="1EFC6873">
              <w:rPr>
                <w:rFonts w:eastAsia="Times New Roman"/>
                <w:szCs w:val="24"/>
              </w:rPr>
              <w:t>76</w:t>
            </w:r>
            <w:r w:rsidRPr="004E79EC">
              <w:rPr>
                <w:rFonts w:eastAsia="Times New Roman"/>
                <w:szCs w:val="24"/>
              </w:rPr>
              <w:t>.62</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3E78EDD0" w14:textId="6F041BE3">
            <w:pPr>
              <w:keepNext/>
              <w:spacing w:after="240"/>
              <w:ind w:right="-14"/>
              <w:jc w:val="center"/>
              <w:rPr>
                <w:rFonts w:eastAsia="Times New Roman"/>
              </w:rPr>
            </w:pPr>
            <w:r w:rsidRPr="1E5830D7">
              <w:rPr>
                <w:rFonts w:eastAsia="Times New Roman"/>
              </w:rPr>
              <w:t>24</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77A2F818" w14:textId="40E4F207">
            <w:pPr>
              <w:keepNext/>
              <w:spacing w:after="240"/>
              <w:ind w:right="-14"/>
              <w:jc w:val="center"/>
              <w:rPr>
                <w:rFonts w:eastAsia="Times New Roman"/>
              </w:rPr>
            </w:pPr>
            <w:r w:rsidRPr="1E5830D7">
              <w:rPr>
                <w:rFonts w:eastAsia="Times New Roman"/>
              </w:rPr>
              <w:t>$</w:t>
            </w:r>
            <w:r w:rsidRPr="1E5830D7" w:rsidR="1E5830D7">
              <w:rPr>
                <w:rFonts w:eastAsia="Times New Roman"/>
              </w:rPr>
              <w:t>1,838.88</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0A1DE0C6" w14:textId="05A72913">
            <w:pPr>
              <w:keepNext/>
              <w:spacing w:after="240"/>
              <w:ind w:right="-14"/>
              <w:jc w:val="center"/>
              <w:rPr>
                <w:rFonts w:eastAsia="Times New Roman"/>
              </w:rPr>
            </w:pPr>
            <w:r w:rsidRPr="1E5830D7">
              <w:rPr>
                <w:rFonts w:eastAsia="Times New Roman"/>
              </w:rPr>
              <w:t>$</w:t>
            </w:r>
            <w:r w:rsidRPr="1E5830D7" w:rsidR="1E5830D7">
              <w:rPr>
                <w:rFonts w:eastAsia="Times New Roman"/>
              </w:rPr>
              <w:t>673,030.08</w:t>
            </w:r>
          </w:p>
        </w:tc>
      </w:tr>
      <w:tr w14:paraId="1A7C3CD2" w14:textId="77777777" w:rsidTr="00AB6605">
        <w:tblPrEx>
          <w:tblW w:w="9440" w:type="dxa"/>
          <w:tblLayout w:type="fixed"/>
          <w:tblCellMar>
            <w:left w:w="0" w:type="dxa"/>
            <w:right w:w="0" w:type="dxa"/>
          </w:tblCellMar>
          <w:tblLook w:val="01E0"/>
        </w:tblPrEx>
        <w:trPr>
          <w:trHeight w:val="330"/>
        </w:trPr>
        <w:tc>
          <w:tcPr>
            <w:tcW w:w="124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500085BF" w14:textId="6EB955B1">
            <w:pPr>
              <w:ind w:right="-14"/>
              <w:rPr>
                <w:rFonts w:eastAsia="Times New Roman"/>
                <w:b/>
                <w:szCs w:val="24"/>
              </w:rPr>
            </w:pPr>
            <w:r w:rsidRPr="004E79EC">
              <w:rPr>
                <w:rFonts w:eastAsia="Times New Roman"/>
                <w:b/>
                <w:szCs w:val="24"/>
              </w:rPr>
              <w:t xml:space="preserve">Total </w:t>
            </w:r>
          </w:p>
        </w:tc>
        <w:tc>
          <w:tcPr>
            <w:tcW w:w="13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3D08E5CA" w14:textId="5A84FC82">
            <w:pPr>
              <w:ind w:right="-14"/>
              <w:jc w:val="center"/>
              <w:rPr>
                <w:rFonts w:eastAsia="Times New Roman"/>
                <w:b/>
                <w:szCs w:val="24"/>
              </w:rPr>
            </w:pPr>
            <w:r w:rsidRPr="004E79EC">
              <w:rPr>
                <w:rFonts w:eastAsia="Times New Roman"/>
                <w:b/>
                <w:szCs w:val="24"/>
              </w:rPr>
              <w:t xml:space="preserve"> </w:t>
            </w:r>
          </w:p>
        </w:tc>
        <w:tc>
          <w:tcPr>
            <w:tcW w:w="175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0ED69A51" w14:textId="03C795F6">
            <w:pPr>
              <w:ind w:right="-14"/>
              <w:jc w:val="center"/>
              <w:rPr>
                <w:rFonts w:eastAsia="Times New Roman"/>
                <w:b/>
                <w:szCs w:val="24"/>
              </w:rPr>
            </w:pPr>
            <w:r w:rsidRPr="004E79EC">
              <w:rPr>
                <w:rFonts w:eastAsia="Times New Roman"/>
                <w:b/>
                <w:szCs w:val="24"/>
              </w:rPr>
              <w:t xml:space="preserve"> </w:t>
            </w:r>
          </w:p>
        </w:tc>
        <w:tc>
          <w:tcPr>
            <w:tcW w:w="144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1112B8FA" w14:textId="78DF67EF">
            <w:pPr>
              <w:ind w:right="-14"/>
              <w:jc w:val="center"/>
              <w:rPr>
                <w:rFonts w:eastAsia="Times New Roman"/>
                <w:b/>
              </w:rPr>
            </w:pPr>
            <w:r w:rsidRPr="5CEDB2D5">
              <w:rPr>
                <w:rFonts w:eastAsia="Times New Roman"/>
                <w:b/>
                <w:bCs/>
              </w:rPr>
              <w:t>60</w:t>
            </w:r>
          </w:p>
        </w:tc>
        <w:tc>
          <w:tcPr>
            <w:tcW w:w="162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0ABD3577" w14:textId="2281C0F3">
            <w:pPr>
              <w:ind w:right="-14"/>
              <w:jc w:val="center"/>
              <w:rPr>
                <w:rFonts w:eastAsia="Times New Roman"/>
                <w:b/>
              </w:rPr>
            </w:pPr>
            <w:r w:rsidRPr="1E5830D7">
              <w:rPr>
                <w:rFonts w:eastAsia="Times New Roman"/>
                <w:b/>
              </w:rPr>
              <w:t>$</w:t>
            </w:r>
            <w:r w:rsidRPr="1E5830D7" w:rsidR="1E5830D7">
              <w:rPr>
                <w:rFonts w:eastAsia="Times New Roman"/>
                <w:b/>
                <w:bCs/>
              </w:rPr>
              <w:t>4,713.84</w:t>
            </w:r>
          </w:p>
        </w:tc>
        <w:tc>
          <w:tcPr>
            <w:tcW w:w="19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60B6DFD7" w:rsidRPr="004E79EC" w:rsidP="00AB6605" w14:paraId="2867A3E3" w14:textId="000A4D0E">
            <w:pPr>
              <w:ind w:right="-14"/>
              <w:jc w:val="center"/>
              <w:rPr>
                <w:rFonts w:eastAsia="Times New Roman"/>
                <w:b/>
              </w:rPr>
            </w:pPr>
            <w:r w:rsidRPr="5B49C77C">
              <w:rPr>
                <w:rFonts w:eastAsia="Times New Roman"/>
                <w:b/>
              </w:rPr>
              <w:t>$</w:t>
            </w:r>
            <w:r w:rsidRPr="5B49C77C" w:rsidR="5B49C77C">
              <w:rPr>
                <w:rFonts w:eastAsia="Times New Roman"/>
                <w:b/>
                <w:bCs/>
              </w:rPr>
              <w:t>1,725,265.44</w:t>
            </w:r>
          </w:p>
        </w:tc>
      </w:tr>
    </w:tbl>
    <w:p w:rsidR="006823B2" w:rsidP="006823B2" w14:paraId="2B22162C" w14:textId="77777777">
      <w:pPr>
        <w:pStyle w:val="BodyText"/>
        <w:rPr>
          <w:b/>
          <w:bCs/>
        </w:rPr>
      </w:pPr>
    </w:p>
    <w:p w:rsidR="006823B2" w:rsidP="004E79EC" w14:paraId="55B95AB1" w14:textId="3946A524">
      <w:pPr>
        <w:keepNext/>
        <w:rPr>
          <w:rFonts w:eastAsia="Times New Roman"/>
          <w:b/>
          <w:bCs/>
        </w:rPr>
      </w:pPr>
      <w:r>
        <w:rPr>
          <w:rFonts w:eastAsia="Times New Roman"/>
          <w:b/>
          <w:bCs/>
        </w:rPr>
        <w:t>Table</w:t>
      </w:r>
      <w:r w:rsidRPr="74017D59">
        <w:rPr>
          <w:rFonts w:eastAsia="Times New Roman"/>
          <w:b/>
          <w:bCs/>
        </w:rPr>
        <w:t xml:space="preserve"> </w:t>
      </w:r>
      <w:r w:rsidRPr="4FBE3120" w:rsidR="4FBE3120">
        <w:rPr>
          <w:rFonts w:eastAsia="Times New Roman"/>
          <w:b/>
          <w:bCs/>
        </w:rPr>
        <w:t>6</w:t>
      </w:r>
      <w:r w:rsidRPr="74017D59">
        <w:rPr>
          <w:rFonts w:eastAsia="Times New Roman"/>
          <w:b/>
          <w:bCs/>
        </w:rPr>
        <w:t>: Average Annual Cost for All Collections of Information</w:t>
      </w:r>
    </w:p>
    <w:p w:rsidR="00CA45DA" w:rsidP="004E79EC" w14:paraId="617D94F8" w14:textId="77777777">
      <w:pPr>
        <w:keepNext/>
        <w:rPr>
          <w:rFonts w:eastAsia="Times New Roman"/>
          <w:b/>
          <w:bCs/>
        </w:rPr>
      </w:pPr>
    </w:p>
    <w:tbl>
      <w:tblPr>
        <w:tblStyle w:val="TableGrid"/>
        <w:tblW w:w="10530" w:type="dxa"/>
        <w:tblInd w:w="-185" w:type="dxa"/>
        <w:tblLayout w:type="fixed"/>
        <w:tblLook w:val="04A0"/>
      </w:tblPr>
      <w:tblGrid>
        <w:gridCol w:w="1590"/>
        <w:gridCol w:w="1380"/>
        <w:gridCol w:w="1530"/>
        <w:gridCol w:w="1438"/>
        <w:gridCol w:w="1441"/>
        <w:gridCol w:w="1440"/>
        <w:gridCol w:w="1711"/>
      </w:tblGrid>
      <w:tr w14:paraId="6509FD22" w14:textId="77777777" w:rsidTr="00AB6605">
        <w:tblPrEx>
          <w:tblW w:w="10530" w:type="dxa"/>
          <w:tblInd w:w="-185" w:type="dxa"/>
          <w:tblLayout w:type="fixed"/>
          <w:tblLook w:val="04A0"/>
        </w:tblPrEx>
        <w:trPr>
          <w:trHeight w:val="575"/>
        </w:trPr>
        <w:tc>
          <w:tcPr>
            <w:tcW w:w="1590" w:type="dxa"/>
            <w:vAlign w:val="center"/>
          </w:tcPr>
          <w:p w:rsidR="006823B2" w:rsidRPr="004E79EC" w:rsidP="00AB6605" w14:paraId="42D927CB" w14:textId="77777777">
            <w:pPr>
              <w:pStyle w:val="Body"/>
              <w:spacing w:after="0" w:line="240" w:lineRule="auto"/>
              <w:jc w:val="center"/>
              <w:rPr>
                <w:b/>
                <w:sz w:val="24"/>
                <w:szCs w:val="28"/>
              </w:rPr>
            </w:pPr>
            <w:r w:rsidRPr="004E79EC">
              <w:rPr>
                <w:b/>
                <w:sz w:val="24"/>
                <w:szCs w:val="28"/>
              </w:rPr>
              <w:t>Item</w:t>
            </w:r>
          </w:p>
        </w:tc>
        <w:tc>
          <w:tcPr>
            <w:tcW w:w="1380" w:type="dxa"/>
            <w:vAlign w:val="center"/>
          </w:tcPr>
          <w:p w:rsidR="006823B2" w:rsidRPr="004E79EC" w:rsidP="00AB6605" w14:paraId="1FD87B61" w14:textId="77777777">
            <w:pPr>
              <w:pStyle w:val="Body"/>
              <w:spacing w:after="0" w:line="240" w:lineRule="auto"/>
              <w:jc w:val="center"/>
              <w:rPr>
                <w:b/>
                <w:sz w:val="24"/>
                <w:szCs w:val="28"/>
              </w:rPr>
            </w:pPr>
            <w:r w:rsidRPr="004E79EC">
              <w:rPr>
                <w:b/>
                <w:sz w:val="24"/>
                <w:szCs w:val="28"/>
              </w:rPr>
              <w:t>Regulatory Citations</w:t>
            </w:r>
          </w:p>
        </w:tc>
        <w:tc>
          <w:tcPr>
            <w:tcW w:w="1530" w:type="dxa"/>
            <w:vAlign w:val="center"/>
          </w:tcPr>
          <w:p w:rsidR="006823B2" w:rsidRPr="004E79EC" w:rsidP="00AB6605" w14:paraId="4F01E98A" w14:textId="77777777">
            <w:pPr>
              <w:pStyle w:val="Body"/>
              <w:spacing w:after="0" w:line="240" w:lineRule="auto"/>
              <w:ind w:right="-90"/>
              <w:jc w:val="center"/>
              <w:rPr>
                <w:b/>
                <w:sz w:val="24"/>
              </w:rPr>
            </w:pPr>
            <w:r w:rsidRPr="171EC9B2">
              <w:rPr>
                <w:b/>
                <w:sz w:val="24"/>
              </w:rPr>
              <w:t>Number of Respondents</w:t>
            </w:r>
          </w:p>
        </w:tc>
        <w:tc>
          <w:tcPr>
            <w:tcW w:w="1438" w:type="dxa"/>
            <w:vAlign w:val="center"/>
          </w:tcPr>
          <w:p w:rsidR="006823B2" w:rsidRPr="004E79EC" w:rsidP="00AB6605" w14:paraId="176940E8" w14:textId="05A38BB7">
            <w:pPr>
              <w:pStyle w:val="Body"/>
              <w:spacing w:after="0" w:line="240" w:lineRule="auto"/>
              <w:ind w:right="-90"/>
              <w:jc w:val="center"/>
              <w:rPr>
                <w:b/>
                <w:sz w:val="24"/>
              </w:rPr>
            </w:pPr>
            <w:r w:rsidRPr="171EC9B2">
              <w:rPr>
                <w:b/>
                <w:sz w:val="24"/>
              </w:rPr>
              <w:t>Average Time per Respondent</w:t>
            </w:r>
            <w:r>
              <w:br/>
            </w:r>
            <w:r w:rsidRPr="171EC9B2">
              <w:rPr>
                <w:b/>
                <w:sz w:val="24"/>
              </w:rPr>
              <w:t xml:space="preserve"> (Hour</w:t>
            </w:r>
            <w:r w:rsidRPr="171EC9B2" w:rsidR="00553E59">
              <w:rPr>
                <w:b/>
                <w:sz w:val="24"/>
              </w:rPr>
              <w:t>s</w:t>
            </w:r>
            <w:r w:rsidRPr="171EC9B2">
              <w:rPr>
                <w:b/>
                <w:sz w:val="24"/>
              </w:rPr>
              <w:t>)</w:t>
            </w:r>
          </w:p>
        </w:tc>
        <w:tc>
          <w:tcPr>
            <w:tcW w:w="1441" w:type="dxa"/>
            <w:vAlign w:val="center"/>
          </w:tcPr>
          <w:p w:rsidR="006823B2" w:rsidRPr="004E79EC" w:rsidP="00AB6605" w14:paraId="3BEBBBBB" w14:textId="77777777">
            <w:pPr>
              <w:pStyle w:val="Body"/>
              <w:spacing w:after="0" w:line="240" w:lineRule="auto"/>
              <w:jc w:val="center"/>
              <w:rPr>
                <w:b/>
                <w:sz w:val="24"/>
                <w:szCs w:val="28"/>
              </w:rPr>
            </w:pPr>
            <w:r w:rsidRPr="004E79EC">
              <w:rPr>
                <w:b/>
                <w:sz w:val="24"/>
                <w:szCs w:val="28"/>
              </w:rPr>
              <w:t>Total Annual Hours</w:t>
            </w:r>
          </w:p>
        </w:tc>
        <w:tc>
          <w:tcPr>
            <w:tcW w:w="1440" w:type="dxa"/>
            <w:vAlign w:val="center"/>
          </w:tcPr>
          <w:p w:rsidR="006823B2" w:rsidRPr="004E79EC" w:rsidP="00AB6605" w14:paraId="5D8DB84B" w14:textId="71B5DF29">
            <w:pPr>
              <w:pStyle w:val="Body"/>
              <w:spacing w:after="0" w:line="240" w:lineRule="auto"/>
              <w:jc w:val="center"/>
              <w:rPr>
                <w:b/>
                <w:sz w:val="24"/>
                <w:szCs w:val="28"/>
              </w:rPr>
            </w:pPr>
            <w:r w:rsidRPr="004E79EC">
              <w:rPr>
                <w:b/>
                <w:sz w:val="24"/>
                <w:szCs w:val="28"/>
              </w:rPr>
              <w:t>Average Labor Cost</w:t>
            </w:r>
            <w:r w:rsidRPr="004E79EC">
              <w:rPr>
                <w:b/>
                <w:szCs w:val="28"/>
              </w:rPr>
              <w:br/>
            </w:r>
            <w:r w:rsidRPr="004E79EC">
              <w:rPr>
                <w:b/>
                <w:sz w:val="24"/>
                <w:szCs w:val="28"/>
              </w:rPr>
              <w:t>($/Hour)</w:t>
            </w:r>
          </w:p>
        </w:tc>
        <w:tc>
          <w:tcPr>
            <w:tcW w:w="1711" w:type="dxa"/>
            <w:vAlign w:val="center"/>
          </w:tcPr>
          <w:p w:rsidR="006823B2" w:rsidRPr="004E79EC" w:rsidP="00AB6605" w14:paraId="20E3FA67" w14:textId="77777777">
            <w:pPr>
              <w:pStyle w:val="Body"/>
              <w:spacing w:after="0" w:line="240" w:lineRule="auto"/>
              <w:jc w:val="center"/>
              <w:rPr>
                <w:b/>
                <w:sz w:val="24"/>
                <w:szCs w:val="28"/>
              </w:rPr>
            </w:pPr>
            <w:r w:rsidRPr="004E79EC">
              <w:rPr>
                <w:b/>
                <w:sz w:val="24"/>
                <w:szCs w:val="28"/>
              </w:rPr>
              <w:t xml:space="preserve">Average Annual Cost </w:t>
            </w:r>
            <w:r w:rsidRPr="004E79EC">
              <w:rPr>
                <w:b/>
                <w:szCs w:val="28"/>
              </w:rPr>
              <w:br/>
            </w:r>
            <w:r w:rsidRPr="004E79EC">
              <w:rPr>
                <w:b/>
                <w:sz w:val="24"/>
                <w:szCs w:val="28"/>
              </w:rPr>
              <w:t>(Millions $)</w:t>
            </w:r>
          </w:p>
        </w:tc>
      </w:tr>
      <w:tr w14:paraId="36799E14" w14:textId="77777777" w:rsidTr="00AB6605">
        <w:tblPrEx>
          <w:tblW w:w="10530" w:type="dxa"/>
          <w:tblInd w:w="-185" w:type="dxa"/>
          <w:tblLayout w:type="fixed"/>
          <w:tblLook w:val="04A0"/>
        </w:tblPrEx>
        <w:trPr>
          <w:trHeight w:val="548"/>
        </w:trPr>
        <w:tc>
          <w:tcPr>
            <w:tcW w:w="1590" w:type="dxa"/>
            <w:vAlign w:val="center"/>
          </w:tcPr>
          <w:p w:rsidR="006823B2" w:rsidRPr="004E79EC" w:rsidP="00AB6605" w14:paraId="4B40F8A3" w14:textId="16E171B5">
            <w:pPr>
              <w:pStyle w:val="Body"/>
              <w:spacing w:after="0" w:line="240" w:lineRule="auto"/>
              <w:rPr>
                <w:sz w:val="24"/>
                <w:szCs w:val="28"/>
              </w:rPr>
            </w:pPr>
            <w:r w:rsidRPr="004E79EC">
              <w:rPr>
                <w:sz w:val="24"/>
                <w:szCs w:val="28"/>
              </w:rPr>
              <w:t>Call Recordings</w:t>
            </w:r>
            <w:r w:rsidR="00B50435">
              <w:rPr>
                <w:sz w:val="24"/>
                <w:szCs w:val="28"/>
              </w:rPr>
              <w:t xml:space="preserve"> (Issuers)</w:t>
            </w:r>
          </w:p>
        </w:tc>
        <w:tc>
          <w:tcPr>
            <w:tcW w:w="1380" w:type="dxa"/>
            <w:vAlign w:val="center"/>
          </w:tcPr>
          <w:p w:rsidR="006823B2" w:rsidRPr="004E79EC" w:rsidP="00AB6605" w14:paraId="168F65A7" w14:textId="77777777">
            <w:pPr>
              <w:pStyle w:val="Body"/>
              <w:spacing w:after="0" w:line="240" w:lineRule="auto"/>
              <w:rPr>
                <w:sz w:val="24"/>
                <w:szCs w:val="28"/>
              </w:rPr>
            </w:pPr>
            <w:r w:rsidRPr="004E79EC">
              <w:rPr>
                <w:sz w:val="24"/>
                <w:szCs w:val="28"/>
              </w:rPr>
              <w:t>N/A</w:t>
            </w:r>
          </w:p>
        </w:tc>
        <w:tc>
          <w:tcPr>
            <w:tcW w:w="1530" w:type="dxa"/>
            <w:vAlign w:val="center"/>
          </w:tcPr>
          <w:p w:rsidR="006823B2" w:rsidRPr="004E79EC" w:rsidP="00AB6605" w14:paraId="163B6261" w14:textId="05D1A07A">
            <w:pPr>
              <w:pStyle w:val="Body"/>
              <w:spacing w:after="0" w:line="240" w:lineRule="auto"/>
              <w:rPr>
                <w:sz w:val="24"/>
              </w:rPr>
            </w:pPr>
            <w:r w:rsidRPr="4E73E3AC">
              <w:rPr>
                <w:sz w:val="24"/>
              </w:rPr>
              <w:t>366</w:t>
            </w:r>
          </w:p>
        </w:tc>
        <w:tc>
          <w:tcPr>
            <w:tcW w:w="1438" w:type="dxa"/>
            <w:vAlign w:val="center"/>
          </w:tcPr>
          <w:p w:rsidR="006823B2" w:rsidRPr="004E79EC" w:rsidP="00AB6605" w14:paraId="7F39EB3E" w14:textId="4D8180D1">
            <w:pPr>
              <w:pStyle w:val="Body"/>
              <w:spacing w:after="0" w:line="240" w:lineRule="auto"/>
              <w:rPr>
                <w:sz w:val="24"/>
              </w:rPr>
            </w:pPr>
            <w:r w:rsidRPr="4E73E3AC">
              <w:rPr>
                <w:sz w:val="24"/>
              </w:rPr>
              <w:t>30</w:t>
            </w:r>
          </w:p>
        </w:tc>
        <w:tc>
          <w:tcPr>
            <w:tcW w:w="1441" w:type="dxa"/>
            <w:vAlign w:val="center"/>
          </w:tcPr>
          <w:p w:rsidR="006823B2" w:rsidRPr="004E79EC" w:rsidP="00AB6605" w14:paraId="6C0298B7" w14:textId="6D45BBFE">
            <w:pPr>
              <w:pStyle w:val="Body"/>
              <w:spacing w:after="0" w:line="240" w:lineRule="auto"/>
              <w:rPr>
                <w:sz w:val="24"/>
                <w:szCs w:val="32"/>
              </w:rPr>
            </w:pPr>
            <w:r w:rsidRPr="004E79EC">
              <w:rPr>
                <w:sz w:val="24"/>
                <w:szCs w:val="32"/>
              </w:rPr>
              <w:t>10,980</w:t>
            </w:r>
          </w:p>
        </w:tc>
        <w:tc>
          <w:tcPr>
            <w:tcW w:w="1440" w:type="dxa"/>
            <w:vAlign w:val="center"/>
          </w:tcPr>
          <w:p w:rsidR="006823B2" w:rsidRPr="004E79EC" w:rsidP="00AB6605" w14:paraId="3AA9939A" w14:textId="663A1D7C">
            <w:pPr>
              <w:pStyle w:val="Body"/>
              <w:spacing w:after="0" w:line="240" w:lineRule="auto"/>
              <w:rPr>
                <w:sz w:val="24"/>
                <w:szCs w:val="32"/>
              </w:rPr>
            </w:pPr>
            <w:r w:rsidRPr="004E79EC">
              <w:rPr>
                <w:sz w:val="24"/>
                <w:szCs w:val="32"/>
              </w:rPr>
              <w:t>$</w:t>
            </w:r>
            <w:r w:rsidR="0064283D">
              <w:rPr>
                <w:sz w:val="24"/>
                <w:szCs w:val="32"/>
              </w:rPr>
              <w:t>85.55</w:t>
            </w:r>
          </w:p>
        </w:tc>
        <w:tc>
          <w:tcPr>
            <w:tcW w:w="1711" w:type="dxa"/>
            <w:vAlign w:val="center"/>
          </w:tcPr>
          <w:p w:rsidR="006823B2" w:rsidRPr="00776F6D" w:rsidP="00AB6605" w14:paraId="16903CCF" w14:textId="5E89FBDB">
            <w:pPr>
              <w:pStyle w:val="Body"/>
              <w:spacing w:after="0" w:line="240" w:lineRule="auto"/>
              <w:rPr>
                <w:sz w:val="24"/>
                <w:szCs w:val="32"/>
              </w:rPr>
            </w:pPr>
            <w:r w:rsidRPr="00776F6D">
              <w:rPr>
                <w:sz w:val="24"/>
                <w:szCs w:val="32"/>
              </w:rPr>
              <w:t>$</w:t>
            </w:r>
            <w:r w:rsidRPr="00AB6605" w:rsidR="00776F6D">
              <w:t>939,302.40</w:t>
            </w:r>
          </w:p>
        </w:tc>
      </w:tr>
      <w:tr w14:paraId="04484F93" w14:textId="77777777" w:rsidTr="4C5D2B3D">
        <w:tblPrEx>
          <w:tblW w:w="10530" w:type="dxa"/>
          <w:tblInd w:w="-185" w:type="dxa"/>
          <w:tblLayout w:type="fixed"/>
          <w:tblLook w:val="04A0"/>
        </w:tblPrEx>
        <w:trPr>
          <w:trHeight w:val="548"/>
        </w:trPr>
        <w:tc>
          <w:tcPr>
            <w:tcW w:w="1590" w:type="dxa"/>
            <w:vAlign w:val="center"/>
          </w:tcPr>
          <w:p w:rsidR="00B50435" w:rsidRPr="004E79EC" w:rsidP="00AB6605" w14:paraId="74992D92" w14:textId="363701D7">
            <w:pPr>
              <w:pStyle w:val="Body"/>
              <w:spacing w:after="0" w:line="240" w:lineRule="auto"/>
              <w:rPr>
                <w:szCs w:val="28"/>
              </w:rPr>
            </w:pPr>
            <w:r>
              <w:rPr>
                <w:szCs w:val="28"/>
              </w:rPr>
              <w:t>Call Recordings (ABs)</w:t>
            </w:r>
          </w:p>
        </w:tc>
        <w:tc>
          <w:tcPr>
            <w:tcW w:w="1380" w:type="dxa"/>
            <w:vAlign w:val="center"/>
          </w:tcPr>
          <w:p w:rsidR="00B50435" w:rsidRPr="004E79EC" w:rsidP="00AB6605" w14:paraId="337635F9" w14:textId="3A4CB029">
            <w:pPr>
              <w:pStyle w:val="Body"/>
              <w:spacing w:after="0" w:line="240" w:lineRule="auto"/>
              <w:rPr>
                <w:szCs w:val="28"/>
              </w:rPr>
            </w:pPr>
            <w:r>
              <w:rPr>
                <w:szCs w:val="28"/>
              </w:rPr>
              <w:t>N/A</w:t>
            </w:r>
          </w:p>
        </w:tc>
        <w:tc>
          <w:tcPr>
            <w:tcW w:w="1530" w:type="dxa"/>
            <w:vAlign w:val="center"/>
          </w:tcPr>
          <w:p w:rsidR="00B50435" w:rsidRPr="4E73E3AC" w:rsidP="00AB6605" w14:paraId="59015591" w14:textId="2CC44298">
            <w:pPr>
              <w:pStyle w:val="Body"/>
              <w:spacing w:after="0" w:line="240" w:lineRule="auto"/>
            </w:pPr>
            <w:r>
              <w:t>8,401</w:t>
            </w:r>
          </w:p>
        </w:tc>
        <w:tc>
          <w:tcPr>
            <w:tcW w:w="1438" w:type="dxa"/>
            <w:vAlign w:val="center"/>
          </w:tcPr>
          <w:p w:rsidR="00B50435" w:rsidRPr="4E73E3AC" w:rsidP="00AB6605" w14:paraId="233C79CA" w14:textId="75D67416">
            <w:pPr>
              <w:pStyle w:val="Body"/>
              <w:spacing w:after="0" w:line="240" w:lineRule="auto"/>
            </w:pPr>
            <w:r>
              <w:t>1</w:t>
            </w:r>
          </w:p>
        </w:tc>
        <w:tc>
          <w:tcPr>
            <w:tcW w:w="1441" w:type="dxa"/>
            <w:vAlign w:val="center"/>
          </w:tcPr>
          <w:p w:rsidR="00B50435" w:rsidRPr="004E79EC" w:rsidP="00AB6605" w14:paraId="6218F340" w14:textId="57C511FC">
            <w:pPr>
              <w:pStyle w:val="Body"/>
              <w:spacing w:after="0" w:line="240" w:lineRule="auto"/>
              <w:rPr>
                <w:szCs w:val="32"/>
              </w:rPr>
            </w:pPr>
            <w:r>
              <w:rPr>
                <w:szCs w:val="32"/>
              </w:rPr>
              <w:t>8,401</w:t>
            </w:r>
          </w:p>
        </w:tc>
        <w:tc>
          <w:tcPr>
            <w:tcW w:w="1440" w:type="dxa"/>
            <w:vAlign w:val="center"/>
          </w:tcPr>
          <w:p w:rsidR="00B50435" w:rsidRPr="004E79EC" w:rsidP="00AB6605" w14:paraId="7238D948" w14:textId="4AE56345">
            <w:pPr>
              <w:pStyle w:val="Body"/>
              <w:spacing w:after="0" w:line="240" w:lineRule="auto"/>
              <w:rPr>
                <w:szCs w:val="32"/>
              </w:rPr>
            </w:pPr>
            <w:r>
              <w:rPr>
                <w:szCs w:val="32"/>
              </w:rPr>
              <w:t>$47.34</w:t>
            </w:r>
          </w:p>
        </w:tc>
        <w:tc>
          <w:tcPr>
            <w:tcW w:w="1711" w:type="dxa"/>
            <w:vAlign w:val="center"/>
          </w:tcPr>
          <w:p w:rsidR="00B50435" w:rsidRPr="00776F6D" w:rsidP="00AB6605" w14:paraId="09F482BD" w14:textId="769AE179">
            <w:pPr>
              <w:pStyle w:val="Body"/>
              <w:spacing w:after="0" w:line="240" w:lineRule="auto"/>
              <w:rPr>
                <w:szCs w:val="32"/>
              </w:rPr>
            </w:pPr>
            <w:r>
              <w:rPr>
                <w:szCs w:val="32"/>
              </w:rPr>
              <w:t>$397,703.34</w:t>
            </w:r>
          </w:p>
        </w:tc>
      </w:tr>
      <w:tr w14:paraId="6C5AD84D" w14:textId="77777777" w:rsidTr="00AB6605">
        <w:tblPrEx>
          <w:tblW w:w="10530" w:type="dxa"/>
          <w:tblInd w:w="-185" w:type="dxa"/>
          <w:tblLayout w:type="fixed"/>
          <w:tblLook w:val="04A0"/>
        </w:tblPrEx>
        <w:trPr>
          <w:trHeight w:val="530"/>
        </w:trPr>
        <w:tc>
          <w:tcPr>
            <w:tcW w:w="1590" w:type="dxa"/>
            <w:vAlign w:val="center"/>
          </w:tcPr>
          <w:p w:rsidR="00140F35" w:rsidRPr="00AB6605" w:rsidP="00AB6605" w14:paraId="776238D5" w14:textId="22854B58">
            <w:pPr>
              <w:pStyle w:val="Body"/>
              <w:spacing w:after="0" w:line="240" w:lineRule="auto"/>
              <w:rPr>
                <w:sz w:val="24"/>
              </w:rPr>
            </w:pPr>
            <w:r>
              <w:t>Unauthorized Enrollments</w:t>
            </w:r>
          </w:p>
        </w:tc>
        <w:tc>
          <w:tcPr>
            <w:tcW w:w="1380" w:type="dxa"/>
            <w:vAlign w:val="center"/>
          </w:tcPr>
          <w:p w:rsidR="00140F35" w:rsidRPr="00AB6605" w:rsidP="00AB6605" w14:paraId="0E2B398B" w14:textId="7C13703D">
            <w:pPr>
              <w:pStyle w:val="Body"/>
              <w:spacing w:after="0" w:line="240" w:lineRule="auto"/>
              <w:rPr>
                <w:sz w:val="24"/>
                <w:szCs w:val="32"/>
              </w:rPr>
            </w:pPr>
            <w:r w:rsidRPr="00E92F86">
              <w:rPr>
                <w:szCs w:val="32"/>
              </w:rPr>
              <w:t>45 CFR 155.400(d)</w:t>
            </w:r>
          </w:p>
        </w:tc>
        <w:tc>
          <w:tcPr>
            <w:tcW w:w="1530" w:type="dxa"/>
            <w:vAlign w:val="center"/>
          </w:tcPr>
          <w:p w:rsidR="00140F35" w:rsidRPr="00AB6605" w:rsidP="00AB6605" w14:paraId="2B4B4E35" w14:textId="3CDF99FE">
            <w:pPr>
              <w:pStyle w:val="Body"/>
              <w:spacing w:after="0" w:line="240" w:lineRule="auto"/>
              <w:rPr>
                <w:sz w:val="24"/>
                <w:szCs w:val="32"/>
              </w:rPr>
            </w:pPr>
            <w:r w:rsidRPr="00E92F86">
              <w:rPr>
                <w:szCs w:val="32"/>
              </w:rPr>
              <w:t>366</w:t>
            </w:r>
          </w:p>
        </w:tc>
        <w:tc>
          <w:tcPr>
            <w:tcW w:w="1438" w:type="dxa"/>
            <w:vAlign w:val="center"/>
          </w:tcPr>
          <w:p w:rsidR="00140F35" w:rsidRPr="00AB6605" w:rsidP="00AB6605" w14:paraId="03041063" w14:textId="6AB3640C">
            <w:pPr>
              <w:pStyle w:val="Body"/>
              <w:spacing w:after="0" w:line="240" w:lineRule="auto"/>
              <w:rPr>
                <w:sz w:val="24"/>
                <w:szCs w:val="32"/>
              </w:rPr>
            </w:pPr>
            <w:r w:rsidRPr="00E92F86">
              <w:rPr>
                <w:szCs w:val="32"/>
              </w:rPr>
              <w:t>228</w:t>
            </w:r>
          </w:p>
        </w:tc>
        <w:tc>
          <w:tcPr>
            <w:tcW w:w="1441" w:type="dxa"/>
            <w:vAlign w:val="center"/>
          </w:tcPr>
          <w:p w:rsidR="00140F35" w:rsidRPr="00AB6605" w:rsidP="00AB6605" w14:paraId="4DF5643B" w14:textId="4F7C7619">
            <w:pPr>
              <w:pStyle w:val="Body"/>
              <w:spacing w:after="0" w:line="240" w:lineRule="auto"/>
              <w:rPr>
                <w:sz w:val="24"/>
                <w:szCs w:val="32"/>
              </w:rPr>
            </w:pPr>
            <w:r w:rsidRPr="00E92F86">
              <w:rPr>
                <w:szCs w:val="32"/>
              </w:rPr>
              <w:t>83,448</w:t>
            </w:r>
          </w:p>
        </w:tc>
        <w:tc>
          <w:tcPr>
            <w:tcW w:w="1440" w:type="dxa"/>
            <w:vAlign w:val="center"/>
          </w:tcPr>
          <w:p w:rsidR="00140F35" w:rsidRPr="00AB6605" w:rsidP="00AB6605" w14:paraId="5A13031A" w14:textId="57F084F9">
            <w:pPr>
              <w:pStyle w:val="Body"/>
              <w:spacing w:after="0" w:line="240" w:lineRule="auto"/>
              <w:rPr>
                <w:sz w:val="24"/>
                <w:szCs w:val="32"/>
              </w:rPr>
            </w:pPr>
            <w:r>
              <w:rPr>
                <w:sz w:val="24"/>
                <w:szCs w:val="32"/>
              </w:rPr>
              <w:t>$82.45</w:t>
            </w:r>
          </w:p>
        </w:tc>
        <w:tc>
          <w:tcPr>
            <w:tcW w:w="1711" w:type="dxa"/>
            <w:vAlign w:val="center"/>
          </w:tcPr>
          <w:p w:rsidR="00140F35" w:rsidRPr="00981921" w:rsidP="00AB6605" w14:paraId="266ADADB" w14:textId="3C2F045D">
            <w:pPr>
              <w:pStyle w:val="Body"/>
              <w:spacing w:after="0" w:line="240" w:lineRule="auto"/>
            </w:pPr>
            <w:r w:rsidRPr="00E92F86">
              <w:rPr>
                <w:szCs w:val="28"/>
              </w:rPr>
              <w:t>$</w:t>
            </w:r>
            <w:r w:rsidRPr="00AB6605">
              <w:rPr>
                <w:szCs w:val="28"/>
              </w:rPr>
              <w:t>6,880,682.88</w:t>
            </w:r>
          </w:p>
        </w:tc>
      </w:tr>
      <w:tr w14:paraId="0E9291B2" w14:textId="77777777" w:rsidTr="00AB6605">
        <w:tblPrEx>
          <w:tblW w:w="10530" w:type="dxa"/>
          <w:tblInd w:w="-185" w:type="dxa"/>
          <w:tblLayout w:type="fixed"/>
          <w:tblLook w:val="04A0"/>
        </w:tblPrEx>
        <w:trPr>
          <w:trHeight w:val="530"/>
        </w:trPr>
        <w:tc>
          <w:tcPr>
            <w:tcW w:w="1590" w:type="dxa"/>
            <w:vAlign w:val="center"/>
          </w:tcPr>
          <w:p w:rsidR="006823B2" w:rsidRPr="004E79EC" w:rsidP="00AB6605" w14:paraId="72B226AD" w14:textId="6E8FEA48">
            <w:pPr>
              <w:pStyle w:val="Body"/>
              <w:spacing w:after="0" w:line="240" w:lineRule="auto"/>
              <w:rPr>
                <w:sz w:val="24"/>
              </w:rPr>
            </w:pPr>
            <w:r w:rsidRPr="09F7C762">
              <w:rPr>
                <w:sz w:val="24"/>
              </w:rPr>
              <w:t>AB Investigations</w:t>
            </w:r>
          </w:p>
        </w:tc>
        <w:tc>
          <w:tcPr>
            <w:tcW w:w="1380" w:type="dxa"/>
            <w:vAlign w:val="center"/>
          </w:tcPr>
          <w:p w:rsidR="006823B2" w:rsidRPr="004E79EC" w:rsidP="00AB6605" w14:paraId="3782AAA4" w14:textId="221BB150">
            <w:pPr>
              <w:pStyle w:val="Body"/>
              <w:spacing w:after="0" w:line="240" w:lineRule="auto"/>
              <w:rPr>
                <w:sz w:val="24"/>
              </w:rPr>
            </w:pPr>
            <w:r w:rsidRPr="09F7C762">
              <w:rPr>
                <w:sz w:val="24"/>
              </w:rPr>
              <w:t>N/A</w:t>
            </w:r>
          </w:p>
        </w:tc>
        <w:tc>
          <w:tcPr>
            <w:tcW w:w="1530" w:type="dxa"/>
            <w:vAlign w:val="center"/>
          </w:tcPr>
          <w:p w:rsidR="006823B2" w:rsidRPr="004E79EC" w:rsidP="00AB6605" w14:paraId="2AD92FB8" w14:textId="77777777">
            <w:pPr>
              <w:pStyle w:val="Body"/>
              <w:spacing w:after="0" w:line="240" w:lineRule="auto"/>
              <w:rPr>
                <w:sz w:val="24"/>
                <w:szCs w:val="28"/>
              </w:rPr>
            </w:pPr>
            <w:r w:rsidRPr="004E79EC">
              <w:rPr>
                <w:sz w:val="24"/>
                <w:szCs w:val="28"/>
              </w:rPr>
              <w:t>366</w:t>
            </w:r>
          </w:p>
        </w:tc>
        <w:tc>
          <w:tcPr>
            <w:tcW w:w="1438" w:type="dxa"/>
            <w:vAlign w:val="center"/>
          </w:tcPr>
          <w:p w:rsidR="006823B2" w:rsidRPr="004E79EC" w:rsidP="00AB6605" w14:paraId="69086D06" w14:textId="1B6E05C8">
            <w:pPr>
              <w:pStyle w:val="Body"/>
              <w:spacing w:after="0" w:line="240" w:lineRule="auto"/>
              <w:rPr>
                <w:sz w:val="24"/>
              </w:rPr>
            </w:pPr>
            <w:r w:rsidRPr="09F7C762">
              <w:rPr>
                <w:sz w:val="24"/>
              </w:rPr>
              <w:t>60</w:t>
            </w:r>
          </w:p>
        </w:tc>
        <w:tc>
          <w:tcPr>
            <w:tcW w:w="1441" w:type="dxa"/>
            <w:vAlign w:val="center"/>
          </w:tcPr>
          <w:p w:rsidR="006823B2" w:rsidRPr="004E79EC" w:rsidP="00AB6605" w14:paraId="034B6E74" w14:textId="66E09A94">
            <w:pPr>
              <w:pStyle w:val="Body"/>
              <w:spacing w:after="0" w:line="240" w:lineRule="auto"/>
              <w:rPr>
                <w:sz w:val="24"/>
                <w:highlight w:val="yellow"/>
              </w:rPr>
            </w:pPr>
            <w:r w:rsidRPr="09F7C762">
              <w:rPr>
                <w:sz w:val="24"/>
              </w:rPr>
              <w:t>2</w:t>
            </w:r>
            <w:r w:rsidRPr="09F7C762" w:rsidR="09F7C762">
              <w:rPr>
                <w:sz w:val="24"/>
              </w:rPr>
              <w:t>1,960</w:t>
            </w:r>
          </w:p>
        </w:tc>
        <w:tc>
          <w:tcPr>
            <w:tcW w:w="1440" w:type="dxa"/>
            <w:vAlign w:val="center"/>
          </w:tcPr>
          <w:p w:rsidR="006823B2" w:rsidRPr="004E79EC" w:rsidP="00AB6605" w14:paraId="7FD9017F" w14:textId="51970033">
            <w:pPr>
              <w:pStyle w:val="Body"/>
              <w:spacing w:after="0" w:line="240" w:lineRule="auto"/>
              <w:rPr>
                <w:sz w:val="24"/>
              </w:rPr>
            </w:pPr>
            <w:r w:rsidRPr="2E48C493">
              <w:rPr>
                <w:sz w:val="24"/>
              </w:rPr>
              <w:t>$</w:t>
            </w:r>
            <w:r w:rsidRPr="09F7C762" w:rsidR="09F7C762">
              <w:rPr>
                <w:sz w:val="24"/>
              </w:rPr>
              <w:t>78.56</w:t>
            </w:r>
          </w:p>
        </w:tc>
        <w:tc>
          <w:tcPr>
            <w:tcW w:w="1711" w:type="dxa"/>
            <w:vAlign w:val="center"/>
          </w:tcPr>
          <w:p w:rsidR="006823B2" w:rsidRPr="00EE53D6" w:rsidP="00AB6605" w14:paraId="431B6F88" w14:textId="057F5CF5">
            <w:pPr>
              <w:pStyle w:val="Body"/>
              <w:spacing w:after="0" w:line="240" w:lineRule="auto"/>
              <w:rPr>
                <w:sz w:val="24"/>
              </w:rPr>
            </w:pPr>
            <w:r w:rsidRPr="00EE53D6">
              <w:rPr>
                <w:sz w:val="24"/>
              </w:rPr>
              <w:t>$</w:t>
            </w:r>
            <w:r w:rsidRPr="09F7C762" w:rsidR="09F7C762">
              <w:rPr>
                <w:sz w:val="24"/>
              </w:rPr>
              <w:t>1,725,265.44</w:t>
            </w:r>
          </w:p>
        </w:tc>
      </w:tr>
      <w:tr w14:paraId="35D3ACBF" w14:textId="77777777" w:rsidTr="00AB6605">
        <w:tblPrEx>
          <w:tblW w:w="10530" w:type="dxa"/>
          <w:tblInd w:w="-185" w:type="dxa"/>
          <w:tblLayout w:type="fixed"/>
          <w:tblLook w:val="04A0"/>
        </w:tblPrEx>
        <w:trPr>
          <w:trHeight w:val="1079"/>
        </w:trPr>
        <w:tc>
          <w:tcPr>
            <w:tcW w:w="1590" w:type="dxa"/>
            <w:vAlign w:val="center"/>
          </w:tcPr>
          <w:p w:rsidR="006823B2" w:rsidRPr="004E79EC" w:rsidP="00AB6605" w14:paraId="27EC129D" w14:textId="77777777">
            <w:pPr>
              <w:pStyle w:val="Body"/>
              <w:spacing w:after="0" w:line="240" w:lineRule="auto"/>
              <w:rPr>
                <w:b/>
                <w:sz w:val="24"/>
                <w:szCs w:val="28"/>
              </w:rPr>
            </w:pPr>
            <w:r w:rsidRPr="004E79EC">
              <w:rPr>
                <w:b/>
                <w:sz w:val="24"/>
                <w:szCs w:val="28"/>
              </w:rPr>
              <w:t>Total Cumulative Hours and Costs of Collections</w:t>
            </w:r>
          </w:p>
        </w:tc>
        <w:tc>
          <w:tcPr>
            <w:tcW w:w="1380" w:type="dxa"/>
            <w:vAlign w:val="center"/>
          </w:tcPr>
          <w:p w:rsidR="006823B2" w:rsidRPr="004E79EC" w:rsidP="00AB6605" w14:paraId="2692C650" w14:textId="2C41CBF6">
            <w:pPr>
              <w:pStyle w:val="Body"/>
              <w:spacing w:after="0" w:line="240" w:lineRule="auto"/>
              <w:rPr>
                <w:b/>
                <w:sz w:val="24"/>
                <w:szCs w:val="28"/>
              </w:rPr>
            </w:pPr>
          </w:p>
        </w:tc>
        <w:tc>
          <w:tcPr>
            <w:tcW w:w="1530" w:type="dxa"/>
            <w:vAlign w:val="center"/>
          </w:tcPr>
          <w:p w:rsidR="006823B2" w:rsidRPr="004E79EC" w:rsidP="00AB6605" w14:paraId="67CEA428" w14:textId="1587AC1B">
            <w:pPr>
              <w:pStyle w:val="Body"/>
              <w:spacing w:after="0" w:line="240" w:lineRule="auto"/>
              <w:rPr>
                <w:b/>
                <w:sz w:val="24"/>
                <w:szCs w:val="28"/>
              </w:rPr>
            </w:pPr>
          </w:p>
        </w:tc>
        <w:tc>
          <w:tcPr>
            <w:tcW w:w="1438" w:type="dxa"/>
            <w:vAlign w:val="center"/>
          </w:tcPr>
          <w:p w:rsidR="006823B2" w:rsidRPr="004E79EC" w:rsidP="00AB6605" w14:paraId="7D7C7C1A" w14:textId="021DC57A">
            <w:pPr>
              <w:pStyle w:val="Body"/>
              <w:spacing w:after="0" w:line="240" w:lineRule="auto"/>
              <w:rPr>
                <w:b/>
                <w:sz w:val="24"/>
              </w:rPr>
            </w:pPr>
            <w:r w:rsidRPr="1876E216">
              <w:rPr>
                <w:b/>
                <w:bCs/>
                <w:sz w:val="24"/>
              </w:rPr>
              <w:t>319</w:t>
            </w:r>
          </w:p>
        </w:tc>
        <w:tc>
          <w:tcPr>
            <w:tcW w:w="1441" w:type="dxa"/>
            <w:vAlign w:val="center"/>
          </w:tcPr>
          <w:p w:rsidR="006823B2" w:rsidRPr="004E79EC" w:rsidP="00AB6605" w14:paraId="2BB1EF07" w14:textId="4B2D7BB6">
            <w:pPr>
              <w:pStyle w:val="Body"/>
              <w:spacing w:after="0" w:line="240" w:lineRule="auto"/>
              <w:rPr>
                <w:b/>
                <w:sz w:val="24"/>
              </w:rPr>
            </w:pPr>
            <w:r w:rsidRPr="1876E216">
              <w:rPr>
                <w:b/>
                <w:bCs/>
                <w:sz w:val="24"/>
              </w:rPr>
              <w:t>124,789</w:t>
            </w:r>
          </w:p>
        </w:tc>
        <w:tc>
          <w:tcPr>
            <w:tcW w:w="1440" w:type="dxa"/>
            <w:vAlign w:val="center"/>
          </w:tcPr>
          <w:p w:rsidR="006823B2" w:rsidRPr="004E79EC" w:rsidP="00AB6605" w14:paraId="642BA380" w14:textId="5228AB18">
            <w:pPr>
              <w:pStyle w:val="Body"/>
              <w:spacing w:after="0" w:line="240" w:lineRule="auto"/>
              <w:rPr>
                <w:b/>
                <w:sz w:val="24"/>
              </w:rPr>
            </w:pPr>
          </w:p>
        </w:tc>
        <w:tc>
          <w:tcPr>
            <w:tcW w:w="1711" w:type="dxa"/>
            <w:vAlign w:val="center"/>
          </w:tcPr>
          <w:p w:rsidR="006823B2" w:rsidRPr="004E79EC" w:rsidP="00AB6605" w14:paraId="792C5C09" w14:textId="4F087CFA">
            <w:pPr>
              <w:pStyle w:val="Body"/>
              <w:spacing w:after="0" w:line="240" w:lineRule="auto"/>
              <w:rPr>
                <w:b/>
                <w:bCs/>
                <w:sz w:val="24"/>
              </w:rPr>
            </w:pPr>
            <w:r w:rsidRPr="2E48C493">
              <w:rPr>
                <w:b/>
                <w:bCs/>
                <w:sz w:val="24"/>
              </w:rPr>
              <w:t>$</w:t>
            </w:r>
            <w:r w:rsidRPr="4C5D2B3D" w:rsidR="4C5D2B3D">
              <w:rPr>
                <w:b/>
                <w:bCs/>
                <w:sz w:val="24"/>
              </w:rPr>
              <w:t>9,942,954.06</w:t>
            </w:r>
          </w:p>
        </w:tc>
      </w:tr>
    </w:tbl>
    <w:p w:rsidR="006823B2" w:rsidP="00C64CE1" w14:paraId="0F402983" w14:textId="77777777">
      <w:pPr>
        <w:pStyle w:val="BodyText"/>
        <w:rPr>
          <w:b/>
          <w:bCs/>
        </w:rPr>
      </w:pPr>
    </w:p>
    <w:p w:rsidR="171EC9B2" w:rsidP="171EC9B2" w14:paraId="5B1B6620" w14:textId="5EF21D62">
      <w:pPr>
        <w:rPr>
          <w:rFonts w:eastAsia="Times New Roman"/>
        </w:rPr>
      </w:pPr>
      <w:r w:rsidRPr="171EC9B2">
        <w:rPr>
          <w:rFonts w:eastAsia="Times New Roman"/>
        </w:rPr>
        <w:t>We note that 68,856 hours (representing a total cost of $5,886,535) of the above burden is already accounted for in the currently approved PRA package with OMB control number 0938-1341; therefore, this table is an overestimate of the new burden associated with this information collection.</w:t>
      </w:r>
    </w:p>
    <w:p w:rsidR="47826249" w:rsidP="47826249" w14:paraId="3D149612" w14:textId="77777777">
      <w:pPr>
        <w:pStyle w:val="BodyText"/>
        <w:rPr>
          <w:b/>
          <w:bCs/>
        </w:rPr>
      </w:pPr>
    </w:p>
    <w:p w:rsidR="47826249" w:rsidRPr="009A3F1F" w:rsidP="00AB6605" w14:paraId="7F060725" w14:textId="034C7ABA">
      <w:pPr>
        <w:pStyle w:val="ListParagraph"/>
        <w:keepNext/>
        <w:widowControl w:val="0"/>
        <w:numPr>
          <w:ilvl w:val="0"/>
          <w:numId w:val="5"/>
        </w:numPr>
        <w:tabs>
          <w:tab w:val="left" w:pos="552"/>
        </w:tabs>
        <w:ind w:right="58"/>
        <w:contextualSpacing w:val="0"/>
        <w:rPr>
          <w:rFonts w:eastAsia="Times New Roman"/>
          <w:u w:val="single"/>
        </w:rPr>
      </w:pPr>
      <w:r w:rsidRPr="009A3F1F">
        <w:rPr>
          <w:rFonts w:eastAsia="Times New Roman"/>
          <w:u w:val="single"/>
        </w:rPr>
        <w:t xml:space="preserve">Capital Costs </w:t>
      </w:r>
    </w:p>
    <w:p w:rsidR="47826249" w:rsidP="47826249" w14:paraId="7CF4D3EF" w14:textId="77777777">
      <w:pPr>
        <w:pStyle w:val="BodyText"/>
      </w:pPr>
    </w:p>
    <w:p w:rsidR="00F3626A" w:rsidP="47826249" w14:paraId="60651B6E" w14:textId="1DCBE7F4">
      <w:pPr>
        <w:pStyle w:val="BodyText"/>
      </w:pPr>
      <w:r>
        <w:t xml:space="preserve">Assuming an average call duration of 20 minutes, the average compressed audio file size of each call should be about 20 megabytes. Using the latest enrollment data, we estimate that there will be about 10 million enrollments facilitated by </w:t>
      </w:r>
      <w:r>
        <w:t>ABs.</w:t>
      </w:r>
      <w:r>
        <w:t xml:space="preserve"> Assuming one call per enrollee, the total file size for these recordings would be 200 terabytes </w:t>
      </w:r>
      <w:r w:rsidR="00865FD9">
        <w:t xml:space="preserve">(TB) </w:t>
      </w:r>
      <w:r w:rsidR="00C92205">
        <w:t>per</w:t>
      </w:r>
      <w:r>
        <w:t xml:space="preserve"> year across all agents and brokers. </w:t>
      </w:r>
      <w:r>
        <w:t xml:space="preserve">Using pricing estimates of $0.023 per </w:t>
      </w:r>
      <w:r w:rsidR="00802AA4">
        <w:t>gigabyte (</w:t>
      </w:r>
      <w:r>
        <w:t>GB</w:t>
      </w:r>
      <w:r w:rsidR="00802AA4">
        <w:t>)</w:t>
      </w:r>
      <w:r>
        <w:t xml:space="preserve"> for the first 50 TB, $0.022 per GB for the next 450 TB, and $0.021 per GB beyond that (Amazon Web Services, Amazon S3 pricing, </w:t>
      </w:r>
      <w:hyperlink r:id="rId7" w:history="1">
        <w:r w:rsidRPr="29B23808">
          <w:rPr>
            <w:rStyle w:val="Hyperlink"/>
          </w:rPr>
          <w:t>https://aws.amazon.com/​s3/​pricing/​</w:t>
        </w:r>
      </w:hyperlink>
      <w:r>
        <w:t xml:space="preserve"> (last accessed May 5, 2026))</w:t>
      </w:r>
      <w:r w:rsidR="00DC3EC6">
        <w:t>,</w:t>
      </w:r>
      <w:r>
        <w:t xml:space="preserve"> we estimate that total cloud storage costs are $4,450 across all ABs per year or </w:t>
      </w:r>
      <w:r w:rsidR="063A7248">
        <w:t>$0.</w:t>
      </w:r>
      <w:r>
        <w:t>05 per AB.</w:t>
      </w:r>
    </w:p>
    <w:p w:rsidR="47826249" w:rsidP="47826249" w14:paraId="1ED6066B" w14:textId="77777777">
      <w:pPr>
        <w:pStyle w:val="BodyText"/>
      </w:pPr>
    </w:p>
    <w:p w:rsidR="47826249" w:rsidRPr="009A3F1F" w:rsidP="47826249" w14:paraId="4D5534AB" w14:textId="5E14203F">
      <w:pPr>
        <w:pStyle w:val="ListParagraph"/>
        <w:widowControl w:val="0"/>
        <w:numPr>
          <w:ilvl w:val="0"/>
          <w:numId w:val="5"/>
        </w:numPr>
        <w:tabs>
          <w:tab w:val="left" w:pos="552"/>
        </w:tabs>
        <w:ind w:right="60"/>
        <w:contextualSpacing w:val="0"/>
        <w:rPr>
          <w:rFonts w:eastAsia="Times New Roman"/>
          <w:u w:val="single"/>
        </w:rPr>
      </w:pPr>
      <w:r w:rsidRPr="009A3F1F">
        <w:rPr>
          <w:rFonts w:eastAsia="Times New Roman"/>
          <w:u w:val="single"/>
        </w:rPr>
        <w:t xml:space="preserve">Cost to Federal Government </w:t>
      </w:r>
    </w:p>
    <w:p w:rsidR="47826249" w:rsidP="47826249" w14:paraId="07D3D58A" w14:textId="77777777">
      <w:pPr>
        <w:pStyle w:val="BodyText"/>
      </w:pPr>
    </w:p>
    <w:p w:rsidR="47826249" w:rsidP="47826249" w14:paraId="6D876744" w14:textId="35B81492">
      <w:pPr>
        <w:pStyle w:val="BodyText"/>
      </w:pPr>
      <w:r>
        <w:t xml:space="preserve">We estimate that the operations and maintenance costs for the data collection support to have a total cost to the federal government of $72,637.96 per year. The calculations for CMS employees’ hourly salaries were obtained from the OPM website: </w:t>
      </w:r>
      <w:hyperlink r:id="rId8">
        <w:r w:rsidRPr="2E48C493">
          <w:rPr>
            <w:rStyle w:val="Hyperlink"/>
          </w:rPr>
          <w:t>https://www.opm.gov/policy-data-oversight/pay-leave/salaries-wages/salary-tables/26Tables/html/DCB_h.aspx</w:t>
        </w:r>
      </w:hyperlink>
      <w:r>
        <w:t xml:space="preserve">. </w:t>
      </w:r>
    </w:p>
    <w:p w:rsidR="47826249" w:rsidP="47826249" w14:paraId="3E77730B" w14:textId="328E363C">
      <w:pPr>
        <w:pStyle w:val="Heading1"/>
        <w:spacing w:after="120"/>
        <w:rPr>
          <w:rFonts w:ascii="Times New Roman" w:eastAsia="Times New Roman" w:hAnsi="Times New Roman" w:cs="Times New Roman"/>
          <w:b/>
          <w:bCs/>
          <w:color w:val="auto"/>
          <w:sz w:val="24"/>
          <w:szCs w:val="24"/>
        </w:rPr>
      </w:pPr>
      <w:r w:rsidRPr="47826249">
        <w:rPr>
          <w:rFonts w:ascii="Times New Roman" w:eastAsia="Times New Roman" w:hAnsi="Times New Roman" w:cs="Times New Roman"/>
          <w:b/>
          <w:bCs/>
          <w:color w:val="auto"/>
          <w:sz w:val="24"/>
          <w:szCs w:val="24"/>
        </w:rPr>
        <w:t xml:space="preserve">Table </w:t>
      </w:r>
      <w:r w:rsidR="00F3626A">
        <w:rPr>
          <w:rFonts w:ascii="Times New Roman" w:eastAsia="Times New Roman" w:hAnsi="Times New Roman" w:cs="Times New Roman"/>
          <w:b/>
          <w:bCs/>
          <w:color w:val="auto"/>
          <w:sz w:val="24"/>
          <w:szCs w:val="24"/>
        </w:rPr>
        <w:t>7</w:t>
      </w:r>
      <w:r w:rsidRPr="47826249">
        <w:rPr>
          <w:rFonts w:ascii="Times New Roman" w:eastAsia="Times New Roman" w:hAnsi="Times New Roman" w:cs="Times New Roman"/>
          <w:b/>
          <w:bCs/>
          <w:color w:val="auto"/>
          <w:sz w:val="24"/>
          <w:szCs w:val="24"/>
        </w:rPr>
        <w:t>. Administrative Burden Costs for the Federal Government Associated with the Collection</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tblPr>
      <w:tblGrid>
        <w:gridCol w:w="4787"/>
        <w:gridCol w:w="2948"/>
      </w:tblGrid>
      <w:tr w14:paraId="68AB5C7A" w14:textId="77777777" w:rsidTr="47826249">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tblPrEx>
        <w:trPr>
          <w:trHeight w:val="274"/>
        </w:trPr>
        <w:tc>
          <w:tcPr>
            <w:tcW w:w="4787" w:type="dxa"/>
          </w:tcPr>
          <w:p w:rsidR="47826249" w:rsidP="47826249" w14:paraId="7FFE5632" w14:textId="77777777">
            <w:pPr>
              <w:pStyle w:val="TableParagraph"/>
              <w:ind w:left="40" w:right="60"/>
              <w:rPr>
                <w:b/>
                <w:bCs/>
                <w:sz w:val="24"/>
                <w:szCs w:val="24"/>
              </w:rPr>
            </w:pPr>
            <w:r w:rsidRPr="47826249">
              <w:rPr>
                <w:b/>
                <w:bCs/>
                <w:sz w:val="24"/>
                <w:szCs w:val="24"/>
              </w:rPr>
              <w:t>Task</w:t>
            </w:r>
          </w:p>
        </w:tc>
        <w:tc>
          <w:tcPr>
            <w:tcW w:w="2948" w:type="dxa"/>
          </w:tcPr>
          <w:p w:rsidR="47826249" w:rsidP="47826249" w14:paraId="2BCA2DD6" w14:textId="77777777">
            <w:pPr>
              <w:pStyle w:val="TableParagraph"/>
              <w:ind w:left="20" w:right="60"/>
              <w:rPr>
                <w:b/>
                <w:bCs/>
                <w:sz w:val="24"/>
                <w:szCs w:val="24"/>
              </w:rPr>
            </w:pPr>
            <w:r w:rsidRPr="47826249">
              <w:rPr>
                <w:b/>
                <w:bCs/>
                <w:sz w:val="24"/>
                <w:szCs w:val="24"/>
              </w:rPr>
              <w:t>Estimated Cost</w:t>
            </w:r>
          </w:p>
        </w:tc>
      </w:tr>
      <w:tr w14:paraId="13A50F9D" w14:textId="77777777" w:rsidTr="47826249">
        <w:tblPrEx>
          <w:tblW w:w="0" w:type="auto"/>
          <w:tblLook w:val="01E0"/>
        </w:tblPrEx>
        <w:trPr>
          <w:trHeight w:val="349"/>
        </w:trPr>
        <w:tc>
          <w:tcPr>
            <w:tcW w:w="7735" w:type="dxa"/>
            <w:gridSpan w:val="2"/>
          </w:tcPr>
          <w:p w:rsidR="47826249" w:rsidP="47826249" w14:paraId="2CB0B712" w14:textId="77777777">
            <w:pPr>
              <w:pStyle w:val="TableParagraph"/>
              <w:ind w:left="40" w:right="60"/>
              <w:rPr>
                <w:sz w:val="24"/>
                <w:szCs w:val="24"/>
              </w:rPr>
            </w:pPr>
            <w:r w:rsidRPr="47826249">
              <w:rPr>
                <w:sz w:val="24"/>
                <w:szCs w:val="24"/>
              </w:rPr>
              <w:t>Operations, maintenance, and data collection support</w:t>
            </w:r>
          </w:p>
        </w:tc>
      </w:tr>
      <w:tr w14:paraId="2F9FEF45" w14:textId="77777777" w:rsidTr="47826249">
        <w:tblPrEx>
          <w:tblW w:w="0" w:type="auto"/>
          <w:tblLook w:val="01E0"/>
        </w:tblPrEx>
        <w:trPr>
          <w:trHeight w:val="340"/>
        </w:trPr>
        <w:tc>
          <w:tcPr>
            <w:tcW w:w="4787" w:type="dxa"/>
          </w:tcPr>
          <w:p w:rsidR="47826249" w:rsidP="47826249" w14:paraId="1085AD6C" w14:textId="77777777">
            <w:pPr>
              <w:pStyle w:val="TableParagraph"/>
              <w:ind w:left="40" w:right="60"/>
              <w:rPr>
                <w:sz w:val="24"/>
                <w:szCs w:val="24"/>
              </w:rPr>
            </w:pPr>
            <w:r w:rsidRPr="47826249">
              <w:rPr>
                <w:sz w:val="24"/>
                <w:szCs w:val="24"/>
              </w:rPr>
              <w:t>1 GS-11 (step 7): $98.26</w:t>
            </w:r>
            <w:r w:rsidRPr="47826249">
              <w:rPr>
                <w:sz w:val="24"/>
                <w:szCs w:val="24"/>
                <w:vertAlign w:val="superscript"/>
              </w:rPr>
              <w:t>1</w:t>
            </w:r>
            <w:r w:rsidRPr="47826249">
              <w:rPr>
                <w:sz w:val="24"/>
                <w:szCs w:val="24"/>
              </w:rPr>
              <w:t xml:space="preserve"> x 620 hours</w:t>
            </w:r>
          </w:p>
        </w:tc>
        <w:tc>
          <w:tcPr>
            <w:tcW w:w="2948" w:type="dxa"/>
          </w:tcPr>
          <w:p w:rsidR="47826249" w:rsidP="47826249" w14:paraId="091779DA" w14:textId="77777777">
            <w:pPr>
              <w:pStyle w:val="TableParagraph"/>
              <w:ind w:left="20" w:right="60"/>
              <w:rPr>
                <w:sz w:val="24"/>
                <w:szCs w:val="24"/>
              </w:rPr>
            </w:pPr>
            <w:r w:rsidRPr="47826249">
              <w:rPr>
                <w:sz w:val="24"/>
                <w:szCs w:val="24"/>
              </w:rPr>
              <w:t>$60,921.20</w:t>
            </w:r>
          </w:p>
        </w:tc>
      </w:tr>
      <w:tr w14:paraId="2B4BBE92" w14:textId="77777777" w:rsidTr="47826249">
        <w:tblPrEx>
          <w:tblW w:w="0" w:type="auto"/>
          <w:tblLook w:val="01E0"/>
        </w:tblPrEx>
        <w:trPr>
          <w:trHeight w:val="358"/>
        </w:trPr>
        <w:tc>
          <w:tcPr>
            <w:tcW w:w="7735" w:type="dxa"/>
            <w:gridSpan w:val="2"/>
          </w:tcPr>
          <w:p w:rsidR="47826249" w:rsidP="47826249" w14:paraId="22237680" w14:textId="77777777">
            <w:pPr>
              <w:pStyle w:val="TableParagraph"/>
              <w:ind w:left="40" w:right="60"/>
              <w:rPr>
                <w:sz w:val="24"/>
                <w:szCs w:val="24"/>
              </w:rPr>
            </w:pPr>
            <w:r w:rsidRPr="47826249">
              <w:rPr>
                <w:sz w:val="24"/>
                <w:szCs w:val="24"/>
              </w:rPr>
              <w:t>Managerial review and oversight</w:t>
            </w:r>
          </w:p>
        </w:tc>
      </w:tr>
      <w:tr w14:paraId="4ECC9A2C" w14:textId="77777777" w:rsidTr="47826249">
        <w:tblPrEx>
          <w:tblW w:w="0" w:type="auto"/>
          <w:tblLook w:val="01E0"/>
        </w:tblPrEx>
        <w:trPr>
          <w:trHeight w:val="286"/>
        </w:trPr>
        <w:tc>
          <w:tcPr>
            <w:tcW w:w="4787" w:type="dxa"/>
          </w:tcPr>
          <w:p w:rsidR="47826249" w:rsidP="47826249" w14:paraId="62088408" w14:textId="77777777">
            <w:pPr>
              <w:pStyle w:val="TableParagraph"/>
              <w:ind w:left="40" w:right="60"/>
              <w:rPr>
                <w:sz w:val="24"/>
                <w:szCs w:val="24"/>
              </w:rPr>
            </w:pPr>
            <w:r w:rsidRPr="47826249">
              <w:rPr>
                <w:sz w:val="24"/>
                <w:szCs w:val="24"/>
              </w:rPr>
              <w:t>1 GS-15 (step 7): $188.98</w:t>
            </w:r>
            <w:r w:rsidRPr="47826249">
              <w:rPr>
                <w:sz w:val="24"/>
                <w:szCs w:val="24"/>
                <w:vertAlign w:val="superscript"/>
              </w:rPr>
              <w:t>2</w:t>
            </w:r>
            <w:r w:rsidRPr="47826249">
              <w:rPr>
                <w:sz w:val="24"/>
                <w:szCs w:val="24"/>
              </w:rPr>
              <w:t xml:space="preserve"> x 62 hours</w:t>
            </w:r>
          </w:p>
        </w:tc>
        <w:tc>
          <w:tcPr>
            <w:tcW w:w="2948" w:type="dxa"/>
          </w:tcPr>
          <w:p w:rsidR="47826249" w:rsidP="47826249" w14:paraId="01F3FFA1" w14:textId="77777777">
            <w:pPr>
              <w:pStyle w:val="TableParagraph"/>
              <w:ind w:left="20" w:right="60"/>
              <w:rPr>
                <w:sz w:val="24"/>
                <w:szCs w:val="24"/>
              </w:rPr>
            </w:pPr>
            <w:r w:rsidRPr="47826249">
              <w:rPr>
                <w:sz w:val="24"/>
                <w:szCs w:val="24"/>
              </w:rPr>
              <w:t>$11,716.76</w:t>
            </w:r>
          </w:p>
        </w:tc>
      </w:tr>
      <w:tr w14:paraId="741C2346" w14:textId="77777777" w:rsidTr="47826249">
        <w:tblPrEx>
          <w:tblW w:w="0" w:type="auto"/>
          <w:tblLook w:val="01E0"/>
        </w:tblPrEx>
        <w:trPr>
          <w:trHeight w:val="289"/>
        </w:trPr>
        <w:tc>
          <w:tcPr>
            <w:tcW w:w="4787" w:type="dxa"/>
          </w:tcPr>
          <w:p w:rsidR="47826249" w:rsidP="47826249" w14:paraId="372EEE36" w14:textId="77777777">
            <w:pPr>
              <w:pStyle w:val="TableParagraph"/>
              <w:ind w:left="40" w:right="60"/>
              <w:rPr>
                <w:b/>
                <w:bCs/>
                <w:sz w:val="24"/>
                <w:szCs w:val="24"/>
              </w:rPr>
            </w:pPr>
            <w:r w:rsidRPr="47826249">
              <w:rPr>
                <w:b/>
                <w:bCs/>
                <w:sz w:val="24"/>
                <w:szCs w:val="24"/>
              </w:rPr>
              <w:t>Total Costs to Government</w:t>
            </w:r>
          </w:p>
        </w:tc>
        <w:tc>
          <w:tcPr>
            <w:tcW w:w="2948" w:type="dxa"/>
          </w:tcPr>
          <w:p w:rsidR="47826249" w:rsidP="47826249" w14:paraId="38434EBB" w14:textId="77777777">
            <w:pPr>
              <w:pStyle w:val="TableParagraph"/>
              <w:ind w:left="20" w:right="60"/>
              <w:rPr>
                <w:b/>
                <w:bCs/>
                <w:sz w:val="24"/>
                <w:szCs w:val="24"/>
              </w:rPr>
            </w:pPr>
            <w:r w:rsidRPr="47826249">
              <w:rPr>
                <w:b/>
                <w:bCs/>
                <w:sz w:val="24"/>
                <w:szCs w:val="24"/>
              </w:rPr>
              <w:t>$72,637.96</w:t>
            </w:r>
          </w:p>
        </w:tc>
      </w:tr>
    </w:tbl>
    <w:p w:rsidR="47826249" w:rsidP="47826249" w14:paraId="09C57E0D" w14:textId="77777777">
      <w:pPr>
        <w:pStyle w:val="ListParagraph"/>
        <w:tabs>
          <w:tab w:val="left" w:pos="289"/>
        </w:tabs>
        <w:ind w:left="0" w:right="60"/>
        <w:rPr>
          <w:rFonts w:eastAsia="Times New Roman"/>
          <w:sz w:val="20"/>
          <w:szCs w:val="20"/>
        </w:rPr>
      </w:pPr>
      <w:r w:rsidRPr="47826249">
        <w:rPr>
          <w:rFonts w:eastAsia="Times New Roman"/>
          <w:sz w:val="20"/>
          <w:szCs w:val="20"/>
          <w:vertAlign w:val="superscript"/>
        </w:rPr>
        <w:t>1</w:t>
      </w:r>
      <w:r w:rsidRPr="47826249">
        <w:rPr>
          <w:rFonts w:eastAsia="Times New Roman"/>
          <w:sz w:val="20"/>
          <w:szCs w:val="20"/>
        </w:rPr>
        <w:t xml:space="preserve"> Hourly basic rate $49.13 + 100% fringe benefit rate.</w:t>
      </w:r>
    </w:p>
    <w:p w:rsidR="47826249" w:rsidP="47826249" w14:paraId="5312191F" w14:textId="77777777">
      <w:pPr>
        <w:pStyle w:val="ListParagraph"/>
        <w:tabs>
          <w:tab w:val="left" w:pos="289"/>
        </w:tabs>
        <w:ind w:left="0" w:right="60"/>
        <w:rPr>
          <w:rFonts w:eastAsia="Times New Roman"/>
          <w:sz w:val="20"/>
          <w:szCs w:val="20"/>
        </w:rPr>
      </w:pPr>
      <w:r w:rsidRPr="47826249">
        <w:rPr>
          <w:rFonts w:eastAsia="Times New Roman"/>
          <w:sz w:val="20"/>
          <w:szCs w:val="20"/>
          <w:vertAlign w:val="superscript"/>
        </w:rPr>
        <w:t>2</w:t>
      </w:r>
      <w:r w:rsidRPr="47826249">
        <w:rPr>
          <w:rFonts w:eastAsia="Times New Roman"/>
          <w:sz w:val="20"/>
          <w:szCs w:val="20"/>
        </w:rPr>
        <w:t xml:space="preserve"> Hourly basic rate $94.49 + 100% fringe benefit rate.</w:t>
      </w:r>
    </w:p>
    <w:p w:rsidR="47826249" w:rsidP="47826249" w14:paraId="28C47010" w14:textId="77777777">
      <w:pPr>
        <w:pStyle w:val="BodyText"/>
        <w:ind w:right="60"/>
        <w:rPr>
          <w:b/>
          <w:bCs/>
        </w:rPr>
      </w:pPr>
    </w:p>
    <w:p w:rsidR="47826249" w:rsidRPr="009A3F1F" w:rsidP="00932B9A" w14:paraId="3C76F20C" w14:textId="202456EA">
      <w:pPr>
        <w:pStyle w:val="ListParagraph"/>
        <w:keepNext/>
        <w:widowControl w:val="0"/>
        <w:numPr>
          <w:ilvl w:val="0"/>
          <w:numId w:val="5"/>
        </w:numPr>
        <w:tabs>
          <w:tab w:val="left" w:pos="552"/>
        </w:tabs>
        <w:ind w:right="60"/>
        <w:contextualSpacing w:val="0"/>
        <w:rPr>
          <w:rFonts w:eastAsia="Times New Roman"/>
          <w:u w:val="single"/>
        </w:rPr>
      </w:pPr>
      <w:r w:rsidRPr="009A3F1F">
        <w:rPr>
          <w:rFonts w:eastAsia="Times New Roman"/>
          <w:u w:val="single"/>
        </w:rPr>
        <w:t xml:space="preserve">Changes to Burden </w:t>
      </w:r>
    </w:p>
    <w:p w:rsidR="47826249" w:rsidP="00932B9A" w14:paraId="1FF45A89" w14:textId="77777777">
      <w:pPr>
        <w:pStyle w:val="BodyText"/>
        <w:keepNext/>
      </w:pPr>
    </w:p>
    <w:p w:rsidR="47826249" w:rsidP="47826249" w14:paraId="4490646B" w14:textId="77777777">
      <w:pPr>
        <w:pStyle w:val="BodyText"/>
      </w:pPr>
      <w:r w:rsidRPr="47826249">
        <w:t>This is a new collection of information.</w:t>
      </w:r>
    </w:p>
    <w:p w:rsidR="47826249" w:rsidP="47826249" w14:paraId="7B1C0273" w14:textId="77777777">
      <w:pPr>
        <w:pStyle w:val="BodyText"/>
      </w:pPr>
    </w:p>
    <w:p w:rsidR="47826249" w:rsidRPr="009A3F1F" w:rsidP="47826249" w14:paraId="6BD658FF" w14:textId="6D9B574A">
      <w:pPr>
        <w:pStyle w:val="ListParagraph"/>
        <w:widowControl w:val="0"/>
        <w:numPr>
          <w:ilvl w:val="0"/>
          <w:numId w:val="5"/>
        </w:numPr>
        <w:tabs>
          <w:tab w:val="left" w:pos="552"/>
        </w:tabs>
        <w:ind w:right="60"/>
        <w:contextualSpacing w:val="0"/>
        <w:rPr>
          <w:rFonts w:eastAsia="Times New Roman"/>
          <w:u w:val="single"/>
        </w:rPr>
      </w:pPr>
      <w:r w:rsidRPr="009A3F1F">
        <w:rPr>
          <w:rFonts w:eastAsia="Times New Roman"/>
          <w:u w:val="single"/>
        </w:rPr>
        <w:t xml:space="preserve">Publication/Tabulation </w:t>
      </w:r>
    </w:p>
    <w:p w:rsidR="47826249" w:rsidP="47826249" w14:paraId="61B02E8A" w14:textId="77777777">
      <w:pPr>
        <w:pStyle w:val="BodyText"/>
      </w:pPr>
    </w:p>
    <w:p w:rsidR="47826249" w:rsidP="47826249" w14:paraId="499EEECB" w14:textId="5ECF5A73">
      <w:pPr>
        <w:pStyle w:val="BodyText"/>
      </w:pPr>
      <w:r w:rsidRPr="47826249">
        <w:t xml:space="preserve">A </w:t>
      </w:r>
      <w:r w:rsidR="00BA3639">
        <w:t>vast majority</w:t>
      </w:r>
      <w:r w:rsidRPr="47826249">
        <w:t xml:space="preserve"> of the consumer consent and eligibility application documentation we collect contains sensitive consumer PII, as well as business operations and trade information for the agencies collecting the data. The reason the data is not made public is to help mitigate the possibility of releasing consumer PII or confidential business information about the </w:t>
      </w:r>
      <w:r w:rsidR="00D670B1">
        <w:t>ABs</w:t>
      </w:r>
      <w:r w:rsidRPr="47826249">
        <w:t xml:space="preserve"> or agencies. Additionally, issuer</w:t>
      </w:r>
      <w:r w:rsidR="50CFB6E7">
        <w:t>-</w:t>
      </w:r>
      <w:r w:rsidRPr="47826249">
        <w:t xml:space="preserve">identified data is not made public because a large portion of the issuer compliance reviews deal with the business operations and trade (commercial/financial) information for these issuers. Making this information public </w:t>
      </w:r>
      <w:r w:rsidR="00D670B1">
        <w:t>could</w:t>
      </w:r>
      <w:r w:rsidRPr="47826249">
        <w:t xml:space="preserve"> potentially release confidential business information about the issuers.</w:t>
      </w:r>
    </w:p>
    <w:p w:rsidR="47826249" w:rsidP="47826249" w14:paraId="0E8A7C04" w14:textId="77777777">
      <w:pPr>
        <w:pStyle w:val="BodyText"/>
      </w:pPr>
    </w:p>
    <w:p w:rsidR="47826249" w:rsidRPr="00BE3761" w:rsidP="00AB6605" w14:paraId="5A68CAF8" w14:textId="011793DD">
      <w:pPr>
        <w:pStyle w:val="ListParagraph"/>
        <w:keepNext/>
        <w:widowControl w:val="0"/>
        <w:numPr>
          <w:ilvl w:val="0"/>
          <w:numId w:val="5"/>
        </w:numPr>
        <w:tabs>
          <w:tab w:val="left" w:pos="552"/>
        </w:tabs>
        <w:ind w:right="58"/>
        <w:contextualSpacing w:val="0"/>
        <w:rPr>
          <w:rFonts w:eastAsia="Times New Roman"/>
          <w:u w:val="single"/>
        </w:rPr>
      </w:pPr>
      <w:r w:rsidRPr="00BE3761">
        <w:rPr>
          <w:rFonts w:eastAsia="Times New Roman"/>
          <w:u w:val="single"/>
        </w:rPr>
        <w:t xml:space="preserve">Expiration Date </w:t>
      </w:r>
    </w:p>
    <w:p w:rsidR="47826249" w:rsidP="47826249" w14:paraId="5439722B" w14:textId="77777777">
      <w:pPr>
        <w:pStyle w:val="BodyText"/>
      </w:pPr>
    </w:p>
    <w:p w:rsidR="00AB51FA" w:rsidP="00AB51FA" w14:paraId="540D6218" w14:textId="77777777">
      <w:pPr>
        <w:pStyle w:val="BodyText"/>
      </w:pPr>
      <w:r w:rsidRPr="00F369B1">
        <w:t>There are no instruments associated with this data collection.</w:t>
      </w:r>
    </w:p>
    <w:p w:rsidR="47826249" w:rsidP="47826249" w14:paraId="35CA1FD3" w14:textId="77777777">
      <w:pPr>
        <w:pStyle w:val="BodyText"/>
      </w:pPr>
    </w:p>
    <w:p w:rsidR="47826249" w:rsidRPr="007E6D21" w:rsidP="007E6D21" w14:paraId="5BFBA8E1" w14:textId="7D5D65E5">
      <w:pPr>
        <w:pStyle w:val="ListParagraph"/>
        <w:widowControl w:val="0"/>
        <w:numPr>
          <w:ilvl w:val="0"/>
          <w:numId w:val="5"/>
        </w:numPr>
        <w:tabs>
          <w:tab w:val="left" w:pos="552"/>
        </w:tabs>
        <w:ind w:right="60"/>
        <w:contextualSpacing w:val="0"/>
        <w:rPr>
          <w:rFonts w:eastAsia="Times New Roman"/>
          <w:u w:val="single"/>
        </w:rPr>
      </w:pPr>
      <w:r w:rsidRPr="47826249">
        <w:rPr>
          <w:u w:val="single"/>
        </w:rPr>
        <w:t xml:space="preserve">Certification Statement </w:t>
      </w:r>
    </w:p>
    <w:p w:rsidR="47826249" w:rsidP="47826249" w14:paraId="0FFD1E05" w14:textId="77777777">
      <w:pPr>
        <w:pStyle w:val="BodyText"/>
        <w:ind w:right="60"/>
      </w:pPr>
    </w:p>
    <w:p w:rsidR="00370AEA" w:rsidP="00AB6605" w14:paraId="0133EA6D" w14:textId="53CDC43E">
      <w:pPr>
        <w:pStyle w:val="BodyText"/>
      </w:pPr>
      <w:r w:rsidRPr="47826249">
        <w:t>There are no exceptions to the certification statement.</w:t>
      </w:r>
    </w:p>
    <w:sectPr w:rsidSect="00BA3639">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6630088"/>
      <w:docPartObj>
        <w:docPartGallery w:val="Page Numbers (Bottom of Page)"/>
        <w:docPartUnique/>
      </w:docPartObj>
    </w:sdtPr>
    <w:sdtEndPr>
      <w:rPr>
        <w:noProof/>
      </w:rPr>
    </w:sdtEndPr>
    <w:sdtContent>
      <w:p w:rsidR="009573C3" w14:paraId="7E328EC6" w14:textId="29D485D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22177" w14:paraId="1CC2F8F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16D5" w14:paraId="22AB001C" w14:textId="77777777">
      <w:r>
        <w:separator/>
      </w:r>
    </w:p>
  </w:footnote>
  <w:footnote w:type="continuationSeparator" w:id="1">
    <w:p w:rsidR="00E816D5" w14:paraId="6AE5B353" w14:textId="77777777">
      <w:r>
        <w:continuationSeparator/>
      </w:r>
    </w:p>
  </w:footnote>
  <w:footnote w:id="2">
    <w:p w:rsidR="20710EB3" w:rsidP="00184C2F" w14:paraId="256DB516" w14:textId="720E9531">
      <w:pPr>
        <w:pStyle w:val="FootnoteText"/>
      </w:pPr>
      <w:r w:rsidRPr="20710EB3">
        <w:rPr>
          <w:rStyle w:val="FootnoteReference"/>
        </w:rPr>
        <w:footnoteRef/>
      </w:r>
      <w:r>
        <w:t xml:space="preserve"> </w:t>
      </w:r>
      <w:hyperlink r:id="rId1" w:history="1">
        <w:r w:rsidRPr="00EE589E" w:rsidR="009C3A73">
          <w:rPr>
            <w:rStyle w:val="Hyperlink"/>
          </w:rPr>
          <w:t>https://www.cms.gov/files/document/py27-issuer-ab-oversight-guidance.pdf</w:t>
        </w:r>
      </w:hyperlink>
      <w:r>
        <w:t>.</w:t>
      </w:r>
      <w:r w:rsidR="009C3A73">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3F1EAE"/>
    <w:multiLevelType w:val="hybridMultilevel"/>
    <w:tmpl w:val="82AEC68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0CFA7DE1"/>
    <w:multiLevelType w:val="hybridMultilevel"/>
    <w:tmpl w:val="CB680F1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2">
    <w:nsid w:val="0DC15B83"/>
    <w:multiLevelType w:val="hybridMultilevel"/>
    <w:tmpl w:val="ED52E462"/>
    <w:lvl w:ilvl="0">
      <w:start w:val="1"/>
      <w:numFmt w:val="bullet"/>
      <w:lvlText w:val=""/>
      <w:lvlJc w:val="left"/>
      <w:pPr>
        <w:ind w:left="1504" w:hanging="360"/>
      </w:pPr>
      <w:rPr>
        <w:rFonts w:ascii="Symbol" w:hAnsi="Symbol" w:hint="default"/>
      </w:rPr>
    </w:lvl>
    <w:lvl w:ilvl="1" w:tentative="1">
      <w:start w:val="1"/>
      <w:numFmt w:val="bullet"/>
      <w:lvlText w:val="o"/>
      <w:lvlJc w:val="left"/>
      <w:pPr>
        <w:ind w:left="2224" w:hanging="360"/>
      </w:pPr>
      <w:rPr>
        <w:rFonts w:ascii="Courier New" w:hAnsi="Courier New" w:cs="Courier New" w:hint="default"/>
      </w:rPr>
    </w:lvl>
    <w:lvl w:ilvl="2" w:tentative="1">
      <w:start w:val="1"/>
      <w:numFmt w:val="bullet"/>
      <w:lvlText w:val=""/>
      <w:lvlJc w:val="left"/>
      <w:pPr>
        <w:ind w:left="2944" w:hanging="360"/>
      </w:pPr>
      <w:rPr>
        <w:rFonts w:ascii="Wingdings" w:hAnsi="Wingdings" w:hint="default"/>
      </w:rPr>
    </w:lvl>
    <w:lvl w:ilvl="3" w:tentative="1">
      <w:start w:val="1"/>
      <w:numFmt w:val="bullet"/>
      <w:lvlText w:val=""/>
      <w:lvlJc w:val="left"/>
      <w:pPr>
        <w:ind w:left="3664" w:hanging="360"/>
      </w:pPr>
      <w:rPr>
        <w:rFonts w:ascii="Symbol" w:hAnsi="Symbol" w:hint="default"/>
      </w:rPr>
    </w:lvl>
    <w:lvl w:ilvl="4" w:tentative="1">
      <w:start w:val="1"/>
      <w:numFmt w:val="bullet"/>
      <w:lvlText w:val="o"/>
      <w:lvlJc w:val="left"/>
      <w:pPr>
        <w:ind w:left="4384" w:hanging="360"/>
      </w:pPr>
      <w:rPr>
        <w:rFonts w:ascii="Courier New" w:hAnsi="Courier New" w:cs="Courier New" w:hint="default"/>
      </w:rPr>
    </w:lvl>
    <w:lvl w:ilvl="5" w:tentative="1">
      <w:start w:val="1"/>
      <w:numFmt w:val="bullet"/>
      <w:lvlText w:val=""/>
      <w:lvlJc w:val="left"/>
      <w:pPr>
        <w:ind w:left="5104" w:hanging="360"/>
      </w:pPr>
      <w:rPr>
        <w:rFonts w:ascii="Wingdings" w:hAnsi="Wingdings" w:hint="default"/>
      </w:rPr>
    </w:lvl>
    <w:lvl w:ilvl="6" w:tentative="1">
      <w:start w:val="1"/>
      <w:numFmt w:val="bullet"/>
      <w:lvlText w:val=""/>
      <w:lvlJc w:val="left"/>
      <w:pPr>
        <w:ind w:left="5824" w:hanging="360"/>
      </w:pPr>
      <w:rPr>
        <w:rFonts w:ascii="Symbol" w:hAnsi="Symbol" w:hint="default"/>
      </w:rPr>
    </w:lvl>
    <w:lvl w:ilvl="7" w:tentative="1">
      <w:start w:val="1"/>
      <w:numFmt w:val="bullet"/>
      <w:lvlText w:val="o"/>
      <w:lvlJc w:val="left"/>
      <w:pPr>
        <w:ind w:left="6544" w:hanging="360"/>
      </w:pPr>
      <w:rPr>
        <w:rFonts w:ascii="Courier New" w:hAnsi="Courier New" w:cs="Courier New" w:hint="default"/>
      </w:rPr>
    </w:lvl>
    <w:lvl w:ilvl="8" w:tentative="1">
      <w:start w:val="1"/>
      <w:numFmt w:val="bullet"/>
      <w:lvlText w:val=""/>
      <w:lvlJc w:val="left"/>
      <w:pPr>
        <w:ind w:left="7264" w:hanging="360"/>
      </w:pPr>
      <w:rPr>
        <w:rFonts w:ascii="Wingdings" w:hAnsi="Wingdings" w:hint="default"/>
      </w:rPr>
    </w:lvl>
  </w:abstractNum>
  <w:abstractNum w:abstractNumId="3">
    <w:nsid w:val="1639A2A7"/>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0273D95"/>
    <w:multiLevelType w:val="hybridMultilevel"/>
    <w:tmpl w:val="54DE2B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2D49D591"/>
    <w:multiLevelType w:val="hybridMultilevel"/>
    <w:tmpl w:val="FFFFFFFF"/>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3CAE475F"/>
    <w:multiLevelType w:val="hybrid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44982ED5"/>
    <w:multiLevelType w:val="hybridMultilevel"/>
    <w:tmpl w:val="0E623EF2"/>
    <w:lvl w:ilvl="0">
      <w:start w:val="1"/>
      <w:numFmt w:val="upperLetter"/>
      <w:lvlText w:val="%1."/>
      <w:lvlJc w:val="left"/>
      <w:pPr>
        <w:ind w:left="550" w:hanging="431"/>
      </w:pPr>
      <w:rPr>
        <w:rFonts w:ascii="Times New Roman" w:eastAsia="Times New Roman" w:hAnsi="Times New Roman" w:cs="Times New Roman" w:hint="default"/>
        <w:b/>
        <w:bCs/>
        <w:i w:val="0"/>
        <w:iCs w:val="0"/>
        <w:spacing w:val="-2"/>
        <w:w w:val="100"/>
        <w:sz w:val="24"/>
        <w:szCs w:val="24"/>
        <w:u w:val="none" w:color="000000"/>
        <w:lang w:val="en-US" w:eastAsia="en-US" w:bidi="ar-SA"/>
      </w:rPr>
    </w:lvl>
    <w:lvl w:ilvl="1">
      <w:start w:val="1"/>
      <w:numFmt w:val="decimal"/>
      <w:lvlText w:val="%2."/>
      <w:lvlJc w:val="left"/>
      <w:pPr>
        <w:ind w:left="700" w:hanging="581"/>
      </w:pPr>
      <w:rPr>
        <w:rFonts w:ascii="Times New Roman" w:eastAsia="Times New Roman" w:hAnsi="Times New Roman" w:cs="Times New Roman" w:hint="default"/>
        <w:b w:val="0"/>
        <w:bCs w:val="0"/>
        <w:i w:val="0"/>
        <w:iCs w:val="0"/>
        <w:w w:val="100"/>
        <w:sz w:val="24"/>
        <w:szCs w:val="24"/>
        <w:lang w:val="en-US" w:eastAsia="en-US" w:bidi="ar-SA"/>
      </w:rPr>
    </w:lvl>
    <w:lvl w:ilvl="2">
      <w:start w:val="0"/>
      <w:numFmt w:val="bullet"/>
      <w:lvlText w:val="•"/>
      <w:lvlJc w:val="left"/>
      <w:pPr>
        <w:ind w:left="1688" w:hanging="581"/>
      </w:pPr>
      <w:rPr>
        <w:rFonts w:hint="default"/>
        <w:lang w:val="en-US" w:eastAsia="en-US" w:bidi="ar-SA"/>
      </w:rPr>
    </w:lvl>
    <w:lvl w:ilvl="3">
      <w:start w:val="0"/>
      <w:numFmt w:val="bullet"/>
      <w:lvlText w:val="•"/>
      <w:lvlJc w:val="left"/>
      <w:pPr>
        <w:ind w:left="2677" w:hanging="581"/>
      </w:pPr>
      <w:rPr>
        <w:rFonts w:hint="default"/>
        <w:lang w:val="en-US" w:eastAsia="en-US" w:bidi="ar-SA"/>
      </w:rPr>
    </w:lvl>
    <w:lvl w:ilvl="4">
      <w:start w:val="0"/>
      <w:numFmt w:val="bullet"/>
      <w:lvlText w:val="•"/>
      <w:lvlJc w:val="left"/>
      <w:pPr>
        <w:ind w:left="3666" w:hanging="581"/>
      </w:pPr>
      <w:rPr>
        <w:rFonts w:hint="default"/>
        <w:lang w:val="en-US" w:eastAsia="en-US" w:bidi="ar-SA"/>
      </w:rPr>
    </w:lvl>
    <w:lvl w:ilvl="5">
      <w:start w:val="0"/>
      <w:numFmt w:val="bullet"/>
      <w:lvlText w:val="•"/>
      <w:lvlJc w:val="left"/>
      <w:pPr>
        <w:ind w:left="4655" w:hanging="581"/>
      </w:pPr>
      <w:rPr>
        <w:rFonts w:hint="default"/>
        <w:lang w:val="en-US" w:eastAsia="en-US" w:bidi="ar-SA"/>
      </w:rPr>
    </w:lvl>
    <w:lvl w:ilvl="6">
      <w:start w:val="0"/>
      <w:numFmt w:val="bullet"/>
      <w:lvlText w:val="•"/>
      <w:lvlJc w:val="left"/>
      <w:pPr>
        <w:ind w:left="5644" w:hanging="581"/>
      </w:pPr>
      <w:rPr>
        <w:rFonts w:hint="default"/>
        <w:lang w:val="en-US" w:eastAsia="en-US" w:bidi="ar-SA"/>
      </w:rPr>
    </w:lvl>
    <w:lvl w:ilvl="7">
      <w:start w:val="0"/>
      <w:numFmt w:val="bullet"/>
      <w:lvlText w:val="•"/>
      <w:lvlJc w:val="left"/>
      <w:pPr>
        <w:ind w:left="6633" w:hanging="581"/>
      </w:pPr>
      <w:rPr>
        <w:rFonts w:hint="default"/>
        <w:lang w:val="en-US" w:eastAsia="en-US" w:bidi="ar-SA"/>
      </w:rPr>
    </w:lvl>
    <w:lvl w:ilvl="8">
      <w:start w:val="0"/>
      <w:numFmt w:val="bullet"/>
      <w:lvlText w:val="•"/>
      <w:lvlJc w:val="left"/>
      <w:pPr>
        <w:ind w:left="7622" w:hanging="581"/>
      </w:pPr>
      <w:rPr>
        <w:rFonts w:hint="default"/>
        <w:lang w:val="en-US" w:eastAsia="en-US" w:bidi="ar-SA"/>
      </w:rPr>
    </w:lvl>
  </w:abstractNum>
  <w:abstractNum w:abstractNumId="8">
    <w:nsid w:val="591D729F"/>
    <w:multiLevelType w:val="hybridMultilevel"/>
    <w:tmpl w:val="15222D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B0E773F"/>
    <w:multiLevelType w:val="hybridMultilevel"/>
    <w:tmpl w:val="FB80FCA2"/>
    <w:lvl w:ilvl="0">
      <w:start w:val="1"/>
      <w:numFmt w:val="bullet"/>
      <w:lvlText w:val=""/>
      <w:lvlJc w:val="left"/>
      <w:pPr>
        <w:ind w:left="2224" w:hanging="360"/>
      </w:pPr>
      <w:rPr>
        <w:rFonts w:ascii="Symbol" w:hAnsi="Symbol" w:hint="default"/>
      </w:rPr>
    </w:lvl>
    <w:lvl w:ilvl="1" w:tentative="1">
      <w:start w:val="1"/>
      <w:numFmt w:val="bullet"/>
      <w:lvlText w:val="o"/>
      <w:lvlJc w:val="left"/>
      <w:pPr>
        <w:ind w:left="2944" w:hanging="360"/>
      </w:pPr>
      <w:rPr>
        <w:rFonts w:ascii="Courier New" w:hAnsi="Courier New" w:cs="Courier New" w:hint="default"/>
      </w:rPr>
    </w:lvl>
    <w:lvl w:ilvl="2" w:tentative="1">
      <w:start w:val="1"/>
      <w:numFmt w:val="bullet"/>
      <w:lvlText w:val=""/>
      <w:lvlJc w:val="left"/>
      <w:pPr>
        <w:ind w:left="3664" w:hanging="360"/>
      </w:pPr>
      <w:rPr>
        <w:rFonts w:ascii="Wingdings" w:hAnsi="Wingdings" w:hint="default"/>
      </w:rPr>
    </w:lvl>
    <w:lvl w:ilvl="3" w:tentative="1">
      <w:start w:val="1"/>
      <w:numFmt w:val="bullet"/>
      <w:lvlText w:val=""/>
      <w:lvlJc w:val="left"/>
      <w:pPr>
        <w:ind w:left="4384" w:hanging="360"/>
      </w:pPr>
      <w:rPr>
        <w:rFonts w:ascii="Symbol" w:hAnsi="Symbol" w:hint="default"/>
      </w:rPr>
    </w:lvl>
    <w:lvl w:ilvl="4" w:tentative="1">
      <w:start w:val="1"/>
      <w:numFmt w:val="bullet"/>
      <w:lvlText w:val="o"/>
      <w:lvlJc w:val="left"/>
      <w:pPr>
        <w:ind w:left="5104" w:hanging="360"/>
      </w:pPr>
      <w:rPr>
        <w:rFonts w:ascii="Courier New" w:hAnsi="Courier New" w:cs="Courier New" w:hint="default"/>
      </w:rPr>
    </w:lvl>
    <w:lvl w:ilvl="5" w:tentative="1">
      <w:start w:val="1"/>
      <w:numFmt w:val="bullet"/>
      <w:lvlText w:val=""/>
      <w:lvlJc w:val="left"/>
      <w:pPr>
        <w:ind w:left="5824" w:hanging="360"/>
      </w:pPr>
      <w:rPr>
        <w:rFonts w:ascii="Wingdings" w:hAnsi="Wingdings" w:hint="default"/>
      </w:rPr>
    </w:lvl>
    <w:lvl w:ilvl="6" w:tentative="1">
      <w:start w:val="1"/>
      <w:numFmt w:val="bullet"/>
      <w:lvlText w:val=""/>
      <w:lvlJc w:val="left"/>
      <w:pPr>
        <w:ind w:left="6544" w:hanging="360"/>
      </w:pPr>
      <w:rPr>
        <w:rFonts w:ascii="Symbol" w:hAnsi="Symbol" w:hint="default"/>
      </w:rPr>
    </w:lvl>
    <w:lvl w:ilvl="7" w:tentative="1">
      <w:start w:val="1"/>
      <w:numFmt w:val="bullet"/>
      <w:lvlText w:val="o"/>
      <w:lvlJc w:val="left"/>
      <w:pPr>
        <w:ind w:left="7264" w:hanging="360"/>
      </w:pPr>
      <w:rPr>
        <w:rFonts w:ascii="Courier New" w:hAnsi="Courier New" w:cs="Courier New" w:hint="default"/>
      </w:rPr>
    </w:lvl>
    <w:lvl w:ilvl="8" w:tentative="1">
      <w:start w:val="1"/>
      <w:numFmt w:val="bullet"/>
      <w:lvlText w:val=""/>
      <w:lvlJc w:val="left"/>
      <w:pPr>
        <w:ind w:left="7984" w:hanging="360"/>
      </w:pPr>
      <w:rPr>
        <w:rFonts w:ascii="Wingdings" w:hAnsi="Wingdings" w:hint="default"/>
      </w:rPr>
    </w:lvl>
  </w:abstractNum>
  <w:abstractNum w:abstractNumId="10">
    <w:nsid w:val="5DC63389"/>
    <w:multiLevelType w:val="hybridMultilevel"/>
    <w:tmpl w:val="9C54F2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2D306B5"/>
    <w:multiLevelType w:val="hybridMultilevel"/>
    <w:tmpl w:val="13FC1DE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F470C43"/>
    <w:multiLevelType w:val="hybridMultilevel"/>
    <w:tmpl w:val="337A1D2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num w:numId="1" w16cid:durableId="1160577791">
    <w:abstractNumId w:val="7"/>
  </w:num>
  <w:num w:numId="2" w16cid:durableId="1554150793">
    <w:abstractNumId w:val="11"/>
  </w:num>
  <w:num w:numId="3" w16cid:durableId="1779136283">
    <w:abstractNumId w:val="4"/>
  </w:num>
  <w:num w:numId="4" w16cid:durableId="418796673">
    <w:abstractNumId w:val="3"/>
  </w:num>
  <w:num w:numId="5" w16cid:durableId="234515452">
    <w:abstractNumId w:val="6"/>
  </w:num>
  <w:num w:numId="6" w16cid:durableId="774637614">
    <w:abstractNumId w:val="5"/>
  </w:num>
  <w:num w:numId="7" w16cid:durableId="1252590640">
    <w:abstractNumId w:val="8"/>
  </w:num>
  <w:num w:numId="8" w16cid:durableId="223302421">
    <w:abstractNumId w:val="2"/>
  </w:num>
  <w:num w:numId="9" w16cid:durableId="921839690">
    <w:abstractNumId w:val="9"/>
  </w:num>
  <w:num w:numId="10" w16cid:durableId="74866989">
    <w:abstractNumId w:val="12"/>
  </w:num>
  <w:num w:numId="11" w16cid:durableId="372460457">
    <w:abstractNumId w:val="0"/>
  </w:num>
  <w:num w:numId="12" w16cid:durableId="537622528">
    <w:abstractNumId w:val="1"/>
  </w:num>
  <w:num w:numId="13" w16cid:durableId="18956552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BA6"/>
    <w:rsid w:val="00000463"/>
    <w:rsid w:val="000027EC"/>
    <w:rsid w:val="000039FD"/>
    <w:rsid w:val="0001007A"/>
    <w:rsid w:val="000139E5"/>
    <w:rsid w:val="00015CD8"/>
    <w:rsid w:val="00016F7C"/>
    <w:rsid w:val="0002179C"/>
    <w:rsid w:val="000250E5"/>
    <w:rsid w:val="00025641"/>
    <w:rsid w:val="00025A93"/>
    <w:rsid w:val="00027196"/>
    <w:rsid w:val="000308F7"/>
    <w:rsid w:val="00034092"/>
    <w:rsid w:val="000350B8"/>
    <w:rsid w:val="0003725D"/>
    <w:rsid w:val="0003757A"/>
    <w:rsid w:val="00040845"/>
    <w:rsid w:val="000424E7"/>
    <w:rsid w:val="00042CE2"/>
    <w:rsid w:val="000502CE"/>
    <w:rsid w:val="0005032E"/>
    <w:rsid w:val="00050A84"/>
    <w:rsid w:val="00053EAF"/>
    <w:rsid w:val="00056288"/>
    <w:rsid w:val="00062A44"/>
    <w:rsid w:val="00062CAB"/>
    <w:rsid w:val="0006362B"/>
    <w:rsid w:val="000661DC"/>
    <w:rsid w:val="0006678C"/>
    <w:rsid w:val="00066DFA"/>
    <w:rsid w:val="0007401F"/>
    <w:rsid w:val="00075844"/>
    <w:rsid w:val="00075A52"/>
    <w:rsid w:val="000769EF"/>
    <w:rsid w:val="000820AE"/>
    <w:rsid w:val="00082E5D"/>
    <w:rsid w:val="000862D9"/>
    <w:rsid w:val="00086D81"/>
    <w:rsid w:val="00091027"/>
    <w:rsid w:val="000960D2"/>
    <w:rsid w:val="000A1D18"/>
    <w:rsid w:val="000A2A17"/>
    <w:rsid w:val="000A3319"/>
    <w:rsid w:val="000A5899"/>
    <w:rsid w:val="000B20E6"/>
    <w:rsid w:val="000B7F2D"/>
    <w:rsid w:val="000C2859"/>
    <w:rsid w:val="000C3420"/>
    <w:rsid w:val="000C5D53"/>
    <w:rsid w:val="000C6EE4"/>
    <w:rsid w:val="000D142D"/>
    <w:rsid w:val="000D461B"/>
    <w:rsid w:val="000D79DD"/>
    <w:rsid w:val="000D79F1"/>
    <w:rsid w:val="000E7524"/>
    <w:rsid w:val="000F1214"/>
    <w:rsid w:val="000F61D6"/>
    <w:rsid w:val="000F6DAF"/>
    <w:rsid w:val="000F738B"/>
    <w:rsid w:val="000F785B"/>
    <w:rsid w:val="001042F2"/>
    <w:rsid w:val="00105700"/>
    <w:rsid w:val="00107796"/>
    <w:rsid w:val="00107996"/>
    <w:rsid w:val="0011054B"/>
    <w:rsid w:val="00110CE2"/>
    <w:rsid w:val="001127BA"/>
    <w:rsid w:val="00113684"/>
    <w:rsid w:val="00113CE1"/>
    <w:rsid w:val="00113D51"/>
    <w:rsid w:val="001162DC"/>
    <w:rsid w:val="00117949"/>
    <w:rsid w:val="00121BA0"/>
    <w:rsid w:val="001222D4"/>
    <w:rsid w:val="00122B41"/>
    <w:rsid w:val="00123564"/>
    <w:rsid w:val="00124314"/>
    <w:rsid w:val="00125610"/>
    <w:rsid w:val="00127F60"/>
    <w:rsid w:val="001306BF"/>
    <w:rsid w:val="001318A8"/>
    <w:rsid w:val="0013627A"/>
    <w:rsid w:val="00136EED"/>
    <w:rsid w:val="00140F35"/>
    <w:rsid w:val="001411BA"/>
    <w:rsid w:val="0014407F"/>
    <w:rsid w:val="00146334"/>
    <w:rsid w:val="00152017"/>
    <w:rsid w:val="001522DE"/>
    <w:rsid w:val="001578DC"/>
    <w:rsid w:val="001603B2"/>
    <w:rsid w:val="00160EC1"/>
    <w:rsid w:val="00160FCE"/>
    <w:rsid w:val="00162E32"/>
    <w:rsid w:val="00163775"/>
    <w:rsid w:val="0016382B"/>
    <w:rsid w:val="00165EF0"/>
    <w:rsid w:val="001725D7"/>
    <w:rsid w:val="001740C1"/>
    <w:rsid w:val="00176D53"/>
    <w:rsid w:val="00176EFE"/>
    <w:rsid w:val="00177169"/>
    <w:rsid w:val="00184858"/>
    <w:rsid w:val="00184C2F"/>
    <w:rsid w:val="0018638B"/>
    <w:rsid w:val="00186E48"/>
    <w:rsid w:val="00187EEC"/>
    <w:rsid w:val="00190C1A"/>
    <w:rsid w:val="00190E12"/>
    <w:rsid w:val="001925EE"/>
    <w:rsid w:val="001931FD"/>
    <w:rsid w:val="001937D6"/>
    <w:rsid w:val="0019431A"/>
    <w:rsid w:val="001952F3"/>
    <w:rsid w:val="0019580E"/>
    <w:rsid w:val="00196244"/>
    <w:rsid w:val="001A0247"/>
    <w:rsid w:val="001A3B4B"/>
    <w:rsid w:val="001A56DE"/>
    <w:rsid w:val="001A57C3"/>
    <w:rsid w:val="001A5E92"/>
    <w:rsid w:val="001A661F"/>
    <w:rsid w:val="001A788C"/>
    <w:rsid w:val="001B2CB8"/>
    <w:rsid w:val="001B2DF0"/>
    <w:rsid w:val="001B5337"/>
    <w:rsid w:val="001B7082"/>
    <w:rsid w:val="001C0566"/>
    <w:rsid w:val="001C2AC1"/>
    <w:rsid w:val="001C3892"/>
    <w:rsid w:val="001C43D5"/>
    <w:rsid w:val="001C4B64"/>
    <w:rsid w:val="001C4D6E"/>
    <w:rsid w:val="001D2FA0"/>
    <w:rsid w:val="001D412D"/>
    <w:rsid w:val="001D5D93"/>
    <w:rsid w:val="001D7624"/>
    <w:rsid w:val="001E7B2A"/>
    <w:rsid w:val="001F03AE"/>
    <w:rsid w:val="001F2B21"/>
    <w:rsid w:val="00204953"/>
    <w:rsid w:val="00204A4E"/>
    <w:rsid w:val="002107B5"/>
    <w:rsid w:val="002128F7"/>
    <w:rsid w:val="00212DD9"/>
    <w:rsid w:val="00214E99"/>
    <w:rsid w:val="00215474"/>
    <w:rsid w:val="00220D92"/>
    <w:rsid w:val="00220ED3"/>
    <w:rsid w:val="00222C46"/>
    <w:rsid w:val="00224CBB"/>
    <w:rsid w:val="002268EB"/>
    <w:rsid w:val="00226CBE"/>
    <w:rsid w:val="0023169D"/>
    <w:rsid w:val="002328E1"/>
    <w:rsid w:val="00235AEE"/>
    <w:rsid w:val="00243D20"/>
    <w:rsid w:val="00244051"/>
    <w:rsid w:val="00245474"/>
    <w:rsid w:val="00246A49"/>
    <w:rsid w:val="00247739"/>
    <w:rsid w:val="00250473"/>
    <w:rsid w:val="00251152"/>
    <w:rsid w:val="00254D83"/>
    <w:rsid w:val="002563C2"/>
    <w:rsid w:val="002604AF"/>
    <w:rsid w:val="00260C5C"/>
    <w:rsid w:val="00261A0D"/>
    <w:rsid w:val="00262AB1"/>
    <w:rsid w:val="0026538C"/>
    <w:rsid w:val="00265C7D"/>
    <w:rsid w:val="002668B3"/>
    <w:rsid w:val="0026712D"/>
    <w:rsid w:val="002712CB"/>
    <w:rsid w:val="0027195C"/>
    <w:rsid w:val="002757B5"/>
    <w:rsid w:val="002776B8"/>
    <w:rsid w:val="00286FA3"/>
    <w:rsid w:val="002A0CB3"/>
    <w:rsid w:val="002A12A1"/>
    <w:rsid w:val="002A2A66"/>
    <w:rsid w:val="002A2E19"/>
    <w:rsid w:val="002A2E2D"/>
    <w:rsid w:val="002A65F1"/>
    <w:rsid w:val="002B0CDD"/>
    <w:rsid w:val="002B14FB"/>
    <w:rsid w:val="002B31C9"/>
    <w:rsid w:val="002B3557"/>
    <w:rsid w:val="002B3D0A"/>
    <w:rsid w:val="002B63F0"/>
    <w:rsid w:val="002C0309"/>
    <w:rsid w:val="002C1940"/>
    <w:rsid w:val="002C3C8E"/>
    <w:rsid w:val="002C6F72"/>
    <w:rsid w:val="002E0305"/>
    <w:rsid w:val="002E0524"/>
    <w:rsid w:val="002E5172"/>
    <w:rsid w:val="002E6AB3"/>
    <w:rsid w:val="002F2343"/>
    <w:rsid w:val="002F3071"/>
    <w:rsid w:val="002F3394"/>
    <w:rsid w:val="003003CA"/>
    <w:rsid w:val="003043C7"/>
    <w:rsid w:val="00304883"/>
    <w:rsid w:val="00304A67"/>
    <w:rsid w:val="0030548F"/>
    <w:rsid w:val="00305731"/>
    <w:rsid w:val="0030594E"/>
    <w:rsid w:val="003103EA"/>
    <w:rsid w:val="00311D8B"/>
    <w:rsid w:val="003157C2"/>
    <w:rsid w:val="00317A56"/>
    <w:rsid w:val="00317C1E"/>
    <w:rsid w:val="003214C0"/>
    <w:rsid w:val="0032157D"/>
    <w:rsid w:val="00321DEA"/>
    <w:rsid w:val="00321F09"/>
    <w:rsid w:val="003222EB"/>
    <w:rsid w:val="00324D06"/>
    <w:rsid w:val="003264BA"/>
    <w:rsid w:val="003275F8"/>
    <w:rsid w:val="00336714"/>
    <w:rsid w:val="0034021F"/>
    <w:rsid w:val="00341C11"/>
    <w:rsid w:val="00342CF8"/>
    <w:rsid w:val="00343B57"/>
    <w:rsid w:val="00343BF4"/>
    <w:rsid w:val="00345738"/>
    <w:rsid w:val="003519D9"/>
    <w:rsid w:val="00352563"/>
    <w:rsid w:val="00352E8A"/>
    <w:rsid w:val="00353791"/>
    <w:rsid w:val="00356F07"/>
    <w:rsid w:val="00357018"/>
    <w:rsid w:val="003573D2"/>
    <w:rsid w:val="00357DC6"/>
    <w:rsid w:val="00360FF4"/>
    <w:rsid w:val="00361651"/>
    <w:rsid w:val="003632CF"/>
    <w:rsid w:val="00365928"/>
    <w:rsid w:val="003665B2"/>
    <w:rsid w:val="00370AEA"/>
    <w:rsid w:val="00370B6D"/>
    <w:rsid w:val="0037119C"/>
    <w:rsid w:val="00371614"/>
    <w:rsid w:val="00373086"/>
    <w:rsid w:val="003764FC"/>
    <w:rsid w:val="00376ABD"/>
    <w:rsid w:val="003777A2"/>
    <w:rsid w:val="003778D4"/>
    <w:rsid w:val="003900F6"/>
    <w:rsid w:val="00392801"/>
    <w:rsid w:val="0039296D"/>
    <w:rsid w:val="00397231"/>
    <w:rsid w:val="003A0DFE"/>
    <w:rsid w:val="003A2D8E"/>
    <w:rsid w:val="003A4723"/>
    <w:rsid w:val="003A4A20"/>
    <w:rsid w:val="003A7D4E"/>
    <w:rsid w:val="003A7F47"/>
    <w:rsid w:val="003B1A49"/>
    <w:rsid w:val="003B629B"/>
    <w:rsid w:val="003B7625"/>
    <w:rsid w:val="003C0678"/>
    <w:rsid w:val="003C113D"/>
    <w:rsid w:val="003C23F6"/>
    <w:rsid w:val="003C29B8"/>
    <w:rsid w:val="003C2B03"/>
    <w:rsid w:val="003C3FD3"/>
    <w:rsid w:val="003C6D03"/>
    <w:rsid w:val="003C7C3C"/>
    <w:rsid w:val="003D1DCF"/>
    <w:rsid w:val="003D3AB5"/>
    <w:rsid w:val="003D5D81"/>
    <w:rsid w:val="003E0C08"/>
    <w:rsid w:val="003E21A9"/>
    <w:rsid w:val="003E321E"/>
    <w:rsid w:val="003E5351"/>
    <w:rsid w:val="003E5819"/>
    <w:rsid w:val="003E6CB5"/>
    <w:rsid w:val="003E7961"/>
    <w:rsid w:val="003E7ED9"/>
    <w:rsid w:val="003F1C94"/>
    <w:rsid w:val="003F20D7"/>
    <w:rsid w:val="003F41AF"/>
    <w:rsid w:val="003F5D8B"/>
    <w:rsid w:val="003F72D1"/>
    <w:rsid w:val="003F7FAA"/>
    <w:rsid w:val="00401C93"/>
    <w:rsid w:val="004069C8"/>
    <w:rsid w:val="00407B85"/>
    <w:rsid w:val="00407F03"/>
    <w:rsid w:val="004111EB"/>
    <w:rsid w:val="00411838"/>
    <w:rsid w:val="00414338"/>
    <w:rsid w:val="0041487C"/>
    <w:rsid w:val="004152F4"/>
    <w:rsid w:val="004209E1"/>
    <w:rsid w:val="004228F9"/>
    <w:rsid w:val="00423D99"/>
    <w:rsid w:val="00424531"/>
    <w:rsid w:val="00426BC4"/>
    <w:rsid w:val="00426F62"/>
    <w:rsid w:val="00427B72"/>
    <w:rsid w:val="00431719"/>
    <w:rsid w:val="00431A8E"/>
    <w:rsid w:val="004326A5"/>
    <w:rsid w:val="00434122"/>
    <w:rsid w:val="00436460"/>
    <w:rsid w:val="0044021B"/>
    <w:rsid w:val="0045174D"/>
    <w:rsid w:val="004520B2"/>
    <w:rsid w:val="0045267F"/>
    <w:rsid w:val="0045388A"/>
    <w:rsid w:val="00455736"/>
    <w:rsid w:val="0045626C"/>
    <w:rsid w:val="00457606"/>
    <w:rsid w:val="00457A6E"/>
    <w:rsid w:val="00460EF3"/>
    <w:rsid w:val="004612FC"/>
    <w:rsid w:val="004621ED"/>
    <w:rsid w:val="004640A1"/>
    <w:rsid w:val="004674E5"/>
    <w:rsid w:val="00470151"/>
    <w:rsid w:val="0047093A"/>
    <w:rsid w:val="004712F9"/>
    <w:rsid w:val="0047450E"/>
    <w:rsid w:val="00476450"/>
    <w:rsid w:val="00482D15"/>
    <w:rsid w:val="004845EB"/>
    <w:rsid w:val="004854BC"/>
    <w:rsid w:val="00485D02"/>
    <w:rsid w:val="00492C76"/>
    <w:rsid w:val="0049527B"/>
    <w:rsid w:val="004955ED"/>
    <w:rsid w:val="00495A12"/>
    <w:rsid w:val="004A0DF0"/>
    <w:rsid w:val="004A5821"/>
    <w:rsid w:val="004A5E0B"/>
    <w:rsid w:val="004A7508"/>
    <w:rsid w:val="004B0311"/>
    <w:rsid w:val="004B4375"/>
    <w:rsid w:val="004B5DCF"/>
    <w:rsid w:val="004C1BAE"/>
    <w:rsid w:val="004C516E"/>
    <w:rsid w:val="004C5D85"/>
    <w:rsid w:val="004D11F4"/>
    <w:rsid w:val="004D55C4"/>
    <w:rsid w:val="004D6B76"/>
    <w:rsid w:val="004D7454"/>
    <w:rsid w:val="004D7DC0"/>
    <w:rsid w:val="004E1974"/>
    <w:rsid w:val="004E25FD"/>
    <w:rsid w:val="004E2CF0"/>
    <w:rsid w:val="004E3461"/>
    <w:rsid w:val="004E3E2A"/>
    <w:rsid w:val="004E495C"/>
    <w:rsid w:val="004E79EC"/>
    <w:rsid w:val="004F02D9"/>
    <w:rsid w:val="004F278E"/>
    <w:rsid w:val="004F43E9"/>
    <w:rsid w:val="004F5FBD"/>
    <w:rsid w:val="004F7E9E"/>
    <w:rsid w:val="00504343"/>
    <w:rsid w:val="005047E3"/>
    <w:rsid w:val="005049DA"/>
    <w:rsid w:val="0050763E"/>
    <w:rsid w:val="0051080D"/>
    <w:rsid w:val="005113B8"/>
    <w:rsid w:val="00515083"/>
    <w:rsid w:val="005174C9"/>
    <w:rsid w:val="0051757A"/>
    <w:rsid w:val="005220B3"/>
    <w:rsid w:val="005254F1"/>
    <w:rsid w:val="005260F6"/>
    <w:rsid w:val="005275E2"/>
    <w:rsid w:val="00527AAF"/>
    <w:rsid w:val="005303E1"/>
    <w:rsid w:val="005314DC"/>
    <w:rsid w:val="00533058"/>
    <w:rsid w:val="00533773"/>
    <w:rsid w:val="00533CD5"/>
    <w:rsid w:val="005350A9"/>
    <w:rsid w:val="0053567F"/>
    <w:rsid w:val="00537662"/>
    <w:rsid w:val="00537DF2"/>
    <w:rsid w:val="005404CC"/>
    <w:rsid w:val="00540989"/>
    <w:rsid w:val="00544204"/>
    <w:rsid w:val="00545203"/>
    <w:rsid w:val="00550282"/>
    <w:rsid w:val="0055066A"/>
    <w:rsid w:val="00553E59"/>
    <w:rsid w:val="00555777"/>
    <w:rsid w:val="00557D4C"/>
    <w:rsid w:val="00563552"/>
    <w:rsid w:val="00565FB6"/>
    <w:rsid w:val="005700A6"/>
    <w:rsid w:val="00572A98"/>
    <w:rsid w:val="005810D5"/>
    <w:rsid w:val="0058139B"/>
    <w:rsid w:val="005817C3"/>
    <w:rsid w:val="00584784"/>
    <w:rsid w:val="00584918"/>
    <w:rsid w:val="00585201"/>
    <w:rsid w:val="00587BB1"/>
    <w:rsid w:val="005920E4"/>
    <w:rsid w:val="00593610"/>
    <w:rsid w:val="005957D1"/>
    <w:rsid w:val="005A582D"/>
    <w:rsid w:val="005B1373"/>
    <w:rsid w:val="005B1A3C"/>
    <w:rsid w:val="005B2E2F"/>
    <w:rsid w:val="005B2ED0"/>
    <w:rsid w:val="005B4863"/>
    <w:rsid w:val="005C0269"/>
    <w:rsid w:val="005C07B4"/>
    <w:rsid w:val="005C0CBA"/>
    <w:rsid w:val="005C2147"/>
    <w:rsid w:val="005C4E62"/>
    <w:rsid w:val="005C51AD"/>
    <w:rsid w:val="005C528C"/>
    <w:rsid w:val="005C56FB"/>
    <w:rsid w:val="005D4CF8"/>
    <w:rsid w:val="005D5826"/>
    <w:rsid w:val="005D67A4"/>
    <w:rsid w:val="005E0067"/>
    <w:rsid w:val="005E0BF6"/>
    <w:rsid w:val="005E2C96"/>
    <w:rsid w:val="005E385E"/>
    <w:rsid w:val="005E5119"/>
    <w:rsid w:val="005F02A3"/>
    <w:rsid w:val="005F1953"/>
    <w:rsid w:val="005F5D46"/>
    <w:rsid w:val="005F6471"/>
    <w:rsid w:val="0060179E"/>
    <w:rsid w:val="00602551"/>
    <w:rsid w:val="0060261B"/>
    <w:rsid w:val="006047E8"/>
    <w:rsid w:val="00604FB8"/>
    <w:rsid w:val="0060502C"/>
    <w:rsid w:val="006065DF"/>
    <w:rsid w:val="00606C91"/>
    <w:rsid w:val="006123BD"/>
    <w:rsid w:val="00612932"/>
    <w:rsid w:val="00612AE6"/>
    <w:rsid w:val="00612B30"/>
    <w:rsid w:val="00612B6B"/>
    <w:rsid w:val="00613C8A"/>
    <w:rsid w:val="00626349"/>
    <w:rsid w:val="00626D62"/>
    <w:rsid w:val="0062771B"/>
    <w:rsid w:val="00627BC6"/>
    <w:rsid w:val="006319D1"/>
    <w:rsid w:val="0063317A"/>
    <w:rsid w:val="00640313"/>
    <w:rsid w:val="00641CF1"/>
    <w:rsid w:val="0064209E"/>
    <w:rsid w:val="006423EB"/>
    <w:rsid w:val="0064283D"/>
    <w:rsid w:val="0064411C"/>
    <w:rsid w:val="00646490"/>
    <w:rsid w:val="00647339"/>
    <w:rsid w:val="00653F55"/>
    <w:rsid w:val="00655E9D"/>
    <w:rsid w:val="00657B0E"/>
    <w:rsid w:val="00657EC7"/>
    <w:rsid w:val="00660069"/>
    <w:rsid w:val="006658FF"/>
    <w:rsid w:val="00665996"/>
    <w:rsid w:val="006659B1"/>
    <w:rsid w:val="006669A2"/>
    <w:rsid w:val="00666EEB"/>
    <w:rsid w:val="006677D2"/>
    <w:rsid w:val="00671948"/>
    <w:rsid w:val="00675E68"/>
    <w:rsid w:val="006771E3"/>
    <w:rsid w:val="00677E92"/>
    <w:rsid w:val="006823B2"/>
    <w:rsid w:val="00691E06"/>
    <w:rsid w:val="00696C74"/>
    <w:rsid w:val="00697C6A"/>
    <w:rsid w:val="006A0825"/>
    <w:rsid w:val="006A3DA9"/>
    <w:rsid w:val="006B3501"/>
    <w:rsid w:val="006B37AB"/>
    <w:rsid w:val="006B3EF6"/>
    <w:rsid w:val="006C0411"/>
    <w:rsid w:val="006C16DE"/>
    <w:rsid w:val="006C2139"/>
    <w:rsid w:val="006C4AC3"/>
    <w:rsid w:val="006C5AA5"/>
    <w:rsid w:val="006D00E0"/>
    <w:rsid w:val="006D0616"/>
    <w:rsid w:val="006E0079"/>
    <w:rsid w:val="006E12E9"/>
    <w:rsid w:val="006E4BEC"/>
    <w:rsid w:val="006E5187"/>
    <w:rsid w:val="006E623B"/>
    <w:rsid w:val="006F0932"/>
    <w:rsid w:val="006F1B54"/>
    <w:rsid w:val="006F28C3"/>
    <w:rsid w:val="006F6077"/>
    <w:rsid w:val="007030F5"/>
    <w:rsid w:val="00703CDE"/>
    <w:rsid w:val="00703ED3"/>
    <w:rsid w:val="00704054"/>
    <w:rsid w:val="00711FB3"/>
    <w:rsid w:val="0071487F"/>
    <w:rsid w:val="007155EB"/>
    <w:rsid w:val="00716BA8"/>
    <w:rsid w:val="007174A8"/>
    <w:rsid w:val="0072084D"/>
    <w:rsid w:val="00720ACC"/>
    <w:rsid w:val="00721EA7"/>
    <w:rsid w:val="007256A5"/>
    <w:rsid w:val="0072572C"/>
    <w:rsid w:val="00725CA7"/>
    <w:rsid w:val="00732686"/>
    <w:rsid w:val="00742332"/>
    <w:rsid w:val="00744031"/>
    <w:rsid w:val="0074431A"/>
    <w:rsid w:val="007465A7"/>
    <w:rsid w:val="0076314C"/>
    <w:rsid w:val="007663A0"/>
    <w:rsid w:val="0076687F"/>
    <w:rsid w:val="00766EA5"/>
    <w:rsid w:val="0076784D"/>
    <w:rsid w:val="00774713"/>
    <w:rsid w:val="00776086"/>
    <w:rsid w:val="007766F3"/>
    <w:rsid w:val="00776F6D"/>
    <w:rsid w:val="00780D03"/>
    <w:rsid w:val="00780FDA"/>
    <w:rsid w:val="00781D42"/>
    <w:rsid w:val="007847BF"/>
    <w:rsid w:val="007858F7"/>
    <w:rsid w:val="007872D9"/>
    <w:rsid w:val="00791147"/>
    <w:rsid w:val="007A05A8"/>
    <w:rsid w:val="007A0960"/>
    <w:rsid w:val="007A4B13"/>
    <w:rsid w:val="007A4D42"/>
    <w:rsid w:val="007A7301"/>
    <w:rsid w:val="007A74F6"/>
    <w:rsid w:val="007B299B"/>
    <w:rsid w:val="007B39AF"/>
    <w:rsid w:val="007B417E"/>
    <w:rsid w:val="007C0051"/>
    <w:rsid w:val="007C53DB"/>
    <w:rsid w:val="007C6FA8"/>
    <w:rsid w:val="007D0391"/>
    <w:rsid w:val="007D171C"/>
    <w:rsid w:val="007D379B"/>
    <w:rsid w:val="007D3D47"/>
    <w:rsid w:val="007D498B"/>
    <w:rsid w:val="007D4CC2"/>
    <w:rsid w:val="007D664C"/>
    <w:rsid w:val="007D6C1F"/>
    <w:rsid w:val="007D788B"/>
    <w:rsid w:val="007E41F6"/>
    <w:rsid w:val="007E67C6"/>
    <w:rsid w:val="007E6D21"/>
    <w:rsid w:val="007E7683"/>
    <w:rsid w:val="007E7E50"/>
    <w:rsid w:val="007F198E"/>
    <w:rsid w:val="007F1FCC"/>
    <w:rsid w:val="007F33F4"/>
    <w:rsid w:val="007F46F9"/>
    <w:rsid w:val="007F50FE"/>
    <w:rsid w:val="007F5D22"/>
    <w:rsid w:val="007F7AAE"/>
    <w:rsid w:val="00800EEC"/>
    <w:rsid w:val="008029E4"/>
    <w:rsid w:val="00802AA4"/>
    <w:rsid w:val="00806191"/>
    <w:rsid w:val="00806292"/>
    <w:rsid w:val="00806EC5"/>
    <w:rsid w:val="00807614"/>
    <w:rsid w:val="00812553"/>
    <w:rsid w:val="00815B67"/>
    <w:rsid w:val="008160A3"/>
    <w:rsid w:val="00820324"/>
    <w:rsid w:val="00820FCC"/>
    <w:rsid w:val="00821F4D"/>
    <w:rsid w:val="0082253A"/>
    <w:rsid w:val="00822F21"/>
    <w:rsid w:val="00825A70"/>
    <w:rsid w:val="00826106"/>
    <w:rsid w:val="00830091"/>
    <w:rsid w:val="00830DC4"/>
    <w:rsid w:val="008311CA"/>
    <w:rsid w:val="00833144"/>
    <w:rsid w:val="00843237"/>
    <w:rsid w:val="008435DB"/>
    <w:rsid w:val="008448AF"/>
    <w:rsid w:val="00845822"/>
    <w:rsid w:val="00846688"/>
    <w:rsid w:val="00850F53"/>
    <w:rsid w:val="008515B7"/>
    <w:rsid w:val="008524A9"/>
    <w:rsid w:val="00853946"/>
    <w:rsid w:val="008572FF"/>
    <w:rsid w:val="00860D42"/>
    <w:rsid w:val="00863ED5"/>
    <w:rsid w:val="00864323"/>
    <w:rsid w:val="00864637"/>
    <w:rsid w:val="00865688"/>
    <w:rsid w:val="00865FD9"/>
    <w:rsid w:val="00865FDC"/>
    <w:rsid w:val="00872CE1"/>
    <w:rsid w:val="00873DAC"/>
    <w:rsid w:val="0087784E"/>
    <w:rsid w:val="0088554A"/>
    <w:rsid w:val="00885B3A"/>
    <w:rsid w:val="00891608"/>
    <w:rsid w:val="00892B61"/>
    <w:rsid w:val="00892F64"/>
    <w:rsid w:val="008953DE"/>
    <w:rsid w:val="00897E30"/>
    <w:rsid w:val="008A35C9"/>
    <w:rsid w:val="008A5BA6"/>
    <w:rsid w:val="008B0978"/>
    <w:rsid w:val="008B118F"/>
    <w:rsid w:val="008B128A"/>
    <w:rsid w:val="008B1335"/>
    <w:rsid w:val="008B2D56"/>
    <w:rsid w:val="008B3E95"/>
    <w:rsid w:val="008B3F06"/>
    <w:rsid w:val="008B6B05"/>
    <w:rsid w:val="008C216C"/>
    <w:rsid w:val="008C235F"/>
    <w:rsid w:val="008C3B43"/>
    <w:rsid w:val="008C7B04"/>
    <w:rsid w:val="008D1CC3"/>
    <w:rsid w:val="008D33F3"/>
    <w:rsid w:val="008D3C25"/>
    <w:rsid w:val="008D474D"/>
    <w:rsid w:val="008D5FE4"/>
    <w:rsid w:val="008D6906"/>
    <w:rsid w:val="008D6DF3"/>
    <w:rsid w:val="008E01F1"/>
    <w:rsid w:val="008E35C2"/>
    <w:rsid w:val="008E3D1C"/>
    <w:rsid w:val="008E4200"/>
    <w:rsid w:val="008E4649"/>
    <w:rsid w:val="008F074C"/>
    <w:rsid w:val="008F4DD6"/>
    <w:rsid w:val="008F5354"/>
    <w:rsid w:val="008F7428"/>
    <w:rsid w:val="00900E1E"/>
    <w:rsid w:val="009024CC"/>
    <w:rsid w:val="00902C14"/>
    <w:rsid w:val="0090624F"/>
    <w:rsid w:val="00910D67"/>
    <w:rsid w:val="00911512"/>
    <w:rsid w:val="009133E4"/>
    <w:rsid w:val="009136BE"/>
    <w:rsid w:val="00914A2C"/>
    <w:rsid w:val="0091572E"/>
    <w:rsid w:val="00922C95"/>
    <w:rsid w:val="00924005"/>
    <w:rsid w:val="0092411F"/>
    <w:rsid w:val="0092430E"/>
    <w:rsid w:val="009247F3"/>
    <w:rsid w:val="00925614"/>
    <w:rsid w:val="00931CB9"/>
    <w:rsid w:val="00932B9A"/>
    <w:rsid w:val="00934DA0"/>
    <w:rsid w:val="00941D85"/>
    <w:rsid w:val="0094235A"/>
    <w:rsid w:val="00946860"/>
    <w:rsid w:val="00947CCC"/>
    <w:rsid w:val="00950FCB"/>
    <w:rsid w:val="00951BAE"/>
    <w:rsid w:val="009573C3"/>
    <w:rsid w:val="00962BC0"/>
    <w:rsid w:val="00963859"/>
    <w:rsid w:val="00965B52"/>
    <w:rsid w:val="00966C85"/>
    <w:rsid w:val="00971B74"/>
    <w:rsid w:val="00973FFE"/>
    <w:rsid w:val="00981323"/>
    <w:rsid w:val="00981921"/>
    <w:rsid w:val="009920BA"/>
    <w:rsid w:val="00992C80"/>
    <w:rsid w:val="00995B92"/>
    <w:rsid w:val="009A36DA"/>
    <w:rsid w:val="009A3F1F"/>
    <w:rsid w:val="009A4DE8"/>
    <w:rsid w:val="009A5A21"/>
    <w:rsid w:val="009A66CA"/>
    <w:rsid w:val="009B1612"/>
    <w:rsid w:val="009B1A50"/>
    <w:rsid w:val="009B4D28"/>
    <w:rsid w:val="009B5EBF"/>
    <w:rsid w:val="009B6AAE"/>
    <w:rsid w:val="009B7277"/>
    <w:rsid w:val="009C37DA"/>
    <w:rsid w:val="009C3A73"/>
    <w:rsid w:val="009C62AF"/>
    <w:rsid w:val="009D0A8C"/>
    <w:rsid w:val="009D1B40"/>
    <w:rsid w:val="009D2037"/>
    <w:rsid w:val="009D3390"/>
    <w:rsid w:val="009D400F"/>
    <w:rsid w:val="009D5E03"/>
    <w:rsid w:val="009D5F3C"/>
    <w:rsid w:val="009D64F8"/>
    <w:rsid w:val="009D785F"/>
    <w:rsid w:val="009D7C49"/>
    <w:rsid w:val="009E0F83"/>
    <w:rsid w:val="009E14FB"/>
    <w:rsid w:val="009E181F"/>
    <w:rsid w:val="009E1D48"/>
    <w:rsid w:val="009E23B8"/>
    <w:rsid w:val="009E2BA0"/>
    <w:rsid w:val="009E65AE"/>
    <w:rsid w:val="009E72FC"/>
    <w:rsid w:val="009E75AA"/>
    <w:rsid w:val="009F03AC"/>
    <w:rsid w:val="009F1AF6"/>
    <w:rsid w:val="009F5FF4"/>
    <w:rsid w:val="009F6EFC"/>
    <w:rsid w:val="009F7D55"/>
    <w:rsid w:val="009F7D7F"/>
    <w:rsid w:val="00A02129"/>
    <w:rsid w:val="00A07BE3"/>
    <w:rsid w:val="00A07F93"/>
    <w:rsid w:val="00A202F8"/>
    <w:rsid w:val="00A2118D"/>
    <w:rsid w:val="00A21A59"/>
    <w:rsid w:val="00A22806"/>
    <w:rsid w:val="00A31EF0"/>
    <w:rsid w:val="00A328BA"/>
    <w:rsid w:val="00A343F2"/>
    <w:rsid w:val="00A35180"/>
    <w:rsid w:val="00A3626C"/>
    <w:rsid w:val="00A378C2"/>
    <w:rsid w:val="00A410B0"/>
    <w:rsid w:val="00A4413E"/>
    <w:rsid w:val="00A54352"/>
    <w:rsid w:val="00A56B22"/>
    <w:rsid w:val="00A576FA"/>
    <w:rsid w:val="00A60397"/>
    <w:rsid w:val="00A6155A"/>
    <w:rsid w:val="00A62665"/>
    <w:rsid w:val="00A63B86"/>
    <w:rsid w:val="00A65853"/>
    <w:rsid w:val="00A66AD0"/>
    <w:rsid w:val="00A671F2"/>
    <w:rsid w:val="00A7105D"/>
    <w:rsid w:val="00A72265"/>
    <w:rsid w:val="00A726FD"/>
    <w:rsid w:val="00A74686"/>
    <w:rsid w:val="00A7566A"/>
    <w:rsid w:val="00A771F2"/>
    <w:rsid w:val="00A85D2C"/>
    <w:rsid w:val="00A92084"/>
    <w:rsid w:val="00A92EF0"/>
    <w:rsid w:val="00A94788"/>
    <w:rsid w:val="00A95217"/>
    <w:rsid w:val="00A96B2A"/>
    <w:rsid w:val="00A96B4E"/>
    <w:rsid w:val="00A975A6"/>
    <w:rsid w:val="00AA120F"/>
    <w:rsid w:val="00AB11E6"/>
    <w:rsid w:val="00AB1A2D"/>
    <w:rsid w:val="00AB51FA"/>
    <w:rsid w:val="00AB6605"/>
    <w:rsid w:val="00AC1206"/>
    <w:rsid w:val="00AC2280"/>
    <w:rsid w:val="00AC2A80"/>
    <w:rsid w:val="00AC6E2A"/>
    <w:rsid w:val="00AD0B76"/>
    <w:rsid w:val="00AD22AD"/>
    <w:rsid w:val="00AD33F0"/>
    <w:rsid w:val="00AE054A"/>
    <w:rsid w:val="00AE3BA4"/>
    <w:rsid w:val="00AE67CE"/>
    <w:rsid w:val="00AE6CD5"/>
    <w:rsid w:val="00AF43D9"/>
    <w:rsid w:val="00AF4A0D"/>
    <w:rsid w:val="00AF730E"/>
    <w:rsid w:val="00B002FE"/>
    <w:rsid w:val="00B008E5"/>
    <w:rsid w:val="00B02E7F"/>
    <w:rsid w:val="00B032F6"/>
    <w:rsid w:val="00B0334C"/>
    <w:rsid w:val="00B11D24"/>
    <w:rsid w:val="00B13A64"/>
    <w:rsid w:val="00B172A0"/>
    <w:rsid w:val="00B2179D"/>
    <w:rsid w:val="00B21A28"/>
    <w:rsid w:val="00B22177"/>
    <w:rsid w:val="00B23C43"/>
    <w:rsid w:val="00B23E55"/>
    <w:rsid w:val="00B24FE1"/>
    <w:rsid w:val="00B25561"/>
    <w:rsid w:val="00B26938"/>
    <w:rsid w:val="00B276B3"/>
    <w:rsid w:val="00B304E7"/>
    <w:rsid w:val="00B33A97"/>
    <w:rsid w:val="00B33CED"/>
    <w:rsid w:val="00B35C24"/>
    <w:rsid w:val="00B3616C"/>
    <w:rsid w:val="00B45919"/>
    <w:rsid w:val="00B4668F"/>
    <w:rsid w:val="00B46DC5"/>
    <w:rsid w:val="00B50435"/>
    <w:rsid w:val="00B52117"/>
    <w:rsid w:val="00B572CF"/>
    <w:rsid w:val="00B608D1"/>
    <w:rsid w:val="00B61184"/>
    <w:rsid w:val="00B636DC"/>
    <w:rsid w:val="00B6424F"/>
    <w:rsid w:val="00B64B3A"/>
    <w:rsid w:val="00B66373"/>
    <w:rsid w:val="00B66B93"/>
    <w:rsid w:val="00B714DE"/>
    <w:rsid w:val="00B725EA"/>
    <w:rsid w:val="00B72698"/>
    <w:rsid w:val="00B72D0A"/>
    <w:rsid w:val="00B73BF5"/>
    <w:rsid w:val="00B751C9"/>
    <w:rsid w:val="00B80666"/>
    <w:rsid w:val="00B8374F"/>
    <w:rsid w:val="00B83F6B"/>
    <w:rsid w:val="00B86467"/>
    <w:rsid w:val="00B868DB"/>
    <w:rsid w:val="00B9189E"/>
    <w:rsid w:val="00B93ABF"/>
    <w:rsid w:val="00B93EF4"/>
    <w:rsid w:val="00B94873"/>
    <w:rsid w:val="00B95445"/>
    <w:rsid w:val="00B95C36"/>
    <w:rsid w:val="00B968D5"/>
    <w:rsid w:val="00B9725F"/>
    <w:rsid w:val="00BA0F64"/>
    <w:rsid w:val="00BA3639"/>
    <w:rsid w:val="00BA39C4"/>
    <w:rsid w:val="00BA5E39"/>
    <w:rsid w:val="00BA6736"/>
    <w:rsid w:val="00BA7138"/>
    <w:rsid w:val="00BA7995"/>
    <w:rsid w:val="00BB62F1"/>
    <w:rsid w:val="00BB7035"/>
    <w:rsid w:val="00BC0E17"/>
    <w:rsid w:val="00BD16EA"/>
    <w:rsid w:val="00BD3FD7"/>
    <w:rsid w:val="00BD4323"/>
    <w:rsid w:val="00BD563F"/>
    <w:rsid w:val="00BD6AA8"/>
    <w:rsid w:val="00BE3275"/>
    <w:rsid w:val="00BE3761"/>
    <w:rsid w:val="00BE3FB8"/>
    <w:rsid w:val="00BE62C5"/>
    <w:rsid w:val="00BF02AF"/>
    <w:rsid w:val="00BF2E8C"/>
    <w:rsid w:val="00BF31D4"/>
    <w:rsid w:val="00BF3247"/>
    <w:rsid w:val="00BF567E"/>
    <w:rsid w:val="00BF5EB4"/>
    <w:rsid w:val="00C00059"/>
    <w:rsid w:val="00C006B9"/>
    <w:rsid w:val="00C02E1F"/>
    <w:rsid w:val="00C05B3A"/>
    <w:rsid w:val="00C10D2E"/>
    <w:rsid w:val="00C11383"/>
    <w:rsid w:val="00C132FF"/>
    <w:rsid w:val="00C1498B"/>
    <w:rsid w:val="00C15C55"/>
    <w:rsid w:val="00C17122"/>
    <w:rsid w:val="00C2149B"/>
    <w:rsid w:val="00C27297"/>
    <w:rsid w:val="00C30C2A"/>
    <w:rsid w:val="00C31A1B"/>
    <w:rsid w:val="00C31EBD"/>
    <w:rsid w:val="00C33408"/>
    <w:rsid w:val="00C340A8"/>
    <w:rsid w:val="00C3657F"/>
    <w:rsid w:val="00C43B93"/>
    <w:rsid w:val="00C5319E"/>
    <w:rsid w:val="00C556D8"/>
    <w:rsid w:val="00C56A94"/>
    <w:rsid w:val="00C576EB"/>
    <w:rsid w:val="00C5779E"/>
    <w:rsid w:val="00C57B5C"/>
    <w:rsid w:val="00C612AD"/>
    <w:rsid w:val="00C61EC4"/>
    <w:rsid w:val="00C62A17"/>
    <w:rsid w:val="00C64B42"/>
    <w:rsid w:val="00C64CE1"/>
    <w:rsid w:val="00C664E4"/>
    <w:rsid w:val="00C67D96"/>
    <w:rsid w:val="00C74CC2"/>
    <w:rsid w:val="00C82084"/>
    <w:rsid w:val="00C84F01"/>
    <w:rsid w:val="00C9169A"/>
    <w:rsid w:val="00C91B38"/>
    <w:rsid w:val="00C92205"/>
    <w:rsid w:val="00C92F8F"/>
    <w:rsid w:val="00C975CC"/>
    <w:rsid w:val="00CA1BEA"/>
    <w:rsid w:val="00CA358D"/>
    <w:rsid w:val="00CA45DA"/>
    <w:rsid w:val="00CA49AB"/>
    <w:rsid w:val="00CA638F"/>
    <w:rsid w:val="00CA63F4"/>
    <w:rsid w:val="00CA65C7"/>
    <w:rsid w:val="00CB1328"/>
    <w:rsid w:val="00CB1800"/>
    <w:rsid w:val="00CB2AC9"/>
    <w:rsid w:val="00CB371B"/>
    <w:rsid w:val="00CB74BB"/>
    <w:rsid w:val="00CC3539"/>
    <w:rsid w:val="00CC5735"/>
    <w:rsid w:val="00CC6677"/>
    <w:rsid w:val="00CC71AD"/>
    <w:rsid w:val="00CC7A27"/>
    <w:rsid w:val="00CD0296"/>
    <w:rsid w:val="00CD2FCB"/>
    <w:rsid w:val="00CD5C29"/>
    <w:rsid w:val="00CD78A7"/>
    <w:rsid w:val="00CE0B59"/>
    <w:rsid w:val="00CE1199"/>
    <w:rsid w:val="00CE49FC"/>
    <w:rsid w:val="00CE4FCE"/>
    <w:rsid w:val="00CE63E4"/>
    <w:rsid w:val="00CE73A6"/>
    <w:rsid w:val="00CF2B48"/>
    <w:rsid w:val="00CF61B5"/>
    <w:rsid w:val="00D00049"/>
    <w:rsid w:val="00D002F1"/>
    <w:rsid w:val="00D051B6"/>
    <w:rsid w:val="00D05843"/>
    <w:rsid w:val="00D062F2"/>
    <w:rsid w:val="00D06E75"/>
    <w:rsid w:val="00D11F7F"/>
    <w:rsid w:val="00D149EE"/>
    <w:rsid w:val="00D20BB4"/>
    <w:rsid w:val="00D226B6"/>
    <w:rsid w:val="00D24219"/>
    <w:rsid w:val="00D24ACC"/>
    <w:rsid w:val="00D254A0"/>
    <w:rsid w:val="00D26544"/>
    <w:rsid w:val="00D27E28"/>
    <w:rsid w:val="00D37196"/>
    <w:rsid w:val="00D37A04"/>
    <w:rsid w:val="00D37EA9"/>
    <w:rsid w:val="00D42A93"/>
    <w:rsid w:val="00D4453C"/>
    <w:rsid w:val="00D528C9"/>
    <w:rsid w:val="00D53304"/>
    <w:rsid w:val="00D55E2F"/>
    <w:rsid w:val="00D5732B"/>
    <w:rsid w:val="00D57475"/>
    <w:rsid w:val="00D6002C"/>
    <w:rsid w:val="00D64EFB"/>
    <w:rsid w:val="00D6634F"/>
    <w:rsid w:val="00D670B1"/>
    <w:rsid w:val="00D67269"/>
    <w:rsid w:val="00D67D82"/>
    <w:rsid w:val="00D70240"/>
    <w:rsid w:val="00D704AD"/>
    <w:rsid w:val="00D70AD3"/>
    <w:rsid w:val="00D71223"/>
    <w:rsid w:val="00D77764"/>
    <w:rsid w:val="00D777AF"/>
    <w:rsid w:val="00D8181F"/>
    <w:rsid w:val="00D81F5E"/>
    <w:rsid w:val="00D8748B"/>
    <w:rsid w:val="00D90295"/>
    <w:rsid w:val="00D905E9"/>
    <w:rsid w:val="00D93E7B"/>
    <w:rsid w:val="00D9523B"/>
    <w:rsid w:val="00D95892"/>
    <w:rsid w:val="00D96043"/>
    <w:rsid w:val="00D97C10"/>
    <w:rsid w:val="00DA05B0"/>
    <w:rsid w:val="00DA5AE4"/>
    <w:rsid w:val="00DA6686"/>
    <w:rsid w:val="00DA7105"/>
    <w:rsid w:val="00DA7EBE"/>
    <w:rsid w:val="00DA7FE3"/>
    <w:rsid w:val="00DB20D3"/>
    <w:rsid w:val="00DB2616"/>
    <w:rsid w:val="00DB3AC4"/>
    <w:rsid w:val="00DB6729"/>
    <w:rsid w:val="00DC038A"/>
    <w:rsid w:val="00DC32E3"/>
    <w:rsid w:val="00DC3EC6"/>
    <w:rsid w:val="00DC5576"/>
    <w:rsid w:val="00DC5D21"/>
    <w:rsid w:val="00DC5DF1"/>
    <w:rsid w:val="00DD191E"/>
    <w:rsid w:val="00DD5E53"/>
    <w:rsid w:val="00DD68F0"/>
    <w:rsid w:val="00DE17CC"/>
    <w:rsid w:val="00DE3C7B"/>
    <w:rsid w:val="00DE4D08"/>
    <w:rsid w:val="00DE4E37"/>
    <w:rsid w:val="00DF2345"/>
    <w:rsid w:val="00DF438C"/>
    <w:rsid w:val="00DF4CA4"/>
    <w:rsid w:val="00DF4E75"/>
    <w:rsid w:val="00DF5D92"/>
    <w:rsid w:val="00E01AFC"/>
    <w:rsid w:val="00E04825"/>
    <w:rsid w:val="00E055C8"/>
    <w:rsid w:val="00E05914"/>
    <w:rsid w:val="00E12245"/>
    <w:rsid w:val="00E14DB3"/>
    <w:rsid w:val="00E1538F"/>
    <w:rsid w:val="00E167EA"/>
    <w:rsid w:val="00E16C41"/>
    <w:rsid w:val="00E17562"/>
    <w:rsid w:val="00E2156A"/>
    <w:rsid w:val="00E21E02"/>
    <w:rsid w:val="00E255DA"/>
    <w:rsid w:val="00E26E21"/>
    <w:rsid w:val="00E3048B"/>
    <w:rsid w:val="00E333DD"/>
    <w:rsid w:val="00E3456E"/>
    <w:rsid w:val="00E34912"/>
    <w:rsid w:val="00E35680"/>
    <w:rsid w:val="00E35A9E"/>
    <w:rsid w:val="00E36533"/>
    <w:rsid w:val="00E3746A"/>
    <w:rsid w:val="00E4464A"/>
    <w:rsid w:val="00E4671A"/>
    <w:rsid w:val="00E53294"/>
    <w:rsid w:val="00E5515E"/>
    <w:rsid w:val="00E56BE8"/>
    <w:rsid w:val="00E57644"/>
    <w:rsid w:val="00E6316C"/>
    <w:rsid w:val="00E664FF"/>
    <w:rsid w:val="00E66748"/>
    <w:rsid w:val="00E67422"/>
    <w:rsid w:val="00E7594B"/>
    <w:rsid w:val="00E75A4F"/>
    <w:rsid w:val="00E77A60"/>
    <w:rsid w:val="00E77C09"/>
    <w:rsid w:val="00E80339"/>
    <w:rsid w:val="00E8037F"/>
    <w:rsid w:val="00E816D5"/>
    <w:rsid w:val="00E82C75"/>
    <w:rsid w:val="00E83387"/>
    <w:rsid w:val="00E83580"/>
    <w:rsid w:val="00E85300"/>
    <w:rsid w:val="00E85911"/>
    <w:rsid w:val="00E86A60"/>
    <w:rsid w:val="00E87190"/>
    <w:rsid w:val="00E90DB8"/>
    <w:rsid w:val="00E9241F"/>
    <w:rsid w:val="00E92F86"/>
    <w:rsid w:val="00EA3B7D"/>
    <w:rsid w:val="00EB09EA"/>
    <w:rsid w:val="00EB131C"/>
    <w:rsid w:val="00EB191C"/>
    <w:rsid w:val="00EB6496"/>
    <w:rsid w:val="00EC3B81"/>
    <w:rsid w:val="00EC55E6"/>
    <w:rsid w:val="00EC6113"/>
    <w:rsid w:val="00EC7A44"/>
    <w:rsid w:val="00ED01E5"/>
    <w:rsid w:val="00ED49A4"/>
    <w:rsid w:val="00ED747B"/>
    <w:rsid w:val="00EE04AF"/>
    <w:rsid w:val="00EE0F6C"/>
    <w:rsid w:val="00EE0FA9"/>
    <w:rsid w:val="00EE1BBC"/>
    <w:rsid w:val="00EE1E6D"/>
    <w:rsid w:val="00EE532A"/>
    <w:rsid w:val="00EE53D6"/>
    <w:rsid w:val="00EE589E"/>
    <w:rsid w:val="00EE592F"/>
    <w:rsid w:val="00EF1003"/>
    <w:rsid w:val="00EF1C78"/>
    <w:rsid w:val="00EF2471"/>
    <w:rsid w:val="00EF27A4"/>
    <w:rsid w:val="00EF51E4"/>
    <w:rsid w:val="00F0249B"/>
    <w:rsid w:val="00F10556"/>
    <w:rsid w:val="00F10A43"/>
    <w:rsid w:val="00F1123A"/>
    <w:rsid w:val="00F119DB"/>
    <w:rsid w:val="00F121A8"/>
    <w:rsid w:val="00F12B29"/>
    <w:rsid w:val="00F14E91"/>
    <w:rsid w:val="00F1507D"/>
    <w:rsid w:val="00F173DC"/>
    <w:rsid w:val="00F17823"/>
    <w:rsid w:val="00F21879"/>
    <w:rsid w:val="00F23B72"/>
    <w:rsid w:val="00F23DB2"/>
    <w:rsid w:val="00F2431F"/>
    <w:rsid w:val="00F26C44"/>
    <w:rsid w:val="00F302FD"/>
    <w:rsid w:val="00F30A10"/>
    <w:rsid w:val="00F30AA6"/>
    <w:rsid w:val="00F3360F"/>
    <w:rsid w:val="00F3626A"/>
    <w:rsid w:val="00F369B1"/>
    <w:rsid w:val="00F40A84"/>
    <w:rsid w:val="00F431FB"/>
    <w:rsid w:val="00F46B62"/>
    <w:rsid w:val="00F503C3"/>
    <w:rsid w:val="00F522B6"/>
    <w:rsid w:val="00F5465D"/>
    <w:rsid w:val="00F55482"/>
    <w:rsid w:val="00F617BB"/>
    <w:rsid w:val="00F633E5"/>
    <w:rsid w:val="00F656EE"/>
    <w:rsid w:val="00F67B34"/>
    <w:rsid w:val="00F702D5"/>
    <w:rsid w:val="00F70EE1"/>
    <w:rsid w:val="00F71B47"/>
    <w:rsid w:val="00F72D9F"/>
    <w:rsid w:val="00F736BF"/>
    <w:rsid w:val="00F77FA1"/>
    <w:rsid w:val="00F804B8"/>
    <w:rsid w:val="00F81737"/>
    <w:rsid w:val="00F82355"/>
    <w:rsid w:val="00F868EC"/>
    <w:rsid w:val="00F87EE6"/>
    <w:rsid w:val="00F9335F"/>
    <w:rsid w:val="00F93BE3"/>
    <w:rsid w:val="00F94AB7"/>
    <w:rsid w:val="00F94B42"/>
    <w:rsid w:val="00F9569F"/>
    <w:rsid w:val="00F95D9F"/>
    <w:rsid w:val="00F96253"/>
    <w:rsid w:val="00F97A9C"/>
    <w:rsid w:val="00FA036A"/>
    <w:rsid w:val="00FA35C9"/>
    <w:rsid w:val="00FA404A"/>
    <w:rsid w:val="00FA4573"/>
    <w:rsid w:val="00FB1599"/>
    <w:rsid w:val="00FB370B"/>
    <w:rsid w:val="00FB3AA5"/>
    <w:rsid w:val="00FB6BB2"/>
    <w:rsid w:val="00FC0A18"/>
    <w:rsid w:val="00FC1DBE"/>
    <w:rsid w:val="00FC296A"/>
    <w:rsid w:val="00FC6C57"/>
    <w:rsid w:val="00FC7728"/>
    <w:rsid w:val="00FD2B5C"/>
    <w:rsid w:val="00FD3029"/>
    <w:rsid w:val="00FD5A99"/>
    <w:rsid w:val="00FD5DC5"/>
    <w:rsid w:val="00FD7971"/>
    <w:rsid w:val="00FE3275"/>
    <w:rsid w:val="00FE4F3B"/>
    <w:rsid w:val="00FF30FD"/>
    <w:rsid w:val="00FF4899"/>
    <w:rsid w:val="01815D93"/>
    <w:rsid w:val="02C509B7"/>
    <w:rsid w:val="0347DA54"/>
    <w:rsid w:val="03E34B4A"/>
    <w:rsid w:val="05BBEAA1"/>
    <w:rsid w:val="063A7248"/>
    <w:rsid w:val="06759CE2"/>
    <w:rsid w:val="06FCF9BF"/>
    <w:rsid w:val="08761C54"/>
    <w:rsid w:val="09B6A3A5"/>
    <w:rsid w:val="09F7C762"/>
    <w:rsid w:val="0BDF7E28"/>
    <w:rsid w:val="0D1E6C24"/>
    <w:rsid w:val="0D5D7E53"/>
    <w:rsid w:val="0F7CDC4C"/>
    <w:rsid w:val="0F84AC36"/>
    <w:rsid w:val="1114E015"/>
    <w:rsid w:val="11FD1BA1"/>
    <w:rsid w:val="124477F8"/>
    <w:rsid w:val="12EA7817"/>
    <w:rsid w:val="171EC9B2"/>
    <w:rsid w:val="17E05EA6"/>
    <w:rsid w:val="1876E216"/>
    <w:rsid w:val="190E6C4D"/>
    <w:rsid w:val="1B18FD76"/>
    <w:rsid w:val="1B3A6824"/>
    <w:rsid w:val="1CD9149D"/>
    <w:rsid w:val="1E281261"/>
    <w:rsid w:val="1E5830D7"/>
    <w:rsid w:val="1EFC6873"/>
    <w:rsid w:val="20710EB3"/>
    <w:rsid w:val="224805DD"/>
    <w:rsid w:val="22705206"/>
    <w:rsid w:val="2519A162"/>
    <w:rsid w:val="257E8B3F"/>
    <w:rsid w:val="27C80570"/>
    <w:rsid w:val="282B3A4A"/>
    <w:rsid w:val="29B23808"/>
    <w:rsid w:val="2B066FDD"/>
    <w:rsid w:val="2CC13624"/>
    <w:rsid w:val="2E48C493"/>
    <w:rsid w:val="316C8F25"/>
    <w:rsid w:val="334BEA30"/>
    <w:rsid w:val="35005605"/>
    <w:rsid w:val="35DC0B07"/>
    <w:rsid w:val="375190D7"/>
    <w:rsid w:val="3952F563"/>
    <w:rsid w:val="399A290F"/>
    <w:rsid w:val="3DF5499F"/>
    <w:rsid w:val="3E1C4652"/>
    <w:rsid w:val="3EB9B950"/>
    <w:rsid w:val="3F85FEBC"/>
    <w:rsid w:val="40020322"/>
    <w:rsid w:val="40351001"/>
    <w:rsid w:val="41FE7D58"/>
    <w:rsid w:val="44E23CBC"/>
    <w:rsid w:val="47826249"/>
    <w:rsid w:val="487E26D2"/>
    <w:rsid w:val="48ABBBF6"/>
    <w:rsid w:val="4A419B57"/>
    <w:rsid w:val="4B3F8850"/>
    <w:rsid w:val="4C5182E2"/>
    <w:rsid w:val="4C5D2B3D"/>
    <w:rsid w:val="4D376283"/>
    <w:rsid w:val="4E73E3AC"/>
    <w:rsid w:val="4EE3D595"/>
    <w:rsid w:val="4F426A29"/>
    <w:rsid w:val="4F5F0D1D"/>
    <w:rsid w:val="4FBE3120"/>
    <w:rsid w:val="50CFB6E7"/>
    <w:rsid w:val="51527781"/>
    <w:rsid w:val="56874052"/>
    <w:rsid w:val="569B4557"/>
    <w:rsid w:val="56C10761"/>
    <w:rsid w:val="5865D2D7"/>
    <w:rsid w:val="58E6E65E"/>
    <w:rsid w:val="5985C803"/>
    <w:rsid w:val="5B49C77C"/>
    <w:rsid w:val="5BF2E3C5"/>
    <w:rsid w:val="5CEDB2D5"/>
    <w:rsid w:val="5D1ACD4A"/>
    <w:rsid w:val="5F328C1A"/>
    <w:rsid w:val="60B6DFD7"/>
    <w:rsid w:val="61171F97"/>
    <w:rsid w:val="6341BE33"/>
    <w:rsid w:val="63EDAD0D"/>
    <w:rsid w:val="67004EC8"/>
    <w:rsid w:val="68069E51"/>
    <w:rsid w:val="68706692"/>
    <w:rsid w:val="6B2B347B"/>
    <w:rsid w:val="6C5BA02A"/>
    <w:rsid w:val="6D597C03"/>
    <w:rsid w:val="6F164606"/>
    <w:rsid w:val="7025CF9C"/>
    <w:rsid w:val="70A35626"/>
    <w:rsid w:val="7208A339"/>
    <w:rsid w:val="74017D59"/>
    <w:rsid w:val="746D1DC1"/>
    <w:rsid w:val="757E2F24"/>
    <w:rsid w:val="783034F5"/>
    <w:rsid w:val="79CB9BDA"/>
    <w:rsid w:val="7BAA40BC"/>
    <w:rsid w:val="7C4F8D03"/>
    <w:rsid w:val="7D51501C"/>
    <w:rsid w:val="7D57EBCF"/>
    <w:rsid w:val="7DC62EC5"/>
    <w:rsid w:val="7FBA4C5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6AF74A72"/>
  <w15:chartTrackingRefBased/>
  <w15:docId w15:val="{CE03654A-02B4-6840-8739-6DF2178A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A5BA6"/>
    <w:pPr>
      <w:spacing w:after="0" w:line="240" w:lineRule="auto"/>
    </w:pPr>
    <w:rPr>
      <w:rFonts w:ascii="Times New Roman" w:eastAsia="MS Mincho" w:hAnsi="Times New Roman" w:cs="Times New Roman"/>
      <w:kern w:val="0"/>
      <w:szCs w:val="22"/>
      <w14:ligatures w14:val="none"/>
    </w:rPr>
  </w:style>
  <w:style w:type="paragraph" w:styleId="Heading1">
    <w:name w:val="heading 1"/>
    <w:basedOn w:val="Normal"/>
    <w:next w:val="Normal"/>
    <w:link w:val="Heading1Char"/>
    <w:uiPriority w:val="9"/>
    <w:qFormat/>
    <w:rsid w:val="008A5B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5B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B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A5B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B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B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B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B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B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B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5B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B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A5B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B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B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B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B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BA6"/>
    <w:rPr>
      <w:rFonts w:eastAsiaTheme="majorEastAsia" w:cstheme="majorBidi"/>
      <w:color w:val="272727" w:themeColor="text1" w:themeTint="D8"/>
    </w:rPr>
  </w:style>
  <w:style w:type="paragraph" w:styleId="Title">
    <w:name w:val="Title"/>
    <w:basedOn w:val="Normal"/>
    <w:next w:val="Normal"/>
    <w:link w:val="TitleChar"/>
    <w:uiPriority w:val="10"/>
    <w:qFormat/>
    <w:rsid w:val="008A5B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B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B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B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BA6"/>
    <w:pPr>
      <w:spacing w:before="160"/>
      <w:jc w:val="center"/>
    </w:pPr>
    <w:rPr>
      <w:i/>
      <w:iCs/>
      <w:color w:val="404040" w:themeColor="text1" w:themeTint="BF"/>
    </w:rPr>
  </w:style>
  <w:style w:type="character" w:customStyle="1" w:styleId="QuoteChar">
    <w:name w:val="Quote Char"/>
    <w:basedOn w:val="DefaultParagraphFont"/>
    <w:link w:val="Quote"/>
    <w:uiPriority w:val="29"/>
    <w:rsid w:val="008A5BA6"/>
    <w:rPr>
      <w:i/>
      <w:iCs/>
      <w:color w:val="404040" w:themeColor="text1" w:themeTint="BF"/>
    </w:rPr>
  </w:style>
  <w:style w:type="paragraph" w:styleId="ListParagraph">
    <w:name w:val="List Paragraph"/>
    <w:basedOn w:val="Normal"/>
    <w:uiPriority w:val="34"/>
    <w:qFormat/>
    <w:rsid w:val="008A5BA6"/>
    <w:pPr>
      <w:ind w:left="720"/>
      <w:contextualSpacing/>
    </w:pPr>
  </w:style>
  <w:style w:type="character" w:styleId="IntenseEmphasis">
    <w:name w:val="Intense Emphasis"/>
    <w:basedOn w:val="DefaultParagraphFont"/>
    <w:uiPriority w:val="21"/>
    <w:qFormat/>
    <w:rsid w:val="008A5BA6"/>
    <w:rPr>
      <w:i/>
      <w:iCs/>
      <w:color w:val="0F4761" w:themeColor="accent1" w:themeShade="BF"/>
    </w:rPr>
  </w:style>
  <w:style w:type="paragraph" w:styleId="IntenseQuote">
    <w:name w:val="Intense Quote"/>
    <w:basedOn w:val="Normal"/>
    <w:next w:val="Normal"/>
    <w:link w:val="IntenseQuoteChar"/>
    <w:uiPriority w:val="30"/>
    <w:qFormat/>
    <w:rsid w:val="008A5B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BA6"/>
    <w:rPr>
      <w:i/>
      <w:iCs/>
      <w:color w:val="0F4761" w:themeColor="accent1" w:themeShade="BF"/>
    </w:rPr>
  </w:style>
  <w:style w:type="character" w:styleId="IntenseReference">
    <w:name w:val="Intense Reference"/>
    <w:basedOn w:val="DefaultParagraphFont"/>
    <w:uiPriority w:val="32"/>
    <w:qFormat/>
    <w:rsid w:val="008A5BA6"/>
    <w:rPr>
      <w:b/>
      <w:bCs/>
      <w:smallCaps/>
      <w:color w:val="0F4761" w:themeColor="accent1" w:themeShade="BF"/>
      <w:spacing w:val="5"/>
    </w:rPr>
  </w:style>
  <w:style w:type="paragraph" w:styleId="CommentText">
    <w:name w:val="annotation text"/>
    <w:aliases w:val="Times New Roman,t"/>
    <w:basedOn w:val="Normal"/>
    <w:link w:val="CommentTextChar"/>
    <w:uiPriority w:val="99"/>
    <w:unhideWhenUsed/>
    <w:qFormat/>
    <w:rsid w:val="008A5BA6"/>
    <w:rPr>
      <w:rFonts w:eastAsia="Times New Roman"/>
      <w:sz w:val="20"/>
      <w:szCs w:val="20"/>
    </w:rPr>
  </w:style>
  <w:style w:type="character" w:customStyle="1" w:styleId="CommentTextChar">
    <w:name w:val="Comment Text Char"/>
    <w:aliases w:val="Times New Roman Char,t Char"/>
    <w:basedOn w:val="DefaultParagraphFont"/>
    <w:link w:val="CommentText"/>
    <w:uiPriority w:val="99"/>
    <w:rsid w:val="008A5BA6"/>
    <w:rPr>
      <w:rFonts w:ascii="Times New Roman" w:eastAsia="Times New Roman" w:hAnsi="Times New Roman" w:cs="Times New Roman"/>
      <w:kern w:val="0"/>
      <w:sz w:val="20"/>
      <w:szCs w:val="20"/>
      <w14:ligatures w14:val="none"/>
    </w:rPr>
  </w:style>
  <w:style w:type="character" w:styleId="CommentReference">
    <w:name w:val="annotation reference"/>
    <w:basedOn w:val="DefaultParagraphFont"/>
    <w:uiPriority w:val="99"/>
    <w:unhideWhenUsed/>
    <w:rsid w:val="008A5BA6"/>
    <w:rPr>
      <w:sz w:val="16"/>
      <w:szCs w:val="16"/>
    </w:rPr>
  </w:style>
  <w:style w:type="table" w:customStyle="1" w:styleId="TableGrid0">
    <w:name w:val="Table Grid_0"/>
    <w:basedOn w:val="TableNormal"/>
    <w:uiPriority w:val="39"/>
    <w:rsid w:val="008A5BA6"/>
    <w:pPr>
      <w:spacing w:after="0" w:line="240" w:lineRule="auto"/>
    </w:pPr>
    <w:rPr>
      <w:rFonts w:ascii="Times New Roman" w:eastAsia="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8A5BA6"/>
    <w:rPr>
      <w:color w:val="2B579A"/>
      <w:shd w:val="clear" w:color="auto" w:fill="E1DFDD"/>
    </w:rPr>
  </w:style>
  <w:style w:type="paragraph" w:customStyle="1" w:styleId="TableParagraph">
    <w:name w:val="Table Paragraph"/>
    <w:basedOn w:val="Normal"/>
    <w:uiPriority w:val="1"/>
    <w:qFormat/>
    <w:rsid w:val="008A5BA6"/>
    <w:pPr>
      <w:widowControl w:val="0"/>
      <w:autoSpaceDE w:val="0"/>
      <w:autoSpaceDN w:val="0"/>
      <w:spacing w:line="270" w:lineRule="exact"/>
      <w:jc w:val="center"/>
    </w:pPr>
    <w:rPr>
      <w:rFonts w:eastAsia="Times New Roman"/>
      <w:sz w:val="22"/>
    </w:rPr>
  </w:style>
  <w:style w:type="paragraph" w:styleId="BodyText">
    <w:name w:val="Body Text"/>
    <w:basedOn w:val="Normal"/>
    <w:link w:val="BodyTextChar"/>
    <w:uiPriority w:val="1"/>
    <w:qFormat/>
    <w:rsid w:val="00027196"/>
    <w:pPr>
      <w:widowControl w:val="0"/>
      <w:autoSpaceDE w:val="0"/>
      <w:autoSpaceDN w:val="0"/>
    </w:pPr>
    <w:rPr>
      <w:rFonts w:eastAsia="Times New Roman"/>
      <w:szCs w:val="24"/>
    </w:rPr>
  </w:style>
  <w:style w:type="character" w:customStyle="1" w:styleId="BodyTextChar">
    <w:name w:val="Body Text Char"/>
    <w:basedOn w:val="DefaultParagraphFont"/>
    <w:link w:val="BodyText"/>
    <w:uiPriority w:val="1"/>
    <w:rsid w:val="00027196"/>
    <w:rPr>
      <w:rFonts w:ascii="Times New Roman" w:eastAsia="Times New Roman" w:hAnsi="Times New Roman" w:cs="Times New Roman"/>
      <w:kern w:val="0"/>
      <w14:ligatures w14:val="none"/>
    </w:rPr>
  </w:style>
  <w:style w:type="paragraph" w:styleId="Revision">
    <w:name w:val="Revision"/>
    <w:hidden/>
    <w:uiPriority w:val="99"/>
    <w:semiHidden/>
    <w:rsid w:val="00D777AF"/>
    <w:pPr>
      <w:spacing w:after="0" w:line="240" w:lineRule="auto"/>
    </w:pPr>
    <w:rPr>
      <w:rFonts w:ascii="Times New Roman" w:eastAsia="MS Mincho" w:hAnsi="Times New Roman" w:cs="Times New Roman"/>
      <w:kern w:val="0"/>
      <w:szCs w:val="22"/>
      <w14:ligatures w14:val="none"/>
    </w:rPr>
  </w:style>
  <w:style w:type="paragraph" w:styleId="Header">
    <w:name w:val="header"/>
    <w:basedOn w:val="Normal"/>
    <w:link w:val="HeaderChar"/>
    <w:uiPriority w:val="99"/>
    <w:unhideWhenUsed/>
    <w:rsid w:val="00E66748"/>
    <w:pPr>
      <w:tabs>
        <w:tab w:val="center" w:pos="4680"/>
        <w:tab w:val="right" w:pos="9360"/>
      </w:tabs>
    </w:pPr>
  </w:style>
  <w:style w:type="character" w:customStyle="1" w:styleId="HeaderChar">
    <w:name w:val="Header Char"/>
    <w:basedOn w:val="DefaultParagraphFont"/>
    <w:link w:val="Header"/>
    <w:uiPriority w:val="99"/>
    <w:rsid w:val="00E66748"/>
    <w:rPr>
      <w:rFonts w:ascii="Times New Roman" w:eastAsia="MS Mincho" w:hAnsi="Times New Roman" w:cs="Times New Roman"/>
      <w:kern w:val="0"/>
      <w:szCs w:val="22"/>
      <w14:ligatures w14:val="none"/>
    </w:rPr>
  </w:style>
  <w:style w:type="paragraph" w:styleId="Footer">
    <w:name w:val="footer"/>
    <w:basedOn w:val="Normal"/>
    <w:link w:val="FooterChar"/>
    <w:uiPriority w:val="99"/>
    <w:unhideWhenUsed/>
    <w:rsid w:val="00E66748"/>
    <w:pPr>
      <w:tabs>
        <w:tab w:val="center" w:pos="4680"/>
        <w:tab w:val="right" w:pos="9360"/>
      </w:tabs>
    </w:pPr>
  </w:style>
  <w:style w:type="character" w:customStyle="1" w:styleId="FooterChar">
    <w:name w:val="Footer Char"/>
    <w:basedOn w:val="DefaultParagraphFont"/>
    <w:link w:val="Footer"/>
    <w:uiPriority w:val="99"/>
    <w:rsid w:val="00E66748"/>
    <w:rPr>
      <w:rFonts w:ascii="Times New Roman" w:eastAsia="MS Mincho" w:hAnsi="Times New Roman" w:cs="Times New Roman"/>
      <w:kern w:val="0"/>
      <w:szCs w:val="22"/>
      <w14:ligatures w14:val="none"/>
    </w:rPr>
  </w:style>
  <w:style w:type="paragraph" w:styleId="FootnoteText">
    <w:name w:val="footnote text"/>
    <w:basedOn w:val="Normal"/>
    <w:link w:val="FootnoteTextChar"/>
    <w:uiPriority w:val="99"/>
    <w:semiHidden/>
    <w:unhideWhenUsed/>
    <w:rsid w:val="00E66748"/>
    <w:rPr>
      <w:sz w:val="20"/>
      <w:szCs w:val="20"/>
    </w:rPr>
  </w:style>
  <w:style w:type="character" w:customStyle="1" w:styleId="FootnoteTextChar">
    <w:name w:val="Footnote Text Char"/>
    <w:basedOn w:val="DefaultParagraphFont"/>
    <w:link w:val="FootnoteText"/>
    <w:uiPriority w:val="99"/>
    <w:semiHidden/>
    <w:rsid w:val="00E66748"/>
    <w:rPr>
      <w:rFonts w:ascii="Times New Roman" w:eastAsia="MS Mincho"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E66748"/>
    <w:rPr>
      <w:vertAlign w:val="superscript"/>
    </w:rPr>
  </w:style>
  <w:style w:type="table" w:styleId="TableGrid">
    <w:name w:val="Table Grid"/>
    <w:basedOn w:val="TableNormal"/>
    <w:uiPriority w:val="59"/>
    <w:rsid w:val="00370AE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79E"/>
    <w:rPr>
      <w:color w:val="467886"/>
      <w:u w:val="single"/>
    </w:rPr>
  </w:style>
  <w:style w:type="paragraph" w:styleId="CommentSubject">
    <w:name w:val="annotation subject"/>
    <w:basedOn w:val="CommentText"/>
    <w:next w:val="CommentText"/>
    <w:link w:val="CommentSubjectChar"/>
    <w:uiPriority w:val="99"/>
    <w:semiHidden/>
    <w:unhideWhenUsed/>
    <w:rsid w:val="005D5826"/>
    <w:rPr>
      <w:rFonts w:eastAsia="MS Mincho"/>
      <w:b/>
      <w:bCs/>
    </w:rPr>
  </w:style>
  <w:style w:type="character" w:customStyle="1" w:styleId="CommentSubjectChar">
    <w:name w:val="Comment Subject Char"/>
    <w:basedOn w:val="CommentTextChar"/>
    <w:link w:val="CommentSubject"/>
    <w:uiPriority w:val="99"/>
    <w:semiHidden/>
    <w:rsid w:val="005D5826"/>
    <w:rPr>
      <w:rFonts w:ascii="Times New Roman" w:eastAsia="MS Mincho" w:hAnsi="Times New Roman" w:cs="Times New Roman"/>
      <w:b/>
      <w:bCs/>
      <w:kern w:val="0"/>
      <w:sz w:val="20"/>
      <w:szCs w:val="20"/>
      <w14:ligatures w14:val="none"/>
    </w:rPr>
  </w:style>
  <w:style w:type="paragraph" w:customStyle="1" w:styleId="Body">
    <w:name w:val="Body"/>
    <w:basedOn w:val="Normal"/>
    <w:link w:val="BodyChar"/>
    <w:qFormat/>
    <w:rsid w:val="00C64CE1"/>
    <w:pPr>
      <w:spacing w:after="200" w:line="276" w:lineRule="auto"/>
    </w:pPr>
    <w:rPr>
      <w:rFonts w:eastAsia="Times New Roman"/>
      <w:szCs w:val="24"/>
    </w:rPr>
  </w:style>
  <w:style w:type="character" w:customStyle="1" w:styleId="BodyChar">
    <w:name w:val="Body Char"/>
    <w:link w:val="Body"/>
    <w:rsid w:val="00C64CE1"/>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E1538F"/>
    <w:rPr>
      <w:color w:val="605E5C"/>
      <w:shd w:val="clear" w:color="auto" w:fill="E1DFDD"/>
    </w:rPr>
  </w:style>
  <w:style w:type="character" w:styleId="FollowedHyperlink">
    <w:name w:val="FollowedHyperlink"/>
    <w:basedOn w:val="DefaultParagraphFont"/>
    <w:uiPriority w:val="99"/>
    <w:semiHidden/>
    <w:unhideWhenUsed/>
    <w:rsid w:val="00A7105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bls.gov/oes/current/oes_stru.htm" TargetMode="External" /><Relationship Id="rId7" Type="http://schemas.openxmlformats.org/officeDocument/2006/relationships/hyperlink" Target="https://aws.amazon.com/s3/pricing/" TargetMode="External" /><Relationship Id="rId8" Type="http://schemas.openxmlformats.org/officeDocument/2006/relationships/hyperlink" Target="https://www.opm.gov/policy-data-oversight/pay-leave/salaries-wages/salary-tables/26Tables/html/DCB_h.aspx"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cms.gov/files/document/py27-issuer-ab-oversight-guidance.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1FF2D-A2C7-444C-B7A2-2927980D4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4135</Words>
  <Characters>23615</Characters>
  <Application>Microsoft Office Word</Application>
  <DocSecurity>0</DocSecurity>
  <Lines>715</Lines>
  <Paragraphs>334</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27416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Rebecca (CMS/CCIIO)</dc:creator>
  <cp:lastModifiedBy>Parham, William (CMS/OSORA)</cp:lastModifiedBy>
  <cp:revision>2</cp:revision>
  <dcterms:created xsi:type="dcterms:W3CDTF">2026-10-30T19:44:00Z</dcterms:created>
  <dcterms:modified xsi:type="dcterms:W3CDTF">2026-10-30T19:44:00Z</dcterms:modified>
</cp:coreProperties>
</file>