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70BB8" w:rsidP="00C70BB8" w14:paraId="7D89F4D5" w14:textId="77777777">
      <w:pPr>
        <w:spacing w:after="0"/>
        <w:jc w:val="center"/>
        <w:rPr>
          <w:rFonts w:ascii="Times New Roman" w:hAnsi="Times New Roman"/>
          <w:b/>
          <w:bCs/>
        </w:rPr>
      </w:pPr>
      <w:r w:rsidRPr="003F0424">
        <w:rPr>
          <w:rFonts w:ascii="Times New Roman" w:eastAsia="Times New Roman" w:hAnsi="Times New Roman" w:cs="Times New Roman"/>
          <w:b/>
          <w:kern w:val="0"/>
          <w14:ligatures w14:val="none"/>
        </w:rPr>
        <w:t xml:space="preserve">Addendum to the Supporting Statement for </w:t>
      </w:r>
      <w:r w:rsidRPr="00CE51C8">
        <w:rPr>
          <w:rFonts w:ascii="Times New Roman" w:hAnsi="Times New Roman"/>
          <w:b/>
          <w:bCs/>
        </w:rPr>
        <w:t xml:space="preserve">the Information Collection Tools for the State </w:t>
      </w:r>
      <w:r>
        <w:rPr>
          <w:rFonts w:ascii="Times New Roman" w:hAnsi="Times New Roman"/>
          <w:b/>
          <w:bCs/>
        </w:rPr>
        <w:t xml:space="preserve">of  </w:t>
      </w:r>
      <w:r w:rsidRPr="00CE51C8">
        <w:rPr>
          <w:rFonts w:ascii="Times New Roman" w:hAnsi="Times New Roman"/>
          <w:b/>
          <w:bCs/>
        </w:rPr>
        <w:t xml:space="preserve">Georgia’s Criminal Justice Coordinating Council’s (CJCC) Evaluation of the </w:t>
      </w:r>
    </w:p>
    <w:p w:rsidR="00C70BB8" w:rsidP="00C70BB8" w14:paraId="01411204" w14:textId="77777777">
      <w:pPr>
        <w:spacing w:after="0"/>
        <w:jc w:val="center"/>
        <w:rPr>
          <w:rFonts w:ascii="Times New Roman" w:hAnsi="Times New Roman"/>
          <w:b/>
          <w:bCs/>
        </w:rPr>
      </w:pPr>
      <w:r w:rsidRPr="00CE51C8">
        <w:rPr>
          <w:rFonts w:ascii="Times New Roman" w:hAnsi="Times New Roman"/>
          <w:b/>
          <w:bCs/>
        </w:rPr>
        <w:t xml:space="preserve">Implementation of the SSI/SSDI Outreach, Access, and Recovery (SOAR) Model in </w:t>
      </w:r>
    </w:p>
    <w:p w:rsidR="00C70BB8" w:rsidP="00C70BB8" w14:paraId="470AEAF4" w14:textId="77777777">
      <w:pPr>
        <w:keepNext/>
        <w:spacing w:after="0" w:line="240" w:lineRule="auto"/>
        <w:jc w:val="center"/>
        <w:outlineLvl w:val="0"/>
        <w:rPr>
          <w:rFonts w:ascii="Times New Roman" w:hAnsi="Times New Roman"/>
          <w:b/>
          <w:bCs/>
        </w:rPr>
      </w:pPr>
      <w:r w:rsidRPr="00CE51C8">
        <w:rPr>
          <w:rFonts w:ascii="Times New Roman" w:hAnsi="Times New Roman"/>
          <w:b/>
          <w:bCs/>
        </w:rPr>
        <w:t>County Jails</w:t>
      </w:r>
    </w:p>
    <w:p w:rsidR="00C70BB8" w:rsidP="00C70BB8" w14:paraId="35EB7EB4" w14:textId="77777777">
      <w:pPr>
        <w:spacing w:after="0" w:line="240" w:lineRule="auto"/>
        <w:jc w:val="center"/>
        <w:rPr>
          <w:rFonts w:ascii="Times New Roman" w:hAnsi="Times New Roman"/>
          <w:b/>
        </w:rPr>
      </w:pPr>
      <w:r w:rsidRPr="00400DCF">
        <w:rPr>
          <w:rFonts w:ascii="Times New Roman" w:hAnsi="Times New Roman"/>
          <w:b/>
        </w:rPr>
        <w:t>OMB No. 0960-0</w:t>
      </w:r>
      <w:r>
        <w:rPr>
          <w:rFonts w:ascii="Times New Roman" w:hAnsi="Times New Roman"/>
          <w:b/>
        </w:rPr>
        <w:t>833</w:t>
      </w:r>
    </w:p>
    <w:p w:rsidR="003B6FB0" w:rsidRPr="003F0424" w:rsidP="003B6FB0" w14:paraId="0406B51C" w14:textId="77777777">
      <w:pPr>
        <w:widowControl w:val="0"/>
        <w:snapToGrid w:val="0"/>
        <w:spacing w:after="0" w:line="240" w:lineRule="auto"/>
        <w:rPr>
          <w:rFonts w:ascii="Times New Roman" w:eastAsia="Times New Roman" w:hAnsi="Times New Roman" w:cs="Times New Roman"/>
          <w:b/>
          <w:kern w:val="0"/>
          <w14:ligatures w14:val="none"/>
        </w:rPr>
      </w:pPr>
    </w:p>
    <w:p w:rsidR="003B6FB0" w:rsidP="003B6FB0" w14:paraId="105EA215" w14:textId="18A4160F">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t xml:space="preserve">Minor </w:t>
      </w:r>
      <w:r w:rsidRPr="003F0424">
        <w:rPr>
          <w:rFonts w:ascii="Times New Roman" w:eastAsia="Times New Roman" w:hAnsi="Times New Roman" w:cs="Times New Roman"/>
          <w:b/>
          <w:bCs/>
          <w:kern w:val="0"/>
          <w:u w:val="single"/>
          <w14:ligatures w14:val="none"/>
        </w:rPr>
        <w:t>Revisions to the Collection Instrument</w:t>
      </w:r>
      <w:r w:rsidR="003F0424">
        <w:rPr>
          <w:rFonts w:ascii="Times New Roman" w:eastAsia="Times New Roman" w:hAnsi="Times New Roman" w:cs="Times New Roman"/>
          <w:b/>
          <w:bCs/>
          <w:kern w:val="0"/>
          <w:u w:val="single"/>
          <w14:ligatures w14:val="none"/>
        </w:rPr>
        <w:t>s</w:t>
      </w:r>
    </w:p>
    <w:p w:rsidR="003F0424" w:rsidP="003B6FB0" w14:paraId="197CA7DE" w14:textId="77777777">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p>
    <w:p w:rsidR="00C70BB8" w:rsidRPr="00C70BB8" w:rsidP="00C70BB8" w14:paraId="15AC59B9" w14:textId="77777777">
      <w:pPr>
        <w:rPr>
          <w:rFonts w:ascii="Times New Roman" w:hAnsi="Times New Roman"/>
        </w:rPr>
      </w:pPr>
      <w:r w:rsidRPr="00C70BB8">
        <w:rPr>
          <w:rFonts w:ascii="Times New Roman" w:hAnsi="Times New Roman"/>
        </w:rPr>
        <w:t>SSA is making the following revisions:</w:t>
      </w:r>
    </w:p>
    <w:p w:rsidR="003F0424" w:rsidP="003F0424" w14:paraId="3613D4B7" w14:textId="47D6FD3A">
      <w:pPr>
        <w:pStyle w:val="ListParagraph"/>
        <w:numPr>
          <w:ilvl w:val="0"/>
          <w:numId w:val="4"/>
        </w:numPr>
        <w:rPr>
          <w:rFonts w:ascii="Times New Roman" w:hAnsi="Times New Roman" w:cs="Times New Roman"/>
        </w:rPr>
      </w:pPr>
      <w:r w:rsidRPr="003F0424">
        <w:rPr>
          <w:rFonts w:ascii="Times New Roman" w:hAnsi="Times New Roman" w:cs="Times New Roman"/>
          <w:b/>
          <w:bCs/>
        </w:rPr>
        <w:t>Change #</w:t>
      </w:r>
      <w:r w:rsidRPr="003F0424" w:rsidR="00A3097F">
        <w:rPr>
          <w:rFonts w:ascii="Times New Roman" w:hAnsi="Times New Roman" w:cs="Times New Roman"/>
          <w:b/>
          <w:bCs/>
        </w:rPr>
        <w:t>1</w:t>
      </w:r>
      <w:r w:rsidRPr="003F0424">
        <w:rPr>
          <w:rFonts w:ascii="Times New Roman" w:hAnsi="Times New Roman" w:cs="Times New Roman"/>
        </w:rPr>
        <w:t xml:space="preserve">: </w:t>
      </w:r>
      <w:r>
        <w:rPr>
          <w:rFonts w:ascii="Times New Roman" w:hAnsi="Times New Roman" w:cs="Times New Roman"/>
        </w:rPr>
        <w:t xml:space="preserve"> </w:t>
      </w:r>
      <w:r w:rsidR="00BE2F47">
        <w:rPr>
          <w:rFonts w:ascii="Times New Roman" w:hAnsi="Times New Roman" w:cs="Times New Roman"/>
        </w:rPr>
        <w:t>We will update the CJCC Consent for Participation in Research Form to identify Samuel Gonzales as Principal Investigator.</w:t>
      </w:r>
    </w:p>
    <w:p w:rsidR="003F0424" w:rsidRPr="003F0424" w:rsidP="003F0424" w14:paraId="31D4338B" w14:textId="77777777">
      <w:pPr>
        <w:pStyle w:val="ListParagraph"/>
        <w:ind w:left="360"/>
        <w:rPr>
          <w:rFonts w:ascii="Times New Roman" w:hAnsi="Times New Roman" w:cs="Times New Roman"/>
        </w:rPr>
      </w:pPr>
    </w:p>
    <w:p w:rsidR="003F0424" w:rsidP="003F0424" w14:paraId="34CA24C7" w14:textId="50B15D7B">
      <w:pPr>
        <w:pStyle w:val="ListParagraph"/>
        <w:ind w:left="360"/>
        <w:rPr>
          <w:rFonts w:ascii="Times New Roman" w:hAnsi="Times New Roman" w:cs="Times New Roman"/>
        </w:rPr>
      </w:pPr>
      <w:r w:rsidRPr="003F0424">
        <w:rPr>
          <w:rFonts w:ascii="Times New Roman" w:hAnsi="Times New Roman" w:cs="Times New Roman"/>
          <w:b/>
          <w:bCs/>
        </w:rPr>
        <w:t>Justification #</w:t>
      </w:r>
      <w:r w:rsidRPr="003F0424" w:rsidR="00A3097F">
        <w:rPr>
          <w:rFonts w:ascii="Times New Roman" w:hAnsi="Times New Roman" w:cs="Times New Roman"/>
          <w:b/>
          <w:bCs/>
        </w:rPr>
        <w:t>1</w:t>
      </w:r>
      <w:r w:rsidRPr="003F0424">
        <w:rPr>
          <w:rFonts w:ascii="Times New Roman" w:hAnsi="Times New Roman" w:cs="Times New Roman"/>
        </w:rPr>
        <w:t xml:space="preserve">: </w:t>
      </w:r>
      <w:r w:rsidR="00D72DB2">
        <w:rPr>
          <w:rFonts w:ascii="Times New Roman" w:hAnsi="Times New Roman" w:cs="Times New Roman"/>
        </w:rPr>
        <w:t xml:space="preserve"> </w:t>
      </w:r>
      <w:r w:rsidRPr="00BE2F47" w:rsidR="00BE2F47">
        <w:rPr>
          <w:rFonts w:ascii="Times New Roman" w:hAnsi="Times New Roman" w:cs="Times New Roman"/>
        </w:rPr>
        <w:t>Stefanie Lopez</w:t>
      </w:r>
      <w:r w:rsidR="00BE2F47">
        <w:rPr>
          <w:rFonts w:ascii="Times New Roman" w:hAnsi="Times New Roman" w:cs="Times New Roman"/>
        </w:rPr>
        <w:t>-</w:t>
      </w:r>
      <w:r w:rsidRPr="00BE2F47" w:rsidR="00BE2F47">
        <w:rPr>
          <w:rFonts w:ascii="Times New Roman" w:hAnsi="Times New Roman" w:cs="Times New Roman"/>
        </w:rPr>
        <w:t>Howard is no longer the Principal Investigator, and Samuel Gonzales has assumed this role.</w:t>
      </w:r>
    </w:p>
    <w:p w:rsidR="003F0424" w:rsidRPr="003F0424" w:rsidP="003F0424" w14:paraId="49F1B27F" w14:textId="77777777">
      <w:pPr>
        <w:pStyle w:val="ListParagraph"/>
        <w:rPr>
          <w:rFonts w:ascii="Times New Roman" w:hAnsi="Times New Roman" w:cs="Times New Roman"/>
          <w:b/>
          <w:bCs/>
        </w:rPr>
      </w:pPr>
    </w:p>
    <w:p w:rsidR="003F0424" w:rsidP="003F0424" w14:paraId="5859818F" w14:textId="3F5C2035">
      <w:pPr>
        <w:pStyle w:val="ListParagraph"/>
        <w:numPr>
          <w:ilvl w:val="0"/>
          <w:numId w:val="4"/>
        </w:numPr>
        <w:rPr>
          <w:rFonts w:ascii="Times New Roman" w:hAnsi="Times New Roman" w:cs="Times New Roman"/>
        </w:rPr>
      </w:pPr>
      <w:r w:rsidRPr="003F0424">
        <w:rPr>
          <w:rFonts w:ascii="Times New Roman" w:hAnsi="Times New Roman" w:cs="Times New Roman"/>
          <w:b/>
          <w:bCs/>
        </w:rPr>
        <w:t>Change #</w:t>
      </w:r>
      <w:r w:rsidRPr="003F0424" w:rsidR="00A3097F">
        <w:rPr>
          <w:rFonts w:ascii="Times New Roman" w:hAnsi="Times New Roman" w:cs="Times New Roman"/>
          <w:b/>
          <w:bCs/>
        </w:rPr>
        <w:t>2</w:t>
      </w:r>
      <w:r w:rsidRPr="003F0424">
        <w:rPr>
          <w:rFonts w:ascii="Times New Roman" w:hAnsi="Times New Roman" w:cs="Times New Roman"/>
        </w:rPr>
        <w:t xml:space="preserve">: </w:t>
      </w:r>
      <w:r>
        <w:rPr>
          <w:rFonts w:ascii="Times New Roman" w:hAnsi="Times New Roman" w:cs="Times New Roman"/>
        </w:rPr>
        <w:t xml:space="preserve"> </w:t>
      </w:r>
      <w:r w:rsidRPr="0050745C" w:rsidR="0050745C">
        <w:rPr>
          <w:rFonts w:ascii="Times New Roman" w:hAnsi="Times New Roman" w:cs="Times New Roman"/>
        </w:rPr>
        <w:t>We revised the CJCC project’s enrollment goal from 300 participants to 60 participants over the project period.</w:t>
      </w:r>
    </w:p>
    <w:p w:rsidR="0050745C" w:rsidP="003F0424" w14:paraId="016856A3" w14:textId="77777777">
      <w:pPr>
        <w:pStyle w:val="ListParagraph"/>
        <w:ind w:left="360"/>
        <w:rPr>
          <w:rFonts w:ascii="Times New Roman" w:hAnsi="Times New Roman" w:cs="Times New Roman"/>
          <w:b/>
          <w:bCs/>
        </w:rPr>
      </w:pPr>
    </w:p>
    <w:p w:rsidR="003F0424" w:rsidP="003F0424" w14:paraId="1600A33D" w14:textId="48F55900">
      <w:pPr>
        <w:pStyle w:val="ListParagraph"/>
        <w:ind w:left="360"/>
        <w:rPr>
          <w:rFonts w:ascii="Times New Roman" w:hAnsi="Times New Roman" w:cs="Times New Roman"/>
        </w:rPr>
      </w:pPr>
      <w:r w:rsidRPr="003F0424">
        <w:rPr>
          <w:rFonts w:ascii="Times New Roman" w:hAnsi="Times New Roman" w:cs="Times New Roman"/>
          <w:b/>
          <w:bCs/>
        </w:rPr>
        <w:t>Justification #</w:t>
      </w:r>
      <w:r w:rsidRPr="003F0424" w:rsidR="00A3097F">
        <w:rPr>
          <w:rFonts w:ascii="Times New Roman" w:hAnsi="Times New Roman" w:cs="Times New Roman"/>
          <w:b/>
          <w:bCs/>
        </w:rPr>
        <w:t>2</w:t>
      </w:r>
      <w:r w:rsidRPr="003F0424" w:rsidR="001E0E25">
        <w:rPr>
          <w:rFonts w:ascii="Times New Roman" w:hAnsi="Times New Roman" w:cs="Times New Roman"/>
          <w:b/>
          <w:bCs/>
        </w:rPr>
        <w:t>:</w:t>
      </w:r>
      <w:r w:rsidRPr="003F0424" w:rsidR="001E0E25">
        <w:rPr>
          <w:rFonts w:ascii="Times New Roman" w:hAnsi="Times New Roman" w:cs="Times New Roman"/>
        </w:rPr>
        <w:t xml:space="preserve"> </w:t>
      </w:r>
      <w:r w:rsidR="00D72DB2">
        <w:rPr>
          <w:rFonts w:ascii="Times New Roman" w:hAnsi="Times New Roman" w:cs="Times New Roman"/>
        </w:rPr>
        <w:t xml:space="preserve"> </w:t>
      </w:r>
      <w:r w:rsidRPr="00F42AC6" w:rsidR="00F42AC6">
        <w:rPr>
          <w:rFonts w:ascii="Times New Roman" w:hAnsi="Times New Roman" w:cs="Times New Roman"/>
        </w:rPr>
        <w:t>Delays in staffing, federal review processes, and multi-agency implementation requirements made the original enrollment projection unattainable. Consequently, the project will enroll 60 participants over the full project period rather than 90 participants each year.</w:t>
      </w:r>
      <w:r w:rsidR="00F42AC6">
        <w:rPr>
          <w:rFonts w:ascii="Times New Roman" w:hAnsi="Times New Roman" w:cs="Times New Roman"/>
        </w:rPr>
        <w:t xml:space="preserve">  We have updated #2 of the Supporting Statement to reflect this revised enrollment goal.</w:t>
      </w:r>
      <w:r w:rsidRPr="003F0424" w:rsidR="0099011A">
        <w:rPr>
          <w:rFonts w:ascii="Times New Roman" w:hAnsi="Times New Roman" w:cs="Times New Roman"/>
        </w:rPr>
        <w:t xml:space="preserve">  </w:t>
      </w:r>
      <w:r w:rsidRPr="003F0424" w:rsidR="00A3097F">
        <w:rPr>
          <w:rFonts w:ascii="Times New Roman" w:hAnsi="Times New Roman" w:cs="Times New Roman"/>
        </w:rPr>
        <w:t xml:space="preserve"> </w:t>
      </w:r>
      <w:r w:rsidRPr="003F0424" w:rsidR="00965682">
        <w:rPr>
          <w:rFonts w:ascii="Times New Roman" w:hAnsi="Times New Roman" w:cs="Times New Roman"/>
        </w:rPr>
        <w:t xml:space="preserve"> </w:t>
      </w:r>
    </w:p>
    <w:p w:rsidR="00D72DB2" w:rsidRPr="00D72DB2" w:rsidP="00D72DB2" w14:paraId="6476C710" w14:textId="4D5242D3">
      <w:pPr>
        <w:rPr>
          <w:rFonts w:ascii="Times New Roman" w:hAnsi="Times New Roman" w:cs="Times New Roman"/>
        </w:rPr>
      </w:pPr>
      <w:r w:rsidRPr="00D72DB2">
        <w:rPr>
          <w:rFonts w:ascii="Times New Roman" w:hAnsi="Times New Roman" w:cs="Times New Roman"/>
          <w:b/>
          <w:bCs/>
        </w:rPr>
        <w:t xml:space="preserve">NOTE: </w:t>
      </w:r>
      <w:r>
        <w:rPr>
          <w:rFonts w:ascii="Times New Roman" w:hAnsi="Times New Roman" w:cs="Times New Roman"/>
        </w:rPr>
        <w:t xml:space="preserve"> </w:t>
      </w:r>
      <w:r w:rsidRPr="00F42AC6" w:rsidR="00F42AC6">
        <w:rPr>
          <w:rFonts w:ascii="Times New Roman" w:hAnsi="Times New Roman" w:cs="Times New Roman"/>
        </w:rPr>
        <w:t xml:space="preserve">We updated the burden chart in </w:t>
      </w:r>
      <w:r w:rsidR="00F42AC6">
        <w:rPr>
          <w:rFonts w:ascii="Times New Roman" w:hAnsi="Times New Roman" w:cs="Times New Roman"/>
        </w:rPr>
        <w:t>#</w:t>
      </w:r>
      <w:r w:rsidRPr="00F42AC6" w:rsidR="00F42AC6">
        <w:rPr>
          <w:rFonts w:ascii="Times New Roman" w:hAnsi="Times New Roman" w:cs="Times New Roman"/>
        </w:rPr>
        <w:t>12 of the Supporting Statement to reflect the revised number of respondents.</w:t>
      </w:r>
    </w:p>
    <w:p w:rsidR="001003FC" w:rsidP="00E374B2" w14:paraId="3BBF8E66" w14:textId="77777777">
      <w:pPr>
        <w:rPr>
          <w:rFonts w:ascii="Times New Roman" w:hAnsi="Times New Roman" w:cs="Times New Roman"/>
          <w:b/>
          <w:bCs/>
          <w:u w:val="single"/>
        </w:rPr>
      </w:pPr>
      <w:r w:rsidRPr="00C43627">
        <w:rPr>
          <w:rFonts w:ascii="Times New Roman" w:hAnsi="Times New Roman" w:cs="Times New Roman"/>
          <w:b/>
          <w:bCs/>
          <w:u w:val="single"/>
        </w:rPr>
        <w:t>Terms of Clearance</w:t>
      </w:r>
    </w:p>
    <w:p w:rsidR="00C43627" w:rsidRPr="00C43627" w:rsidP="00E374B2" w14:paraId="3EC6B3E0" w14:textId="227D6156">
      <w:pPr>
        <w:rPr>
          <w:rFonts w:ascii="Times New Roman" w:hAnsi="Times New Roman"/>
        </w:rPr>
      </w:pPr>
      <w:r>
        <w:rPr>
          <w:rFonts w:ascii="Times New Roman" w:hAnsi="Times New Roman"/>
        </w:rPr>
        <w:t xml:space="preserve">OMB placed the following Terms of Clearance on this Information Collection when they last approved it on </w:t>
      </w:r>
      <w:r w:rsidR="004A4B76">
        <w:rPr>
          <w:rFonts w:ascii="Times New Roman" w:hAnsi="Times New Roman"/>
        </w:rPr>
        <w:t>10/31/2023</w:t>
      </w:r>
      <w:r>
        <w:rPr>
          <w:rFonts w:ascii="Times New Roman" w:hAnsi="Times New Roman"/>
        </w:rPr>
        <w:t>:</w:t>
      </w:r>
    </w:p>
    <w:p w:rsidR="00C43627" w:rsidP="0093036B" w14:paraId="67EF6387" w14:textId="7CCBE12A">
      <w:pPr>
        <w:pStyle w:val="ListParagraph"/>
        <w:numPr>
          <w:ilvl w:val="0"/>
          <w:numId w:val="4"/>
        </w:numPr>
        <w:spacing w:line="240" w:lineRule="auto"/>
        <w:rPr>
          <w:rFonts w:ascii="Times New Roman" w:hAnsi="Times New Roman" w:cs="Times New Roman"/>
          <w:b/>
          <w:bCs/>
        </w:rPr>
      </w:pPr>
      <w:r w:rsidRPr="00C43627">
        <w:rPr>
          <w:rFonts w:ascii="Times New Roman" w:hAnsi="Times New Roman" w:cs="Times New Roman"/>
          <w:b/>
          <w:bCs/>
        </w:rPr>
        <w:t xml:space="preserve">Term:  </w:t>
      </w:r>
      <w:bookmarkStart w:id="0" w:name="_Hlk221114588"/>
      <w:r w:rsidR="004A4B76">
        <w:rPr>
          <w:rFonts w:ascii="Times New Roman" w:hAnsi="Times New Roman" w:cs="Times New Roman"/>
          <w:b/>
          <w:bCs/>
        </w:rPr>
        <w:t>The agency added a Supporting Statement B.  Consistent with the agency’s description of this collection, the agency  is advised that conclusions from this preliminary qualitative research may not be generalizable</w:t>
      </w:r>
      <w:r w:rsidR="0093036B">
        <w:rPr>
          <w:rFonts w:ascii="Times New Roman" w:hAnsi="Times New Roman" w:cs="Times New Roman"/>
          <w:b/>
          <w:bCs/>
        </w:rPr>
        <w:t>.</w:t>
      </w:r>
    </w:p>
    <w:p w:rsidR="00C43627" w:rsidP="00C43627" w14:paraId="65CA1300" w14:textId="77777777">
      <w:pPr>
        <w:pStyle w:val="ListParagraph"/>
        <w:ind w:left="360"/>
        <w:rPr>
          <w:rFonts w:ascii="Times New Roman" w:hAnsi="Times New Roman" w:cs="Times New Roman"/>
          <w:b/>
          <w:bCs/>
        </w:rPr>
      </w:pPr>
    </w:p>
    <w:p w:rsidR="00434329" w:rsidP="00010E3D" w14:paraId="38833F6D" w14:textId="50429809">
      <w:pPr>
        <w:pStyle w:val="ListParagraph"/>
        <w:spacing w:line="240" w:lineRule="auto"/>
        <w:ind w:left="360"/>
        <w:rPr>
          <w:rFonts w:ascii="Times New Roman" w:hAnsi="Times New Roman" w:cs="Times New Roman"/>
          <w:color w:val="0000FF"/>
        </w:rPr>
      </w:pPr>
      <w:r w:rsidRPr="004E576D">
        <w:rPr>
          <w:rFonts w:ascii="Times New Roman" w:hAnsi="Times New Roman" w:cs="Times New Roman"/>
          <w:b/>
          <w:bCs/>
          <w:color w:val="0000FF"/>
        </w:rPr>
        <w:t xml:space="preserve">SSA response: </w:t>
      </w:r>
      <w:bookmarkEnd w:id="0"/>
      <w:r w:rsidRPr="004E576D" w:rsidR="004E576D">
        <w:rPr>
          <w:rFonts w:ascii="Times New Roman" w:hAnsi="Times New Roman" w:cs="Times New Roman"/>
          <w:b/>
          <w:bCs/>
          <w:color w:val="0000FF"/>
        </w:rPr>
        <w:t xml:space="preserve"> </w:t>
      </w:r>
      <w:r w:rsidRPr="0093036B" w:rsidR="0093036B">
        <w:rPr>
          <w:rFonts w:ascii="Times New Roman" w:hAnsi="Times New Roman" w:cs="Times New Roman"/>
          <w:color w:val="0000FF"/>
        </w:rPr>
        <w:t xml:space="preserve">The CJCC project is a </w:t>
      </w:r>
      <w:r>
        <w:rPr>
          <w:rFonts w:ascii="Times New Roman" w:hAnsi="Times New Roman" w:cs="Times New Roman"/>
          <w:color w:val="0000FF"/>
        </w:rPr>
        <w:t>limited, minimal</w:t>
      </w:r>
      <w:r w:rsidRPr="0093036B" w:rsidR="0093036B">
        <w:rPr>
          <w:rFonts w:ascii="Times New Roman" w:hAnsi="Times New Roman" w:cs="Times New Roman"/>
          <w:color w:val="0000FF"/>
        </w:rPr>
        <w:t xml:space="preserve"> study designed to test the intervention on a small scale and assess whether it warrants broader implementation and more rigorous evaluation. The project includes a limited number of sites within one state; therefore, the evaluation will not generalize findings to other populations, settings, or jurisdictions. </w:t>
      </w:r>
      <w:r w:rsidR="0093036B">
        <w:rPr>
          <w:rFonts w:ascii="Times New Roman" w:hAnsi="Times New Roman" w:cs="Times New Roman"/>
          <w:color w:val="0000FF"/>
        </w:rPr>
        <w:t xml:space="preserve"> </w:t>
      </w:r>
      <w:r w:rsidRPr="0093036B" w:rsidR="0093036B">
        <w:rPr>
          <w:rFonts w:ascii="Times New Roman" w:hAnsi="Times New Roman" w:cs="Times New Roman"/>
          <w:color w:val="0000FF"/>
        </w:rPr>
        <w:t xml:space="preserve">Instead, the evaluation will examine outcomes associated with the intervention among participating individuals and sites. </w:t>
      </w:r>
      <w:r w:rsidR="0093036B">
        <w:rPr>
          <w:rFonts w:ascii="Times New Roman" w:hAnsi="Times New Roman" w:cs="Times New Roman"/>
          <w:color w:val="0000FF"/>
        </w:rPr>
        <w:t xml:space="preserve"> </w:t>
      </w:r>
      <w:r w:rsidRPr="0093036B" w:rsidR="0093036B">
        <w:rPr>
          <w:rFonts w:ascii="Times New Roman" w:hAnsi="Times New Roman" w:cs="Times New Roman"/>
          <w:color w:val="0000FF"/>
        </w:rPr>
        <w:t>These findings will help to determine whether the intervention merits wider deployment and future study.</w:t>
      </w:r>
    </w:p>
    <w:p w:rsidR="007033E3" w:rsidP="00010E3D" w14:paraId="64D9479B" w14:textId="77777777">
      <w:pPr>
        <w:pStyle w:val="ListParagraph"/>
        <w:spacing w:line="240" w:lineRule="auto"/>
        <w:ind w:left="360"/>
        <w:rPr>
          <w:rFonts w:ascii="Times New Roman" w:hAnsi="Times New Roman" w:cs="Times New Roman"/>
        </w:rPr>
      </w:pPr>
    </w:p>
    <w:p w:rsidR="007033E3" w:rsidRPr="006810F2" w:rsidP="007033E3" w14:paraId="02546E17" w14:textId="77777777">
      <w:pPr>
        <w:spacing w:line="240" w:lineRule="auto"/>
        <w:rPr>
          <w:rFonts w:ascii="Times New Roman" w:hAnsi="Times New Roman" w:cs="Times New Roman"/>
          <w:b/>
          <w:bCs/>
          <w:u w:val="single"/>
        </w:rPr>
      </w:pPr>
      <w:r w:rsidRPr="006810F2">
        <w:rPr>
          <w:rFonts w:ascii="Times New Roman" w:hAnsi="Times New Roman" w:cs="Times New Roman"/>
          <w:b/>
          <w:bCs/>
          <w:u w:val="single"/>
        </w:rPr>
        <w:t>Public Comments on the Information Collection</w:t>
      </w:r>
    </w:p>
    <w:p w:rsidR="007033E3" w:rsidRPr="006810F2" w:rsidP="007033E3" w14:paraId="7C101CE0" w14:textId="77777777">
      <w:pPr>
        <w:keepNext/>
        <w:keepLines/>
        <w:spacing w:after="0" w:line="240" w:lineRule="auto"/>
        <w:outlineLvl w:val="1"/>
        <w:rPr>
          <w:rFonts w:ascii="Times New Roman" w:hAnsi="Times New Roman" w:eastAsiaTheme="majorEastAsia" w:cs="Times New Roman"/>
          <w:b/>
          <w:bCs/>
          <w:color w:val="000000" w:themeColor="text1"/>
        </w:rPr>
      </w:pPr>
      <w:r w:rsidRPr="006810F2">
        <w:rPr>
          <w:rFonts w:ascii="Times New Roman" w:hAnsi="Times New Roman" w:eastAsiaTheme="majorEastAsia" w:cs="Times New Roman"/>
          <w:b/>
          <w:bCs/>
          <w:color w:val="000000" w:themeColor="text1"/>
        </w:rPr>
        <w:t>60-Day Comment Period Federal Register Notice (FRN):</w:t>
      </w:r>
    </w:p>
    <w:p w:rsidR="007033E3" w:rsidRPr="006810F2" w:rsidP="007033E3" w14:paraId="1130CA3F" w14:textId="77777777">
      <w:pPr>
        <w:spacing w:after="0" w:line="240" w:lineRule="auto"/>
        <w:rPr>
          <w:rFonts w:ascii="Times New Roman" w:hAnsi="Times New Roman" w:cs="Times New Roman"/>
        </w:rPr>
      </w:pPr>
      <w:r w:rsidRPr="006810F2">
        <w:rPr>
          <w:rFonts w:ascii="Times New Roman" w:hAnsi="Times New Roman" w:cs="Times New Roman"/>
        </w:rPr>
        <w:t xml:space="preserve">The 60-day Comment Period began on August 27, 2026 and ended on October 26, 2027, at 11:59pm.  We received </w:t>
      </w:r>
      <w:r w:rsidRPr="006810F2">
        <w:rPr>
          <w:rFonts w:ascii="Times New Roman" w:hAnsi="Times New Roman" w:cs="Times New Roman"/>
          <w:b/>
          <w:bCs/>
        </w:rPr>
        <w:t>1</w:t>
      </w:r>
      <w:r w:rsidRPr="006810F2">
        <w:rPr>
          <w:rFonts w:ascii="Times New Roman" w:hAnsi="Times New Roman" w:cs="Times New Roman"/>
        </w:rPr>
        <w:t xml:space="preserve"> public comments on the 60-Day Comment Period FRN from </w:t>
      </w:r>
      <w:r w:rsidRPr="006810F2">
        <w:rPr>
          <w:rFonts w:ascii="Times New Roman" w:hAnsi="Times New Roman" w:cs="Times New Roman"/>
          <w:b/>
          <w:bCs/>
        </w:rPr>
        <w:t>1</w:t>
      </w:r>
      <w:r w:rsidRPr="006810F2">
        <w:rPr>
          <w:rFonts w:ascii="Times New Roman" w:hAnsi="Times New Roman" w:cs="Times New Roman"/>
        </w:rPr>
        <w:t xml:space="preserve"> commenter.  We acknowledge and appreciate the thoughtful feedback from the commenter, and we responded to the comments below:</w:t>
      </w:r>
    </w:p>
    <w:p w:rsidR="007033E3" w:rsidRPr="006810F2" w:rsidP="007033E3" w14:paraId="17CB89A9" w14:textId="77777777">
      <w:pPr>
        <w:spacing w:after="0" w:line="240" w:lineRule="auto"/>
        <w:rPr>
          <w:rFonts w:ascii="Times New Roman" w:hAnsi="Times New Roman" w:cs="Times New Roman"/>
        </w:rPr>
      </w:pPr>
    </w:p>
    <w:p w:rsidR="007033E3" w:rsidRPr="006810F2" w:rsidP="007033E3" w14:paraId="766CE9C3" w14:textId="77777777">
      <w:pPr>
        <w:numPr>
          <w:ilvl w:val="0"/>
          <w:numId w:val="5"/>
        </w:numPr>
        <w:spacing w:after="0" w:line="240" w:lineRule="auto"/>
        <w:rPr>
          <w:rFonts w:ascii="Times New Roman" w:hAnsi="Times New Roman" w:cs="Times New Roman"/>
          <w:color w:val="0000FF"/>
        </w:rPr>
      </w:pPr>
      <w:r w:rsidRPr="006810F2">
        <w:rPr>
          <w:rFonts w:ascii="Times New Roman" w:hAnsi="Times New Roman" w:cs="Times New Roman"/>
          <w:b/>
          <w:bCs/>
        </w:rPr>
        <w:t>Comment #1: </w:t>
      </w:r>
    </w:p>
    <w:p w:rsidR="007033E3" w:rsidRPr="006810F2" w:rsidP="007033E3" w14:paraId="4B50E815" w14:textId="5ED60A32">
      <w:pPr>
        <w:spacing w:after="0" w:line="240" w:lineRule="auto"/>
        <w:ind w:left="360"/>
        <w:rPr>
          <w:rFonts w:ascii="Times New Roman" w:hAnsi="Times New Roman" w:cs="Times New Roman"/>
          <w:color w:val="0000FF"/>
        </w:rPr>
      </w:pPr>
      <w:r w:rsidRPr="005C7E31">
        <w:rPr>
          <w:rFonts w:ascii="Times New Roman" w:hAnsi="Times New Roman"/>
        </w:rPr>
        <w:t xml:space="preserve">The </w:t>
      </w:r>
      <w:r>
        <w:rPr>
          <w:rFonts w:ascii="Times New Roman" w:hAnsi="Times New Roman"/>
        </w:rPr>
        <w:t xml:space="preserve">commenter suggests that </w:t>
      </w:r>
      <w:r w:rsidRPr="001E5B07">
        <w:rPr>
          <w:rFonts w:ascii="Times New Roman" w:hAnsi="Times New Roman"/>
        </w:rPr>
        <w:t xml:space="preserve">SSA should explain its valuation methodology. </w:t>
      </w:r>
      <w:r>
        <w:rPr>
          <w:rFonts w:ascii="Times New Roman" w:hAnsi="Times New Roman"/>
        </w:rPr>
        <w:t xml:space="preserve"> The commenter opines that s</w:t>
      </w:r>
      <w:r w:rsidRPr="001E5B07">
        <w:rPr>
          <w:rFonts w:ascii="Times New Roman" w:hAnsi="Times New Roman"/>
        </w:rPr>
        <w:t xml:space="preserve">everal collections use average disability benefit payments as an hourly proxy for the opportunity cost of respondents' time, while another averages disability payments and worker wages. </w:t>
      </w:r>
      <w:r>
        <w:rPr>
          <w:rFonts w:ascii="Times New Roman" w:hAnsi="Times New Roman"/>
        </w:rPr>
        <w:t xml:space="preserve"> The commenter also states that a</w:t>
      </w:r>
      <w:r w:rsidRPr="001E5B07">
        <w:rPr>
          <w:rFonts w:ascii="Times New Roman" w:hAnsi="Times New Roman"/>
        </w:rPr>
        <w:t xml:space="preserve"> benefit amount is not itself an hourly wage. </w:t>
      </w:r>
      <w:r>
        <w:rPr>
          <w:rFonts w:ascii="Times New Roman" w:hAnsi="Times New Roman"/>
        </w:rPr>
        <w:t xml:space="preserve">Therefore, the commenter requests </w:t>
      </w:r>
      <w:r w:rsidRPr="001E5B07">
        <w:rPr>
          <w:rFonts w:ascii="Times New Roman" w:hAnsi="Times New Roman"/>
        </w:rPr>
        <w:t>SSA disclose the calculations and explain why these figures reasonably measure the opportunity cost of time for the populations concerned</w:t>
      </w:r>
      <w:r w:rsidRPr="006810F2">
        <w:rPr>
          <w:rFonts w:ascii="Times New Roman" w:hAnsi="Times New Roman" w:cs="Times New Roman"/>
        </w:rPr>
        <w:t>.</w:t>
      </w:r>
    </w:p>
    <w:p w:rsidR="007033E3" w:rsidRPr="006810F2" w:rsidP="007033E3" w14:paraId="79E44C69" w14:textId="77777777">
      <w:pPr>
        <w:spacing w:after="0" w:line="240" w:lineRule="auto"/>
        <w:ind w:left="360"/>
        <w:rPr>
          <w:rFonts w:ascii="Times New Roman" w:hAnsi="Times New Roman" w:cs="Times New Roman"/>
          <w:color w:val="000000" w:themeColor="text1"/>
        </w:rPr>
      </w:pPr>
    </w:p>
    <w:p w:rsidR="007033E3" w:rsidRPr="006810F2" w:rsidP="007033E3" w14:paraId="46544FBB" w14:textId="77777777">
      <w:pPr>
        <w:spacing w:after="0" w:line="240" w:lineRule="auto"/>
        <w:ind w:left="360"/>
        <w:rPr>
          <w:rFonts w:ascii="Times New Roman" w:hAnsi="Times New Roman" w:cs="Times New Roman"/>
          <w:color w:val="0000FF"/>
        </w:rPr>
      </w:pPr>
      <w:r w:rsidRPr="006810F2">
        <w:rPr>
          <w:rFonts w:ascii="Times New Roman" w:hAnsi="Times New Roman" w:cs="Times New Roman"/>
          <w:b/>
          <w:bCs/>
          <w:color w:val="0000FF"/>
        </w:rPr>
        <w:t>SSA Response #1:</w:t>
      </w:r>
      <w:r w:rsidRPr="006810F2">
        <w:rPr>
          <w:rFonts w:ascii="Times New Roman" w:hAnsi="Times New Roman" w:cs="Times New Roman"/>
          <w:color w:val="0000FF"/>
        </w:rPr>
        <w:t xml:space="preserve">  </w:t>
      </w:r>
    </w:p>
    <w:p w:rsidR="007033E3" w:rsidRPr="001E5B07" w:rsidP="007033E3" w14:paraId="27E79E9E" w14:textId="77777777">
      <w:pPr>
        <w:pStyle w:val="ListParagraph"/>
        <w:spacing w:after="0"/>
        <w:ind w:left="360"/>
        <w:rPr>
          <w:rFonts w:ascii="Times New Roman" w:hAnsi="Times New Roman" w:cs="Times New Roman"/>
          <w:color w:val="0000FF"/>
        </w:rPr>
      </w:pPr>
      <w:r w:rsidRPr="001E5B07">
        <w:rPr>
          <w:rFonts w:ascii="Times New Roman" w:hAnsi="Times New Roman" w:cs="Times New Roman"/>
          <w:color w:val="0000FF"/>
        </w:rPr>
        <w:t xml:space="preserve">The Paperwork Reduction Act of 1995 requires federal agencies to associate both time and monetary costs experienced by the public when accessing essential public benefit programs.  To that end, OMB published a memo, M-22-10, </w:t>
      </w:r>
      <w:r w:rsidRPr="001E5B07">
        <w:rPr>
          <w:rFonts w:ascii="Times New Roman" w:hAnsi="Times New Roman" w:cs="Times New Roman"/>
          <w:i/>
          <w:iCs/>
          <w:color w:val="0000FF"/>
        </w:rPr>
        <w:t>Improving Access to Public Benefits Programs Through the Paperwork Reduction Act,</w:t>
      </w:r>
      <w:r w:rsidRPr="001E5B07">
        <w:rPr>
          <w:rFonts w:ascii="Times New Roman" w:hAnsi="Times New Roman" w:cs="Times New Roman"/>
          <w:color w:val="0000FF"/>
        </w:rPr>
        <w:t xml:space="preserve"> which requires agencies to include theoretical cost burdens for information collections which only have associated time burdens.  The concept here is that “time is money,” so agencies should quantify the burden estimate with a theoretical monetary cost on the public.  </w:t>
      </w:r>
    </w:p>
    <w:p w:rsidR="007033E3" w:rsidRPr="001E5B07" w:rsidP="007033E3" w14:paraId="7BBCDBA0" w14:textId="77777777">
      <w:pPr>
        <w:rPr>
          <w:rFonts w:ascii="Times New Roman" w:hAnsi="Times New Roman"/>
          <w:color w:val="0000FF"/>
        </w:rPr>
      </w:pPr>
    </w:p>
    <w:p w:rsidR="007033E3" w:rsidRPr="006810F2" w:rsidP="007033E3" w14:paraId="1CEB7606" w14:textId="04A89C38">
      <w:pPr>
        <w:pStyle w:val="ListParagraph"/>
        <w:spacing w:after="0"/>
        <w:ind w:left="360"/>
        <w:rPr>
          <w:rFonts w:ascii="Times New Roman" w:hAnsi="Times New Roman" w:cs="Times New Roman"/>
          <w:color w:val="0000FF"/>
        </w:rPr>
      </w:pPr>
      <w:r w:rsidRPr="001E5B07">
        <w:rPr>
          <w:rFonts w:ascii="Times New Roman" w:hAnsi="Times New Roman" w:cs="Times New Roman"/>
          <w:color w:val="0000FF"/>
        </w:rPr>
        <w:t>For SSA, in most cases the respondents for our information collections are no longer paid an hourly wage.  Rather, SSA pays the respondents either in retirement benefits, or in disability payments.  OMB agreed that since applicants or recipients of SSI or SSDI no longer receive an hourly wage, but receive disability payments from SSA, that SSA may use the average hourly disability payment as a theoretical hourly cost amount for these information collections.  Since the respondents are applicants for SSI or SSDI Payments, we use the average hourly disability payment in lieu of an hourly wage for these respondents.  We calculate the hourly theoretical wage amount for disability payments using SSA’s management information (MI) data which shows the average monthly wages for disability recipients, and then we divide that amount by 160 (hours) to determine the hourly theoretical (not actual) wage amount.  We increase that amount as needed annually based on new annual figures from SSA’s MI data (which is publicly available).</w:t>
      </w:r>
      <w:r w:rsidRPr="006810F2">
        <w:rPr>
          <w:rFonts w:ascii="Times New Roman" w:hAnsi="Times New Roman" w:cs="Times New Roman"/>
          <w:color w:val="0000FF"/>
        </w:rPr>
        <w:t xml:space="preserve"> </w:t>
      </w:r>
    </w:p>
    <w:p w:rsidR="007033E3" w:rsidRPr="006810F2" w:rsidP="007033E3" w14:paraId="101B7F00" w14:textId="77777777">
      <w:pPr>
        <w:spacing w:after="0" w:line="240" w:lineRule="auto"/>
        <w:ind w:left="360"/>
        <w:contextualSpacing/>
        <w:rPr>
          <w:rFonts w:ascii="Times New Roman" w:hAnsi="Times New Roman" w:cs="Times New Roman"/>
          <w:color w:val="0000FF"/>
        </w:rPr>
      </w:pPr>
    </w:p>
    <w:p w:rsidR="007033E3" w:rsidRPr="006810F2" w:rsidP="007033E3" w14:paraId="09E3ED08" w14:textId="77777777">
      <w:pPr>
        <w:numPr>
          <w:ilvl w:val="0"/>
          <w:numId w:val="5"/>
        </w:numPr>
        <w:spacing w:after="0" w:line="240" w:lineRule="auto"/>
        <w:rPr>
          <w:rFonts w:ascii="Times New Roman" w:hAnsi="Times New Roman" w:cs="Times New Roman"/>
        </w:rPr>
      </w:pPr>
      <w:r w:rsidRPr="006810F2">
        <w:rPr>
          <w:rFonts w:ascii="Times New Roman" w:hAnsi="Times New Roman" w:cs="Times New Roman"/>
          <w:b/>
          <w:bCs/>
        </w:rPr>
        <w:t xml:space="preserve">Comment #2:  </w:t>
      </w:r>
    </w:p>
    <w:p w:rsidR="007033E3" w:rsidRPr="006810F2" w:rsidP="007033E3" w14:paraId="08091112" w14:textId="77777777">
      <w:pPr>
        <w:spacing w:after="0" w:line="240" w:lineRule="auto"/>
        <w:ind w:left="360"/>
        <w:rPr>
          <w:rFonts w:ascii="Times New Roman" w:hAnsi="Times New Roman" w:cs="Times New Roman"/>
        </w:rPr>
      </w:pPr>
      <w:r w:rsidRPr="006810F2">
        <w:rPr>
          <w:rFonts w:ascii="Times New Roman" w:hAnsi="Times New Roman" w:cs="Times New Roman"/>
        </w:rPr>
        <w:t xml:space="preserve">SSA should clarify the burden and respondent totals for the Georgia SOAR evaluation.  The table reports 165 respondents across three instruments despite a project population of 90 individuals.  Although respondents may participate in multiple collections, SSA should </w:t>
      </w:r>
      <w:r w:rsidRPr="006810F2">
        <w:rPr>
          <w:rFonts w:ascii="Times New Roman" w:hAnsi="Times New Roman" w:cs="Times New Roman"/>
        </w:rPr>
        <w:t>distinguish unique individuals from instrument-specific counts to avoid ambiguity in the reported totals.</w:t>
      </w:r>
    </w:p>
    <w:p w:rsidR="007033E3" w:rsidRPr="006810F2" w:rsidP="007033E3" w14:paraId="5EE085C0" w14:textId="77777777">
      <w:pPr>
        <w:spacing w:after="0" w:line="240" w:lineRule="auto"/>
        <w:ind w:left="360"/>
        <w:rPr>
          <w:rFonts w:ascii="Times New Roman" w:hAnsi="Times New Roman" w:cs="Times New Roman"/>
        </w:rPr>
      </w:pPr>
    </w:p>
    <w:p w:rsidR="007033E3" w:rsidRPr="006810F2" w:rsidP="007033E3" w14:paraId="66780903" w14:textId="77777777">
      <w:pPr>
        <w:spacing w:after="0" w:line="240" w:lineRule="auto"/>
        <w:ind w:left="360"/>
        <w:contextualSpacing/>
        <w:rPr>
          <w:rFonts w:ascii="Times New Roman" w:hAnsi="Times New Roman" w:cs="Times New Roman"/>
          <w:color w:val="0000FF"/>
        </w:rPr>
      </w:pPr>
      <w:r w:rsidRPr="006810F2">
        <w:rPr>
          <w:rFonts w:ascii="Times New Roman" w:hAnsi="Times New Roman" w:cs="Times New Roman"/>
          <w:b/>
          <w:bCs/>
          <w:color w:val="0000FF"/>
        </w:rPr>
        <w:t>SSA Response #2:</w:t>
      </w:r>
      <w:r w:rsidRPr="006810F2">
        <w:rPr>
          <w:rFonts w:ascii="Times New Roman" w:hAnsi="Times New Roman" w:cs="Times New Roman"/>
          <w:color w:val="0000FF"/>
        </w:rPr>
        <w:t xml:space="preserve"> </w:t>
      </w:r>
    </w:p>
    <w:p w:rsidR="007033E3" w:rsidRPr="006810F2" w:rsidP="007033E3" w14:paraId="25FEB85E" w14:textId="58FE19B7">
      <w:pPr>
        <w:spacing w:after="0" w:line="240" w:lineRule="auto"/>
        <w:ind w:left="360"/>
        <w:contextualSpacing/>
        <w:rPr>
          <w:rFonts w:ascii="Times New Roman" w:hAnsi="Times New Roman" w:cs="Times New Roman"/>
          <w:color w:val="0000FF"/>
        </w:rPr>
      </w:pPr>
      <w:r w:rsidRPr="006810F2">
        <w:rPr>
          <w:rFonts w:ascii="Times New Roman" w:hAnsi="Times New Roman" w:cs="Times New Roman"/>
          <w:color w:val="0000FF"/>
        </w:rPr>
        <w:t xml:space="preserve">As per our previously approved information collection from 2023, SSA previously indicated that we would conduct this evaluation with a total of about 90 respondents per year (with a goal of 300 total respondents).  However, due to delays in staffing, federal review processes, and multi-agency implementation requirements, we have reevaluated our </w:t>
      </w:r>
      <w:r w:rsidRPr="006810F2">
        <w:rPr>
          <w:rFonts w:ascii="Times New Roman" w:hAnsi="Times New Roman" w:cs="Times New Roman"/>
          <w:color w:val="0000FF"/>
        </w:rPr>
        <w:t>estimates and</w:t>
      </w:r>
      <w:r w:rsidRPr="006810F2">
        <w:rPr>
          <w:rFonts w:ascii="Times New Roman" w:hAnsi="Times New Roman" w:cs="Times New Roman"/>
          <w:color w:val="0000FF"/>
        </w:rPr>
        <w:t xml:space="preserve"> now expect to complete this evaluation with a total of only 60 respondents.  Our revised burden chart in </w:t>
      </w:r>
      <w:r>
        <w:rPr>
          <w:rFonts w:ascii="Times New Roman" w:hAnsi="Times New Roman" w:cs="Times New Roman"/>
          <w:color w:val="0000FF"/>
        </w:rPr>
        <w:t xml:space="preserve">#12 of </w:t>
      </w:r>
      <w:r w:rsidRPr="006810F2">
        <w:rPr>
          <w:rFonts w:ascii="Times New Roman" w:hAnsi="Times New Roman" w:cs="Times New Roman"/>
          <w:color w:val="0000FF"/>
        </w:rPr>
        <w:t>Supporting Statement A clearly shows the estimated respondents per information collection instrument, and also clearly explains that we are</w:t>
      </w:r>
      <w:r>
        <w:rPr>
          <w:rFonts w:ascii="Times New Roman" w:hAnsi="Times New Roman" w:cs="Times New Roman"/>
          <w:color w:val="0000FF"/>
        </w:rPr>
        <w:t xml:space="preserve"> now</w:t>
      </w:r>
      <w:r w:rsidRPr="006810F2">
        <w:rPr>
          <w:rFonts w:ascii="Times New Roman" w:hAnsi="Times New Roman" w:cs="Times New Roman"/>
          <w:color w:val="0000FF"/>
        </w:rPr>
        <w:t xml:space="preserve"> only conducting this evaluation with 60 respondents.</w:t>
      </w:r>
      <w:r>
        <w:rPr>
          <w:rFonts w:ascii="Times New Roman" w:hAnsi="Times New Roman" w:cs="Times New Roman"/>
          <w:color w:val="0000FF"/>
        </w:rPr>
        <w:t xml:space="preserve">  We believe our updated chart in #12 of the Supporting Statement accurately reports the totals to avoid any ambiguity.</w:t>
      </w:r>
    </w:p>
    <w:p w:rsidR="007033E3" w:rsidRPr="006810F2" w:rsidP="007033E3" w14:paraId="2FE3E959" w14:textId="77777777">
      <w:pPr>
        <w:spacing w:after="0"/>
        <w:rPr>
          <w:rFonts w:ascii="Times New Roman" w:hAnsi="Times New Roman" w:cs="Times New Roman"/>
          <w:b/>
          <w:bCs/>
        </w:rPr>
      </w:pPr>
    </w:p>
    <w:p w:rsidR="007033E3" w:rsidP="007033E3" w14:paraId="557BC330" w14:textId="77777777"/>
    <w:p w:rsidR="007033E3" w:rsidRPr="00434329" w:rsidP="00010E3D" w14:paraId="643A9A30" w14:textId="77777777">
      <w:pPr>
        <w:pStyle w:val="ListParagraph"/>
        <w:spacing w:line="240" w:lineRule="auto"/>
        <w:ind w:left="360"/>
        <w:rPr>
          <w:rFonts w:ascii="Times New Roman" w:hAnsi="Times New Roman" w:cs="Times New Roman"/>
          <w:color w:val="0000FF"/>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6F0A7A"/>
    <w:multiLevelType w:val="hybridMultilevel"/>
    <w:tmpl w:val="4CD60D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4753AE9"/>
    <w:multiLevelType w:val="hybridMultilevel"/>
    <w:tmpl w:val="793ECA2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38967EBD"/>
    <w:multiLevelType w:val="hybridMultilevel"/>
    <w:tmpl w:val="B5E2483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389D1276"/>
    <w:multiLevelType w:val="hybridMultilevel"/>
    <w:tmpl w:val="7924C7E0"/>
    <w:lvl w:ilvl="0">
      <w:start w:val="0"/>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A87761"/>
    <w:multiLevelType w:val="hybridMultilevel"/>
    <w:tmpl w:val="5E7E667C"/>
    <w:lvl w:ilvl="0">
      <w:start w:val="1"/>
      <w:numFmt w:val="bullet"/>
      <w:lvlText w:val=""/>
      <w:lvlJc w:val="left"/>
      <w:pPr>
        <w:ind w:left="360" w:hanging="360"/>
      </w:pPr>
      <w:rPr>
        <w:rFonts w:ascii="Symbol" w:hAnsi="Symbol" w:hint="default"/>
        <w:color w:val="000000" w:themeColor="text1"/>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571188800">
    <w:abstractNumId w:val="0"/>
  </w:num>
  <w:num w:numId="2" w16cid:durableId="1583182693">
    <w:abstractNumId w:val="3"/>
  </w:num>
  <w:num w:numId="3" w16cid:durableId="449278559">
    <w:abstractNumId w:val="2"/>
  </w:num>
  <w:num w:numId="4" w16cid:durableId="530611319">
    <w:abstractNumId w:val="1"/>
  </w:num>
  <w:num w:numId="5" w16cid:durableId="17190126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BB8"/>
    <w:rsid w:val="00002D04"/>
    <w:rsid w:val="00010E3D"/>
    <w:rsid w:val="00022DE1"/>
    <w:rsid w:val="00025ACF"/>
    <w:rsid w:val="0006791D"/>
    <w:rsid w:val="00071A41"/>
    <w:rsid w:val="00082FE9"/>
    <w:rsid w:val="000B6A68"/>
    <w:rsid w:val="000C74D0"/>
    <w:rsid w:val="000F6A2B"/>
    <w:rsid w:val="001003FC"/>
    <w:rsid w:val="0010476A"/>
    <w:rsid w:val="00132B36"/>
    <w:rsid w:val="00177822"/>
    <w:rsid w:val="001B6A18"/>
    <w:rsid w:val="001E0E25"/>
    <w:rsid w:val="001E5B07"/>
    <w:rsid w:val="001F02BB"/>
    <w:rsid w:val="001F2E8B"/>
    <w:rsid w:val="001F6BC2"/>
    <w:rsid w:val="00230AF4"/>
    <w:rsid w:val="0023316F"/>
    <w:rsid w:val="002431DD"/>
    <w:rsid w:val="00252F5E"/>
    <w:rsid w:val="00254B5B"/>
    <w:rsid w:val="0026051A"/>
    <w:rsid w:val="002609FA"/>
    <w:rsid w:val="00295989"/>
    <w:rsid w:val="00295AE4"/>
    <w:rsid w:val="002A28D0"/>
    <w:rsid w:val="002C1D8C"/>
    <w:rsid w:val="002E781C"/>
    <w:rsid w:val="00315B50"/>
    <w:rsid w:val="003431AD"/>
    <w:rsid w:val="0035078C"/>
    <w:rsid w:val="00360B69"/>
    <w:rsid w:val="003669A1"/>
    <w:rsid w:val="0037153C"/>
    <w:rsid w:val="003A1136"/>
    <w:rsid w:val="003B6FB0"/>
    <w:rsid w:val="003C4142"/>
    <w:rsid w:val="003F0424"/>
    <w:rsid w:val="00400DCF"/>
    <w:rsid w:val="0040277B"/>
    <w:rsid w:val="00403E0C"/>
    <w:rsid w:val="00426A7A"/>
    <w:rsid w:val="00434329"/>
    <w:rsid w:val="004500D2"/>
    <w:rsid w:val="00473997"/>
    <w:rsid w:val="0049797D"/>
    <w:rsid w:val="004A4B76"/>
    <w:rsid w:val="004A55E7"/>
    <w:rsid w:val="004B6BB8"/>
    <w:rsid w:val="004D57FC"/>
    <w:rsid w:val="004E48FE"/>
    <w:rsid w:val="004E576D"/>
    <w:rsid w:val="0050745C"/>
    <w:rsid w:val="00516C33"/>
    <w:rsid w:val="00525ACF"/>
    <w:rsid w:val="005273E8"/>
    <w:rsid w:val="00531F5B"/>
    <w:rsid w:val="0054039C"/>
    <w:rsid w:val="00561E69"/>
    <w:rsid w:val="005777DC"/>
    <w:rsid w:val="0058086A"/>
    <w:rsid w:val="0058141B"/>
    <w:rsid w:val="005838C0"/>
    <w:rsid w:val="005B449B"/>
    <w:rsid w:val="005C1833"/>
    <w:rsid w:val="005C7E31"/>
    <w:rsid w:val="00607018"/>
    <w:rsid w:val="00625858"/>
    <w:rsid w:val="00630306"/>
    <w:rsid w:val="00656A39"/>
    <w:rsid w:val="006810F2"/>
    <w:rsid w:val="0068133A"/>
    <w:rsid w:val="006D3F5C"/>
    <w:rsid w:val="006E5BCF"/>
    <w:rsid w:val="006E6695"/>
    <w:rsid w:val="007033E3"/>
    <w:rsid w:val="00710E71"/>
    <w:rsid w:val="00712BB4"/>
    <w:rsid w:val="0071694D"/>
    <w:rsid w:val="00717CBC"/>
    <w:rsid w:val="00740B00"/>
    <w:rsid w:val="007802E8"/>
    <w:rsid w:val="00785D62"/>
    <w:rsid w:val="007A373D"/>
    <w:rsid w:val="007C61F1"/>
    <w:rsid w:val="007D71F5"/>
    <w:rsid w:val="007F0F77"/>
    <w:rsid w:val="007F6CD9"/>
    <w:rsid w:val="008142E2"/>
    <w:rsid w:val="008436EF"/>
    <w:rsid w:val="008503FC"/>
    <w:rsid w:val="00854BFD"/>
    <w:rsid w:val="00873184"/>
    <w:rsid w:val="00887ABD"/>
    <w:rsid w:val="008900BA"/>
    <w:rsid w:val="008C1EBF"/>
    <w:rsid w:val="008D58C4"/>
    <w:rsid w:val="00922216"/>
    <w:rsid w:val="0093036B"/>
    <w:rsid w:val="00944A07"/>
    <w:rsid w:val="00955B57"/>
    <w:rsid w:val="00965682"/>
    <w:rsid w:val="0098160D"/>
    <w:rsid w:val="0099011A"/>
    <w:rsid w:val="009C5D25"/>
    <w:rsid w:val="00A00887"/>
    <w:rsid w:val="00A2388B"/>
    <w:rsid w:val="00A3097F"/>
    <w:rsid w:val="00A31664"/>
    <w:rsid w:val="00A342BC"/>
    <w:rsid w:val="00A512D6"/>
    <w:rsid w:val="00A54F43"/>
    <w:rsid w:val="00A80EC6"/>
    <w:rsid w:val="00AB04FD"/>
    <w:rsid w:val="00AB0C46"/>
    <w:rsid w:val="00AD54A9"/>
    <w:rsid w:val="00AE6BC0"/>
    <w:rsid w:val="00AF1D47"/>
    <w:rsid w:val="00B103DD"/>
    <w:rsid w:val="00B12A23"/>
    <w:rsid w:val="00B23393"/>
    <w:rsid w:val="00B31D25"/>
    <w:rsid w:val="00B60E4F"/>
    <w:rsid w:val="00B816F8"/>
    <w:rsid w:val="00B9575F"/>
    <w:rsid w:val="00BD701D"/>
    <w:rsid w:val="00BE2F47"/>
    <w:rsid w:val="00BE50FE"/>
    <w:rsid w:val="00BE6B8D"/>
    <w:rsid w:val="00BF0554"/>
    <w:rsid w:val="00C26DE9"/>
    <w:rsid w:val="00C433EB"/>
    <w:rsid w:val="00C43627"/>
    <w:rsid w:val="00C553B5"/>
    <w:rsid w:val="00C70BB8"/>
    <w:rsid w:val="00C71772"/>
    <w:rsid w:val="00C902EF"/>
    <w:rsid w:val="00CB1A6E"/>
    <w:rsid w:val="00CC0D85"/>
    <w:rsid w:val="00CC71C7"/>
    <w:rsid w:val="00CE51C8"/>
    <w:rsid w:val="00CE7C37"/>
    <w:rsid w:val="00CF1C68"/>
    <w:rsid w:val="00D015B8"/>
    <w:rsid w:val="00D02946"/>
    <w:rsid w:val="00D02F01"/>
    <w:rsid w:val="00D55D50"/>
    <w:rsid w:val="00D57F66"/>
    <w:rsid w:val="00D72DB2"/>
    <w:rsid w:val="00D80435"/>
    <w:rsid w:val="00DB13D5"/>
    <w:rsid w:val="00DB29E0"/>
    <w:rsid w:val="00DD2A46"/>
    <w:rsid w:val="00DF32BC"/>
    <w:rsid w:val="00E1351C"/>
    <w:rsid w:val="00E13BBD"/>
    <w:rsid w:val="00E374B2"/>
    <w:rsid w:val="00F07942"/>
    <w:rsid w:val="00F124B6"/>
    <w:rsid w:val="00F24389"/>
    <w:rsid w:val="00F42AC6"/>
    <w:rsid w:val="00F53177"/>
    <w:rsid w:val="00F65740"/>
    <w:rsid w:val="00F717AC"/>
    <w:rsid w:val="00FB11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A8AAED"/>
  <w15:chartTrackingRefBased/>
  <w15:docId w15:val="{2BF9FA7B-51BD-4CF0-A8A8-F0B273CB8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86A"/>
  </w:style>
  <w:style w:type="paragraph" w:styleId="Heading1">
    <w:name w:val="heading 1"/>
    <w:basedOn w:val="Normal"/>
    <w:next w:val="Normal"/>
    <w:link w:val="Heading1Char"/>
    <w:uiPriority w:val="9"/>
    <w:qFormat/>
    <w:rsid w:val="005C1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8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8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8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8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8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8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8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8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8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8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8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8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8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8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8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833"/>
    <w:rPr>
      <w:rFonts w:eastAsiaTheme="majorEastAsia" w:cstheme="majorBidi"/>
      <w:color w:val="272727" w:themeColor="text1" w:themeTint="D8"/>
    </w:rPr>
  </w:style>
  <w:style w:type="paragraph" w:styleId="Title">
    <w:name w:val="Title"/>
    <w:basedOn w:val="Normal"/>
    <w:next w:val="Normal"/>
    <w:link w:val="TitleChar"/>
    <w:uiPriority w:val="10"/>
    <w:qFormat/>
    <w:rsid w:val="005C1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8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8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8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833"/>
    <w:pPr>
      <w:spacing w:before="160"/>
      <w:jc w:val="center"/>
    </w:pPr>
    <w:rPr>
      <w:i/>
      <w:iCs/>
      <w:color w:val="404040" w:themeColor="text1" w:themeTint="BF"/>
    </w:rPr>
  </w:style>
  <w:style w:type="character" w:customStyle="1" w:styleId="QuoteChar">
    <w:name w:val="Quote Char"/>
    <w:basedOn w:val="DefaultParagraphFont"/>
    <w:link w:val="Quote"/>
    <w:uiPriority w:val="29"/>
    <w:rsid w:val="005C1833"/>
    <w:rPr>
      <w:i/>
      <w:iCs/>
      <w:color w:val="404040" w:themeColor="text1" w:themeTint="BF"/>
    </w:rPr>
  </w:style>
  <w:style w:type="paragraph" w:styleId="ListParagraph">
    <w:name w:val="List Paragraph"/>
    <w:basedOn w:val="Normal"/>
    <w:link w:val="ListParagraphChar"/>
    <w:uiPriority w:val="34"/>
    <w:qFormat/>
    <w:rsid w:val="005C1833"/>
    <w:pPr>
      <w:ind w:left="720"/>
      <w:contextualSpacing/>
    </w:pPr>
  </w:style>
  <w:style w:type="character" w:styleId="IntenseEmphasis">
    <w:name w:val="Intense Emphasis"/>
    <w:basedOn w:val="DefaultParagraphFont"/>
    <w:uiPriority w:val="21"/>
    <w:qFormat/>
    <w:rsid w:val="005C1833"/>
    <w:rPr>
      <w:i/>
      <w:iCs/>
      <w:color w:val="0F4761" w:themeColor="accent1" w:themeShade="BF"/>
    </w:rPr>
  </w:style>
  <w:style w:type="paragraph" w:styleId="IntenseQuote">
    <w:name w:val="Intense Quote"/>
    <w:basedOn w:val="Normal"/>
    <w:next w:val="Normal"/>
    <w:link w:val="IntenseQuoteChar"/>
    <w:uiPriority w:val="30"/>
    <w:qFormat/>
    <w:rsid w:val="005C1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833"/>
    <w:rPr>
      <w:i/>
      <w:iCs/>
      <w:color w:val="0F4761" w:themeColor="accent1" w:themeShade="BF"/>
    </w:rPr>
  </w:style>
  <w:style w:type="character" w:styleId="IntenseReference">
    <w:name w:val="Intense Reference"/>
    <w:basedOn w:val="DefaultParagraphFont"/>
    <w:uiPriority w:val="32"/>
    <w:qFormat/>
    <w:rsid w:val="005C1833"/>
    <w:rPr>
      <w:b/>
      <w:bCs/>
      <w:smallCaps/>
      <w:color w:val="0F4761" w:themeColor="accent1" w:themeShade="BF"/>
      <w:spacing w:val="5"/>
    </w:rPr>
  </w:style>
  <w:style w:type="paragraph" w:styleId="Revision">
    <w:name w:val="Revision"/>
    <w:hidden/>
    <w:uiPriority w:val="99"/>
    <w:semiHidden/>
    <w:rsid w:val="00426A7A"/>
    <w:pPr>
      <w:spacing w:after="0" w:line="240" w:lineRule="auto"/>
    </w:pPr>
  </w:style>
  <w:style w:type="character" w:styleId="CommentReference">
    <w:name w:val="annotation reference"/>
    <w:basedOn w:val="DefaultParagraphFont"/>
    <w:uiPriority w:val="99"/>
    <w:semiHidden/>
    <w:unhideWhenUsed/>
    <w:rsid w:val="002C1D8C"/>
    <w:rPr>
      <w:sz w:val="16"/>
      <w:szCs w:val="16"/>
    </w:rPr>
  </w:style>
  <w:style w:type="paragraph" w:styleId="CommentText">
    <w:name w:val="annotation text"/>
    <w:basedOn w:val="Normal"/>
    <w:link w:val="CommentTextChar"/>
    <w:uiPriority w:val="99"/>
    <w:unhideWhenUsed/>
    <w:rsid w:val="002C1D8C"/>
    <w:pPr>
      <w:spacing w:line="240" w:lineRule="auto"/>
    </w:pPr>
    <w:rPr>
      <w:sz w:val="20"/>
      <w:szCs w:val="20"/>
    </w:rPr>
  </w:style>
  <w:style w:type="character" w:customStyle="1" w:styleId="CommentTextChar">
    <w:name w:val="Comment Text Char"/>
    <w:basedOn w:val="DefaultParagraphFont"/>
    <w:link w:val="CommentText"/>
    <w:uiPriority w:val="99"/>
    <w:rsid w:val="002C1D8C"/>
    <w:rPr>
      <w:sz w:val="20"/>
      <w:szCs w:val="20"/>
    </w:rPr>
  </w:style>
  <w:style w:type="paragraph" w:styleId="CommentSubject">
    <w:name w:val="annotation subject"/>
    <w:basedOn w:val="CommentText"/>
    <w:next w:val="CommentText"/>
    <w:link w:val="CommentSubjectChar"/>
    <w:uiPriority w:val="99"/>
    <w:semiHidden/>
    <w:unhideWhenUsed/>
    <w:rsid w:val="002C1D8C"/>
    <w:rPr>
      <w:b/>
      <w:bCs/>
    </w:rPr>
  </w:style>
  <w:style w:type="character" w:customStyle="1" w:styleId="CommentSubjectChar">
    <w:name w:val="Comment Subject Char"/>
    <w:basedOn w:val="CommentTextChar"/>
    <w:link w:val="CommentSubject"/>
    <w:uiPriority w:val="99"/>
    <w:semiHidden/>
    <w:rsid w:val="002C1D8C"/>
    <w:rPr>
      <w:b/>
      <w:bCs/>
      <w:sz w:val="20"/>
      <w:szCs w:val="20"/>
    </w:rPr>
  </w:style>
  <w:style w:type="character" w:customStyle="1" w:styleId="ListParagraphChar">
    <w:name w:val="List Paragraph Char"/>
    <w:link w:val="ListParagraph"/>
    <w:uiPriority w:val="34"/>
    <w:locked/>
    <w:rsid w:val="00703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Addendum%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Addendum Template Using New Formatting (Per Mona Request) - 6-4-26</Template>
  <TotalTime>6</TotalTime>
  <Pages>3</Pages>
  <Words>901</Words>
  <Characters>5074</Characters>
  <Application>Microsoft Office Word</Application>
  <DocSecurity>0</DocSecurity>
  <Lines>107</Lines>
  <Paragraphs>42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County Jails</vt:lpstr>
      <vt:lpstr>    60-Day Comment Period Federal Register Notice (FRN):</vt:lpstr>
      <vt:lpstr>    30-Day Comment Period Federal Register Notice (FRN):</vt:lpstr>
    </vt:vector>
  </TitlesOfParts>
  <Company>Social Security Administration</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LP/PFD/RRC</dc:creator>
  <cp:lastModifiedBy>Naomi Sipple</cp:lastModifiedBy>
  <cp:revision>3</cp:revision>
  <dcterms:created xsi:type="dcterms:W3CDTF">2026-10-29T13:56:00Z</dcterms:created>
  <dcterms:modified xsi:type="dcterms:W3CDTF">2026-10-29T22:12:00Z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-422905942</vt:i4>
  </property>
  <property fmtid="{D5CDD505-2E9C-101B-9397-08002B2CF9AE}" pid="3" name="_AuthorEmail">
    <vt:lpwstr>Naomi.Sipple@ssa.gov</vt:lpwstr>
  </property>
  <property fmtid="{D5CDD505-2E9C-101B-9397-08002B2CF9AE}" pid="4" name="_AuthorEmailDisplayName">
    <vt:lpwstr>Sipple, Naomi   LP</vt:lpwstr>
  </property>
  <property fmtid="{D5CDD505-2E9C-101B-9397-08002B2CF9AE}" pid="5" name="_EmailSubject">
    <vt:lpwstr>For Your Review-OMB Expiration Notice: 0960-0833-State of Georgia’s CJCC Evaluation of the Implementation of the SSI/SSDI Outreach, Access, and Recovery (SOAR) Model in County Jails</vt:lpwstr>
  </property>
  <property fmtid="{D5CDD505-2E9C-101B-9397-08002B2CF9AE}" pid="6" name="_NewReviewCycle">
    <vt:lpwstr/>
  </property>
  <property fmtid="{D5CDD505-2E9C-101B-9397-08002B2CF9AE}" pid="7" name="_PreviousAdHocReviewCycleID">
    <vt:i4>-356404864</vt:i4>
  </property>
  <property fmtid="{D5CDD505-2E9C-101B-9397-08002B2CF9AE}" pid="8" name="_ReviewingToolsShownOnce">
    <vt:lpwstr/>
  </property>
</Properties>
</file>