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54823" w:rsidRPr="002F57E8" w:rsidP="00B54823" w14:paraId="52A3A30E" w14:textId="77777777">
      <w:pPr>
        <w:jc w:val="center"/>
        <w:rPr>
          <w:b/>
        </w:rPr>
      </w:pPr>
      <w:r w:rsidRPr="002F57E8">
        <w:rPr>
          <w:b/>
        </w:rPr>
        <w:t>Supporting Statement for Paperwork Reduction Act Submissions</w:t>
      </w:r>
    </w:p>
    <w:p w:rsidR="007D7987" w:rsidP="00EA1441" w14:paraId="78E69798" w14:textId="6CF89356">
      <w:pPr>
        <w:jc w:val="center"/>
        <w:rPr>
          <w:b/>
        </w:rPr>
      </w:pPr>
      <w:r>
        <w:rPr>
          <w:b/>
        </w:rPr>
        <w:t>Recordkeeping Requirements for Partial Fills of Prescriptions for Schedule II Controlled Substances</w:t>
      </w:r>
    </w:p>
    <w:p w:rsidR="00B54823" w:rsidRPr="002F57E8" w:rsidP="00EA1441" w14:paraId="77EEA8A9" w14:textId="64A33E2B">
      <w:pPr>
        <w:jc w:val="center"/>
        <w:rPr>
          <w:b/>
        </w:rPr>
      </w:pPr>
      <w:r w:rsidRPr="002F57E8">
        <w:rPr>
          <w:b/>
        </w:rPr>
        <w:t>OMB Approval #1117-</w:t>
      </w:r>
      <w:r w:rsidR="006B0DA1">
        <w:rPr>
          <w:b/>
        </w:rPr>
        <w:t>0057</w:t>
      </w:r>
    </w:p>
    <w:p w:rsidR="005038D3" w:rsidRPr="002F57E8" w:rsidP="005038D3" w14:paraId="19C959A7" w14:textId="77777777"/>
    <w:p w:rsidR="005C5733" w:rsidP="002C560C" w14:paraId="0F722AA9" w14:textId="74700C53">
      <w:pPr>
        <w:jc w:val="both"/>
      </w:pPr>
      <w:r w:rsidR="00A84F9C">
        <w:t xml:space="preserve">The Drug Enforcement Administration (DEA) seeks </w:t>
      </w:r>
      <w:r w:rsidR="00915B72">
        <w:t xml:space="preserve">approval </w:t>
      </w:r>
      <w:r w:rsidR="002E4F17">
        <w:t xml:space="preserve">by </w:t>
      </w:r>
      <w:r w:rsidR="00A84F9C">
        <w:t xml:space="preserve">the Office of Management and Budget (OMB) </w:t>
      </w:r>
      <w:r w:rsidR="0086545A">
        <w:t>for</w:t>
      </w:r>
      <w:r w:rsidR="00A84F9C">
        <w:t xml:space="preserve"> </w:t>
      </w:r>
      <w:r w:rsidR="007D7987">
        <w:t xml:space="preserve">a new </w:t>
      </w:r>
      <w:r w:rsidR="00A84F9C">
        <w:t xml:space="preserve">collection of information, </w:t>
      </w:r>
      <w:r w:rsidR="00D36C93">
        <w:t>Recordkeeping Require</w:t>
      </w:r>
      <w:r w:rsidR="007A6887">
        <w:t>ments for Partial Fills of Prescriptions for Schedule II Controlled Substances.</w:t>
      </w:r>
    </w:p>
    <w:p w:rsidR="00A84F9C" w:rsidRPr="002F57E8" w:rsidP="39BCA5A8" w14:paraId="5E908BB7" w14:textId="39A47A1F">
      <w:pPr>
        <w:jc w:val="both"/>
      </w:pPr>
    </w:p>
    <w:p w:rsidR="00CE2D87" w:rsidP="005038D3" w14:paraId="2CA1949A" w14:textId="77777777">
      <w:pPr>
        <w:rPr>
          <w:b/>
        </w:rPr>
      </w:pPr>
    </w:p>
    <w:p w:rsidR="00CE2D87" w:rsidP="00CE2D87" w14:paraId="1A9B2ABA" w14:textId="77777777">
      <w:pPr>
        <w:numPr>
          <w:ilvl w:val="0"/>
          <w:numId w:val="43"/>
        </w:numPr>
        <w:autoSpaceDE w:val="0"/>
        <w:autoSpaceDN w:val="0"/>
        <w:adjustRightInd w:val="0"/>
        <w:ind w:left="540" w:hanging="450"/>
        <w:rPr>
          <w:b/>
          <w:bCs/>
        </w:rPr>
      </w:pPr>
      <w:r>
        <w:rPr>
          <w:b/>
          <w:bCs/>
        </w:rPr>
        <w:t>JUSTIFICATION</w:t>
      </w:r>
    </w:p>
    <w:p w:rsidR="005038D3" w:rsidRPr="002F57E8" w:rsidP="005038D3" w14:paraId="20291638" w14:textId="77777777"/>
    <w:p w:rsidR="008C0A9D" w:rsidP="00CE2D87" w14:paraId="587634C4" w14:textId="70062AFC">
      <w:pPr>
        <w:widowControl w:val="0"/>
        <w:tabs>
          <w:tab w:val="left" w:pos="450"/>
          <w:tab w:val="left" w:pos="720"/>
        </w:tabs>
      </w:pPr>
      <w:r w:rsidRPr="002F57E8">
        <w:t xml:space="preserve">1. </w:t>
      </w:r>
      <w:r w:rsidRPr="002F57E8" w:rsidR="005009E9">
        <w:t xml:space="preserve"> </w:t>
      </w:r>
      <w:r w:rsidRPr="006814E4">
        <w:t xml:space="preserve">In accordance with the </w:t>
      </w:r>
      <w:r>
        <w:t xml:space="preserve">Controlled Substances Act (CSA), every DEA </w:t>
      </w:r>
      <w:r w:rsidRPr="006814E4">
        <w:t xml:space="preserve">registrant must make a biennial inventory and maintain, on a current basis, a complete and accurate record of each controlled substance manufactured, received, sold, delivered, or otherwise disposed of.  21 U.S.C. 827 and 958.  These records must be maintained separately from all other records of the registrant or, alternatively, in the case of non-narcotic controlled substances, be in such a form that required information is readily retrievable from the ordinary business records of the registrant.  21 U.S.C. 827(b)(2).  The records maintained by registrants must be kept and be available for at least two years for inspection and copying by officers or employees of the United States as authorized by the Attorney General.  21 U.S.C. 827(b)(3).  DEA may promulgate regulations that specify the information that registrants </w:t>
      </w:r>
      <w:r>
        <w:t>must</w:t>
      </w:r>
      <w:r w:rsidRPr="006814E4">
        <w:t xml:space="preserve"> maintain in the </w:t>
      </w:r>
      <w:r>
        <w:t xml:space="preserve">required </w:t>
      </w:r>
      <w:r w:rsidRPr="006814E4">
        <w:t xml:space="preserve">records.  21 U.S.C. 827(b)(1).  </w:t>
      </w:r>
    </w:p>
    <w:p w:rsidR="007E1A51" w:rsidP="008C0A9D" w14:paraId="2F96714D" w14:textId="5E198527">
      <w:pPr>
        <w:widowControl w:val="0"/>
        <w:tabs>
          <w:tab w:val="left" w:pos="450"/>
          <w:tab w:val="left" w:pos="720"/>
        </w:tabs>
      </w:pPr>
    </w:p>
    <w:p w:rsidR="007E1A51" w:rsidP="00881B0F" w14:paraId="7E10D5EC" w14:textId="34A64CD9">
      <w:pPr>
        <w:widowControl w:val="0"/>
        <w:autoSpaceDE w:val="0"/>
        <w:autoSpaceDN w:val="0"/>
        <w:adjustRightInd w:val="0"/>
        <w:ind w:firstLine="360"/>
        <w:contextualSpacing/>
        <w:rPr>
          <w:color w:val="000000"/>
        </w:rPr>
      </w:pPr>
      <w:r w:rsidRPr="00E66980">
        <w:t xml:space="preserve">On July 22, 2016, the President signed the </w:t>
      </w:r>
      <w:r w:rsidRPr="00E66980">
        <w:rPr>
          <w:bCs/>
        </w:rPr>
        <w:t>Comprehensive Addiction and Recovery Act</w:t>
      </w:r>
      <w:r w:rsidRPr="00E66980">
        <w:t xml:space="preserve"> (CARA) of 2016 into law as Public Law 114-198</w:t>
      </w:r>
      <w:r w:rsidRPr="00E66980" w:rsidR="003C61AB">
        <w:rPr>
          <w:szCs w:val="20"/>
        </w:rPr>
        <w:t>, which included</w:t>
      </w:r>
      <w:r w:rsidRPr="00E66980">
        <w:rPr>
          <w:szCs w:val="20"/>
        </w:rPr>
        <w:t xml:space="preserve"> amend</w:t>
      </w:r>
      <w:r w:rsidRPr="00E66980" w:rsidR="003C61AB">
        <w:rPr>
          <w:szCs w:val="20"/>
        </w:rPr>
        <w:t>ing</w:t>
      </w:r>
      <w:r w:rsidRPr="00E66980">
        <w:t xml:space="preserve"> the CSA to allow for the partial filling of prescriptions for schedule II controlled substances under certain conditions.  </w:t>
      </w:r>
      <w:r w:rsidRPr="00E66980" w:rsidR="003C61AB">
        <w:t>The amendment</w:t>
      </w:r>
      <w:r w:rsidRPr="00E66980">
        <w:t xml:space="preserve"> add</w:t>
      </w:r>
      <w:r w:rsidRPr="00E66980" w:rsidR="003C61AB">
        <w:t>ed</w:t>
      </w:r>
      <w:r w:rsidRPr="00E66980">
        <w:t xml:space="preserve"> subsection (f)</w:t>
      </w:r>
      <w:r w:rsidRPr="00E66980" w:rsidR="003C61AB">
        <w:t xml:space="preserve"> to 21 U.S.C. 829</w:t>
      </w:r>
      <w:r w:rsidRPr="00E66980">
        <w:t>,</w:t>
      </w:r>
      <w:r w:rsidR="00881B0F">
        <w:t xml:space="preserve"> </w:t>
      </w:r>
      <w:r w:rsidRPr="00E66980">
        <w:t>allow</w:t>
      </w:r>
      <w:r w:rsidRPr="00E66980" w:rsidR="003C61AB">
        <w:t>ing</w:t>
      </w:r>
      <w:r w:rsidRPr="00E66980">
        <w:t xml:space="preserve"> a pharmacist to partially fill a prescription for a schedule II controlled substance where requested by the prescribing practitioner or the patient</w:t>
      </w:r>
      <w:r w:rsidRPr="00E66980" w:rsidR="00F22238">
        <w:t>, provided</w:t>
      </w:r>
      <w:r w:rsidRPr="00E66980">
        <w:t xml:space="preserve"> all of the following conditions </w:t>
      </w:r>
      <w:r w:rsidRPr="00E66980" w:rsidR="00F22238">
        <w:t>have</w:t>
      </w:r>
      <w:r w:rsidR="00881B0F">
        <w:t xml:space="preserve"> </w:t>
      </w:r>
      <w:r w:rsidRPr="00E66980">
        <w:t>be</w:t>
      </w:r>
      <w:r w:rsidRPr="00E66980" w:rsidR="00F22238">
        <w:t>en</w:t>
      </w:r>
      <w:r w:rsidRPr="00E66980">
        <w:t xml:space="preserve"> satisfied: (1) the partial filling must not be prohibited by State law; (2) the prescription must be written and filled in accordance with the CSA, DEA regulations, and State law; and (3) the total quantity dispensed in all partial fillings must not exceed the total quantity prescribed.  In addition, subsection (f) provides that the </w:t>
      </w:r>
      <w:r w:rsidRPr="00E66980">
        <w:rPr>
          <w:color w:val="000000"/>
        </w:rPr>
        <w:t>remaining portions of a partially filled prescription for a controlled substance in schedule II, if filled, must be filled no later than 30 days after the date on which the prescription is written, unless the prescription is issued as an emergency oral prescription, in which case the remaining portion, if filled, must be filled no later than 72 hours after it was issued.</w:t>
      </w:r>
      <w:r w:rsidRPr="00E66980" w:rsidR="00762FC6">
        <w:rPr>
          <w:color w:val="000000"/>
        </w:rPr>
        <w:t xml:space="preserve">  Also, Congress gave DEA explicit authorization to fill in any gaps in the regulatory scheme not addressed by Congress itself in the CARA.</w:t>
      </w:r>
    </w:p>
    <w:p w:rsidR="000B2792" w:rsidRPr="002F57E8" w:rsidP="39BCA5A8" w14:paraId="3BC7CDD4" w14:textId="0390A7B7">
      <w:pPr>
        <w:widowControl w:val="0"/>
        <w:tabs>
          <w:tab w:val="left" w:pos="450"/>
          <w:tab w:val="left" w:pos="720"/>
        </w:tabs>
      </w:pPr>
    </w:p>
    <w:p w:rsidR="00991B94" w:rsidP="00CE2D87" w14:paraId="74BC7238" w14:textId="4E0F77D4">
      <w:pPr>
        <w:jc w:val="both"/>
      </w:pPr>
      <w:r w:rsidRPr="002F57E8">
        <w:t xml:space="preserve">2. </w:t>
      </w:r>
      <w:r w:rsidRPr="002F57E8" w:rsidR="005009E9">
        <w:t xml:space="preserve"> </w:t>
      </w:r>
      <w:r w:rsidR="00CE2D87">
        <w:t>P</w:t>
      </w:r>
      <w:r w:rsidR="00DA17A8">
        <w:t>harmacist</w:t>
      </w:r>
      <w:r w:rsidR="00CE2D87">
        <w:t>s are</w:t>
      </w:r>
      <w:r w:rsidR="00DA17A8">
        <w:t xml:space="preserve"> required to maintain a record with the date of each dispensing, the name or initials of the individual who dispensed the substance, and all other information required by 1306.22(c) for schedule III and IV prescription refills.  For electronic prescriptions, pharmacy applications</w:t>
      </w:r>
      <w:r w:rsidR="00CE2D87">
        <w:t xml:space="preserve"> </w:t>
      </w:r>
      <w:r w:rsidR="00DA17A8">
        <w:t>need to allow required information pertaining to the quantity, date, and the dispenser to be linked to each electronic controlled substance prescription record.</w:t>
      </w:r>
    </w:p>
    <w:p w:rsidR="00D17220" w:rsidP="002C560C" w14:paraId="585108FD" w14:textId="2731A312">
      <w:pPr>
        <w:jc w:val="both"/>
      </w:pPr>
    </w:p>
    <w:p w:rsidR="00D17220" w:rsidRPr="002F57E8" w:rsidP="00D17220" w14:paraId="3649A615" w14:textId="16DF435B">
      <w:pPr>
        <w:ind w:firstLine="360"/>
        <w:jc w:val="both"/>
      </w:pPr>
      <w:r>
        <w:t xml:space="preserve">DEA </w:t>
      </w:r>
      <w:r w:rsidR="00CE2D87">
        <w:t xml:space="preserve">will </w:t>
      </w:r>
      <w:r>
        <w:t>use the required records to maintain complete accountability for all schedule II controlled substances dispensed by a practitioner.  This accountability w</w:t>
      </w:r>
      <w:r w:rsidR="00CE2D87">
        <w:t>ill</w:t>
      </w:r>
      <w:r>
        <w:t xml:space="preserve"> allow DEA to maintain a closed system of distribution for schedule II controlled substances.  These records would also allow DEA to target possible sources of diversion.</w:t>
      </w:r>
    </w:p>
    <w:p w:rsidR="004E540D" w:rsidRPr="002F57E8" w:rsidP="00364CDC" w14:paraId="3513B17E" w14:textId="77777777"/>
    <w:p w:rsidR="00D17220" w:rsidRPr="00DF16B1" w:rsidP="00CE2D87" w14:paraId="47C0DF60" w14:textId="1D83665A">
      <w:pPr>
        <w:tabs>
          <w:tab w:val="left" w:pos="720"/>
        </w:tabs>
      </w:pPr>
      <w:r w:rsidRPr="002F57E8">
        <w:t>3.</w:t>
      </w:r>
      <w:r w:rsidRPr="002F57E8" w:rsidR="00406453">
        <w:t xml:space="preserve"> </w:t>
      </w:r>
      <w:r w:rsidRPr="002F57E8" w:rsidR="005009E9">
        <w:t xml:space="preserve"> </w:t>
      </w:r>
      <w:r>
        <w:t xml:space="preserve">This requirement does not involve reporting and, therefore, issues related to electronic submission are not applicable.  DEA’s regulations allow practitioners to maintain their records in any format they find appropriate, including electronically. </w:t>
      </w:r>
    </w:p>
    <w:p w:rsidR="00ED54CD" w:rsidRPr="002F57E8" w:rsidP="00991B94" w14:paraId="05DA9B3D" w14:textId="77777777">
      <w:pPr>
        <w:rPr>
          <w:noProof/>
        </w:rPr>
      </w:pPr>
    </w:p>
    <w:p w:rsidR="00AA149B" w:rsidRPr="002F57E8" w:rsidP="00CE2D87" w14:paraId="149564E8" w14:textId="74AC712C">
      <w:pPr>
        <w:jc w:val="both"/>
      </w:pPr>
      <w:r w:rsidRPr="002F57E8">
        <w:rPr>
          <w:color w:val="000000"/>
        </w:rPr>
        <w:t xml:space="preserve">4. </w:t>
      </w:r>
      <w:r w:rsidRPr="002F57E8" w:rsidR="005009E9">
        <w:rPr>
          <w:color w:val="000000"/>
        </w:rPr>
        <w:t xml:space="preserve"> </w:t>
      </w:r>
      <w:r w:rsidRPr="002F57E8" w:rsidR="00BE5B40">
        <w:t>Controlled substance and listed chemical quotas are unique to DEA.  Therefore, there is no duplication of information requested as part of this collection</w:t>
      </w:r>
      <w:r w:rsidRPr="002F57E8">
        <w:t>.</w:t>
      </w:r>
    </w:p>
    <w:p w:rsidR="00ED54CD" w:rsidRPr="002F57E8" w:rsidP="00364CDC" w14:paraId="424CCA42" w14:textId="77777777"/>
    <w:p w:rsidR="00A7508F" w:rsidRPr="002F57E8" w:rsidP="00CE2D87" w14:paraId="67CC8255" w14:textId="39870782">
      <w:pPr>
        <w:jc w:val="both"/>
      </w:pPr>
      <w:r w:rsidRPr="002F57E8">
        <w:t xml:space="preserve">5. </w:t>
      </w:r>
      <w:r w:rsidRPr="002F57E8" w:rsidR="005009E9">
        <w:t xml:space="preserve"> </w:t>
      </w:r>
      <w:r w:rsidR="00136021">
        <w:t xml:space="preserve">The DEA expects this collection </w:t>
      </w:r>
      <w:r w:rsidRPr="002F57E8" w:rsidR="00362449">
        <w:t xml:space="preserve">will not have a significant economic impact on </w:t>
      </w:r>
      <w:r w:rsidR="00EA79B9">
        <w:t>a substantial number of</w:t>
      </w:r>
      <w:r w:rsidR="00136021">
        <w:t xml:space="preserve"> </w:t>
      </w:r>
      <w:r w:rsidR="007C68E5">
        <w:t xml:space="preserve">small </w:t>
      </w:r>
      <w:r w:rsidR="00A656F8">
        <w:t xml:space="preserve">entities </w:t>
      </w:r>
      <w:r w:rsidRPr="002F57E8" w:rsidR="00362449">
        <w:t>within the meaning and intent of the Regulatory Flexibility Act, 5 U.S.C. 601</w:t>
      </w:r>
      <w:r w:rsidRPr="002F57E8" w:rsidR="004469C9">
        <w:t>–</w:t>
      </w:r>
      <w:r w:rsidRPr="002F57E8" w:rsidR="00087092">
        <w:t>612.</w:t>
      </w:r>
    </w:p>
    <w:p w:rsidR="00886498" w:rsidRPr="002F57E8" w:rsidP="00364CDC" w14:paraId="2BB0E2B4" w14:textId="77777777"/>
    <w:p w:rsidR="00B12BCF" w:rsidP="00CE2D87" w14:paraId="76D7CADF" w14:textId="583E8E7A">
      <w:pPr>
        <w:pStyle w:val="BodyTextIndent2"/>
        <w:spacing w:line="240" w:lineRule="auto"/>
        <w:ind w:firstLine="0"/>
        <w:rPr>
          <w:szCs w:val="24"/>
        </w:rPr>
      </w:pPr>
      <w:r w:rsidRPr="002F57E8">
        <w:t xml:space="preserve">6. </w:t>
      </w:r>
      <w:r w:rsidRPr="002F57E8" w:rsidR="005009E9">
        <w:t xml:space="preserve"> </w:t>
      </w:r>
      <w:r>
        <w:t xml:space="preserve">21 U.S.C. § 827 requires that records be maintained for a period of two years.  DEA does not have the authority to reduce the burden or period of recordkeeping.  Failure to record this information would make it more difficult for DEA and state agencies to identify the source of diverted substances. </w:t>
      </w:r>
    </w:p>
    <w:p w:rsidR="00923609" w:rsidRPr="002F57E8" w:rsidP="00364CDC" w14:paraId="5972A579" w14:textId="77777777"/>
    <w:p w:rsidR="00A7508F" w:rsidRPr="002F57E8" w:rsidP="00CE2D87" w14:paraId="328C320C" w14:textId="7C379252">
      <w:pPr>
        <w:jc w:val="both"/>
      </w:pPr>
      <w:r>
        <w:t>7.</w:t>
      </w:r>
      <w:r w:rsidR="005009E9">
        <w:t xml:space="preserve"> </w:t>
      </w:r>
      <w:r>
        <w:t xml:space="preserve"> </w:t>
      </w:r>
      <w:r w:rsidR="00B5274C">
        <w:t xml:space="preserve">There are no </w:t>
      </w:r>
      <w:r w:rsidR="00B5274C">
        <w:t>special circumstances</w:t>
      </w:r>
      <w:r w:rsidR="00B5274C">
        <w:t xml:space="preserve"> applicable to this information collection.</w:t>
      </w:r>
    </w:p>
    <w:p w:rsidR="00886498" w:rsidRPr="002F57E8" w:rsidP="00364CDC" w14:paraId="4768B79F" w14:textId="77777777"/>
    <w:p w:rsidR="0053254F" w:rsidRPr="002F57E8" w:rsidP="39BCA5A8" w14:paraId="569AAFCB" w14:textId="3C853CAE">
      <w:pPr>
        <w:jc w:val="both"/>
        <w:rPr>
          <w:rFonts w:ascii="Times New Roman" w:eastAsia="Times New Roman" w:hAnsi="Times New Roman" w:cs="Times New Roman"/>
          <w:noProof w:val="0"/>
          <w:sz w:val="24"/>
          <w:szCs w:val="24"/>
          <w:lang w:val="en-US"/>
        </w:rPr>
      </w:pPr>
      <w:r>
        <w:t xml:space="preserve">8. </w:t>
      </w:r>
      <w:r w:rsidR="005009E9">
        <w:t xml:space="preserve"> </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The 60-day Notice was published in the </w:t>
      </w:r>
      <w:r w:rsidRPr="39BCA5A8" w:rsidR="64CCFBA0">
        <w:rPr>
          <w:rFonts w:ascii="Times New Roman" w:eastAsia="Times New Roman" w:hAnsi="Times New Roman" w:cs="Times New Roman"/>
          <w:b w:val="0"/>
          <w:bCs w:val="0"/>
          <w:i/>
          <w:iCs/>
          <w:caps w:val="0"/>
          <w:smallCaps w:val="0"/>
          <w:noProof w:val="0"/>
          <w:color w:val="000000" w:themeColor="text1" w:themeShade="FF" w:themeTint="FF"/>
          <w:sz w:val="24"/>
          <w:szCs w:val="24"/>
          <w:lang w:val="en-US"/>
        </w:rPr>
        <w:t>Federal Register</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 on July </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2</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3, </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2026</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 at 91 FR 46485</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  </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The comment period ended on September 21, 2026</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  </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No comments were received</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  </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The final rule published in the </w:t>
      </w:r>
      <w:r w:rsidRPr="39BCA5A8" w:rsidR="64CCFBA0">
        <w:rPr>
          <w:rFonts w:ascii="Times New Roman" w:eastAsia="Times New Roman" w:hAnsi="Times New Roman" w:cs="Times New Roman"/>
          <w:b w:val="0"/>
          <w:bCs w:val="0"/>
          <w:i/>
          <w:iCs/>
          <w:caps w:val="0"/>
          <w:smallCaps w:val="0"/>
          <w:noProof w:val="0"/>
          <w:color w:val="000000" w:themeColor="text1" w:themeShade="FF" w:themeTint="FF"/>
          <w:sz w:val="24"/>
          <w:szCs w:val="24"/>
          <w:lang w:val="en-US"/>
        </w:rPr>
        <w:t>Federal Register</w:t>
      </w:r>
      <w:r w:rsidRPr="39BCA5A8" w:rsidR="64CCFBA0">
        <w:rPr>
          <w:rFonts w:ascii="Times New Roman" w:eastAsia="Times New Roman" w:hAnsi="Times New Roman" w:cs="Times New Roman"/>
          <w:b w:val="0"/>
          <w:bCs w:val="0"/>
          <w:i w:val="0"/>
          <w:iCs w:val="0"/>
          <w:caps w:val="0"/>
          <w:smallCaps w:val="0"/>
          <w:noProof w:val="0"/>
          <w:color w:val="000000" w:themeColor="text1" w:themeShade="FF" w:themeTint="FF"/>
          <w:sz w:val="24"/>
          <w:szCs w:val="24"/>
          <w:lang w:val="en-US"/>
        </w:rPr>
        <w:t xml:space="preserve"> on October 1, 2026, at 91 FR 62562.</w:t>
      </w:r>
    </w:p>
    <w:p w:rsidR="00015843" w:rsidRPr="002F57E8" w:rsidP="00455755" w14:paraId="0276DC4F" w14:textId="77777777"/>
    <w:p w:rsidR="00015843" w:rsidRPr="002F57E8" w:rsidP="000271EB" w14:paraId="24EE6EE9" w14:textId="77777777">
      <w:pPr>
        <w:ind w:firstLine="360"/>
        <w:jc w:val="both"/>
      </w:pPr>
      <w:r>
        <w:t>The DEA meets regularly with the affected industry to discuss policies, programs, and regulations</w:t>
      </w:r>
      <w:r>
        <w:t xml:space="preserve">.  </w:t>
      </w:r>
      <w:r>
        <w:t>These meetings provide an open forum to discuss matters of mutual concern with representatives of those entities from who</w:t>
      </w:r>
      <w:r w:rsidR="00416AF3">
        <w:t>m the information is obtained.</w:t>
      </w:r>
    </w:p>
    <w:p w:rsidR="00015843" w:rsidRPr="002F57E8" w:rsidP="00455755" w14:paraId="6A219A90" w14:textId="77777777"/>
    <w:p w:rsidR="00533C25" w:rsidRPr="002F57E8" w:rsidP="00CE2D87" w14:paraId="082E4615" w14:textId="1C9E9F4A">
      <w:pPr>
        <w:jc w:val="both"/>
      </w:pPr>
      <w:r w:rsidRPr="002F57E8">
        <w:t xml:space="preserve">9. </w:t>
      </w:r>
      <w:r w:rsidRPr="002F57E8" w:rsidR="005009E9">
        <w:t xml:space="preserve"> </w:t>
      </w:r>
      <w:r w:rsidRPr="002F57E8" w:rsidR="00362449">
        <w:t>This collection of information does not propose to provide any payment o</w:t>
      </w:r>
      <w:r w:rsidRPr="002F57E8" w:rsidR="00E719E1">
        <w:t>r</w:t>
      </w:r>
      <w:r w:rsidRPr="002F57E8" w:rsidR="00416AF3">
        <w:t xml:space="preserve"> gift to respondents.</w:t>
      </w:r>
    </w:p>
    <w:p w:rsidR="00886498" w:rsidRPr="002F57E8" w:rsidP="00364CDC" w14:paraId="72433CFD" w14:textId="77777777"/>
    <w:p w:rsidR="00410863" w:rsidRPr="002F57E8" w:rsidP="00CE2D87" w14:paraId="43104BA0" w14:textId="32C30E44">
      <w:pPr>
        <w:jc w:val="both"/>
      </w:pPr>
      <w:r>
        <w:t xml:space="preserve">10. </w:t>
      </w:r>
      <w:r w:rsidR="005009E9">
        <w:t xml:space="preserve"> </w:t>
      </w:r>
      <w:r w:rsidR="00E719E1">
        <w:t xml:space="preserve">Information requested in this collection may be considered confidential business information if marked as such </w:t>
      </w:r>
      <w:r w:rsidR="00E719E1">
        <w:t>in accordance with</w:t>
      </w:r>
      <w:r w:rsidR="00E719E1">
        <w:t xml:space="preserve"> 28 CFR 16.8(c) and Exemption 4 of the Freedom of Information Act (FOIA)</w:t>
      </w:r>
      <w:r w:rsidR="00E719E1">
        <w:t xml:space="preserve">.  </w:t>
      </w:r>
      <w:r w:rsidR="00E719E1">
        <w:t xml:space="preserve">Submitters who </w:t>
      </w:r>
      <w:r w:rsidR="00E719E1">
        <w:t>are required to</w:t>
      </w:r>
      <w:r w:rsidR="00E719E1">
        <w:t xml:space="preserve"> </w:t>
      </w:r>
      <w:r w:rsidR="00E719E1">
        <w:t>furnish</w:t>
      </w:r>
      <w:r w:rsidR="00E719E1">
        <w:t xml:space="preserve"> commercial or financial information to the government are protected from the competitive disadvantages that could result from disclosure of such information</w:t>
      </w:r>
      <w:r w:rsidR="00E719E1">
        <w:t xml:space="preserve">.  </w:t>
      </w:r>
      <w:r w:rsidR="00E719E1">
        <w:t>The information is protected by the DEA through secure storage, limited access, and federal regulatory and DEA procedures</w:t>
      </w:r>
      <w:r w:rsidR="00E719E1">
        <w:t xml:space="preserve">.  </w:t>
      </w:r>
      <w:r w:rsidR="00E719E1">
        <w:t>In the event a FOIA request is made to obtain information that has been designated as confid</w:t>
      </w:r>
      <w:r w:rsidR="0050284E">
        <w:t xml:space="preserve">ential business information per </w:t>
      </w:r>
      <w:r w:rsidR="00E719E1">
        <w:t>28</w:t>
      </w:r>
      <w:r w:rsidR="0050284E">
        <w:t xml:space="preserve"> </w:t>
      </w:r>
      <w:r w:rsidR="00E719E1">
        <w:t>CFR</w:t>
      </w:r>
      <w:r w:rsidR="0050284E">
        <w:t xml:space="preserve"> </w:t>
      </w:r>
      <w:r w:rsidR="00E719E1">
        <w:t>16.8(c)</w:t>
      </w:r>
      <w:r w:rsidR="0050284E">
        <w:t xml:space="preserve"> </w:t>
      </w:r>
      <w:r w:rsidR="00E719E1">
        <w:t>and Exemption 4 of FOIA, the DEA will give written notice to the submitter to allow an opportunity to object within a reasonable time prior to any disclosure by the DEA.</w:t>
      </w:r>
    </w:p>
    <w:p w:rsidR="00834C96" w:rsidRPr="002F57E8" w:rsidP="00364CDC" w14:paraId="63320FD1" w14:textId="77777777"/>
    <w:p w:rsidR="00410863" w:rsidRPr="002F57E8" w:rsidP="00CE2D87" w14:paraId="100869E9" w14:textId="11A3D014">
      <w:pPr>
        <w:jc w:val="both"/>
      </w:pPr>
      <w:r w:rsidRPr="002F57E8">
        <w:t xml:space="preserve">11. </w:t>
      </w:r>
      <w:r w:rsidRPr="002F57E8" w:rsidR="005009E9">
        <w:t xml:space="preserve"> </w:t>
      </w:r>
      <w:r w:rsidRPr="002F57E8" w:rsidR="000A765F">
        <w:t>This collection of information does not ask any q</w:t>
      </w:r>
      <w:r w:rsidRPr="002F57E8" w:rsidR="00416AF3">
        <w:t>uestions of a sensitive nature.</w:t>
      </w:r>
    </w:p>
    <w:p w:rsidR="00801C74" w:rsidRPr="002F57E8" w:rsidP="00364CDC" w14:paraId="2DD3D5DB" w14:textId="77777777"/>
    <w:p w:rsidR="001F2CD0" w:rsidP="001F2CD0" w14:paraId="2525B714" w14:textId="0135B48A">
      <w:pPr>
        <w:rPr>
          <w:noProof/>
        </w:rPr>
      </w:pPr>
      <w:r w:rsidRPr="001B2779">
        <w:rPr>
          <w:b/>
        </w:rPr>
        <w:t>12.</w:t>
      </w:r>
      <w:r w:rsidRPr="002F57E8">
        <w:t xml:space="preserve"> </w:t>
      </w:r>
      <w:r w:rsidRPr="002F57E8" w:rsidR="005009E9">
        <w:t xml:space="preserve"> </w:t>
      </w:r>
    </w:p>
    <w:p w:rsidR="00445C03" w:rsidP="39BCA5A8" w14:paraId="567EE9C1" w14:textId="77777777">
      <w:pPr>
        <w:ind w:left="720"/>
        <w:jc w:val="center"/>
        <w:rPr>
          <w:b/>
          <w:bCs/>
        </w:rPr>
      </w:pPr>
      <w:r w:rsidRPr="39BCA5A8">
        <w:rPr>
          <w:b/>
          <w:bCs/>
        </w:rPr>
        <w:t>Estimated Annualized Respondent Cost and Hour Burden</w:t>
      </w:r>
    </w:p>
    <w:p w:rsidR="00420451" w:rsidP="00445C03" w14:paraId="5BF5928F" w14:textId="6568AB15">
      <w:pPr>
        <w:ind w:left="720"/>
        <w:jc w:val="center"/>
      </w:pPr>
    </w:p>
    <w:tbl>
      <w:tblPr>
        <w:tblW w:w="9983" w:type="dxa"/>
        <w:tblInd w:w="-10" w:type="dxa"/>
        <w:tblLook w:val="04A0"/>
      </w:tblPr>
      <w:tblGrid>
        <w:gridCol w:w="1470"/>
        <w:gridCol w:w="1508"/>
        <w:gridCol w:w="1215"/>
        <w:gridCol w:w="1290"/>
        <w:gridCol w:w="1140"/>
        <w:gridCol w:w="1005"/>
        <w:gridCol w:w="1095"/>
        <w:gridCol w:w="1350"/>
      </w:tblGrid>
      <w:tr w14:paraId="3C18D7F6" w14:textId="77777777" w:rsidTr="39BCA5A8">
        <w:tblPrEx>
          <w:tblW w:w="9983" w:type="dxa"/>
          <w:tblInd w:w="-10" w:type="dxa"/>
          <w:tblLook w:val="04A0"/>
        </w:tblPrEx>
        <w:trPr>
          <w:trHeight w:val="1063"/>
        </w:trPr>
        <w:tc>
          <w:tcPr>
            <w:tcW w:w="1470" w:type="dxa"/>
            <w:tcBorders>
              <w:top w:val="single" w:sz="8" w:space="0" w:color="auto"/>
              <w:left w:val="single" w:sz="8" w:space="0" w:color="auto"/>
              <w:bottom w:val="nil"/>
              <w:right w:val="single" w:sz="8" w:space="0" w:color="auto"/>
            </w:tcBorders>
            <w:shd w:val="clear" w:color="auto" w:fill="C5D9F1"/>
            <w:vAlign w:val="center"/>
            <w:hideMark/>
          </w:tcPr>
          <w:p w:rsidR="00420451" w14:paraId="0530BF46" w14:textId="77777777">
            <w:pPr>
              <w:rPr>
                <w:color w:val="000000"/>
                <w:sz w:val="20"/>
                <w:szCs w:val="20"/>
              </w:rPr>
            </w:pPr>
            <w:r w:rsidRPr="39BCA5A8" w:rsidR="7E3B3AA1">
              <w:rPr>
                <w:color w:val="000000" w:themeColor="text1" w:themeShade="FF" w:themeTint="FF"/>
                <w:sz w:val="20"/>
                <w:szCs w:val="20"/>
              </w:rPr>
              <w:t> </w:t>
            </w:r>
            <w:r w:rsidRPr="39BCA5A8" w:rsidR="7E3B3AA1">
              <w:rPr>
                <w:b/>
                <w:bCs/>
                <w:color w:val="000000" w:themeColor="text1" w:themeShade="FF" w:themeTint="FF"/>
                <w:sz w:val="20"/>
                <w:szCs w:val="20"/>
              </w:rPr>
              <w:t xml:space="preserve">Activity </w:t>
            </w:r>
          </w:p>
        </w:tc>
        <w:tc>
          <w:tcPr>
            <w:tcW w:w="1508" w:type="dxa"/>
            <w:tcBorders>
              <w:top w:val="single" w:sz="8" w:space="0" w:color="auto"/>
              <w:left w:val="nil"/>
              <w:bottom w:val="nil"/>
              <w:right w:val="single" w:sz="8" w:space="0" w:color="auto"/>
            </w:tcBorders>
            <w:shd w:val="clear" w:color="auto" w:fill="C5D9F1"/>
            <w:vAlign w:val="center"/>
            <w:hideMark/>
          </w:tcPr>
          <w:p w:rsidR="00420451" w14:paraId="3A268765" w14:textId="77777777">
            <w:pPr>
              <w:jc w:val="center"/>
              <w:rPr>
                <w:b/>
                <w:bCs/>
                <w:color w:val="000000"/>
                <w:sz w:val="20"/>
                <w:szCs w:val="20"/>
              </w:rPr>
            </w:pPr>
            <w:r w:rsidRPr="39BCA5A8" w:rsidR="7E3B3AA1">
              <w:rPr>
                <w:b/>
                <w:bCs/>
                <w:color w:val="000000" w:themeColor="text1" w:themeShade="FF" w:themeTint="FF"/>
                <w:sz w:val="20"/>
                <w:szCs w:val="20"/>
              </w:rPr>
              <w:t>Number of Respondents</w:t>
            </w:r>
          </w:p>
        </w:tc>
        <w:tc>
          <w:tcPr>
            <w:tcW w:w="1215" w:type="dxa"/>
            <w:tcBorders>
              <w:top w:val="single" w:sz="8" w:space="0" w:color="auto"/>
              <w:left w:val="nil"/>
              <w:bottom w:val="nil"/>
              <w:right w:val="single" w:sz="8" w:space="0" w:color="auto"/>
            </w:tcBorders>
            <w:shd w:val="clear" w:color="auto" w:fill="C5D9F1"/>
            <w:vAlign w:val="center"/>
            <w:hideMark/>
          </w:tcPr>
          <w:p w:rsidR="00420451" w14:paraId="7324F28C" w14:textId="77777777">
            <w:pPr>
              <w:jc w:val="center"/>
              <w:rPr>
                <w:b/>
                <w:bCs/>
                <w:color w:val="000000"/>
                <w:sz w:val="20"/>
                <w:szCs w:val="20"/>
              </w:rPr>
            </w:pPr>
            <w:r w:rsidRPr="39BCA5A8" w:rsidR="7E3B3AA1">
              <w:rPr>
                <w:b/>
                <w:bCs/>
                <w:color w:val="000000" w:themeColor="text1" w:themeShade="FF" w:themeTint="FF"/>
                <w:sz w:val="20"/>
                <w:szCs w:val="20"/>
              </w:rPr>
              <w:t>Frequency</w:t>
            </w:r>
          </w:p>
        </w:tc>
        <w:tc>
          <w:tcPr>
            <w:tcW w:w="1290" w:type="dxa"/>
            <w:tcBorders>
              <w:top w:val="single" w:sz="8" w:space="0" w:color="auto"/>
              <w:left w:val="nil"/>
              <w:bottom w:val="nil"/>
              <w:right w:val="single" w:sz="8" w:space="0" w:color="auto"/>
            </w:tcBorders>
            <w:shd w:val="clear" w:color="auto" w:fill="C5D9F1"/>
            <w:vAlign w:val="center"/>
            <w:hideMark/>
          </w:tcPr>
          <w:p w:rsidR="00420451" w14:paraId="6B79E249" w14:textId="77777777">
            <w:pPr>
              <w:jc w:val="center"/>
              <w:rPr>
                <w:b/>
                <w:bCs/>
                <w:color w:val="000000"/>
                <w:sz w:val="20"/>
                <w:szCs w:val="20"/>
              </w:rPr>
            </w:pPr>
            <w:r w:rsidRPr="39BCA5A8" w:rsidR="7E3B3AA1">
              <w:rPr>
                <w:b/>
                <w:bCs/>
                <w:color w:val="000000" w:themeColor="text1" w:themeShade="FF" w:themeTint="FF"/>
                <w:sz w:val="20"/>
                <w:szCs w:val="20"/>
              </w:rPr>
              <w:t>Total Annual Responses</w:t>
            </w:r>
          </w:p>
        </w:tc>
        <w:tc>
          <w:tcPr>
            <w:tcW w:w="1140" w:type="dxa"/>
            <w:tcBorders>
              <w:top w:val="single" w:sz="8" w:space="0" w:color="auto"/>
              <w:left w:val="nil"/>
              <w:bottom w:val="nil"/>
              <w:right w:val="single" w:sz="8" w:space="0" w:color="auto"/>
            </w:tcBorders>
            <w:shd w:val="clear" w:color="auto" w:fill="C5D9F1"/>
            <w:vAlign w:val="center"/>
            <w:hideMark/>
          </w:tcPr>
          <w:p w:rsidR="00420451" w14:paraId="3DEB0D6B" w14:textId="77777777">
            <w:pPr>
              <w:jc w:val="center"/>
              <w:rPr>
                <w:b/>
                <w:bCs/>
                <w:color w:val="000000"/>
                <w:sz w:val="20"/>
                <w:szCs w:val="20"/>
              </w:rPr>
            </w:pPr>
            <w:r w:rsidRPr="39BCA5A8" w:rsidR="7E3B3AA1">
              <w:rPr>
                <w:b/>
                <w:bCs/>
                <w:color w:val="000000" w:themeColor="text1" w:themeShade="FF" w:themeTint="FF"/>
                <w:sz w:val="20"/>
                <w:szCs w:val="20"/>
              </w:rPr>
              <w:t>Time Per Response (Hours)</w:t>
            </w:r>
          </w:p>
        </w:tc>
        <w:tc>
          <w:tcPr>
            <w:tcW w:w="1005" w:type="dxa"/>
            <w:tcBorders>
              <w:top w:val="single" w:sz="8" w:space="0" w:color="auto"/>
              <w:left w:val="nil"/>
              <w:bottom w:val="nil"/>
              <w:right w:val="single" w:sz="8" w:space="0" w:color="auto"/>
            </w:tcBorders>
            <w:shd w:val="clear" w:color="auto" w:fill="C5D9F1"/>
            <w:vAlign w:val="center"/>
            <w:hideMark/>
          </w:tcPr>
          <w:p w:rsidR="00420451" w14:paraId="7D6EA84B" w14:textId="77777777">
            <w:pPr>
              <w:jc w:val="center"/>
              <w:rPr>
                <w:b/>
                <w:bCs/>
                <w:color w:val="000000"/>
                <w:sz w:val="20"/>
                <w:szCs w:val="20"/>
              </w:rPr>
            </w:pPr>
            <w:r w:rsidRPr="39BCA5A8" w:rsidR="7E3B3AA1">
              <w:rPr>
                <w:b/>
                <w:bCs/>
                <w:color w:val="000000" w:themeColor="text1" w:themeShade="FF" w:themeTint="FF"/>
                <w:sz w:val="20"/>
                <w:szCs w:val="20"/>
              </w:rPr>
              <w:t>Total Annual Burden (Hours)</w:t>
            </w:r>
          </w:p>
        </w:tc>
        <w:tc>
          <w:tcPr>
            <w:tcW w:w="1095" w:type="dxa"/>
            <w:tcBorders>
              <w:top w:val="single" w:sz="8" w:space="0" w:color="auto"/>
              <w:left w:val="nil"/>
              <w:bottom w:val="nil"/>
              <w:right w:val="single" w:sz="8" w:space="0" w:color="auto"/>
            </w:tcBorders>
            <w:shd w:val="clear" w:color="auto" w:fill="C5D9F1"/>
            <w:vAlign w:val="center"/>
            <w:hideMark/>
          </w:tcPr>
          <w:p w:rsidR="00420451" w14:paraId="193B5111" w14:textId="77777777">
            <w:pPr>
              <w:jc w:val="center"/>
              <w:rPr>
                <w:b/>
                <w:bCs/>
                <w:color w:val="000000"/>
                <w:sz w:val="20"/>
                <w:szCs w:val="20"/>
              </w:rPr>
            </w:pPr>
            <w:r w:rsidRPr="39BCA5A8" w:rsidR="7E3B3AA1">
              <w:rPr>
                <w:b/>
                <w:bCs/>
                <w:color w:val="000000" w:themeColor="text1" w:themeShade="FF" w:themeTint="FF"/>
                <w:sz w:val="20"/>
                <w:szCs w:val="20"/>
              </w:rPr>
              <w:t>Hourly Rate*</w:t>
            </w:r>
          </w:p>
        </w:tc>
        <w:tc>
          <w:tcPr>
            <w:tcW w:w="1350" w:type="dxa"/>
            <w:tcBorders>
              <w:top w:val="single" w:sz="8" w:space="0" w:color="auto"/>
              <w:left w:val="nil"/>
              <w:bottom w:val="nil"/>
              <w:right w:val="single" w:sz="8" w:space="0" w:color="auto"/>
            </w:tcBorders>
            <w:shd w:val="clear" w:color="auto" w:fill="C5D9F1"/>
            <w:vAlign w:val="center"/>
            <w:hideMark/>
          </w:tcPr>
          <w:p w:rsidR="00420451" w14:paraId="13A1AA8E" w14:textId="77777777">
            <w:pPr>
              <w:jc w:val="center"/>
              <w:rPr>
                <w:b/>
                <w:bCs/>
                <w:color w:val="000000"/>
                <w:sz w:val="20"/>
                <w:szCs w:val="20"/>
              </w:rPr>
            </w:pPr>
            <w:r w:rsidRPr="39BCA5A8" w:rsidR="7E3B3AA1">
              <w:rPr>
                <w:b/>
                <w:bCs/>
                <w:color w:val="000000" w:themeColor="text1" w:themeShade="FF" w:themeTint="FF"/>
                <w:sz w:val="20"/>
                <w:szCs w:val="20"/>
              </w:rPr>
              <w:t xml:space="preserve"> Monetized Value of Respondent Time </w:t>
            </w:r>
          </w:p>
        </w:tc>
      </w:tr>
      <w:tr w14:paraId="7B5FE428" w14:textId="77777777" w:rsidTr="39BCA5A8">
        <w:tblPrEx>
          <w:tblW w:w="9983" w:type="dxa"/>
          <w:tblInd w:w="-10" w:type="dxa"/>
          <w:tblLook w:val="04A0"/>
        </w:tblPrEx>
        <w:trPr>
          <w:trHeight w:val="871"/>
        </w:trPr>
        <w:tc>
          <w:tcPr>
            <w:tcW w:w="1470" w:type="dxa"/>
            <w:tcBorders>
              <w:top w:val="single" w:sz="8" w:space="0" w:color="auto"/>
              <w:left w:val="single" w:sz="8" w:space="0" w:color="auto"/>
              <w:bottom w:val="single" w:sz="8" w:space="0" w:color="auto"/>
              <w:right w:val="single" w:sz="8" w:space="0" w:color="auto"/>
            </w:tcBorders>
            <w:vAlign w:val="bottom"/>
            <w:hideMark/>
          </w:tcPr>
          <w:p w:rsidR="00420451" w:rsidP="39BCA5A8" w14:paraId="2021D20F" w14:textId="77777777">
            <w:pPr>
              <w:rPr>
                <w:i/>
                <w:iCs/>
                <w:color w:val="000000"/>
                <w:sz w:val="22"/>
                <w:szCs w:val="22"/>
              </w:rPr>
            </w:pPr>
            <w:r w:rsidRPr="39BCA5A8" w:rsidR="7E3B3AA1">
              <w:rPr>
                <w:i/>
                <w:iCs/>
                <w:color w:val="000000" w:themeColor="text1" w:themeShade="FF" w:themeTint="FF"/>
                <w:sz w:val="22"/>
                <w:szCs w:val="22"/>
              </w:rPr>
              <w:t>Pharmacy record of partial fill</w:t>
            </w:r>
          </w:p>
        </w:tc>
        <w:tc>
          <w:tcPr>
            <w:tcW w:w="1508" w:type="dxa"/>
            <w:tcBorders>
              <w:top w:val="single" w:sz="8" w:space="0" w:color="auto"/>
              <w:left w:val="nil"/>
              <w:bottom w:val="single" w:sz="8" w:space="0" w:color="auto"/>
              <w:right w:val="single" w:sz="8" w:space="0" w:color="auto"/>
            </w:tcBorders>
            <w:noWrap/>
            <w:vAlign w:val="bottom"/>
            <w:hideMark/>
          </w:tcPr>
          <w:p w:rsidR="00420451" w:rsidP="39BCA5A8" w14:paraId="4C844D2F" w14:textId="77777777">
            <w:pPr>
              <w:jc w:val="right"/>
              <w:rPr>
                <w:color w:val="000000"/>
                <w:sz w:val="22"/>
                <w:szCs w:val="22"/>
              </w:rPr>
            </w:pPr>
            <w:r w:rsidRPr="39BCA5A8" w:rsidR="7E3B3AA1">
              <w:rPr>
                <w:color w:val="000000" w:themeColor="text1" w:themeShade="FF" w:themeTint="FF"/>
                <w:sz w:val="22"/>
                <w:szCs w:val="22"/>
              </w:rPr>
              <w:t xml:space="preserve">                          66,088 </w:t>
            </w:r>
          </w:p>
        </w:tc>
        <w:tc>
          <w:tcPr>
            <w:tcW w:w="1215" w:type="dxa"/>
            <w:tcBorders>
              <w:top w:val="single" w:sz="8" w:space="0" w:color="auto"/>
              <w:left w:val="nil"/>
              <w:bottom w:val="single" w:sz="8" w:space="0" w:color="auto"/>
              <w:right w:val="nil"/>
            </w:tcBorders>
            <w:noWrap/>
            <w:vAlign w:val="bottom"/>
            <w:hideMark/>
          </w:tcPr>
          <w:p w:rsidR="00420451" w:rsidP="00420451" w14:paraId="0A91E5B6" w14:textId="2E3DDC8F">
            <w:pPr>
              <w:jc w:val="right"/>
              <w:rPr>
                <w:color w:val="000000"/>
                <w:sz w:val="22"/>
                <w:szCs w:val="22"/>
              </w:rPr>
            </w:pPr>
            <w:r w:rsidR="7E3B3AA1">
              <w:rPr>
                <w:color w:val="000000"/>
                <w:sz w:val="22"/>
                <w:szCs w:val="22"/>
              </w:rPr>
              <w:t>147.8874</w:t>
            </w:r>
            <w:r>
              <w:rPr>
                <w:rStyle w:val="FootnoteReference"/>
                <w:color w:val="000000"/>
                <w:vertAlign w:val="superscript"/>
              </w:rPr>
              <w:footnoteReference w:id="3"/>
            </w:r>
          </w:p>
        </w:tc>
        <w:tc>
          <w:tcPr>
            <w:tcW w:w="1290" w:type="dxa"/>
            <w:tcBorders>
              <w:top w:val="single" w:sz="8" w:space="0" w:color="auto"/>
              <w:left w:val="single" w:sz="8" w:space="0" w:color="auto"/>
              <w:bottom w:val="single" w:sz="8" w:space="0" w:color="auto"/>
              <w:right w:val="single" w:sz="8" w:space="0" w:color="auto"/>
            </w:tcBorders>
            <w:noWrap/>
            <w:vAlign w:val="bottom"/>
            <w:hideMark/>
          </w:tcPr>
          <w:p w:rsidR="00420451" w:rsidP="39BCA5A8" w14:paraId="1A261E3B" w14:textId="77777777">
            <w:pPr>
              <w:jc w:val="right"/>
              <w:rPr>
                <w:color w:val="000000"/>
                <w:sz w:val="22"/>
                <w:szCs w:val="22"/>
              </w:rPr>
            </w:pPr>
            <w:r w:rsidRPr="39BCA5A8" w:rsidR="7E3B3AA1">
              <w:rPr>
                <w:color w:val="000000" w:themeColor="text1" w:themeShade="FF" w:themeTint="FF"/>
                <w:sz w:val="22"/>
                <w:szCs w:val="22"/>
              </w:rPr>
              <w:t xml:space="preserve">    9,773,582 </w:t>
            </w:r>
          </w:p>
        </w:tc>
        <w:tc>
          <w:tcPr>
            <w:tcW w:w="1140" w:type="dxa"/>
            <w:tcBorders>
              <w:top w:val="single" w:sz="8" w:space="0" w:color="auto"/>
              <w:left w:val="nil"/>
              <w:bottom w:val="single" w:sz="8" w:space="0" w:color="auto"/>
              <w:right w:val="nil"/>
            </w:tcBorders>
            <w:noWrap/>
            <w:vAlign w:val="bottom"/>
            <w:hideMark/>
          </w:tcPr>
          <w:p w:rsidR="00420451" w:rsidP="00420451" w14:paraId="4362903B" w14:textId="77777777">
            <w:pPr>
              <w:jc w:val="right"/>
              <w:rPr>
                <w:color w:val="000000"/>
                <w:sz w:val="22"/>
                <w:szCs w:val="22"/>
              </w:rPr>
            </w:pPr>
            <w:r w:rsidRPr="39BCA5A8" w:rsidR="7E3B3AA1">
              <w:rPr>
                <w:color w:val="000000" w:themeColor="text1" w:themeShade="FF" w:themeTint="FF"/>
                <w:sz w:val="22"/>
                <w:szCs w:val="22"/>
              </w:rPr>
              <w:t>0.002778</w:t>
            </w:r>
          </w:p>
        </w:tc>
        <w:tc>
          <w:tcPr>
            <w:tcW w:w="1005" w:type="dxa"/>
            <w:tcBorders>
              <w:top w:val="single" w:sz="8" w:space="0" w:color="auto"/>
              <w:left w:val="single" w:sz="8" w:space="0" w:color="auto"/>
              <w:bottom w:val="single" w:sz="8" w:space="0" w:color="auto"/>
              <w:right w:val="single" w:sz="8" w:space="0" w:color="auto"/>
            </w:tcBorders>
            <w:noWrap/>
            <w:vAlign w:val="bottom"/>
            <w:hideMark/>
          </w:tcPr>
          <w:p w:rsidR="00420451" w:rsidP="00420451" w14:paraId="3743F642" w14:textId="77777777">
            <w:pPr>
              <w:jc w:val="right"/>
              <w:rPr>
                <w:color w:val="000000"/>
                <w:sz w:val="22"/>
                <w:szCs w:val="22"/>
              </w:rPr>
            </w:pPr>
            <w:r w:rsidRPr="39BCA5A8" w:rsidR="7E3B3AA1">
              <w:rPr>
                <w:color w:val="000000" w:themeColor="text1" w:themeShade="FF" w:themeTint="FF"/>
                <w:sz w:val="22"/>
                <w:szCs w:val="22"/>
              </w:rPr>
              <w:t>27149</w:t>
            </w:r>
          </w:p>
        </w:tc>
        <w:tc>
          <w:tcPr>
            <w:tcW w:w="1095" w:type="dxa"/>
            <w:tcBorders>
              <w:top w:val="single" w:sz="8" w:space="0" w:color="auto"/>
              <w:left w:val="nil"/>
              <w:bottom w:val="single" w:sz="8" w:space="0" w:color="auto"/>
              <w:right w:val="nil"/>
            </w:tcBorders>
            <w:noWrap/>
            <w:vAlign w:val="bottom"/>
            <w:hideMark/>
          </w:tcPr>
          <w:p w:rsidR="00420451" w:rsidP="39BCA5A8" w14:paraId="454B1F1D" w14:textId="32CF26B9">
            <w:pPr>
              <w:jc w:val="right"/>
              <w:rPr>
                <w:color w:val="000000"/>
                <w:sz w:val="22"/>
                <w:szCs w:val="22"/>
              </w:rPr>
            </w:pPr>
            <w:r w:rsidRPr="39BCA5A8" w:rsidR="7E3B3AA1">
              <w:rPr>
                <w:color w:val="000000" w:themeColor="text1" w:themeShade="FF" w:themeTint="FF"/>
                <w:sz w:val="22"/>
                <w:szCs w:val="22"/>
              </w:rPr>
              <w:t xml:space="preserve"> $97.38 </w:t>
            </w:r>
          </w:p>
        </w:tc>
        <w:tc>
          <w:tcPr>
            <w:tcW w:w="1350" w:type="dxa"/>
            <w:tcBorders>
              <w:top w:val="single" w:sz="8" w:space="0" w:color="auto"/>
              <w:left w:val="single" w:sz="8" w:space="0" w:color="auto"/>
              <w:bottom w:val="single" w:sz="8" w:space="0" w:color="auto"/>
              <w:right w:val="single" w:sz="8" w:space="0" w:color="auto"/>
            </w:tcBorders>
            <w:noWrap/>
            <w:vAlign w:val="bottom"/>
            <w:hideMark/>
          </w:tcPr>
          <w:p w:rsidR="00420451" w:rsidP="39BCA5A8" w14:paraId="6DF56CE8" w14:textId="5BC07E3E">
            <w:pPr>
              <w:jc w:val="right"/>
              <w:rPr>
                <w:color w:val="000000"/>
                <w:sz w:val="22"/>
                <w:szCs w:val="22"/>
              </w:rPr>
            </w:pPr>
            <w:r w:rsidRPr="39BCA5A8" w:rsidR="7E3B3AA1">
              <w:rPr>
                <w:color w:val="000000" w:themeColor="text1" w:themeShade="FF" w:themeTint="FF"/>
                <w:sz w:val="22"/>
                <w:szCs w:val="22"/>
              </w:rPr>
              <w:t xml:space="preserve"> $2,643,770 </w:t>
            </w:r>
          </w:p>
        </w:tc>
      </w:tr>
      <w:tr w14:paraId="5B7CD83D" w14:textId="77777777" w:rsidTr="39BCA5A8">
        <w:tblPrEx>
          <w:tblW w:w="9983" w:type="dxa"/>
          <w:tblInd w:w="-10" w:type="dxa"/>
          <w:tblLook w:val="04A0"/>
        </w:tblPrEx>
        <w:trPr>
          <w:trHeight w:val="557"/>
        </w:trPr>
        <w:tc>
          <w:tcPr>
            <w:tcW w:w="1470" w:type="dxa"/>
            <w:tcBorders>
              <w:top w:val="nil"/>
              <w:left w:val="single" w:sz="8" w:space="0" w:color="auto"/>
              <w:bottom w:val="single" w:sz="8" w:space="0" w:color="auto"/>
              <w:right w:val="single" w:sz="8" w:space="0" w:color="auto"/>
            </w:tcBorders>
            <w:shd w:val="clear" w:color="auto" w:fill="C5D9F1"/>
            <w:vAlign w:val="center"/>
            <w:hideMark/>
          </w:tcPr>
          <w:p w:rsidR="00420451" w:rsidP="39BCA5A8" w14:paraId="28C0D7AE" w14:textId="77777777">
            <w:pPr>
              <w:rPr>
                <w:b/>
                <w:bCs/>
                <w:i/>
                <w:iCs/>
                <w:color w:val="000000"/>
                <w:sz w:val="20"/>
                <w:szCs w:val="20"/>
              </w:rPr>
            </w:pPr>
            <w:r w:rsidRPr="39BCA5A8" w:rsidR="7E3B3AA1">
              <w:rPr>
                <w:b/>
                <w:bCs/>
                <w:i/>
                <w:iCs/>
                <w:color w:val="000000" w:themeColor="text1" w:themeShade="FF" w:themeTint="FF"/>
                <w:sz w:val="20"/>
                <w:szCs w:val="20"/>
              </w:rPr>
              <w:t>Unduplicated Totals</w:t>
            </w:r>
          </w:p>
        </w:tc>
        <w:tc>
          <w:tcPr>
            <w:tcW w:w="1508" w:type="dxa"/>
            <w:tcBorders>
              <w:top w:val="nil"/>
              <w:left w:val="nil"/>
              <w:bottom w:val="single" w:sz="8" w:space="0" w:color="auto"/>
              <w:right w:val="single" w:sz="8" w:space="0" w:color="auto"/>
            </w:tcBorders>
            <w:shd w:val="clear" w:color="auto" w:fill="C5D9F1"/>
            <w:vAlign w:val="center"/>
            <w:hideMark/>
          </w:tcPr>
          <w:p w:rsidR="00420451" w:rsidP="39BCA5A8" w14:paraId="091EFF83" w14:textId="6F073153">
            <w:pPr>
              <w:jc w:val="right"/>
              <w:rPr>
                <w:b/>
                <w:bCs/>
                <w:i/>
                <w:iCs/>
                <w:color w:val="000000"/>
                <w:sz w:val="20"/>
                <w:szCs w:val="20"/>
              </w:rPr>
            </w:pPr>
            <w:r w:rsidRPr="39BCA5A8" w:rsidR="7E3B3AA1">
              <w:rPr>
                <w:b/>
                <w:bCs/>
                <w:i/>
                <w:iCs/>
                <w:color w:val="000000" w:themeColor="text1" w:themeShade="FF" w:themeTint="FF"/>
                <w:sz w:val="20"/>
                <w:szCs w:val="20"/>
              </w:rPr>
              <w:t xml:space="preserve">                             66,088 </w:t>
            </w:r>
          </w:p>
        </w:tc>
        <w:tc>
          <w:tcPr>
            <w:tcW w:w="1215" w:type="dxa"/>
            <w:tcBorders>
              <w:top w:val="nil"/>
              <w:left w:val="nil"/>
              <w:bottom w:val="single" w:sz="8" w:space="0" w:color="auto"/>
              <w:right w:val="single" w:sz="8" w:space="0" w:color="auto"/>
            </w:tcBorders>
            <w:shd w:val="clear" w:color="auto" w:fill="C5D9F1"/>
            <w:vAlign w:val="center"/>
            <w:hideMark/>
          </w:tcPr>
          <w:p w:rsidR="00420451" w:rsidP="39BCA5A8" w14:paraId="053CFB24" w14:textId="77777777">
            <w:pPr>
              <w:jc w:val="right"/>
              <w:rPr>
                <w:b/>
                <w:bCs/>
                <w:i/>
                <w:iCs/>
                <w:color w:val="000000"/>
                <w:sz w:val="20"/>
                <w:szCs w:val="20"/>
              </w:rPr>
            </w:pPr>
            <w:r w:rsidRPr="39BCA5A8" w:rsidR="7E3B3AA1">
              <w:rPr>
                <w:b/>
                <w:bCs/>
                <w:i/>
                <w:iCs/>
                <w:color w:val="000000" w:themeColor="text1" w:themeShade="FF" w:themeTint="FF"/>
                <w:sz w:val="20"/>
                <w:szCs w:val="20"/>
              </w:rPr>
              <w:t>0</w:t>
            </w:r>
          </w:p>
        </w:tc>
        <w:tc>
          <w:tcPr>
            <w:tcW w:w="1290" w:type="dxa"/>
            <w:tcBorders>
              <w:top w:val="nil"/>
              <w:left w:val="nil"/>
              <w:bottom w:val="single" w:sz="8" w:space="0" w:color="auto"/>
              <w:right w:val="single" w:sz="8" w:space="0" w:color="auto"/>
            </w:tcBorders>
            <w:shd w:val="clear" w:color="auto" w:fill="C5D9F1"/>
            <w:vAlign w:val="center"/>
            <w:hideMark/>
          </w:tcPr>
          <w:p w:rsidR="00420451" w:rsidP="39BCA5A8" w14:paraId="0F7B508C" w14:textId="61BA1F66">
            <w:pPr>
              <w:jc w:val="right"/>
              <w:rPr>
                <w:b/>
                <w:bCs/>
                <w:i/>
                <w:iCs/>
                <w:color w:val="000000"/>
                <w:sz w:val="20"/>
                <w:szCs w:val="20"/>
              </w:rPr>
            </w:pPr>
            <w:r w:rsidRPr="39BCA5A8" w:rsidR="7E3B3AA1">
              <w:rPr>
                <w:b/>
                <w:bCs/>
                <w:i/>
                <w:iCs/>
                <w:color w:val="000000" w:themeColor="text1" w:themeShade="FF" w:themeTint="FF"/>
                <w:sz w:val="20"/>
                <w:szCs w:val="20"/>
              </w:rPr>
              <w:t xml:space="preserve">   9,773,582 </w:t>
            </w:r>
          </w:p>
        </w:tc>
        <w:tc>
          <w:tcPr>
            <w:tcW w:w="1140" w:type="dxa"/>
            <w:tcBorders>
              <w:top w:val="nil"/>
              <w:left w:val="nil"/>
              <w:bottom w:val="single" w:sz="8" w:space="0" w:color="auto"/>
              <w:right w:val="nil"/>
            </w:tcBorders>
            <w:shd w:val="clear" w:color="auto" w:fill="C5D9F1"/>
            <w:vAlign w:val="center"/>
            <w:hideMark/>
          </w:tcPr>
          <w:p w:rsidR="00420451" w:rsidP="39BCA5A8" w14:paraId="08CDD4BE" w14:textId="77777777">
            <w:pPr>
              <w:jc w:val="right"/>
              <w:rPr>
                <w:b/>
                <w:bCs/>
                <w:i/>
                <w:iCs/>
                <w:color w:val="000000"/>
                <w:sz w:val="20"/>
                <w:szCs w:val="20"/>
              </w:rPr>
            </w:pPr>
            <w:r w:rsidRPr="39BCA5A8" w:rsidR="7E3B3AA1">
              <w:rPr>
                <w:b/>
                <w:bCs/>
                <w:i/>
                <w:iCs/>
                <w:color w:val="000000" w:themeColor="text1" w:themeShade="FF" w:themeTint="FF"/>
                <w:sz w:val="20"/>
                <w:szCs w:val="20"/>
              </w:rPr>
              <w:t>0.002778</w:t>
            </w:r>
          </w:p>
        </w:tc>
        <w:tc>
          <w:tcPr>
            <w:tcW w:w="1005" w:type="dxa"/>
            <w:tcBorders>
              <w:top w:val="nil"/>
              <w:left w:val="single" w:sz="8" w:space="0" w:color="auto"/>
              <w:bottom w:val="single" w:sz="8" w:space="0" w:color="auto"/>
              <w:right w:val="single" w:sz="8" w:space="0" w:color="auto"/>
            </w:tcBorders>
            <w:shd w:val="clear" w:color="auto" w:fill="C5D9F1"/>
            <w:vAlign w:val="center"/>
            <w:hideMark/>
          </w:tcPr>
          <w:p w:rsidR="00420451" w:rsidP="39BCA5A8" w14:paraId="5B67343F" w14:textId="77777777">
            <w:pPr>
              <w:jc w:val="right"/>
              <w:rPr>
                <w:b/>
                <w:bCs/>
                <w:i/>
                <w:iCs/>
                <w:color w:val="000000"/>
                <w:sz w:val="20"/>
                <w:szCs w:val="20"/>
              </w:rPr>
            </w:pPr>
            <w:r w:rsidRPr="39BCA5A8" w:rsidR="7E3B3AA1">
              <w:rPr>
                <w:b/>
                <w:bCs/>
                <w:i/>
                <w:iCs/>
                <w:color w:val="000000" w:themeColor="text1" w:themeShade="FF" w:themeTint="FF"/>
                <w:sz w:val="20"/>
                <w:szCs w:val="20"/>
              </w:rPr>
              <w:t>27149</w:t>
            </w:r>
          </w:p>
        </w:tc>
        <w:tc>
          <w:tcPr>
            <w:tcW w:w="1095" w:type="dxa"/>
            <w:tcBorders>
              <w:top w:val="nil"/>
              <w:left w:val="nil"/>
              <w:bottom w:val="single" w:sz="8" w:space="0" w:color="auto"/>
              <w:right w:val="nil"/>
            </w:tcBorders>
            <w:shd w:val="clear" w:color="auto" w:fill="C5D9F1"/>
            <w:vAlign w:val="center"/>
            <w:hideMark/>
          </w:tcPr>
          <w:p w:rsidR="00420451" w:rsidP="39BCA5A8" w14:paraId="214C29B5" w14:textId="03E64C66">
            <w:pPr>
              <w:jc w:val="right"/>
              <w:rPr>
                <w:b/>
                <w:bCs/>
                <w:i/>
                <w:iCs/>
                <w:color w:val="000000"/>
                <w:sz w:val="20"/>
                <w:szCs w:val="20"/>
              </w:rPr>
            </w:pPr>
            <w:r w:rsidRPr="39BCA5A8" w:rsidR="7E3B3AA1">
              <w:rPr>
                <w:b/>
                <w:bCs/>
                <w:i/>
                <w:iCs/>
                <w:color w:val="000000" w:themeColor="text1" w:themeShade="FF" w:themeTint="FF"/>
                <w:sz w:val="20"/>
                <w:szCs w:val="20"/>
              </w:rPr>
              <w:t xml:space="preserve"> </w:t>
            </w:r>
            <w:r w:rsidRPr="39BCA5A8" w:rsidR="7E3B3AA1">
              <w:rPr>
                <w:b/>
                <w:bCs/>
                <w:i/>
                <w:iCs/>
                <w:color w:val="000000" w:themeColor="text1" w:themeShade="FF" w:themeTint="FF"/>
                <w:sz w:val="20"/>
                <w:szCs w:val="20"/>
              </w:rPr>
              <w:t>$  97.38</w:t>
            </w:r>
            <w:r w:rsidRPr="39BCA5A8" w:rsidR="7E3B3AA1">
              <w:rPr>
                <w:b/>
                <w:bCs/>
                <w:i/>
                <w:iCs/>
                <w:color w:val="000000" w:themeColor="text1" w:themeShade="FF" w:themeTint="FF"/>
                <w:sz w:val="20"/>
                <w:szCs w:val="20"/>
              </w:rPr>
              <w:t xml:space="preserve"> </w:t>
            </w:r>
          </w:p>
        </w:tc>
        <w:tc>
          <w:tcPr>
            <w:tcW w:w="1350" w:type="dxa"/>
            <w:tcBorders>
              <w:top w:val="nil"/>
              <w:left w:val="single" w:sz="8" w:space="0" w:color="auto"/>
              <w:bottom w:val="single" w:sz="8" w:space="0" w:color="auto"/>
              <w:right w:val="single" w:sz="8" w:space="0" w:color="auto"/>
            </w:tcBorders>
            <w:shd w:val="clear" w:color="auto" w:fill="C5D9F1"/>
            <w:vAlign w:val="center"/>
            <w:hideMark/>
          </w:tcPr>
          <w:p w:rsidR="00420451" w:rsidP="39BCA5A8" w14:paraId="01E8CFE9" w14:textId="5C77B658">
            <w:pPr>
              <w:jc w:val="right"/>
              <w:rPr>
                <w:b/>
                <w:bCs/>
                <w:i/>
                <w:iCs/>
                <w:color w:val="000000"/>
                <w:sz w:val="20"/>
                <w:szCs w:val="20"/>
              </w:rPr>
            </w:pPr>
            <w:r w:rsidRPr="39BCA5A8" w:rsidR="7E3B3AA1">
              <w:rPr>
                <w:b/>
                <w:bCs/>
                <w:i/>
                <w:iCs/>
                <w:color w:val="000000" w:themeColor="text1" w:themeShade="FF" w:themeTint="FF"/>
                <w:sz w:val="20"/>
                <w:szCs w:val="20"/>
              </w:rPr>
              <w:t xml:space="preserve"> $ 2,643,770 </w:t>
            </w:r>
          </w:p>
        </w:tc>
      </w:tr>
    </w:tbl>
    <w:p w:rsidR="00445C03" w:rsidRPr="007B2DBB" w:rsidP="39BCA5A8" w14:paraId="1F544548" w14:textId="654591CC">
      <w:pPr>
        <w:rPr>
          <w:noProof/>
          <w:sz w:val="20"/>
          <w:szCs w:val="20"/>
        </w:rPr>
      </w:pPr>
      <w:r w:rsidRPr="39BCA5A8">
        <w:rPr>
          <w:noProof/>
          <w:sz w:val="20"/>
          <w:szCs w:val="20"/>
        </w:rPr>
        <w:t xml:space="preserve">*DEA </w:t>
      </w:r>
      <w:r w:rsidRPr="39BCA5A8">
        <w:rPr>
          <w:noProof/>
          <w:sz w:val="20"/>
          <w:szCs w:val="20"/>
        </w:rPr>
        <w:t>does not h</w:t>
      </w:r>
      <w:r w:rsidRPr="39BCA5A8">
        <w:rPr>
          <w:noProof/>
          <w:sz w:val="20"/>
          <w:szCs w:val="20"/>
        </w:rPr>
        <w:t>ave data for this information collection.  For the purposes of this analysi</w:t>
      </w:r>
      <w:r w:rsidRPr="39BCA5A8" w:rsidR="00CC167B">
        <w:rPr>
          <w:noProof/>
          <w:sz w:val="20"/>
          <w:szCs w:val="20"/>
        </w:rPr>
        <w:t xml:space="preserve">s, </w:t>
      </w:r>
      <w:r w:rsidRPr="39BCA5A8" w:rsidR="00CC167B">
        <w:rPr>
          <w:noProof/>
          <w:sz w:val="20"/>
          <w:szCs w:val="20"/>
        </w:rPr>
        <w:t>the number of prescriptions for S</w:t>
      </w:r>
      <w:r w:rsidRPr="39BCA5A8" w:rsidR="00B03814">
        <w:rPr>
          <w:noProof/>
          <w:sz w:val="20"/>
          <w:szCs w:val="20"/>
        </w:rPr>
        <w:t xml:space="preserve">chedule </w:t>
      </w:r>
      <w:r w:rsidRPr="39BCA5A8" w:rsidR="00CC167B">
        <w:rPr>
          <w:noProof/>
          <w:sz w:val="20"/>
          <w:szCs w:val="20"/>
        </w:rPr>
        <w:t xml:space="preserve">II controlled substances for acute conditions in states that did not have regulations limiting the prescribing of opiods for acute pain in 2025 were used to estimate total annual responses.  DEA believes prescriptions for “acute” conditions are more likely to be </w:t>
      </w:r>
      <w:r w:rsidRPr="39BCA5A8" w:rsidR="00B03814">
        <w:rPr>
          <w:noProof/>
          <w:sz w:val="20"/>
          <w:szCs w:val="20"/>
        </w:rPr>
        <w:t>partially filled</w:t>
      </w:r>
      <w:r w:rsidRPr="39BCA5A8" w:rsidR="00CC167B">
        <w:rPr>
          <w:noProof/>
          <w:sz w:val="20"/>
          <w:szCs w:val="20"/>
        </w:rPr>
        <w:t xml:space="preserve">. </w:t>
      </w:r>
      <w:r w:rsidRPr="39BCA5A8" w:rsidR="00263DCA">
        <w:rPr>
          <w:noProof/>
          <w:sz w:val="20"/>
          <w:szCs w:val="20"/>
        </w:rPr>
        <w:t xml:space="preserve">Based on a study, DEA estimates 71% of patients will not use all controlled substance prescriptions. </w:t>
      </w:r>
      <w:r>
        <w:rPr>
          <w:rStyle w:val="FootnoteReference"/>
          <w:noProof/>
          <w:sz w:val="28"/>
          <w:szCs w:val="28"/>
          <w:vertAlign w:val="superscript"/>
        </w:rPr>
        <w:footnoteReference w:id="4"/>
      </w:r>
      <w:r w:rsidRPr="39BCA5A8" w:rsidR="00842E11">
        <w:rPr>
          <w:noProof/>
          <w:sz w:val="20"/>
          <w:szCs w:val="20"/>
        </w:rPr>
        <w:t xml:space="preserve">  </w:t>
      </w:r>
      <w:r w:rsidRPr="39BCA5A8" w:rsidR="00842E11">
        <w:rPr>
          <w:noProof/>
          <w:sz w:val="20"/>
          <w:szCs w:val="20"/>
        </w:rPr>
        <w:t>DEA assumed 50% of the remaining prescriptions would be partially filled.</w:t>
      </w:r>
    </w:p>
    <w:p w:rsidR="007B2DBB" w:rsidP="001F2CD0" w14:paraId="76A5BBAD" w14:textId="77777777">
      <w:pPr>
        <w:rPr>
          <w:noProof/>
        </w:rPr>
      </w:pPr>
    </w:p>
    <w:tbl>
      <w:tblPr>
        <w:tblW w:w="5020" w:type="dxa"/>
        <w:tblLook w:val="04A0"/>
      </w:tblPr>
      <w:tblGrid>
        <w:gridCol w:w="1500"/>
        <w:gridCol w:w="2340"/>
        <w:gridCol w:w="1180"/>
      </w:tblGrid>
      <w:tr w14:paraId="11A526C8" w14:textId="77777777" w:rsidTr="39BCA5A8">
        <w:tblPrEx>
          <w:tblW w:w="5020" w:type="dxa"/>
          <w:tblLook w:val="04A0"/>
        </w:tblPrEx>
        <w:trPr>
          <w:trHeight w:val="300"/>
        </w:trPr>
        <w:tc>
          <w:tcPr>
            <w:tcW w:w="1500" w:type="dxa"/>
            <w:tcBorders>
              <w:top w:val="nil"/>
              <w:left w:val="nil"/>
              <w:bottom w:val="nil"/>
              <w:right w:val="nil"/>
            </w:tcBorders>
            <w:noWrap/>
            <w:vAlign w:val="bottom"/>
            <w:hideMark/>
          </w:tcPr>
          <w:p w:rsidR="00A248CB" w14:paraId="06E3E491" w14:textId="77777777">
            <w:pPr>
              <w:rPr>
                <w:color w:val="000000"/>
                <w:sz w:val="22"/>
                <w:szCs w:val="22"/>
              </w:rPr>
            </w:pPr>
            <w:r w:rsidRPr="39BCA5A8" w:rsidR="00F0D37F">
              <w:rPr>
                <w:color w:val="000000" w:themeColor="text1" w:themeShade="FF" w:themeTint="FF"/>
                <w:sz w:val="22"/>
                <w:szCs w:val="22"/>
              </w:rPr>
              <w:t>Hourly Rate*</w:t>
            </w:r>
          </w:p>
        </w:tc>
        <w:tc>
          <w:tcPr>
            <w:tcW w:w="2340" w:type="dxa"/>
            <w:tcBorders>
              <w:top w:val="nil"/>
              <w:left w:val="nil"/>
              <w:bottom w:val="nil"/>
              <w:right w:val="nil"/>
            </w:tcBorders>
            <w:noWrap/>
            <w:vAlign w:val="bottom"/>
            <w:hideMark/>
          </w:tcPr>
          <w:p w:rsidR="00A248CB" w14:paraId="6FC44FB6" w14:textId="77777777">
            <w:pPr>
              <w:rPr>
                <w:color w:val="000000"/>
                <w:sz w:val="22"/>
                <w:szCs w:val="22"/>
              </w:rPr>
            </w:pPr>
          </w:p>
        </w:tc>
        <w:tc>
          <w:tcPr>
            <w:tcW w:w="1180" w:type="dxa"/>
            <w:tcBorders>
              <w:top w:val="nil"/>
              <w:left w:val="nil"/>
              <w:bottom w:val="nil"/>
              <w:right w:val="nil"/>
            </w:tcBorders>
            <w:noWrap/>
            <w:vAlign w:val="bottom"/>
            <w:hideMark/>
          </w:tcPr>
          <w:p w:rsidR="00A248CB" w14:paraId="5932EC6E" w14:textId="77777777">
            <w:pPr>
              <w:rPr>
                <w:sz w:val="20"/>
                <w:szCs w:val="20"/>
              </w:rPr>
            </w:pPr>
          </w:p>
        </w:tc>
      </w:tr>
      <w:tr w14:paraId="0A4CE162" w14:textId="77777777" w:rsidTr="39BCA5A8">
        <w:tblPrEx>
          <w:tblW w:w="5020" w:type="dxa"/>
          <w:tblLook w:val="04A0"/>
        </w:tblPrEx>
        <w:trPr>
          <w:trHeight w:val="570"/>
        </w:trPr>
        <w:tc>
          <w:tcPr>
            <w:tcW w:w="1500" w:type="dxa"/>
            <w:tcBorders>
              <w:top w:val="nil"/>
              <w:left w:val="nil"/>
              <w:bottom w:val="nil"/>
              <w:right w:val="nil"/>
            </w:tcBorders>
            <w:noWrap/>
            <w:vAlign w:val="bottom"/>
            <w:hideMark/>
          </w:tcPr>
          <w:p w:rsidR="00A248CB" w14:paraId="07CD92F0" w14:textId="77777777">
            <w:pPr>
              <w:rPr>
                <w:sz w:val="20"/>
                <w:szCs w:val="20"/>
              </w:rPr>
            </w:pPr>
          </w:p>
        </w:tc>
        <w:tc>
          <w:tcPr>
            <w:tcW w:w="2340" w:type="dxa"/>
            <w:tcBorders>
              <w:top w:val="nil"/>
              <w:left w:val="nil"/>
              <w:bottom w:val="nil"/>
              <w:right w:val="nil"/>
            </w:tcBorders>
            <w:vAlign w:val="bottom"/>
            <w:hideMark/>
          </w:tcPr>
          <w:p w:rsidR="00A248CB" w14:paraId="748AB137" w14:textId="03B079DE">
            <w:pPr>
              <w:rPr>
                <w:color w:val="000000"/>
                <w:sz w:val="22"/>
                <w:szCs w:val="22"/>
              </w:rPr>
            </w:pPr>
            <w:r w:rsidR="00F0D37F">
              <w:rPr>
                <w:color w:val="000000"/>
                <w:sz w:val="22"/>
                <w:szCs w:val="22"/>
              </w:rPr>
              <w:t>Estimated hourly wage ($/hour):</w:t>
            </w:r>
            <w:r w:rsidRPr="00A248CB" w:rsidR="00F0D37F">
              <w:rPr>
                <w:color w:val="000000"/>
                <w:sz w:val="28"/>
                <w:szCs w:val="28"/>
                <w:vertAlign w:val="superscript"/>
              </w:rPr>
              <w:t xml:space="preserve"> </w:t>
            </w:r>
            <w:r>
              <w:rPr>
                <w:color w:val="000000"/>
                <w:sz w:val="22"/>
                <w:szCs w:val="22"/>
                <w:vertAlign w:val="superscript"/>
              </w:rPr>
              <w:footnoteReference w:id="5"/>
            </w:r>
            <w:r w:rsidRPr="00A248CB" w:rsidR="00F0D37F">
              <w:rPr>
                <w:color w:val="000000"/>
                <w:sz w:val="22"/>
                <w:szCs w:val="22"/>
              </w:rPr>
              <w:t xml:space="preserve"> </w:t>
            </w:r>
          </w:p>
        </w:tc>
        <w:tc>
          <w:tcPr>
            <w:tcW w:w="1180" w:type="dxa"/>
            <w:tcBorders>
              <w:top w:val="nil"/>
              <w:left w:val="nil"/>
              <w:bottom w:val="nil"/>
              <w:right w:val="nil"/>
            </w:tcBorders>
            <w:noWrap/>
            <w:vAlign w:val="bottom"/>
            <w:hideMark/>
          </w:tcPr>
          <w:p w:rsidR="00A248CB" w14:paraId="07BD7562" w14:textId="4754921F">
            <w:pPr>
              <w:rPr>
                <w:color w:val="000000"/>
                <w:sz w:val="22"/>
                <w:szCs w:val="22"/>
              </w:rPr>
            </w:pPr>
            <w:r w:rsidRPr="39BCA5A8" w:rsidR="00F0D37F">
              <w:rPr>
                <w:color w:val="000000" w:themeColor="text1" w:themeShade="FF" w:themeTint="FF"/>
                <w:sz w:val="22"/>
                <w:szCs w:val="22"/>
              </w:rPr>
              <w:t xml:space="preserve"> $     68.05 </w:t>
            </w:r>
          </w:p>
        </w:tc>
      </w:tr>
      <w:tr w14:paraId="76C045BD" w14:textId="77777777" w:rsidTr="39BCA5A8">
        <w:tblPrEx>
          <w:tblW w:w="5020" w:type="dxa"/>
          <w:tblLook w:val="04A0"/>
        </w:tblPrEx>
        <w:trPr>
          <w:trHeight w:val="850"/>
        </w:trPr>
        <w:tc>
          <w:tcPr>
            <w:tcW w:w="1500" w:type="dxa"/>
            <w:tcBorders>
              <w:top w:val="nil"/>
              <w:left w:val="nil"/>
              <w:bottom w:val="nil"/>
              <w:right w:val="nil"/>
            </w:tcBorders>
            <w:noWrap/>
            <w:vAlign w:val="bottom"/>
            <w:hideMark/>
          </w:tcPr>
          <w:p w:rsidR="00A248CB" w14:paraId="426F2998" w14:textId="77777777">
            <w:pPr>
              <w:rPr>
                <w:color w:val="000000"/>
                <w:sz w:val="22"/>
                <w:szCs w:val="22"/>
              </w:rPr>
            </w:pPr>
          </w:p>
        </w:tc>
        <w:tc>
          <w:tcPr>
            <w:tcW w:w="2340" w:type="dxa"/>
            <w:tcBorders>
              <w:top w:val="nil"/>
              <w:left w:val="nil"/>
              <w:bottom w:val="nil"/>
              <w:right w:val="nil"/>
            </w:tcBorders>
            <w:vAlign w:val="bottom"/>
            <w:hideMark/>
          </w:tcPr>
          <w:p w:rsidR="00A248CB" w14:paraId="3D9B8083" w14:textId="56A7F178">
            <w:pPr>
              <w:rPr>
                <w:color w:val="000000"/>
                <w:sz w:val="22"/>
                <w:szCs w:val="22"/>
              </w:rPr>
            </w:pPr>
            <w:r w:rsidR="00F0D37F">
              <w:rPr>
                <w:color w:val="000000"/>
                <w:sz w:val="22"/>
                <w:szCs w:val="22"/>
              </w:rPr>
              <w:t>Load for benefits (percent of labor rate):</w:t>
            </w:r>
            <w:r w:rsidRPr="00A248CB" w:rsidR="00F0D37F">
              <w:rPr>
                <w:color w:val="000000"/>
                <w:sz w:val="28"/>
                <w:szCs w:val="28"/>
                <w:vertAlign w:val="superscript"/>
              </w:rPr>
              <w:t xml:space="preserve"> </w:t>
            </w:r>
            <w:r>
              <w:rPr>
                <w:color w:val="000000"/>
                <w:sz w:val="22"/>
                <w:szCs w:val="22"/>
                <w:vertAlign w:val="superscript"/>
              </w:rPr>
              <w:footnoteReference w:id="6"/>
            </w:r>
            <w:r w:rsidRPr="00A248CB" w:rsidR="00F0D37F">
              <w:rPr>
                <w:color w:val="000000"/>
                <w:sz w:val="22"/>
                <w:szCs w:val="22"/>
              </w:rPr>
              <w:t xml:space="preserve"> </w:t>
            </w:r>
          </w:p>
        </w:tc>
        <w:tc>
          <w:tcPr>
            <w:tcW w:w="1180" w:type="dxa"/>
            <w:tcBorders>
              <w:top w:val="nil"/>
              <w:left w:val="nil"/>
              <w:bottom w:val="single" w:sz="4" w:space="0" w:color="auto"/>
              <w:right w:val="nil"/>
            </w:tcBorders>
            <w:noWrap/>
            <w:vAlign w:val="bottom"/>
            <w:hideMark/>
          </w:tcPr>
          <w:p w:rsidR="00A248CB" w14:paraId="119E08B2" w14:textId="025CE5D3">
            <w:pPr>
              <w:jc w:val="right"/>
              <w:rPr>
                <w:color w:val="000000"/>
                <w:sz w:val="22"/>
                <w:szCs w:val="22"/>
              </w:rPr>
            </w:pPr>
            <w:r w:rsidRPr="39BCA5A8" w:rsidR="00F0D37F">
              <w:rPr>
                <w:color w:val="000000" w:themeColor="text1" w:themeShade="FF" w:themeTint="FF"/>
                <w:sz w:val="22"/>
                <w:szCs w:val="22"/>
              </w:rPr>
              <w:t>43</w:t>
            </w:r>
            <w:r w:rsidRPr="39BCA5A8" w:rsidR="00F0D37F">
              <w:rPr>
                <w:color w:val="000000" w:themeColor="text1" w:themeShade="FF" w:themeTint="FF"/>
                <w:sz w:val="22"/>
                <w:szCs w:val="22"/>
              </w:rPr>
              <w:t>.1</w:t>
            </w:r>
            <w:r w:rsidRPr="39BCA5A8" w:rsidR="00F0D37F">
              <w:rPr>
                <w:color w:val="000000" w:themeColor="text1" w:themeShade="FF" w:themeTint="FF"/>
                <w:sz w:val="22"/>
                <w:szCs w:val="22"/>
              </w:rPr>
              <w:t>%</w:t>
            </w:r>
          </w:p>
        </w:tc>
      </w:tr>
      <w:tr w14:paraId="6F47980F" w14:textId="77777777" w:rsidTr="39BCA5A8">
        <w:tblPrEx>
          <w:tblW w:w="5020" w:type="dxa"/>
          <w:tblLook w:val="04A0"/>
        </w:tblPrEx>
        <w:trPr>
          <w:trHeight w:val="570"/>
        </w:trPr>
        <w:tc>
          <w:tcPr>
            <w:tcW w:w="1500" w:type="dxa"/>
            <w:tcBorders>
              <w:top w:val="nil"/>
              <w:left w:val="nil"/>
              <w:bottom w:val="nil"/>
              <w:right w:val="nil"/>
            </w:tcBorders>
            <w:noWrap/>
            <w:vAlign w:val="bottom"/>
            <w:hideMark/>
          </w:tcPr>
          <w:p w:rsidR="00A248CB" w14:paraId="494062E3" w14:textId="77777777">
            <w:pPr>
              <w:jc w:val="right"/>
              <w:rPr>
                <w:color w:val="000000"/>
                <w:sz w:val="22"/>
                <w:szCs w:val="22"/>
              </w:rPr>
            </w:pPr>
          </w:p>
        </w:tc>
        <w:tc>
          <w:tcPr>
            <w:tcW w:w="2340" w:type="dxa"/>
            <w:tcBorders>
              <w:top w:val="nil"/>
              <w:left w:val="nil"/>
              <w:bottom w:val="nil"/>
              <w:right w:val="nil"/>
            </w:tcBorders>
            <w:vAlign w:val="bottom"/>
            <w:hideMark/>
          </w:tcPr>
          <w:p w:rsidR="00A248CB" w14:paraId="461E88CA" w14:textId="77777777">
            <w:pPr>
              <w:rPr>
                <w:color w:val="000000"/>
                <w:sz w:val="22"/>
                <w:szCs w:val="22"/>
              </w:rPr>
            </w:pPr>
            <w:r w:rsidRPr="39BCA5A8" w:rsidR="00F0D37F">
              <w:rPr>
                <w:color w:val="000000" w:themeColor="text1" w:themeShade="FF" w:themeTint="FF"/>
                <w:sz w:val="22"/>
                <w:szCs w:val="22"/>
              </w:rPr>
              <w:t>Loaded labor rate ($/hour):</w:t>
            </w:r>
          </w:p>
        </w:tc>
        <w:tc>
          <w:tcPr>
            <w:tcW w:w="1180" w:type="dxa"/>
            <w:tcBorders>
              <w:top w:val="nil"/>
              <w:left w:val="nil"/>
              <w:bottom w:val="nil"/>
              <w:right w:val="nil"/>
            </w:tcBorders>
            <w:noWrap/>
            <w:vAlign w:val="bottom"/>
            <w:hideMark/>
          </w:tcPr>
          <w:p w:rsidR="00A248CB" w14:paraId="1C727D8F" w14:textId="37030346">
            <w:pPr>
              <w:rPr>
                <w:color w:val="000000"/>
                <w:sz w:val="22"/>
                <w:szCs w:val="22"/>
              </w:rPr>
            </w:pPr>
            <w:r w:rsidRPr="39BCA5A8" w:rsidR="00F0D37F">
              <w:rPr>
                <w:color w:val="000000" w:themeColor="text1" w:themeShade="FF" w:themeTint="FF"/>
                <w:sz w:val="22"/>
                <w:szCs w:val="22"/>
              </w:rPr>
              <w:t xml:space="preserve"> $     97.38 </w:t>
            </w:r>
          </w:p>
        </w:tc>
      </w:tr>
    </w:tbl>
    <w:p w:rsidR="00A248CB" w:rsidP="001F2CD0" w14:paraId="73DA0600" w14:textId="77777777">
      <w:pPr>
        <w:rPr>
          <w:noProof/>
        </w:rPr>
      </w:pPr>
    </w:p>
    <w:p w:rsidR="00445C03" w:rsidRPr="001F2CD0" w:rsidP="001F2CD0" w14:paraId="18E89B7A" w14:textId="77777777">
      <w:pPr>
        <w:rPr>
          <w:noProof/>
        </w:rPr>
      </w:pPr>
    </w:p>
    <w:p w:rsidR="001F2CD0" w:rsidRPr="001F2CD0" w:rsidP="00CE2D87" w14:paraId="4AF21318" w14:textId="5CEEAE07">
      <w:pPr>
        <w:jc w:val="both"/>
        <w:rPr>
          <w:noProof/>
        </w:rPr>
      </w:pPr>
      <w:r w:rsidRPr="001B2779">
        <w:rPr>
          <w:b/>
          <w:noProof/>
        </w:rPr>
        <w:t>13.</w:t>
      </w:r>
      <w:r w:rsidRPr="001F2CD0">
        <w:rPr>
          <w:noProof/>
        </w:rPr>
        <w:t xml:space="preserve"> </w:t>
      </w:r>
      <w:r w:rsidRPr="00147194" w:rsidR="00147194">
        <w:rPr>
          <w:noProof/>
        </w:rPr>
        <w:t xml:space="preserve">The estimated annual cost burden is zero.  Respondents are estimated to not incur </w:t>
      </w:r>
      <w:r w:rsidRPr="00147194" w:rsidR="00A7757A">
        <w:rPr>
          <w:noProof/>
        </w:rPr>
        <w:t>any</w:t>
      </w:r>
      <w:r w:rsidR="00A7757A">
        <w:rPr>
          <w:noProof/>
        </w:rPr>
        <w:br/>
      </w:r>
      <w:r w:rsidRPr="00147194" w:rsidR="00147194">
        <w:rPr>
          <w:noProof/>
        </w:rPr>
        <w:t>a) additional start-up cost or capital expenditure, or b) additional operation and maintenance costs or purchase services as a result of this information collection.</w:t>
      </w:r>
    </w:p>
    <w:p w:rsidR="001F2CD0" w:rsidRPr="001F2CD0" w:rsidP="001F2CD0" w14:paraId="43D367DF" w14:textId="77777777">
      <w:pPr>
        <w:rPr>
          <w:noProof/>
        </w:rPr>
      </w:pPr>
    </w:p>
    <w:p w:rsidR="001F2CD0" w:rsidRPr="001F2CD0" w:rsidP="00CE2D87" w14:paraId="1EB356EA" w14:textId="1CB54EB2">
      <w:pPr>
        <w:rPr>
          <w:noProof/>
          <w:szCs w:val="20"/>
        </w:rPr>
      </w:pPr>
      <w:r w:rsidRPr="00875820">
        <w:rPr>
          <w:b/>
          <w:noProof/>
        </w:rPr>
        <w:t xml:space="preserve">14.  </w:t>
      </w:r>
      <w:r w:rsidRPr="00426D04" w:rsidR="00426D04">
        <w:rPr>
          <w:noProof/>
          <w:szCs w:val="20"/>
        </w:rPr>
        <w:t xml:space="preserve">The </w:t>
      </w:r>
      <w:r w:rsidR="00426D04">
        <w:rPr>
          <w:noProof/>
          <w:szCs w:val="20"/>
        </w:rPr>
        <w:t xml:space="preserve">required information is recorded and </w:t>
      </w:r>
      <w:r w:rsidRPr="00426D04" w:rsidR="00426D04">
        <w:rPr>
          <w:noProof/>
          <w:szCs w:val="20"/>
        </w:rPr>
        <w:t xml:space="preserve">maintained by </w:t>
      </w:r>
      <w:r w:rsidR="00426D04">
        <w:rPr>
          <w:noProof/>
          <w:szCs w:val="20"/>
        </w:rPr>
        <w:t>respondents</w:t>
      </w:r>
      <w:r w:rsidRPr="00426D04" w:rsidR="00426D04">
        <w:rPr>
          <w:noProof/>
          <w:szCs w:val="20"/>
        </w:rPr>
        <w:t xml:space="preserve">. </w:t>
      </w:r>
      <w:r w:rsidR="00426D04">
        <w:rPr>
          <w:noProof/>
          <w:szCs w:val="20"/>
        </w:rPr>
        <w:t xml:space="preserve"> There is no cost to </w:t>
      </w:r>
      <w:r w:rsidR="0019732A">
        <w:rPr>
          <w:noProof/>
          <w:color w:val="000000"/>
          <w:szCs w:val="20"/>
        </w:rPr>
        <w:t>the Federal Government.</w:t>
      </w:r>
    </w:p>
    <w:p w:rsidR="00577441" w:rsidRPr="002F57E8" w:rsidP="00577441" w14:paraId="19E27665" w14:textId="77777777">
      <w:pPr>
        <w:rPr>
          <w:noProof/>
        </w:rPr>
      </w:pPr>
    </w:p>
    <w:p w:rsidR="00794B3D" w:rsidP="39BCA5A8" w14:paraId="0CB16E96" w14:textId="794C54E1">
      <w:pPr>
        <w:jc w:val="both"/>
        <w:rPr>
          <w:noProof/>
        </w:rPr>
      </w:pPr>
      <w:r w:rsidRPr="39BCA5A8" w:rsidR="00A34480">
        <w:rPr>
          <w:b/>
          <w:bCs/>
        </w:rPr>
        <w:t>15.</w:t>
      </w:r>
      <w:r w:rsidR="00A34480">
        <w:t xml:space="preserve"> </w:t>
      </w:r>
      <w:r w:rsidRPr="39BCA5A8">
        <w:rPr>
          <w:noProof/>
        </w:rPr>
        <w:t xml:space="preserve">The change in annual responses and annual burden hours reflects a decrease in transfers of electronic prescriptions for controlled substances due to an increase in the states that enacted regulations limiting </w:t>
      </w:r>
      <w:r w:rsidRPr="39BCA5A8">
        <w:rPr>
          <w:noProof/>
        </w:rPr>
        <w:t>the quanitiy of schedule II controlled substances that may be dispen</w:t>
      </w:r>
      <w:r w:rsidRPr="39BCA5A8">
        <w:rPr>
          <w:noProof/>
        </w:rPr>
        <w:t xml:space="preserve">sed pursuant to a prescriptiion.  There have been no statutory or regulatory changes affecting this information collection.  The table below summarizes the changes since the last renewal of this information collection. </w:t>
      </w:r>
    </w:p>
    <w:p w:rsidR="00794B3D" w:rsidP="39BCA5A8" w14:paraId="193F3250" w14:textId="77777777">
      <w:pPr>
        <w:jc w:val="both"/>
        <w:rPr>
          <w:noProof/>
        </w:rPr>
      </w:pPr>
    </w:p>
    <w:tbl>
      <w:tblPr>
        <w:tblW w:w="5540" w:type="dxa"/>
        <w:tblLook w:val="04A0"/>
      </w:tblPr>
      <w:tblGrid>
        <w:gridCol w:w="1380"/>
        <w:gridCol w:w="1420"/>
        <w:gridCol w:w="1220"/>
        <w:gridCol w:w="1520"/>
      </w:tblGrid>
      <w:tr w14:paraId="59355099" w14:textId="77777777" w:rsidTr="39BCA5A8">
        <w:tblPrEx>
          <w:tblW w:w="5540" w:type="dxa"/>
          <w:tblLook w:val="04A0"/>
        </w:tblPrEx>
        <w:trPr>
          <w:trHeight w:val="1050"/>
        </w:trPr>
        <w:tc>
          <w:tcPr>
            <w:tcW w:w="1380" w:type="dxa"/>
            <w:tcBorders>
              <w:top w:val="single" w:sz="8" w:space="0" w:color="auto"/>
              <w:left w:val="single" w:sz="8" w:space="0" w:color="auto"/>
              <w:bottom w:val="single" w:sz="8" w:space="0" w:color="auto"/>
              <w:right w:val="single" w:sz="8" w:space="0" w:color="auto"/>
            </w:tcBorders>
            <w:shd w:val="clear" w:color="auto" w:fill="C5D9F1"/>
            <w:vAlign w:val="center"/>
            <w:hideMark/>
          </w:tcPr>
          <w:p w:rsidR="00420451" w14:paraId="4F91F322" w14:textId="77777777">
            <w:pPr>
              <w:jc w:val="center"/>
              <w:rPr>
                <w:b/>
                <w:bCs/>
                <w:color w:val="000000"/>
                <w:sz w:val="20"/>
                <w:szCs w:val="20"/>
              </w:rPr>
            </w:pPr>
            <w:r w:rsidRPr="39BCA5A8" w:rsidR="7E3B3AA1">
              <w:rPr>
                <w:b/>
                <w:bCs/>
                <w:color w:val="000000" w:themeColor="text1" w:themeShade="FF" w:themeTint="FF"/>
                <w:sz w:val="20"/>
                <w:szCs w:val="20"/>
              </w:rPr>
              <w:t> </w:t>
            </w:r>
          </w:p>
        </w:tc>
        <w:tc>
          <w:tcPr>
            <w:tcW w:w="1420" w:type="dxa"/>
            <w:tcBorders>
              <w:top w:val="single" w:sz="8" w:space="0" w:color="auto"/>
              <w:left w:val="nil"/>
              <w:bottom w:val="single" w:sz="8" w:space="0" w:color="auto"/>
              <w:right w:val="single" w:sz="8" w:space="0" w:color="auto"/>
            </w:tcBorders>
            <w:shd w:val="clear" w:color="auto" w:fill="C5D9F1"/>
            <w:vAlign w:val="center"/>
            <w:hideMark/>
          </w:tcPr>
          <w:p w:rsidR="00420451" w14:paraId="2D294A93" w14:textId="77777777">
            <w:pPr>
              <w:jc w:val="center"/>
              <w:rPr>
                <w:b/>
                <w:bCs/>
                <w:color w:val="000000"/>
                <w:sz w:val="20"/>
                <w:szCs w:val="20"/>
              </w:rPr>
            </w:pPr>
            <w:r w:rsidRPr="39BCA5A8" w:rsidR="7E3B3AA1">
              <w:rPr>
                <w:b/>
                <w:bCs/>
                <w:color w:val="000000" w:themeColor="text1" w:themeShade="FF" w:themeTint="FF"/>
                <w:sz w:val="20"/>
                <w:szCs w:val="20"/>
              </w:rPr>
              <w:t>2023 Approved Burden</w:t>
            </w:r>
          </w:p>
        </w:tc>
        <w:tc>
          <w:tcPr>
            <w:tcW w:w="1220" w:type="dxa"/>
            <w:tcBorders>
              <w:top w:val="single" w:sz="8" w:space="0" w:color="auto"/>
              <w:left w:val="nil"/>
              <w:bottom w:val="single" w:sz="8" w:space="0" w:color="auto"/>
              <w:right w:val="single" w:sz="8" w:space="0" w:color="auto"/>
            </w:tcBorders>
            <w:shd w:val="clear" w:color="auto" w:fill="C5D9F1"/>
            <w:vAlign w:val="center"/>
            <w:hideMark/>
          </w:tcPr>
          <w:p w:rsidR="00420451" w14:paraId="241EC079" w14:textId="77777777">
            <w:pPr>
              <w:jc w:val="center"/>
              <w:rPr>
                <w:b/>
                <w:bCs/>
                <w:color w:val="000000"/>
                <w:sz w:val="20"/>
                <w:szCs w:val="20"/>
              </w:rPr>
            </w:pPr>
            <w:r w:rsidRPr="39BCA5A8" w:rsidR="7E3B3AA1">
              <w:rPr>
                <w:b/>
                <w:bCs/>
                <w:color w:val="000000" w:themeColor="text1" w:themeShade="FF" w:themeTint="FF"/>
                <w:sz w:val="20"/>
                <w:szCs w:val="20"/>
              </w:rPr>
              <w:t>2026 New Requested Burden</w:t>
            </w:r>
          </w:p>
        </w:tc>
        <w:tc>
          <w:tcPr>
            <w:tcW w:w="1520" w:type="dxa"/>
            <w:tcBorders>
              <w:top w:val="single" w:sz="8" w:space="0" w:color="auto"/>
              <w:left w:val="nil"/>
              <w:bottom w:val="single" w:sz="8" w:space="0" w:color="auto"/>
              <w:right w:val="single" w:sz="8" w:space="0" w:color="auto"/>
            </w:tcBorders>
            <w:shd w:val="clear" w:color="auto" w:fill="C5D9F1"/>
            <w:vAlign w:val="center"/>
            <w:hideMark/>
          </w:tcPr>
          <w:p w:rsidR="00420451" w14:paraId="4ACA97FB" w14:textId="77777777">
            <w:pPr>
              <w:jc w:val="center"/>
              <w:rPr>
                <w:b/>
                <w:bCs/>
                <w:color w:val="000000"/>
                <w:sz w:val="20"/>
                <w:szCs w:val="20"/>
              </w:rPr>
            </w:pPr>
            <w:r w:rsidRPr="39BCA5A8" w:rsidR="7E3B3AA1">
              <w:rPr>
                <w:b/>
                <w:bCs/>
                <w:color w:val="000000" w:themeColor="text1" w:themeShade="FF" w:themeTint="FF"/>
                <w:sz w:val="20"/>
                <w:szCs w:val="20"/>
              </w:rPr>
              <w:t>Difference</w:t>
            </w:r>
          </w:p>
        </w:tc>
      </w:tr>
      <w:tr w14:paraId="5EFF291E" w14:textId="77777777" w:rsidTr="39BCA5A8">
        <w:tblPrEx>
          <w:tblW w:w="5540" w:type="dxa"/>
          <w:tblLook w:val="04A0"/>
        </w:tblPrEx>
        <w:trPr>
          <w:trHeight w:val="860"/>
        </w:trPr>
        <w:tc>
          <w:tcPr>
            <w:tcW w:w="1380" w:type="dxa"/>
            <w:tcBorders>
              <w:top w:val="nil"/>
              <w:left w:val="single" w:sz="8" w:space="0" w:color="auto"/>
              <w:bottom w:val="single" w:sz="8" w:space="0" w:color="auto"/>
              <w:right w:val="single" w:sz="8" w:space="0" w:color="auto"/>
            </w:tcBorders>
            <w:vAlign w:val="center"/>
            <w:hideMark/>
          </w:tcPr>
          <w:p w:rsidR="00420451" w14:paraId="6D61E44E" w14:textId="77777777">
            <w:pPr>
              <w:rPr>
                <w:color w:val="000000"/>
                <w:sz w:val="20"/>
                <w:szCs w:val="20"/>
              </w:rPr>
            </w:pPr>
            <w:r w:rsidRPr="39BCA5A8" w:rsidR="7E3B3AA1">
              <w:rPr>
                <w:color w:val="000000" w:themeColor="text1" w:themeShade="FF" w:themeTint="FF"/>
                <w:sz w:val="20"/>
                <w:szCs w:val="20"/>
              </w:rPr>
              <w:t>Annual responses</w:t>
            </w:r>
          </w:p>
        </w:tc>
        <w:tc>
          <w:tcPr>
            <w:tcW w:w="1420" w:type="dxa"/>
            <w:tcBorders>
              <w:top w:val="nil"/>
              <w:left w:val="nil"/>
              <w:bottom w:val="single" w:sz="8" w:space="0" w:color="auto"/>
              <w:right w:val="nil"/>
            </w:tcBorders>
            <w:noWrap/>
            <w:vAlign w:val="bottom"/>
            <w:hideMark/>
          </w:tcPr>
          <w:p w:rsidR="00420451" w14:paraId="5F8085A9" w14:textId="77777777">
            <w:pPr>
              <w:rPr>
                <w:color w:val="000000"/>
                <w:sz w:val="22"/>
                <w:szCs w:val="22"/>
              </w:rPr>
            </w:pPr>
            <w:r w:rsidRPr="39BCA5A8" w:rsidR="7E3B3AA1">
              <w:rPr>
                <w:color w:val="000000" w:themeColor="text1" w:themeShade="FF" w:themeTint="FF"/>
                <w:sz w:val="22"/>
                <w:szCs w:val="22"/>
              </w:rPr>
              <w:t xml:space="preserve">     18,187,640 </w:t>
            </w:r>
          </w:p>
        </w:tc>
        <w:tc>
          <w:tcPr>
            <w:tcW w:w="1220" w:type="dxa"/>
            <w:tcBorders>
              <w:top w:val="nil"/>
              <w:left w:val="single" w:sz="8" w:space="0" w:color="auto"/>
              <w:bottom w:val="single" w:sz="8" w:space="0" w:color="auto"/>
              <w:right w:val="single" w:sz="8" w:space="0" w:color="auto"/>
            </w:tcBorders>
            <w:noWrap/>
            <w:vAlign w:val="bottom"/>
            <w:hideMark/>
          </w:tcPr>
          <w:p w:rsidR="00420451" w14:paraId="60949203" w14:textId="77777777">
            <w:pPr>
              <w:rPr>
                <w:color w:val="000000"/>
                <w:sz w:val="22"/>
                <w:szCs w:val="22"/>
              </w:rPr>
            </w:pPr>
            <w:r w:rsidRPr="39BCA5A8" w:rsidR="7E3B3AA1">
              <w:rPr>
                <w:color w:val="000000" w:themeColor="text1" w:themeShade="FF" w:themeTint="FF"/>
                <w:sz w:val="22"/>
                <w:szCs w:val="22"/>
              </w:rPr>
              <w:t xml:space="preserve">   9,773,582 </w:t>
            </w:r>
          </w:p>
        </w:tc>
        <w:tc>
          <w:tcPr>
            <w:tcW w:w="1520" w:type="dxa"/>
            <w:tcBorders>
              <w:top w:val="nil"/>
              <w:left w:val="nil"/>
              <w:bottom w:val="single" w:sz="8" w:space="0" w:color="auto"/>
              <w:right w:val="single" w:sz="8" w:space="0" w:color="auto"/>
            </w:tcBorders>
            <w:noWrap/>
            <w:vAlign w:val="bottom"/>
            <w:hideMark/>
          </w:tcPr>
          <w:p w:rsidR="00420451" w14:paraId="3EB27354" w14:textId="2B98027F">
            <w:pPr>
              <w:rPr>
                <w:color w:val="000000"/>
                <w:sz w:val="22"/>
                <w:szCs w:val="22"/>
              </w:rPr>
            </w:pPr>
            <w:r w:rsidRPr="39BCA5A8" w:rsidR="7E3B3AA1">
              <w:rPr>
                <w:color w:val="000000" w:themeColor="text1" w:themeShade="FF" w:themeTint="FF"/>
                <w:sz w:val="22"/>
                <w:szCs w:val="22"/>
              </w:rPr>
              <w:t xml:space="preserve">    </w:t>
            </w:r>
            <w:r w:rsidRPr="39BCA5A8" w:rsidR="00794B3D">
              <w:rPr>
                <w:color w:val="000000" w:themeColor="text1" w:themeShade="FF" w:themeTint="FF"/>
                <w:sz w:val="22"/>
                <w:szCs w:val="22"/>
              </w:rPr>
              <w:t>-</w:t>
            </w:r>
            <w:r w:rsidRPr="39BCA5A8" w:rsidR="7E3B3AA1">
              <w:rPr>
                <w:color w:val="000000" w:themeColor="text1" w:themeShade="FF" w:themeTint="FF"/>
                <w:sz w:val="22"/>
                <w:szCs w:val="22"/>
              </w:rPr>
              <w:t>8,414,058</w:t>
            </w:r>
          </w:p>
        </w:tc>
      </w:tr>
      <w:tr w14:paraId="2983C9EB" w14:textId="77777777" w:rsidTr="39BCA5A8">
        <w:tblPrEx>
          <w:tblW w:w="5540" w:type="dxa"/>
          <w:tblLook w:val="04A0"/>
        </w:tblPrEx>
        <w:trPr>
          <w:trHeight w:val="550"/>
        </w:trPr>
        <w:tc>
          <w:tcPr>
            <w:tcW w:w="1380" w:type="dxa"/>
            <w:tcBorders>
              <w:top w:val="nil"/>
              <w:left w:val="single" w:sz="8" w:space="0" w:color="auto"/>
              <w:bottom w:val="single" w:sz="8" w:space="0" w:color="auto"/>
              <w:right w:val="single" w:sz="8" w:space="0" w:color="auto"/>
            </w:tcBorders>
            <w:vAlign w:val="center"/>
            <w:hideMark/>
          </w:tcPr>
          <w:p w:rsidR="00420451" w14:paraId="7DD9484D" w14:textId="77777777">
            <w:pPr>
              <w:rPr>
                <w:color w:val="000000"/>
                <w:sz w:val="20"/>
                <w:szCs w:val="20"/>
              </w:rPr>
            </w:pPr>
            <w:r w:rsidRPr="39BCA5A8" w:rsidR="7E3B3AA1">
              <w:rPr>
                <w:color w:val="000000" w:themeColor="text1" w:themeShade="FF" w:themeTint="FF"/>
                <w:sz w:val="20"/>
                <w:szCs w:val="20"/>
              </w:rPr>
              <w:t>Annual burden hours</w:t>
            </w:r>
          </w:p>
        </w:tc>
        <w:tc>
          <w:tcPr>
            <w:tcW w:w="1420" w:type="dxa"/>
            <w:tcBorders>
              <w:top w:val="nil"/>
              <w:left w:val="nil"/>
              <w:bottom w:val="single" w:sz="8" w:space="0" w:color="auto"/>
              <w:right w:val="nil"/>
            </w:tcBorders>
            <w:noWrap/>
            <w:vAlign w:val="bottom"/>
            <w:hideMark/>
          </w:tcPr>
          <w:p w:rsidR="00420451" w14:paraId="13B79B1A" w14:textId="77777777">
            <w:pPr>
              <w:rPr>
                <w:color w:val="000000"/>
                <w:sz w:val="22"/>
                <w:szCs w:val="22"/>
              </w:rPr>
            </w:pPr>
            <w:r w:rsidRPr="39BCA5A8" w:rsidR="7E3B3AA1">
              <w:rPr>
                <w:color w:val="000000" w:themeColor="text1" w:themeShade="FF" w:themeTint="FF"/>
                <w:sz w:val="22"/>
                <w:szCs w:val="22"/>
              </w:rPr>
              <w:t xml:space="preserve">           50,521 </w:t>
            </w:r>
          </w:p>
        </w:tc>
        <w:tc>
          <w:tcPr>
            <w:tcW w:w="1220" w:type="dxa"/>
            <w:tcBorders>
              <w:top w:val="nil"/>
              <w:left w:val="single" w:sz="8" w:space="0" w:color="auto"/>
              <w:bottom w:val="single" w:sz="8" w:space="0" w:color="auto"/>
              <w:right w:val="single" w:sz="8" w:space="0" w:color="auto"/>
            </w:tcBorders>
            <w:noWrap/>
            <w:vAlign w:val="bottom"/>
            <w:hideMark/>
          </w:tcPr>
          <w:p w:rsidR="00420451" w14:paraId="05C5E1EE" w14:textId="77777777">
            <w:pPr>
              <w:rPr>
                <w:color w:val="000000"/>
                <w:sz w:val="22"/>
                <w:szCs w:val="22"/>
              </w:rPr>
            </w:pPr>
            <w:r w:rsidRPr="39BCA5A8" w:rsidR="7E3B3AA1">
              <w:rPr>
                <w:color w:val="000000" w:themeColor="text1" w:themeShade="FF" w:themeTint="FF"/>
                <w:sz w:val="22"/>
                <w:szCs w:val="22"/>
              </w:rPr>
              <w:t xml:space="preserve">        27,149 </w:t>
            </w:r>
          </w:p>
        </w:tc>
        <w:tc>
          <w:tcPr>
            <w:tcW w:w="1520" w:type="dxa"/>
            <w:tcBorders>
              <w:top w:val="nil"/>
              <w:left w:val="nil"/>
              <w:bottom w:val="single" w:sz="8" w:space="0" w:color="auto"/>
              <w:right w:val="single" w:sz="8" w:space="0" w:color="auto"/>
            </w:tcBorders>
            <w:noWrap/>
            <w:vAlign w:val="bottom"/>
            <w:hideMark/>
          </w:tcPr>
          <w:p w:rsidR="00420451" w14:paraId="137924C1" w14:textId="6CDCCB65">
            <w:pPr>
              <w:rPr>
                <w:color w:val="000000"/>
                <w:sz w:val="22"/>
                <w:szCs w:val="22"/>
              </w:rPr>
            </w:pPr>
            <w:r w:rsidRPr="39BCA5A8" w:rsidR="7E3B3AA1">
              <w:rPr>
                <w:color w:val="000000" w:themeColor="text1" w:themeShade="FF" w:themeTint="FF"/>
                <w:sz w:val="22"/>
                <w:szCs w:val="22"/>
              </w:rPr>
              <w:t xml:space="preserve">          </w:t>
            </w:r>
            <w:r w:rsidRPr="39BCA5A8" w:rsidR="00794B3D">
              <w:rPr>
                <w:color w:val="000000" w:themeColor="text1" w:themeShade="FF" w:themeTint="FF"/>
                <w:sz w:val="22"/>
                <w:szCs w:val="22"/>
              </w:rPr>
              <w:t>-</w:t>
            </w:r>
            <w:r w:rsidRPr="39BCA5A8" w:rsidR="7E3B3AA1">
              <w:rPr>
                <w:color w:val="000000" w:themeColor="text1" w:themeShade="FF" w:themeTint="FF"/>
                <w:sz w:val="22"/>
                <w:szCs w:val="22"/>
              </w:rPr>
              <w:t>23,372</w:t>
            </w:r>
          </w:p>
        </w:tc>
      </w:tr>
      <w:tr w14:paraId="32DDBDBC" w14:textId="77777777" w:rsidTr="39BCA5A8">
        <w:tblPrEx>
          <w:tblW w:w="5540" w:type="dxa"/>
          <w:tblLook w:val="04A0"/>
        </w:tblPrEx>
        <w:trPr>
          <w:trHeight w:val="300"/>
        </w:trPr>
        <w:tc>
          <w:tcPr>
            <w:tcW w:w="1380" w:type="dxa"/>
            <w:tcBorders>
              <w:top w:val="nil"/>
              <w:left w:val="single" w:sz="8" w:space="0" w:color="auto"/>
              <w:bottom w:val="single" w:sz="8" w:space="0" w:color="auto"/>
              <w:right w:val="single" w:sz="8" w:space="0" w:color="auto"/>
            </w:tcBorders>
            <w:vAlign w:val="center"/>
            <w:hideMark/>
          </w:tcPr>
          <w:p w:rsidR="00420451" w14:paraId="3FE612FD" w14:textId="77777777">
            <w:pPr>
              <w:rPr>
                <w:color w:val="000000"/>
                <w:sz w:val="20"/>
                <w:szCs w:val="20"/>
              </w:rPr>
            </w:pPr>
            <w:r w:rsidRPr="39BCA5A8" w:rsidR="7E3B3AA1">
              <w:rPr>
                <w:color w:val="000000" w:themeColor="text1" w:themeShade="FF" w:themeTint="FF"/>
                <w:sz w:val="20"/>
                <w:szCs w:val="20"/>
              </w:rPr>
              <w:t>Annual cost ($)</w:t>
            </w:r>
          </w:p>
        </w:tc>
        <w:tc>
          <w:tcPr>
            <w:tcW w:w="1420" w:type="dxa"/>
            <w:tcBorders>
              <w:top w:val="nil"/>
              <w:left w:val="nil"/>
              <w:bottom w:val="single" w:sz="8" w:space="0" w:color="auto"/>
              <w:right w:val="nil"/>
            </w:tcBorders>
            <w:noWrap/>
            <w:vAlign w:val="bottom"/>
            <w:hideMark/>
          </w:tcPr>
          <w:p w:rsidR="00420451" w14:paraId="78734CD9" w14:textId="77777777">
            <w:pPr>
              <w:rPr>
                <w:color w:val="000000"/>
                <w:sz w:val="22"/>
                <w:szCs w:val="22"/>
              </w:rPr>
            </w:pPr>
            <w:r w:rsidRPr="39BCA5A8" w:rsidR="7E3B3AA1">
              <w:rPr>
                <w:color w:val="000000" w:themeColor="text1" w:themeShade="FF" w:themeTint="FF"/>
                <w:sz w:val="22"/>
                <w:szCs w:val="22"/>
              </w:rPr>
              <w:t xml:space="preserve">                  -   </w:t>
            </w:r>
          </w:p>
        </w:tc>
        <w:tc>
          <w:tcPr>
            <w:tcW w:w="1220" w:type="dxa"/>
            <w:tcBorders>
              <w:top w:val="nil"/>
              <w:left w:val="single" w:sz="8" w:space="0" w:color="auto"/>
              <w:bottom w:val="single" w:sz="8" w:space="0" w:color="auto"/>
              <w:right w:val="single" w:sz="8" w:space="0" w:color="auto"/>
            </w:tcBorders>
            <w:noWrap/>
            <w:vAlign w:val="bottom"/>
            <w:hideMark/>
          </w:tcPr>
          <w:p w:rsidR="00420451" w14:paraId="7A5811F8" w14:textId="77777777">
            <w:pPr>
              <w:rPr>
                <w:color w:val="000000"/>
                <w:sz w:val="22"/>
                <w:szCs w:val="22"/>
              </w:rPr>
            </w:pPr>
            <w:r w:rsidRPr="39BCA5A8" w:rsidR="7E3B3AA1">
              <w:rPr>
                <w:color w:val="000000" w:themeColor="text1" w:themeShade="FF" w:themeTint="FF"/>
                <w:sz w:val="22"/>
                <w:szCs w:val="22"/>
              </w:rPr>
              <w:t xml:space="preserve">              -   </w:t>
            </w:r>
          </w:p>
        </w:tc>
        <w:tc>
          <w:tcPr>
            <w:tcW w:w="1520" w:type="dxa"/>
            <w:tcBorders>
              <w:top w:val="nil"/>
              <w:left w:val="nil"/>
              <w:bottom w:val="single" w:sz="8" w:space="0" w:color="auto"/>
              <w:right w:val="single" w:sz="8" w:space="0" w:color="auto"/>
            </w:tcBorders>
            <w:noWrap/>
            <w:vAlign w:val="bottom"/>
            <w:hideMark/>
          </w:tcPr>
          <w:p w:rsidR="00420451" w14:paraId="1FB66217" w14:textId="77777777">
            <w:pPr>
              <w:rPr>
                <w:color w:val="000000"/>
                <w:sz w:val="22"/>
                <w:szCs w:val="22"/>
              </w:rPr>
            </w:pPr>
            <w:r w:rsidRPr="39BCA5A8" w:rsidR="7E3B3AA1">
              <w:rPr>
                <w:color w:val="000000" w:themeColor="text1" w:themeShade="FF" w:themeTint="FF"/>
                <w:sz w:val="22"/>
                <w:szCs w:val="22"/>
              </w:rPr>
              <w:t xml:space="preserve">                   -   </w:t>
            </w:r>
          </w:p>
        </w:tc>
      </w:tr>
    </w:tbl>
    <w:p w:rsidR="00A248CB" w:rsidP="39BCA5A8" w14:paraId="4633D425" w14:textId="77777777">
      <w:pPr>
        <w:jc w:val="both"/>
        <w:rPr>
          <w:noProof/>
        </w:rPr>
      </w:pPr>
    </w:p>
    <w:p w:rsidR="00AA3E6C" w:rsidP="001B07B6" w14:paraId="466C2C2A" w14:textId="0D8DF2F8">
      <w:pPr>
        <w:jc w:val="both"/>
        <w:rPr>
          <w:noProof/>
          <w:szCs w:val="20"/>
        </w:rPr>
      </w:pPr>
    </w:p>
    <w:p w:rsidR="00A34480" w:rsidRPr="002F57E8" w:rsidP="00CE2D87" w14:paraId="615BD8F6" w14:textId="56BB89AF">
      <w:pPr>
        <w:jc w:val="both"/>
      </w:pPr>
      <w:r w:rsidRPr="00875820">
        <w:rPr>
          <w:b/>
        </w:rPr>
        <w:t xml:space="preserve">16. </w:t>
      </w:r>
      <w:r w:rsidRPr="00875820" w:rsidR="005009E9">
        <w:rPr>
          <w:b/>
        </w:rPr>
        <w:t xml:space="preserve"> </w:t>
      </w:r>
      <w:r w:rsidRPr="002F57E8" w:rsidR="008C02AA">
        <w:t>The DEA will not publish the results</w:t>
      </w:r>
      <w:r w:rsidRPr="002F57E8" w:rsidR="00D17F8B">
        <w:t xml:space="preserve"> of the information collected.</w:t>
      </w:r>
    </w:p>
    <w:p w:rsidR="004A1568" w:rsidRPr="002F57E8" w:rsidP="00364CDC" w14:paraId="1B9F4E3B" w14:textId="77777777"/>
    <w:p w:rsidR="00A34480" w:rsidRPr="002F57E8" w:rsidP="00CE2D87" w14:paraId="77434394" w14:textId="0C977840">
      <w:pPr>
        <w:jc w:val="both"/>
      </w:pPr>
      <w:r w:rsidRPr="39BCA5A8">
        <w:rPr>
          <w:b/>
          <w:bCs/>
        </w:rPr>
        <w:t xml:space="preserve">17. </w:t>
      </w:r>
      <w:r w:rsidR="003B5737">
        <w:t xml:space="preserve">The DEA </w:t>
      </w:r>
      <w:r w:rsidR="009F6490">
        <w:t>does not object to</w:t>
      </w:r>
      <w:r w:rsidR="003B5737">
        <w:t xml:space="preserve"> displaying the </w:t>
      </w:r>
      <w:r w:rsidR="003B5737">
        <w:t>expiration</w:t>
      </w:r>
      <w:r w:rsidR="003B5737">
        <w:t xml:space="preserve"> date</w:t>
      </w:r>
      <w:r w:rsidR="00434C1E">
        <w:t xml:space="preserve"> for this collection</w:t>
      </w:r>
      <w:r w:rsidR="003B5737">
        <w:t>.</w:t>
      </w:r>
    </w:p>
    <w:p w:rsidR="00095B45" w:rsidRPr="002F57E8" w:rsidP="00364CDC" w14:paraId="6A8476BB" w14:textId="77777777"/>
    <w:p w:rsidR="00D17F8B" w:rsidRPr="002F57E8" w:rsidP="00CE2D87" w14:paraId="26B077D0" w14:textId="1A633C58">
      <w:pPr>
        <w:jc w:val="both"/>
      </w:pPr>
      <w:r w:rsidRPr="00875820">
        <w:rPr>
          <w:b/>
        </w:rPr>
        <w:t>18.</w:t>
      </w:r>
      <w:r w:rsidRPr="002F57E8">
        <w:t xml:space="preserve"> </w:t>
      </w:r>
      <w:r w:rsidRPr="002F57E8" w:rsidR="005009E9">
        <w:t xml:space="preserve"> </w:t>
      </w:r>
      <w:r w:rsidRPr="002F57E8" w:rsidR="008C02AA">
        <w:t>The DEA is not seeking an exception to the certification statement “Certification for Paperwork Reduction Act Submissions” for t</w:t>
      </w:r>
      <w:r w:rsidRPr="002F57E8">
        <w:t>his collection of information.</w:t>
      </w:r>
    </w:p>
    <w:p w:rsidR="00D17F8B" w:rsidRPr="002F57E8" w:rsidP="00364CDC" w14:paraId="5AF11D43" w14:textId="77777777"/>
    <w:p w:rsidR="008C02AA" w:rsidRPr="002F57E8" w:rsidP="00435623" w14:paraId="6EFC74BE" w14:textId="77777777">
      <w:pPr>
        <w:rPr>
          <w:b/>
        </w:rPr>
      </w:pPr>
      <w:r w:rsidRPr="002F57E8">
        <w:rPr>
          <w:b/>
        </w:rPr>
        <w:t>Part B.  Statistical Methods</w:t>
      </w:r>
    </w:p>
    <w:p w:rsidR="002420D6" w:rsidRPr="002F57E8" w:rsidP="00435623" w14:paraId="6617A252" w14:textId="77777777"/>
    <w:p w:rsidR="00B54823" w:rsidRPr="002F57E8" w:rsidP="00A7757A" w14:paraId="33BB0306" w14:textId="77777777">
      <w:pPr>
        <w:ind w:firstLine="360"/>
        <w:jc w:val="both"/>
      </w:pPr>
      <w:r w:rsidRPr="002F57E8">
        <w:t xml:space="preserve">The DEA </w:t>
      </w:r>
      <w:r w:rsidRPr="002F57E8" w:rsidR="00A84F9C">
        <w:t xml:space="preserve">does </w:t>
      </w:r>
      <w:r w:rsidRPr="002F57E8">
        <w:t>not employ statistical methods in this information collection.</w:t>
      </w:r>
    </w:p>
    <w:sectPr w:rsidSect="00087092">
      <w:headerReference w:type="default" r:id="rId9"/>
      <w:footerReference w:type="default" r:id="rId1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
    <w:panose1 w:val="00000000000000000000"/>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4101782"/>
      <w:docPartObj>
        <w:docPartGallery w:val="Page Numbers (Bottom of Page)"/>
        <w:docPartUnique/>
      </w:docPartObj>
    </w:sdtPr>
    <w:sdtEndPr>
      <w:rPr>
        <w:noProof/>
      </w:rPr>
    </w:sdtEndPr>
    <w:sdtContent>
      <w:p w:rsidR="00F22238" w14:paraId="69FB781A" w14:textId="034A0FB6">
        <w:pPr>
          <w:pStyle w:val="Footer"/>
          <w:jc w:val="center"/>
        </w:pPr>
        <w:r>
          <w:fldChar w:fldCharType="begin"/>
        </w:r>
        <w:r>
          <w:instrText xml:space="preserve"> PAGE   \* MERGEFORMAT </w:instrText>
        </w:r>
        <w:r>
          <w:fldChar w:fldCharType="separate"/>
        </w:r>
        <w:r w:rsidR="00B66973">
          <w:rPr>
            <w:noProof/>
          </w:rPr>
          <w:t>1</w:t>
        </w:r>
        <w:r>
          <w:rPr>
            <w:noProof/>
          </w:rPr>
          <w:fldChar w:fldCharType="end"/>
        </w:r>
      </w:p>
    </w:sdtContent>
  </w:sdt>
  <w:p w:rsidR="00F22238" w14:paraId="6F3B784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3549D" w:rsidP="00A4604C" w14:paraId="473FE76E" w14:textId="77777777">
      <w:r>
        <w:separator/>
      </w:r>
    </w:p>
  </w:footnote>
  <w:footnote w:type="continuationSeparator" w:id="1">
    <w:p w:rsidR="0013549D" w:rsidP="00A4604C" w14:paraId="47E6819C" w14:textId="77777777">
      <w:r>
        <w:continuationSeparator/>
      </w:r>
    </w:p>
  </w:footnote>
  <w:footnote w:type="continuationNotice" w:id="2">
    <w:p w:rsidR="0013549D" w14:paraId="378854FD" w14:textId="77777777"/>
  </w:footnote>
  <w:footnote w:id="3">
    <w:p w:rsidR="001D6B96" w14:paraId="16432CE6" w14:textId="0D82D268">
      <w:pPr>
        <w:pStyle w:val="FootnoteText"/>
      </w:pPr>
      <w:r>
        <w:rPr>
          <w:rStyle w:val="FootnoteReference"/>
        </w:rPr>
        <w:footnoteRef/>
      </w:r>
      <w:r w:rsidR="39BCA5A8">
        <w:t xml:space="preserve"> As needed, calculated average frequency</w:t>
      </w:r>
    </w:p>
  </w:footnote>
  <w:footnote w:id="4">
    <w:p w:rsidR="00263DCA" w:rsidRPr="00263DCA" w:rsidP="00263DCA" w14:paraId="17656208" w14:textId="77777777">
      <w:pPr>
        <w:pStyle w:val="FootnoteText"/>
      </w:pPr>
      <w:r>
        <w:rPr>
          <w:rStyle w:val="FootnoteReference"/>
        </w:rPr>
        <w:footnoteRef/>
      </w:r>
      <w:r w:rsidR="39BCA5A8">
        <w:t xml:space="preserve"> </w:t>
      </w:r>
      <w:r w:rsidRPr="00263DCA" w:rsidR="39BCA5A8">
        <w:t xml:space="preserve">Empowering Post-Surgical Patients to Improve Opioid Disposal: A Before and After Quality Improvement Study Jessica M. Hasak, Carrie L. Roth Bettlach, Katherine B. Santosa, Ellen L. Larson, Jean Stroud, Susan E. Mackinnon Journal of the American College of Surgeons 2017.  The purpose of the study was to determine whether providing an educational brochure would improve disposal methods of excess opioids.  The study found 35 of 128 participants not given the educational brochure used the entire prescription, and 40 of 130 participants given the educational brochure used the entire prescription.  Combining the two groups, 75 (29%) of 258 participants used the entire prescription. </w:t>
      </w:r>
    </w:p>
    <w:p w:rsidR="00263DCA" w14:paraId="51691046" w14:textId="276E9943">
      <w:pPr>
        <w:pStyle w:val="FootnoteText"/>
      </w:pPr>
    </w:p>
  </w:footnote>
  <w:footnote w:id="5">
    <w:p w:rsidR="00A248CB" w:rsidP="00A248CB" w14:paraId="5E5464B3" w14:textId="77777777">
      <w:pPr>
        <w:pStyle w:val="FootnoteText"/>
        <w:rPr>
          <w:rFonts w:ascii="Times New Roman" w:hAnsi="Times New Roman"/>
        </w:rPr>
      </w:pPr>
      <w:r>
        <w:rPr>
          <w:rStyle w:val="FootnoteReference"/>
        </w:rPr>
        <w:footnoteRef/>
      </w:r>
      <w:r w:rsidR="39BCA5A8">
        <w:rPr>
          <w:rFonts w:ascii="Times New Roman" w:hAnsi="Times New Roman"/>
        </w:rPr>
        <w:t xml:space="preserve">  Hourly median wage, Bureau of Labor Statistics, Occupational and Employment wages, May 2025 11-2022 Sales Manager for North American Industry Classification System code 446110 https://www.bls.gov/oes/current/oes_nat.htm. </w:t>
      </w:r>
    </w:p>
  </w:footnote>
  <w:footnote w:id="6">
    <w:p w:rsidR="00A248CB" w:rsidP="00A248CB" w14:paraId="376B1E91" w14:textId="77777777">
      <w:pPr>
        <w:pStyle w:val="FootnoteText"/>
        <w:rPr>
          <w:rFonts w:ascii="Times New Roman" w:hAnsi="Times New Roman"/>
        </w:rPr>
      </w:pPr>
      <w:r>
        <w:rPr>
          <w:rStyle w:val="FootnoteReference"/>
        </w:rPr>
        <w:footnoteRef/>
      </w:r>
      <w:r w:rsidR="39BCA5A8">
        <w:rPr>
          <w:rFonts w:ascii="Times New Roman" w:hAnsi="Times New Roman"/>
        </w:rPr>
        <w:t xml:space="preserve"> Bureau of Labor Statistics, “Employer Costs for Employee Compensation – March 2026” (ECEC) reports that average benefits for private industry is 30.1% of total compensation.  The 30.1% of total compensation equates to 43.1% (30.1% / 69.9%) load on wages and salaries. </w:t>
      </w:r>
    </w:p>
    <w:p w:rsidR="00A248CB" w:rsidP="00A248CB" w14:paraId="23808382"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E75" w:rsidRPr="00CE2D87" w14:paraId="546B1C65" w14:textId="39537D61">
    <w:pPr>
      <w:pStyle w:val="Header"/>
      <w:rPr>
        <w:sz w:val="22"/>
        <w:szCs w:val="22"/>
      </w:rPr>
    </w:pPr>
    <w:r w:rsidRPr="00CE2D87">
      <w:rPr>
        <w:sz w:val="22"/>
        <w:szCs w:val="22"/>
      </w:rPr>
      <w:t>Recordkeeping Requirements for Partial Fills of Prescriptions for Schedule II Controlled Substances</w:t>
    </w:r>
  </w:p>
  <w:p w:rsidR="00CE2D87" w:rsidRPr="00CE2D87" w14:paraId="52FDBF57" w14:textId="0690C300">
    <w:pPr>
      <w:pStyle w:val="Header"/>
      <w:rPr>
        <w:sz w:val="20"/>
        <w:szCs w:val="20"/>
      </w:rPr>
    </w:pPr>
    <w:r w:rsidRPr="00CE2D87">
      <w:rPr>
        <w:sz w:val="20"/>
        <w:szCs w:val="20"/>
      </w:rPr>
      <w:t>OMB Control Number 1117-0057</w:t>
    </w:r>
  </w:p>
  <w:p w:rsidR="00CE2D87" w:rsidRPr="00CE2D87" w14:paraId="7A959CC1" w14:textId="21FEBDB7">
    <w:pPr>
      <w:pStyle w:val="Header"/>
      <w:rPr>
        <w:sz w:val="20"/>
        <w:szCs w:val="20"/>
      </w:rPr>
    </w:pPr>
    <w:r w:rsidRPr="00CE2D87">
      <w:rPr>
        <w:sz w:val="20"/>
        <w:szCs w:val="20"/>
      </w:rPr>
      <w:t>OMB Expiration Date:  Not Applicable</w:t>
    </w:r>
  </w:p>
  <w:p w:rsidR="00B41E75" w14:paraId="4A1C7F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6E0D4D"/>
    <w:multiLevelType w:val="hybridMultilevel"/>
    <w:tmpl w:val="D56AD5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1733DFC"/>
    <w:multiLevelType w:val="hybridMultilevel"/>
    <w:tmpl w:val="5BA66C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1E00D56"/>
    <w:multiLevelType w:val="hybridMultilevel"/>
    <w:tmpl w:val="AD7E62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2B05627"/>
    <w:multiLevelType w:val="hybridMultilevel"/>
    <w:tmpl w:val="98E28A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4FB3495"/>
    <w:multiLevelType w:val="hybridMultilevel"/>
    <w:tmpl w:val="E5162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59A031F"/>
    <w:multiLevelType w:val="hybridMultilevel"/>
    <w:tmpl w:val="134A4CF8"/>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6BF06B2"/>
    <w:multiLevelType w:val="hybridMultilevel"/>
    <w:tmpl w:val="0A1080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AB61D31"/>
    <w:multiLevelType w:val="hybridMultilevel"/>
    <w:tmpl w:val="513035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9">
    <w:nsid w:val="175B3165"/>
    <w:multiLevelType w:val="hybridMultilevel"/>
    <w:tmpl w:val="44200F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80B77B5"/>
    <w:multiLevelType w:val="hybridMultilevel"/>
    <w:tmpl w:val="3D1226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82838EB"/>
    <w:multiLevelType w:val="hybridMultilevel"/>
    <w:tmpl w:val="B03EA7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82A0018"/>
    <w:multiLevelType w:val="hybridMultilevel"/>
    <w:tmpl w:val="9FFE6A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DAE1FA9"/>
    <w:multiLevelType w:val="hybridMultilevel"/>
    <w:tmpl w:val="A5949B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DC04D85"/>
    <w:multiLevelType w:val="hybridMultilevel"/>
    <w:tmpl w:val="235251A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34D5AF8"/>
    <w:multiLevelType w:val="hybridMultilevel"/>
    <w:tmpl w:val="6810B0A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354E38E1"/>
    <w:multiLevelType w:val="hybridMultilevel"/>
    <w:tmpl w:val="E70C35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779581F"/>
    <w:multiLevelType w:val="hybridMultilevel"/>
    <w:tmpl w:val="D9F298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B0D19C8"/>
    <w:multiLevelType w:val="hybridMultilevel"/>
    <w:tmpl w:val="6180C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C5A7FF8"/>
    <w:multiLevelType w:val="hybridMultilevel"/>
    <w:tmpl w:val="FFC010BA"/>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FD332A9"/>
    <w:multiLevelType w:val="hybridMultilevel"/>
    <w:tmpl w:val="805CD6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2D0768E"/>
    <w:multiLevelType w:val="hybridMultilevel"/>
    <w:tmpl w:val="A4ACD778"/>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47B7056A"/>
    <w:multiLevelType w:val="hybridMultilevel"/>
    <w:tmpl w:val="CE4814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4B0B1D3E"/>
    <w:multiLevelType w:val="hybridMultilevel"/>
    <w:tmpl w:val="2196CE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4B9728AF"/>
    <w:multiLevelType w:val="hybridMultilevel"/>
    <w:tmpl w:val="1CF07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53FD48F8"/>
    <w:multiLevelType w:val="hybridMultilevel"/>
    <w:tmpl w:val="258026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54B61E72"/>
    <w:multiLevelType w:val="hybridMultilevel"/>
    <w:tmpl w:val="1E52A9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695558F"/>
    <w:multiLevelType w:val="hybridMultilevel"/>
    <w:tmpl w:val="1FB82C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5B7F5929"/>
    <w:multiLevelType w:val="hybridMultilevel"/>
    <w:tmpl w:val="F304A842"/>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5D2057AA"/>
    <w:multiLevelType w:val="hybridMultilevel"/>
    <w:tmpl w:val="CC7AFC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5D733F6A"/>
    <w:multiLevelType w:val="hybridMultilevel"/>
    <w:tmpl w:val="00F658C8"/>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2">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3">
    <w:nsid w:val="68CB0CE7"/>
    <w:multiLevelType w:val="hybridMultilevel"/>
    <w:tmpl w:val="0C08060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0C16579"/>
    <w:multiLevelType w:val="hybridMultilevel"/>
    <w:tmpl w:val="55D41B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13E2783"/>
    <w:multiLevelType w:val="hybridMultilevel"/>
    <w:tmpl w:val="315843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731B32EC"/>
    <w:multiLevelType w:val="hybridMultilevel"/>
    <w:tmpl w:val="65B405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192BA6"/>
    <w:multiLevelType w:val="hybridMultilevel"/>
    <w:tmpl w:val="80D84C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755F029F"/>
    <w:multiLevelType w:val="multilevel"/>
    <w:tmpl w:val="235251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763769B0"/>
    <w:multiLevelType w:val="hybridMultilevel"/>
    <w:tmpl w:val="1E52A9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879105D"/>
    <w:multiLevelType w:val="hybridMultilevel"/>
    <w:tmpl w:val="EC9A5C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78D1489C"/>
    <w:multiLevelType w:val="hybridMultilevel"/>
    <w:tmpl w:val="7B18CF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A56151C"/>
    <w:multiLevelType w:val="hybridMultilevel"/>
    <w:tmpl w:val="1E52A9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7BCE4F0A"/>
    <w:multiLevelType w:val="hybridMultilevel"/>
    <w:tmpl w:val="51766EA8"/>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427315595">
    <w:abstractNumId w:val="43"/>
  </w:num>
  <w:num w:numId="2" w16cid:durableId="1214272706">
    <w:abstractNumId w:val="24"/>
  </w:num>
  <w:num w:numId="3" w16cid:durableId="307173154">
    <w:abstractNumId w:val="5"/>
  </w:num>
  <w:num w:numId="4" w16cid:durableId="1376395853">
    <w:abstractNumId w:val="22"/>
  </w:num>
  <w:num w:numId="5" w16cid:durableId="951982311">
    <w:abstractNumId w:val="29"/>
  </w:num>
  <w:num w:numId="6" w16cid:durableId="1695112905">
    <w:abstractNumId w:val="16"/>
  </w:num>
  <w:num w:numId="7" w16cid:durableId="1883858725">
    <w:abstractNumId w:val="14"/>
  </w:num>
  <w:num w:numId="8" w16cid:durableId="1346639205">
    <w:abstractNumId w:val="38"/>
  </w:num>
  <w:num w:numId="9" w16cid:durableId="1174295585">
    <w:abstractNumId w:val="20"/>
  </w:num>
  <w:num w:numId="10" w16cid:durableId="652879321">
    <w:abstractNumId w:val="26"/>
  </w:num>
  <w:num w:numId="11" w16cid:durableId="121507183">
    <w:abstractNumId w:val="11"/>
  </w:num>
  <w:num w:numId="12" w16cid:durableId="322121464">
    <w:abstractNumId w:val="2"/>
  </w:num>
  <w:num w:numId="13" w16cid:durableId="437334196">
    <w:abstractNumId w:val="21"/>
  </w:num>
  <w:num w:numId="14" w16cid:durableId="118498601">
    <w:abstractNumId w:val="19"/>
  </w:num>
  <w:num w:numId="15" w16cid:durableId="1158768413">
    <w:abstractNumId w:val="10"/>
  </w:num>
  <w:num w:numId="16" w16cid:durableId="677970325">
    <w:abstractNumId w:val="3"/>
  </w:num>
  <w:num w:numId="17" w16cid:durableId="1911890810">
    <w:abstractNumId w:val="31"/>
  </w:num>
  <w:num w:numId="18" w16cid:durableId="1432358628">
    <w:abstractNumId w:val="10"/>
  </w:num>
  <w:num w:numId="19" w16cid:durableId="1607418265">
    <w:abstractNumId w:val="34"/>
  </w:num>
  <w:num w:numId="20" w16cid:durableId="1726444669">
    <w:abstractNumId w:val="35"/>
  </w:num>
  <w:num w:numId="21" w16cid:durableId="246614672">
    <w:abstractNumId w:val="40"/>
  </w:num>
  <w:num w:numId="22" w16cid:durableId="883179728">
    <w:abstractNumId w:val="9"/>
  </w:num>
  <w:num w:numId="23" w16cid:durableId="1821725908">
    <w:abstractNumId w:val="37"/>
  </w:num>
  <w:num w:numId="24" w16cid:durableId="450788993">
    <w:abstractNumId w:val="23"/>
  </w:num>
  <w:num w:numId="25" w16cid:durableId="2135177915">
    <w:abstractNumId w:val="18"/>
  </w:num>
  <w:num w:numId="26" w16cid:durableId="1405303335">
    <w:abstractNumId w:val="0"/>
  </w:num>
  <w:num w:numId="27" w16cid:durableId="840386646">
    <w:abstractNumId w:val="17"/>
  </w:num>
  <w:num w:numId="28" w16cid:durableId="1887642615">
    <w:abstractNumId w:val="12"/>
  </w:num>
  <w:num w:numId="29" w16cid:durableId="1591936650">
    <w:abstractNumId w:val="4"/>
  </w:num>
  <w:num w:numId="30" w16cid:durableId="15155365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7108191">
    <w:abstractNumId w:val="25"/>
  </w:num>
  <w:num w:numId="32" w16cid:durableId="1733889784">
    <w:abstractNumId w:val="30"/>
  </w:num>
  <w:num w:numId="33" w16cid:durableId="1626039322">
    <w:abstractNumId w:val="28"/>
  </w:num>
  <w:num w:numId="34" w16cid:durableId="1753159612">
    <w:abstractNumId w:val="6"/>
  </w:num>
  <w:num w:numId="35" w16cid:durableId="609899700">
    <w:abstractNumId w:val="1"/>
  </w:num>
  <w:num w:numId="36" w16cid:durableId="17850184">
    <w:abstractNumId w:val="39"/>
  </w:num>
  <w:num w:numId="37" w16cid:durableId="1509053750">
    <w:abstractNumId w:val="41"/>
  </w:num>
  <w:num w:numId="38" w16cid:durableId="1032613388">
    <w:abstractNumId w:val="36"/>
  </w:num>
  <w:num w:numId="39" w16cid:durableId="426928065">
    <w:abstractNumId w:val="7"/>
  </w:num>
  <w:num w:numId="40" w16cid:durableId="822890417">
    <w:abstractNumId w:val="13"/>
  </w:num>
  <w:num w:numId="41" w16cid:durableId="1039670607">
    <w:abstractNumId w:val="27"/>
  </w:num>
  <w:num w:numId="42" w16cid:durableId="477765926">
    <w:abstractNumId w:val="26"/>
  </w:num>
  <w:num w:numId="43" w16cid:durableId="5254822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2426584">
    <w:abstractNumId w:val="15"/>
  </w:num>
  <w:num w:numId="45" w16cid:durableId="936791909">
    <w:abstractNumId w:val="8"/>
  </w:num>
  <w:num w:numId="46" w16cid:durableId="5397033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ED6"/>
    <w:rsid w:val="000029EE"/>
    <w:rsid w:val="0001368B"/>
    <w:rsid w:val="000157AD"/>
    <w:rsid w:val="00015843"/>
    <w:rsid w:val="00015BD0"/>
    <w:rsid w:val="00015C6C"/>
    <w:rsid w:val="00022843"/>
    <w:rsid w:val="0002411E"/>
    <w:rsid w:val="00026668"/>
    <w:rsid w:val="000271EB"/>
    <w:rsid w:val="00027249"/>
    <w:rsid w:val="00042A55"/>
    <w:rsid w:val="00046701"/>
    <w:rsid w:val="00046C80"/>
    <w:rsid w:val="00047647"/>
    <w:rsid w:val="0005161C"/>
    <w:rsid w:val="00053E10"/>
    <w:rsid w:val="000559CE"/>
    <w:rsid w:val="00056526"/>
    <w:rsid w:val="000614A7"/>
    <w:rsid w:val="00062089"/>
    <w:rsid w:val="00065AA1"/>
    <w:rsid w:val="00075D28"/>
    <w:rsid w:val="00077AEE"/>
    <w:rsid w:val="00086C4E"/>
    <w:rsid w:val="00087092"/>
    <w:rsid w:val="00091222"/>
    <w:rsid w:val="000936E9"/>
    <w:rsid w:val="000946E0"/>
    <w:rsid w:val="00095B45"/>
    <w:rsid w:val="000A0554"/>
    <w:rsid w:val="000A07AE"/>
    <w:rsid w:val="000A07D3"/>
    <w:rsid w:val="000A08B0"/>
    <w:rsid w:val="000A75C0"/>
    <w:rsid w:val="000A765F"/>
    <w:rsid w:val="000B0C1B"/>
    <w:rsid w:val="000B10DF"/>
    <w:rsid w:val="000B1451"/>
    <w:rsid w:val="000B154D"/>
    <w:rsid w:val="000B2792"/>
    <w:rsid w:val="000C037D"/>
    <w:rsid w:val="000C1EC1"/>
    <w:rsid w:val="000D0306"/>
    <w:rsid w:val="000D14F8"/>
    <w:rsid w:val="000D2DEA"/>
    <w:rsid w:val="000D2EA6"/>
    <w:rsid w:val="000E05DA"/>
    <w:rsid w:val="000E18FF"/>
    <w:rsid w:val="000F25F3"/>
    <w:rsid w:val="001003BA"/>
    <w:rsid w:val="0010615F"/>
    <w:rsid w:val="001065E8"/>
    <w:rsid w:val="001067A0"/>
    <w:rsid w:val="0011378A"/>
    <w:rsid w:val="00114925"/>
    <w:rsid w:val="0012231C"/>
    <w:rsid w:val="00122AEB"/>
    <w:rsid w:val="0012601D"/>
    <w:rsid w:val="0013057A"/>
    <w:rsid w:val="0013097C"/>
    <w:rsid w:val="00131FAC"/>
    <w:rsid w:val="0013549D"/>
    <w:rsid w:val="001358D7"/>
    <w:rsid w:val="00135F36"/>
    <w:rsid w:val="00136021"/>
    <w:rsid w:val="001368FE"/>
    <w:rsid w:val="00137C92"/>
    <w:rsid w:val="001436E5"/>
    <w:rsid w:val="0014509F"/>
    <w:rsid w:val="00146E47"/>
    <w:rsid w:val="00147194"/>
    <w:rsid w:val="001478D7"/>
    <w:rsid w:val="00147B56"/>
    <w:rsid w:val="00151EBF"/>
    <w:rsid w:val="00153D60"/>
    <w:rsid w:val="00155F4A"/>
    <w:rsid w:val="00156A7C"/>
    <w:rsid w:val="001629EF"/>
    <w:rsid w:val="00167EC2"/>
    <w:rsid w:val="00170FF7"/>
    <w:rsid w:val="001768E5"/>
    <w:rsid w:val="00180530"/>
    <w:rsid w:val="0018342A"/>
    <w:rsid w:val="00186A88"/>
    <w:rsid w:val="0019243D"/>
    <w:rsid w:val="00193A2A"/>
    <w:rsid w:val="00194B11"/>
    <w:rsid w:val="001951FA"/>
    <w:rsid w:val="00196821"/>
    <w:rsid w:val="0019732A"/>
    <w:rsid w:val="001A1D02"/>
    <w:rsid w:val="001A3426"/>
    <w:rsid w:val="001A3D1A"/>
    <w:rsid w:val="001A5790"/>
    <w:rsid w:val="001B03C9"/>
    <w:rsid w:val="001B07B6"/>
    <w:rsid w:val="001B0CE5"/>
    <w:rsid w:val="001B2779"/>
    <w:rsid w:val="001B6018"/>
    <w:rsid w:val="001B63A7"/>
    <w:rsid w:val="001C0719"/>
    <w:rsid w:val="001C30C5"/>
    <w:rsid w:val="001D57E4"/>
    <w:rsid w:val="001D6B96"/>
    <w:rsid w:val="001D6D3A"/>
    <w:rsid w:val="001E1897"/>
    <w:rsid w:val="001E289B"/>
    <w:rsid w:val="001F1F2B"/>
    <w:rsid w:val="001F2CD0"/>
    <w:rsid w:val="002011D1"/>
    <w:rsid w:val="00202776"/>
    <w:rsid w:val="00206888"/>
    <w:rsid w:val="00206FBD"/>
    <w:rsid w:val="00212C00"/>
    <w:rsid w:val="0021407D"/>
    <w:rsid w:val="00221BF3"/>
    <w:rsid w:val="00231A4D"/>
    <w:rsid w:val="00232B29"/>
    <w:rsid w:val="00233550"/>
    <w:rsid w:val="002420D6"/>
    <w:rsid w:val="00245445"/>
    <w:rsid w:val="00245D20"/>
    <w:rsid w:val="00252A0A"/>
    <w:rsid w:val="002534C3"/>
    <w:rsid w:val="00255842"/>
    <w:rsid w:val="002579A9"/>
    <w:rsid w:val="002614CC"/>
    <w:rsid w:val="00262356"/>
    <w:rsid w:val="00262381"/>
    <w:rsid w:val="00263DCA"/>
    <w:rsid w:val="00270E57"/>
    <w:rsid w:val="00270F93"/>
    <w:rsid w:val="0027139C"/>
    <w:rsid w:val="00271B7C"/>
    <w:rsid w:val="00274CBB"/>
    <w:rsid w:val="00275719"/>
    <w:rsid w:val="00275FD5"/>
    <w:rsid w:val="0027649A"/>
    <w:rsid w:val="002767DD"/>
    <w:rsid w:val="00285933"/>
    <w:rsid w:val="00292A5D"/>
    <w:rsid w:val="002A2682"/>
    <w:rsid w:val="002A4D45"/>
    <w:rsid w:val="002A763E"/>
    <w:rsid w:val="002B62B3"/>
    <w:rsid w:val="002B6FC5"/>
    <w:rsid w:val="002C132D"/>
    <w:rsid w:val="002C13A1"/>
    <w:rsid w:val="002C386F"/>
    <w:rsid w:val="002C44C3"/>
    <w:rsid w:val="002C560C"/>
    <w:rsid w:val="002C70B9"/>
    <w:rsid w:val="002C7479"/>
    <w:rsid w:val="002D0920"/>
    <w:rsid w:val="002D26AD"/>
    <w:rsid w:val="002D2CEC"/>
    <w:rsid w:val="002D3311"/>
    <w:rsid w:val="002E4F17"/>
    <w:rsid w:val="002E55EE"/>
    <w:rsid w:val="002E633E"/>
    <w:rsid w:val="002F0F67"/>
    <w:rsid w:val="002F4058"/>
    <w:rsid w:val="002F57E8"/>
    <w:rsid w:val="003027E6"/>
    <w:rsid w:val="00302C34"/>
    <w:rsid w:val="003062B2"/>
    <w:rsid w:val="00307C6A"/>
    <w:rsid w:val="00312CA5"/>
    <w:rsid w:val="00320D44"/>
    <w:rsid w:val="003210C0"/>
    <w:rsid w:val="003239F1"/>
    <w:rsid w:val="00327860"/>
    <w:rsid w:val="00331399"/>
    <w:rsid w:val="00331BAA"/>
    <w:rsid w:val="00333144"/>
    <w:rsid w:val="00335F29"/>
    <w:rsid w:val="00341D99"/>
    <w:rsid w:val="00343F10"/>
    <w:rsid w:val="003442C9"/>
    <w:rsid w:val="00347E26"/>
    <w:rsid w:val="00350948"/>
    <w:rsid w:val="003515A2"/>
    <w:rsid w:val="00352674"/>
    <w:rsid w:val="00353620"/>
    <w:rsid w:val="0035642D"/>
    <w:rsid w:val="003603FE"/>
    <w:rsid w:val="00362449"/>
    <w:rsid w:val="00364CDC"/>
    <w:rsid w:val="0037062C"/>
    <w:rsid w:val="0037628E"/>
    <w:rsid w:val="00376E84"/>
    <w:rsid w:val="00381061"/>
    <w:rsid w:val="003824C9"/>
    <w:rsid w:val="003827F4"/>
    <w:rsid w:val="0038578D"/>
    <w:rsid w:val="00387BB6"/>
    <w:rsid w:val="00391642"/>
    <w:rsid w:val="00391FBC"/>
    <w:rsid w:val="003926D3"/>
    <w:rsid w:val="00392BC5"/>
    <w:rsid w:val="0039568F"/>
    <w:rsid w:val="003A3F1C"/>
    <w:rsid w:val="003A4D2E"/>
    <w:rsid w:val="003A6E44"/>
    <w:rsid w:val="003B5737"/>
    <w:rsid w:val="003C4A91"/>
    <w:rsid w:val="003C61AB"/>
    <w:rsid w:val="003C71F1"/>
    <w:rsid w:val="003D0831"/>
    <w:rsid w:val="003D207B"/>
    <w:rsid w:val="003D2A99"/>
    <w:rsid w:val="003D515F"/>
    <w:rsid w:val="003E0DF7"/>
    <w:rsid w:val="003E11D9"/>
    <w:rsid w:val="003E1798"/>
    <w:rsid w:val="003E2EE3"/>
    <w:rsid w:val="003E6000"/>
    <w:rsid w:val="003E7902"/>
    <w:rsid w:val="003E7CEA"/>
    <w:rsid w:val="003F64B7"/>
    <w:rsid w:val="003F6E87"/>
    <w:rsid w:val="004012D3"/>
    <w:rsid w:val="00406453"/>
    <w:rsid w:val="00410863"/>
    <w:rsid w:val="004129CF"/>
    <w:rsid w:val="004139E9"/>
    <w:rsid w:val="004150F8"/>
    <w:rsid w:val="00416AF3"/>
    <w:rsid w:val="00420451"/>
    <w:rsid w:val="00425DB3"/>
    <w:rsid w:val="00425DD1"/>
    <w:rsid w:val="00426D04"/>
    <w:rsid w:val="00431CB4"/>
    <w:rsid w:val="00434A29"/>
    <w:rsid w:val="00434C1E"/>
    <w:rsid w:val="0043504A"/>
    <w:rsid w:val="00435623"/>
    <w:rsid w:val="00435833"/>
    <w:rsid w:val="00445C03"/>
    <w:rsid w:val="004469C9"/>
    <w:rsid w:val="00451924"/>
    <w:rsid w:val="00452D0C"/>
    <w:rsid w:val="00454C13"/>
    <w:rsid w:val="00455755"/>
    <w:rsid w:val="00456FB2"/>
    <w:rsid w:val="00462C7C"/>
    <w:rsid w:val="004639A7"/>
    <w:rsid w:val="00480329"/>
    <w:rsid w:val="004806A4"/>
    <w:rsid w:val="00481474"/>
    <w:rsid w:val="004872FE"/>
    <w:rsid w:val="00490371"/>
    <w:rsid w:val="0049043A"/>
    <w:rsid w:val="00493CC5"/>
    <w:rsid w:val="004A1568"/>
    <w:rsid w:val="004A1C12"/>
    <w:rsid w:val="004A1D35"/>
    <w:rsid w:val="004A3C90"/>
    <w:rsid w:val="004A4023"/>
    <w:rsid w:val="004A7931"/>
    <w:rsid w:val="004B1D0A"/>
    <w:rsid w:val="004B2158"/>
    <w:rsid w:val="004B3069"/>
    <w:rsid w:val="004C1008"/>
    <w:rsid w:val="004C18AD"/>
    <w:rsid w:val="004D0377"/>
    <w:rsid w:val="004D3F41"/>
    <w:rsid w:val="004D4D8F"/>
    <w:rsid w:val="004E244E"/>
    <w:rsid w:val="004E36D0"/>
    <w:rsid w:val="004E540D"/>
    <w:rsid w:val="004F0FEE"/>
    <w:rsid w:val="004F3D5E"/>
    <w:rsid w:val="004F4E97"/>
    <w:rsid w:val="005009E9"/>
    <w:rsid w:val="0050284E"/>
    <w:rsid w:val="005038D3"/>
    <w:rsid w:val="00505A4C"/>
    <w:rsid w:val="00505C03"/>
    <w:rsid w:val="00510A34"/>
    <w:rsid w:val="0051491F"/>
    <w:rsid w:val="0051788D"/>
    <w:rsid w:val="005227F3"/>
    <w:rsid w:val="00523E6D"/>
    <w:rsid w:val="0053254F"/>
    <w:rsid w:val="00533C25"/>
    <w:rsid w:val="00535C69"/>
    <w:rsid w:val="00537E0D"/>
    <w:rsid w:val="00545BA8"/>
    <w:rsid w:val="00556234"/>
    <w:rsid w:val="00557106"/>
    <w:rsid w:val="00560BF9"/>
    <w:rsid w:val="00562D4A"/>
    <w:rsid w:val="0056741C"/>
    <w:rsid w:val="005708BB"/>
    <w:rsid w:val="005717A0"/>
    <w:rsid w:val="005718D2"/>
    <w:rsid w:val="0057463F"/>
    <w:rsid w:val="00574861"/>
    <w:rsid w:val="00576852"/>
    <w:rsid w:val="00577441"/>
    <w:rsid w:val="0058315F"/>
    <w:rsid w:val="005838C5"/>
    <w:rsid w:val="00584F37"/>
    <w:rsid w:val="00584FDC"/>
    <w:rsid w:val="005911E0"/>
    <w:rsid w:val="0059227E"/>
    <w:rsid w:val="005924C8"/>
    <w:rsid w:val="00596459"/>
    <w:rsid w:val="00596CD8"/>
    <w:rsid w:val="005A1F0F"/>
    <w:rsid w:val="005B2A88"/>
    <w:rsid w:val="005B4048"/>
    <w:rsid w:val="005B7F2D"/>
    <w:rsid w:val="005C291B"/>
    <w:rsid w:val="005C5733"/>
    <w:rsid w:val="005C713B"/>
    <w:rsid w:val="005C7FCD"/>
    <w:rsid w:val="005D22EC"/>
    <w:rsid w:val="005D501E"/>
    <w:rsid w:val="005D5AE4"/>
    <w:rsid w:val="005D5B3B"/>
    <w:rsid w:val="005D6B8B"/>
    <w:rsid w:val="005D7698"/>
    <w:rsid w:val="005E361D"/>
    <w:rsid w:val="005F6E69"/>
    <w:rsid w:val="006043C6"/>
    <w:rsid w:val="00610CC6"/>
    <w:rsid w:val="006137AD"/>
    <w:rsid w:val="0061433E"/>
    <w:rsid w:val="0062322F"/>
    <w:rsid w:val="00623FE9"/>
    <w:rsid w:val="006244C6"/>
    <w:rsid w:val="006246DC"/>
    <w:rsid w:val="0062508A"/>
    <w:rsid w:val="006264C0"/>
    <w:rsid w:val="00627475"/>
    <w:rsid w:val="0063143C"/>
    <w:rsid w:val="0063449E"/>
    <w:rsid w:val="006360DA"/>
    <w:rsid w:val="00637FFD"/>
    <w:rsid w:val="0064411B"/>
    <w:rsid w:val="00650ED9"/>
    <w:rsid w:val="00656C6B"/>
    <w:rsid w:val="00662FDA"/>
    <w:rsid w:val="00666307"/>
    <w:rsid w:val="00666907"/>
    <w:rsid w:val="00670012"/>
    <w:rsid w:val="006814E4"/>
    <w:rsid w:val="0068538F"/>
    <w:rsid w:val="00687388"/>
    <w:rsid w:val="00694429"/>
    <w:rsid w:val="00694C8A"/>
    <w:rsid w:val="006A0FFE"/>
    <w:rsid w:val="006A1CE7"/>
    <w:rsid w:val="006A23FB"/>
    <w:rsid w:val="006A3449"/>
    <w:rsid w:val="006A352E"/>
    <w:rsid w:val="006B0DA1"/>
    <w:rsid w:val="006B2A40"/>
    <w:rsid w:val="006C04ED"/>
    <w:rsid w:val="006C0A45"/>
    <w:rsid w:val="006C2659"/>
    <w:rsid w:val="006C3833"/>
    <w:rsid w:val="006C47B2"/>
    <w:rsid w:val="006C6685"/>
    <w:rsid w:val="006D55C0"/>
    <w:rsid w:val="006D6DE5"/>
    <w:rsid w:val="006E6D94"/>
    <w:rsid w:val="006E6E0C"/>
    <w:rsid w:val="006F1105"/>
    <w:rsid w:val="007004D0"/>
    <w:rsid w:val="007005F4"/>
    <w:rsid w:val="00700DA6"/>
    <w:rsid w:val="00702327"/>
    <w:rsid w:val="00703A7C"/>
    <w:rsid w:val="007058D0"/>
    <w:rsid w:val="0070668A"/>
    <w:rsid w:val="007102D0"/>
    <w:rsid w:val="007126CC"/>
    <w:rsid w:val="00713042"/>
    <w:rsid w:val="007151AE"/>
    <w:rsid w:val="007156A1"/>
    <w:rsid w:val="00717016"/>
    <w:rsid w:val="0072110C"/>
    <w:rsid w:val="00721EBF"/>
    <w:rsid w:val="0072345B"/>
    <w:rsid w:val="00727906"/>
    <w:rsid w:val="00736E03"/>
    <w:rsid w:val="00745496"/>
    <w:rsid w:val="0075354D"/>
    <w:rsid w:val="00755144"/>
    <w:rsid w:val="00755569"/>
    <w:rsid w:val="00762FC6"/>
    <w:rsid w:val="0076615E"/>
    <w:rsid w:val="00766FB1"/>
    <w:rsid w:val="00772417"/>
    <w:rsid w:val="00773274"/>
    <w:rsid w:val="00780719"/>
    <w:rsid w:val="00781173"/>
    <w:rsid w:val="007826B9"/>
    <w:rsid w:val="00786BA5"/>
    <w:rsid w:val="00794B3D"/>
    <w:rsid w:val="007A17F4"/>
    <w:rsid w:val="007A3913"/>
    <w:rsid w:val="007A4541"/>
    <w:rsid w:val="007A6887"/>
    <w:rsid w:val="007A78EF"/>
    <w:rsid w:val="007A7DF1"/>
    <w:rsid w:val="007B20B9"/>
    <w:rsid w:val="007B24CE"/>
    <w:rsid w:val="007B2DBB"/>
    <w:rsid w:val="007B38F6"/>
    <w:rsid w:val="007B6879"/>
    <w:rsid w:val="007B7ED8"/>
    <w:rsid w:val="007C23B5"/>
    <w:rsid w:val="007C68E5"/>
    <w:rsid w:val="007C695C"/>
    <w:rsid w:val="007D0CE2"/>
    <w:rsid w:val="007D7987"/>
    <w:rsid w:val="007E0121"/>
    <w:rsid w:val="007E04AD"/>
    <w:rsid w:val="007E1A51"/>
    <w:rsid w:val="007E2861"/>
    <w:rsid w:val="007F395D"/>
    <w:rsid w:val="008010E4"/>
    <w:rsid w:val="00801C74"/>
    <w:rsid w:val="00803023"/>
    <w:rsid w:val="008043AF"/>
    <w:rsid w:val="00810C55"/>
    <w:rsid w:val="008130FA"/>
    <w:rsid w:val="0081670E"/>
    <w:rsid w:val="00817898"/>
    <w:rsid w:val="008232D8"/>
    <w:rsid w:val="00824B77"/>
    <w:rsid w:val="00827C34"/>
    <w:rsid w:val="0083003D"/>
    <w:rsid w:val="00834C96"/>
    <w:rsid w:val="00840315"/>
    <w:rsid w:val="00840A55"/>
    <w:rsid w:val="00842E11"/>
    <w:rsid w:val="0084346A"/>
    <w:rsid w:val="00853E47"/>
    <w:rsid w:val="0085616F"/>
    <w:rsid w:val="00856CBE"/>
    <w:rsid w:val="00857ADD"/>
    <w:rsid w:val="008610A2"/>
    <w:rsid w:val="00863E5E"/>
    <w:rsid w:val="00864724"/>
    <w:rsid w:val="0086545A"/>
    <w:rsid w:val="00866748"/>
    <w:rsid w:val="00867042"/>
    <w:rsid w:val="0087035E"/>
    <w:rsid w:val="008710B5"/>
    <w:rsid w:val="00872D1F"/>
    <w:rsid w:val="00875820"/>
    <w:rsid w:val="008763D0"/>
    <w:rsid w:val="00877CED"/>
    <w:rsid w:val="00880C6B"/>
    <w:rsid w:val="00881086"/>
    <w:rsid w:val="00881B0F"/>
    <w:rsid w:val="00881D7C"/>
    <w:rsid w:val="00885142"/>
    <w:rsid w:val="00885EF7"/>
    <w:rsid w:val="00886193"/>
    <w:rsid w:val="00886498"/>
    <w:rsid w:val="00890562"/>
    <w:rsid w:val="00890ED9"/>
    <w:rsid w:val="00895148"/>
    <w:rsid w:val="0089645F"/>
    <w:rsid w:val="008979DC"/>
    <w:rsid w:val="008A0981"/>
    <w:rsid w:val="008A440B"/>
    <w:rsid w:val="008B1B78"/>
    <w:rsid w:val="008B6018"/>
    <w:rsid w:val="008C02AA"/>
    <w:rsid w:val="008C0A9D"/>
    <w:rsid w:val="008C1FDA"/>
    <w:rsid w:val="008C277A"/>
    <w:rsid w:val="008C2979"/>
    <w:rsid w:val="008C4AA3"/>
    <w:rsid w:val="008C6C3D"/>
    <w:rsid w:val="008D048E"/>
    <w:rsid w:val="008D1235"/>
    <w:rsid w:val="008D242E"/>
    <w:rsid w:val="008D3BC8"/>
    <w:rsid w:val="008D5677"/>
    <w:rsid w:val="008E18A3"/>
    <w:rsid w:val="008E1ED8"/>
    <w:rsid w:val="008E36E2"/>
    <w:rsid w:val="008E7F95"/>
    <w:rsid w:val="008F099D"/>
    <w:rsid w:val="008F3C9F"/>
    <w:rsid w:val="008F3D4F"/>
    <w:rsid w:val="009156E7"/>
    <w:rsid w:val="00915B72"/>
    <w:rsid w:val="009166B0"/>
    <w:rsid w:val="00921343"/>
    <w:rsid w:val="00923609"/>
    <w:rsid w:val="009255D8"/>
    <w:rsid w:val="00925E35"/>
    <w:rsid w:val="0092785D"/>
    <w:rsid w:val="009304DC"/>
    <w:rsid w:val="0093376D"/>
    <w:rsid w:val="00933B3B"/>
    <w:rsid w:val="00945902"/>
    <w:rsid w:val="00945E01"/>
    <w:rsid w:val="00947EC5"/>
    <w:rsid w:val="00950D4D"/>
    <w:rsid w:val="00954FF9"/>
    <w:rsid w:val="00960AD2"/>
    <w:rsid w:val="00962492"/>
    <w:rsid w:val="00967EA3"/>
    <w:rsid w:val="009720C2"/>
    <w:rsid w:val="009721D7"/>
    <w:rsid w:val="009778E1"/>
    <w:rsid w:val="00977C25"/>
    <w:rsid w:val="009844E5"/>
    <w:rsid w:val="009848C7"/>
    <w:rsid w:val="00990D4B"/>
    <w:rsid w:val="00991B94"/>
    <w:rsid w:val="00992C31"/>
    <w:rsid w:val="0099417A"/>
    <w:rsid w:val="009A3212"/>
    <w:rsid w:val="009A45B5"/>
    <w:rsid w:val="009B6DB2"/>
    <w:rsid w:val="009B7731"/>
    <w:rsid w:val="009C3AC1"/>
    <w:rsid w:val="009D03DE"/>
    <w:rsid w:val="009D0413"/>
    <w:rsid w:val="009D0A9A"/>
    <w:rsid w:val="009D6AB7"/>
    <w:rsid w:val="009E2801"/>
    <w:rsid w:val="009E5AAB"/>
    <w:rsid w:val="009E5FA0"/>
    <w:rsid w:val="009E77FA"/>
    <w:rsid w:val="009E7E3D"/>
    <w:rsid w:val="009F6490"/>
    <w:rsid w:val="00A038DA"/>
    <w:rsid w:val="00A03D5B"/>
    <w:rsid w:val="00A04695"/>
    <w:rsid w:val="00A06878"/>
    <w:rsid w:val="00A114AE"/>
    <w:rsid w:val="00A11691"/>
    <w:rsid w:val="00A12ACC"/>
    <w:rsid w:val="00A17F99"/>
    <w:rsid w:val="00A248CB"/>
    <w:rsid w:val="00A25A3A"/>
    <w:rsid w:val="00A33EC3"/>
    <w:rsid w:val="00A34480"/>
    <w:rsid w:val="00A345AB"/>
    <w:rsid w:val="00A34B41"/>
    <w:rsid w:val="00A36A29"/>
    <w:rsid w:val="00A40982"/>
    <w:rsid w:val="00A43B20"/>
    <w:rsid w:val="00A45884"/>
    <w:rsid w:val="00A4604C"/>
    <w:rsid w:val="00A57057"/>
    <w:rsid w:val="00A579C8"/>
    <w:rsid w:val="00A60203"/>
    <w:rsid w:val="00A62026"/>
    <w:rsid w:val="00A656F8"/>
    <w:rsid w:val="00A7034E"/>
    <w:rsid w:val="00A71B57"/>
    <w:rsid w:val="00A72B23"/>
    <w:rsid w:val="00A72B84"/>
    <w:rsid w:val="00A74C21"/>
    <w:rsid w:val="00A7508F"/>
    <w:rsid w:val="00A774B8"/>
    <w:rsid w:val="00A7757A"/>
    <w:rsid w:val="00A8105C"/>
    <w:rsid w:val="00A83133"/>
    <w:rsid w:val="00A838A0"/>
    <w:rsid w:val="00A84F9C"/>
    <w:rsid w:val="00A9223F"/>
    <w:rsid w:val="00AA0993"/>
    <w:rsid w:val="00AA149B"/>
    <w:rsid w:val="00AA3236"/>
    <w:rsid w:val="00AA3E6C"/>
    <w:rsid w:val="00AA658E"/>
    <w:rsid w:val="00AB0C58"/>
    <w:rsid w:val="00AB2F43"/>
    <w:rsid w:val="00AC4C1F"/>
    <w:rsid w:val="00AC53A8"/>
    <w:rsid w:val="00AD438C"/>
    <w:rsid w:val="00AD50F2"/>
    <w:rsid w:val="00AE0252"/>
    <w:rsid w:val="00AE4694"/>
    <w:rsid w:val="00AE550C"/>
    <w:rsid w:val="00AF19D8"/>
    <w:rsid w:val="00AF1B49"/>
    <w:rsid w:val="00AF4947"/>
    <w:rsid w:val="00AF6A02"/>
    <w:rsid w:val="00B03387"/>
    <w:rsid w:val="00B03814"/>
    <w:rsid w:val="00B03934"/>
    <w:rsid w:val="00B03972"/>
    <w:rsid w:val="00B049BF"/>
    <w:rsid w:val="00B07133"/>
    <w:rsid w:val="00B12BCF"/>
    <w:rsid w:val="00B155F5"/>
    <w:rsid w:val="00B15827"/>
    <w:rsid w:val="00B17264"/>
    <w:rsid w:val="00B21772"/>
    <w:rsid w:val="00B26469"/>
    <w:rsid w:val="00B3258D"/>
    <w:rsid w:val="00B3678A"/>
    <w:rsid w:val="00B413E6"/>
    <w:rsid w:val="00B41E75"/>
    <w:rsid w:val="00B449EE"/>
    <w:rsid w:val="00B50697"/>
    <w:rsid w:val="00B5274C"/>
    <w:rsid w:val="00B527A1"/>
    <w:rsid w:val="00B54823"/>
    <w:rsid w:val="00B55A48"/>
    <w:rsid w:val="00B611BD"/>
    <w:rsid w:val="00B636E8"/>
    <w:rsid w:val="00B66973"/>
    <w:rsid w:val="00B718A3"/>
    <w:rsid w:val="00B7692D"/>
    <w:rsid w:val="00B771E3"/>
    <w:rsid w:val="00B7792F"/>
    <w:rsid w:val="00B77A08"/>
    <w:rsid w:val="00B83C54"/>
    <w:rsid w:val="00B84308"/>
    <w:rsid w:val="00B87A66"/>
    <w:rsid w:val="00B90AD9"/>
    <w:rsid w:val="00B95843"/>
    <w:rsid w:val="00B97CA7"/>
    <w:rsid w:val="00BA1CD9"/>
    <w:rsid w:val="00BA4D22"/>
    <w:rsid w:val="00BA6E87"/>
    <w:rsid w:val="00BC5231"/>
    <w:rsid w:val="00BC7FE3"/>
    <w:rsid w:val="00BD282E"/>
    <w:rsid w:val="00BD5AA2"/>
    <w:rsid w:val="00BE022B"/>
    <w:rsid w:val="00BE13E4"/>
    <w:rsid w:val="00BE13F7"/>
    <w:rsid w:val="00BE5B40"/>
    <w:rsid w:val="00BF0191"/>
    <w:rsid w:val="00BF093F"/>
    <w:rsid w:val="00BF1951"/>
    <w:rsid w:val="00BF21C2"/>
    <w:rsid w:val="00BF773A"/>
    <w:rsid w:val="00BF7981"/>
    <w:rsid w:val="00C031DD"/>
    <w:rsid w:val="00C05A06"/>
    <w:rsid w:val="00C06F89"/>
    <w:rsid w:val="00C12A7A"/>
    <w:rsid w:val="00C140C8"/>
    <w:rsid w:val="00C17E77"/>
    <w:rsid w:val="00C241B9"/>
    <w:rsid w:val="00C254A4"/>
    <w:rsid w:val="00C30F94"/>
    <w:rsid w:val="00C37F02"/>
    <w:rsid w:val="00C40AF9"/>
    <w:rsid w:val="00C4278B"/>
    <w:rsid w:val="00C42A4D"/>
    <w:rsid w:val="00C44D90"/>
    <w:rsid w:val="00C459C6"/>
    <w:rsid w:val="00C551EA"/>
    <w:rsid w:val="00C552EF"/>
    <w:rsid w:val="00C56DD9"/>
    <w:rsid w:val="00C6223A"/>
    <w:rsid w:val="00C67996"/>
    <w:rsid w:val="00C70976"/>
    <w:rsid w:val="00C72F57"/>
    <w:rsid w:val="00C74B91"/>
    <w:rsid w:val="00C80865"/>
    <w:rsid w:val="00C85509"/>
    <w:rsid w:val="00C90703"/>
    <w:rsid w:val="00C90E37"/>
    <w:rsid w:val="00C92D6D"/>
    <w:rsid w:val="00C9328D"/>
    <w:rsid w:val="00CA0A44"/>
    <w:rsid w:val="00CA1CCF"/>
    <w:rsid w:val="00CA43A8"/>
    <w:rsid w:val="00CA54B7"/>
    <w:rsid w:val="00CB572F"/>
    <w:rsid w:val="00CB5DF4"/>
    <w:rsid w:val="00CC167B"/>
    <w:rsid w:val="00CC4706"/>
    <w:rsid w:val="00CC6474"/>
    <w:rsid w:val="00CD172B"/>
    <w:rsid w:val="00CD462E"/>
    <w:rsid w:val="00CD6ED6"/>
    <w:rsid w:val="00CD786A"/>
    <w:rsid w:val="00CE0980"/>
    <w:rsid w:val="00CE2D87"/>
    <w:rsid w:val="00CE742E"/>
    <w:rsid w:val="00CF206B"/>
    <w:rsid w:val="00CF4354"/>
    <w:rsid w:val="00CF64E1"/>
    <w:rsid w:val="00D0034E"/>
    <w:rsid w:val="00D046FC"/>
    <w:rsid w:val="00D142B6"/>
    <w:rsid w:val="00D1494B"/>
    <w:rsid w:val="00D17220"/>
    <w:rsid w:val="00D17F8B"/>
    <w:rsid w:val="00D2434C"/>
    <w:rsid w:val="00D24891"/>
    <w:rsid w:val="00D26599"/>
    <w:rsid w:val="00D26ED2"/>
    <w:rsid w:val="00D300EB"/>
    <w:rsid w:val="00D34B60"/>
    <w:rsid w:val="00D35796"/>
    <w:rsid w:val="00D36C93"/>
    <w:rsid w:val="00D370E1"/>
    <w:rsid w:val="00D4128B"/>
    <w:rsid w:val="00D44840"/>
    <w:rsid w:val="00D45522"/>
    <w:rsid w:val="00D507AE"/>
    <w:rsid w:val="00D53744"/>
    <w:rsid w:val="00D615C8"/>
    <w:rsid w:val="00D61A0B"/>
    <w:rsid w:val="00D631DE"/>
    <w:rsid w:val="00D6703C"/>
    <w:rsid w:val="00D802BB"/>
    <w:rsid w:val="00D822DC"/>
    <w:rsid w:val="00D8320E"/>
    <w:rsid w:val="00D86746"/>
    <w:rsid w:val="00D86E87"/>
    <w:rsid w:val="00D90AD1"/>
    <w:rsid w:val="00D9226D"/>
    <w:rsid w:val="00D92D72"/>
    <w:rsid w:val="00D92F3B"/>
    <w:rsid w:val="00D947E9"/>
    <w:rsid w:val="00D94D4F"/>
    <w:rsid w:val="00DA0707"/>
    <w:rsid w:val="00DA17A8"/>
    <w:rsid w:val="00DA1CE8"/>
    <w:rsid w:val="00DA2ECF"/>
    <w:rsid w:val="00DA66EF"/>
    <w:rsid w:val="00DB0D34"/>
    <w:rsid w:val="00DB4309"/>
    <w:rsid w:val="00DB4D29"/>
    <w:rsid w:val="00DB7039"/>
    <w:rsid w:val="00DB7C0D"/>
    <w:rsid w:val="00DC219C"/>
    <w:rsid w:val="00DC4D3A"/>
    <w:rsid w:val="00DD02F6"/>
    <w:rsid w:val="00DE28F1"/>
    <w:rsid w:val="00DE52FE"/>
    <w:rsid w:val="00DE6049"/>
    <w:rsid w:val="00DE7517"/>
    <w:rsid w:val="00DF16B1"/>
    <w:rsid w:val="00DF198E"/>
    <w:rsid w:val="00DF4D04"/>
    <w:rsid w:val="00DF62EB"/>
    <w:rsid w:val="00E00A63"/>
    <w:rsid w:val="00E00A7B"/>
    <w:rsid w:val="00E13A8E"/>
    <w:rsid w:val="00E14E29"/>
    <w:rsid w:val="00E2099F"/>
    <w:rsid w:val="00E304D2"/>
    <w:rsid w:val="00E35E25"/>
    <w:rsid w:val="00E46097"/>
    <w:rsid w:val="00E50782"/>
    <w:rsid w:val="00E524EE"/>
    <w:rsid w:val="00E56BFC"/>
    <w:rsid w:val="00E66980"/>
    <w:rsid w:val="00E67DF1"/>
    <w:rsid w:val="00E71007"/>
    <w:rsid w:val="00E719E1"/>
    <w:rsid w:val="00E71A5F"/>
    <w:rsid w:val="00E74546"/>
    <w:rsid w:val="00E76F31"/>
    <w:rsid w:val="00E80C16"/>
    <w:rsid w:val="00E91224"/>
    <w:rsid w:val="00E97AF0"/>
    <w:rsid w:val="00EA0412"/>
    <w:rsid w:val="00EA1441"/>
    <w:rsid w:val="00EA598D"/>
    <w:rsid w:val="00EA79B9"/>
    <w:rsid w:val="00EA7AF9"/>
    <w:rsid w:val="00EB08B4"/>
    <w:rsid w:val="00EC1D51"/>
    <w:rsid w:val="00EC1F28"/>
    <w:rsid w:val="00EC398E"/>
    <w:rsid w:val="00EC5A2D"/>
    <w:rsid w:val="00EC6337"/>
    <w:rsid w:val="00EC6602"/>
    <w:rsid w:val="00ED04E0"/>
    <w:rsid w:val="00ED5273"/>
    <w:rsid w:val="00ED54CD"/>
    <w:rsid w:val="00ED786F"/>
    <w:rsid w:val="00EE089C"/>
    <w:rsid w:val="00EE40F5"/>
    <w:rsid w:val="00EF04B8"/>
    <w:rsid w:val="00EF128B"/>
    <w:rsid w:val="00EF6179"/>
    <w:rsid w:val="00F0099A"/>
    <w:rsid w:val="00F0D37F"/>
    <w:rsid w:val="00F1145F"/>
    <w:rsid w:val="00F14769"/>
    <w:rsid w:val="00F17CA1"/>
    <w:rsid w:val="00F202FC"/>
    <w:rsid w:val="00F20595"/>
    <w:rsid w:val="00F22238"/>
    <w:rsid w:val="00F222E4"/>
    <w:rsid w:val="00F22F6C"/>
    <w:rsid w:val="00F25233"/>
    <w:rsid w:val="00F339B7"/>
    <w:rsid w:val="00F348B1"/>
    <w:rsid w:val="00F3640C"/>
    <w:rsid w:val="00F37572"/>
    <w:rsid w:val="00F41A19"/>
    <w:rsid w:val="00F43024"/>
    <w:rsid w:val="00F446CF"/>
    <w:rsid w:val="00F514F7"/>
    <w:rsid w:val="00F56586"/>
    <w:rsid w:val="00F62A23"/>
    <w:rsid w:val="00F63376"/>
    <w:rsid w:val="00F65F74"/>
    <w:rsid w:val="00F73DE8"/>
    <w:rsid w:val="00F8740D"/>
    <w:rsid w:val="00F90349"/>
    <w:rsid w:val="00F90F79"/>
    <w:rsid w:val="00FA1704"/>
    <w:rsid w:val="00FB02D0"/>
    <w:rsid w:val="00FB2124"/>
    <w:rsid w:val="00FC3B29"/>
    <w:rsid w:val="00FC3FC7"/>
    <w:rsid w:val="00FC55E4"/>
    <w:rsid w:val="00FD3D4C"/>
    <w:rsid w:val="00FD5C16"/>
    <w:rsid w:val="00FE002E"/>
    <w:rsid w:val="00FE4688"/>
    <w:rsid w:val="00FE5FC2"/>
    <w:rsid w:val="00FE6FAA"/>
    <w:rsid w:val="00FE7815"/>
    <w:rsid w:val="00FE7F3F"/>
    <w:rsid w:val="00FE7F86"/>
    <w:rsid w:val="00FF18CD"/>
    <w:rsid w:val="00FF4FC6"/>
    <w:rsid w:val="00FF59A2"/>
    <w:rsid w:val="00FF6A4F"/>
    <w:rsid w:val="00FF7584"/>
    <w:rsid w:val="04FA9D3E"/>
    <w:rsid w:val="20902486"/>
    <w:rsid w:val="39BCA5A8"/>
    <w:rsid w:val="4768350E"/>
    <w:rsid w:val="4CE458C6"/>
    <w:rsid w:val="5230DE5B"/>
    <w:rsid w:val="53257BA0"/>
    <w:rsid w:val="5AA7043D"/>
    <w:rsid w:val="64CCFBA0"/>
    <w:rsid w:val="6B5854BF"/>
    <w:rsid w:val="767C0CD5"/>
    <w:rsid w:val="7E3B3AA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3272913"/>
  <w15:docId w15:val="{C52A0127-E3CB-4BC0-B5FB-C661C2F9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823"/>
    <w:rPr>
      <w:sz w:val="24"/>
      <w:szCs w:val="24"/>
    </w:rPr>
  </w:style>
  <w:style w:type="paragraph" w:styleId="Heading1">
    <w:name w:val="heading 1"/>
    <w:basedOn w:val="Normal"/>
    <w:next w:val="Normal"/>
    <w:link w:val="Heading1Char"/>
    <w:uiPriority w:val="9"/>
    <w:qFormat/>
    <w:rsid w:val="009B6D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qFormat/>
    <w:rsid w:val="00A74C21"/>
    <w:pPr>
      <w:spacing w:before="240" w:after="60" w:line="480" w:lineRule="auto"/>
      <w:outlineLvl w:val="5"/>
    </w:pPr>
    <w:rPr>
      <w:i/>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DB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semiHidden/>
    <w:rsid w:val="001D57E4"/>
    <w:rPr>
      <w:rFonts w:ascii="Tahoma" w:hAnsi="Tahoma" w:cs="Tahoma"/>
      <w:sz w:val="16"/>
      <w:szCs w:val="16"/>
    </w:rPr>
  </w:style>
  <w:style w:type="paragraph" w:styleId="NormalWeb">
    <w:name w:val="Normal (Web)"/>
    <w:basedOn w:val="Normal"/>
    <w:rsid w:val="00193A2A"/>
    <w:pPr>
      <w:spacing w:before="100" w:beforeAutospacing="1" w:after="100" w:afterAutospacing="1"/>
    </w:pPr>
    <w:rPr>
      <w:rFonts w:eastAsia="SimSun"/>
      <w:color w:val="000000"/>
      <w:lang w:eastAsia="zh-CN"/>
    </w:rPr>
  </w:style>
  <w:style w:type="table" w:styleId="TableGrid">
    <w:name w:val="Table Grid"/>
    <w:basedOn w:val="TableNormal"/>
    <w:uiPriority w:val="59"/>
    <w:rsid w:val="0066690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_"/>
    <w:basedOn w:val="Normal"/>
    <w:rsid w:val="00B5274C"/>
    <w:pPr>
      <w:widowControl w:val="0"/>
      <w:ind w:left="720" w:hanging="720"/>
    </w:pPr>
    <w:rPr>
      <w:snapToGrid w:val="0"/>
      <w:szCs w:val="20"/>
    </w:rPr>
  </w:style>
  <w:style w:type="paragraph" w:styleId="ListParagraph">
    <w:name w:val="List Paragraph"/>
    <w:basedOn w:val="Normal"/>
    <w:uiPriority w:val="34"/>
    <w:qFormat/>
    <w:rsid w:val="0085616F"/>
    <w:pPr>
      <w:ind w:left="720"/>
      <w:contextualSpacing/>
    </w:pPr>
  </w:style>
  <w:style w:type="character" w:styleId="Hyperlink">
    <w:name w:val="Hyperlink"/>
    <w:basedOn w:val="DefaultParagraphFont"/>
    <w:uiPriority w:val="99"/>
    <w:unhideWhenUsed/>
    <w:rsid w:val="000157AD"/>
    <w:rPr>
      <w:color w:val="0000FF" w:themeColor="hyperlink"/>
      <w:u w:val="single"/>
    </w:rPr>
  </w:style>
  <w:style w:type="paragraph" w:styleId="FootnoteText">
    <w:name w:val="footnote text"/>
    <w:basedOn w:val="Normal"/>
    <w:link w:val="FootnoteTextChar"/>
    <w:uiPriority w:val="99"/>
    <w:unhideWhenUsed/>
    <w:rsid w:val="00A4604C"/>
    <w:rPr>
      <w:rFonts w:ascii="Cambria" w:hAnsi="Cambria" w:eastAsiaTheme="minorHAnsi"/>
      <w:sz w:val="20"/>
      <w:szCs w:val="20"/>
    </w:rPr>
  </w:style>
  <w:style w:type="character" w:customStyle="1" w:styleId="FootnoteTextChar">
    <w:name w:val="Footnote Text Char"/>
    <w:basedOn w:val="DefaultParagraphFont"/>
    <w:link w:val="FootnoteText"/>
    <w:uiPriority w:val="99"/>
    <w:rsid w:val="00A4604C"/>
    <w:rPr>
      <w:rFonts w:ascii="Cambria" w:hAnsi="Cambria" w:eastAsiaTheme="minorHAnsi"/>
    </w:rPr>
  </w:style>
  <w:style w:type="character" w:styleId="FootnoteReference">
    <w:name w:val="footnote reference"/>
    <w:basedOn w:val="DefaultParagraphFont"/>
    <w:uiPriority w:val="99"/>
    <w:unhideWhenUsed/>
    <w:rsid w:val="00A4604C"/>
  </w:style>
  <w:style w:type="table" w:customStyle="1" w:styleId="Table">
    <w:name w:val="Table"/>
    <w:basedOn w:val="TableNormal"/>
    <w:uiPriority w:val="99"/>
    <w:rsid w:val="009778E1"/>
    <w:pPr>
      <w:spacing w:before="80" w:after="80"/>
      <w:jc w:val="center"/>
    </w:pPr>
    <w:rPr>
      <w:rFonts w:ascii="Cambria" w:hAnsi="Cambria" w:eastAsiaTheme="minorHAnsi"/>
      <w:color w:val="000000" w:themeColor="text1"/>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vAlign w:val="center"/>
    </w:tcPr>
    <w:tblStylePr w:type="firstRow">
      <w:pPr>
        <w:jc w:val="center"/>
      </w:pPr>
      <w:rPr>
        <w:rFonts w:asciiTheme="majorHAnsi" w:hAnsiTheme="majorHAnsi" w:cs="Calibri" w:hint="default"/>
        <w:b/>
        <w:bCs/>
        <w:i w:val="0"/>
        <w:iCs w:val="0"/>
        <w:color w:val="FFFFFF" w:themeColor="background1"/>
        <w:sz w:val="22"/>
        <w:szCs w:val="22"/>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Theme="minorHAnsi" w:hAnsiTheme="minorHAnsi" w:hint="default"/>
        <w:b/>
        <w:bCs/>
        <w:i w:val="0"/>
        <w:iCs w:val="0"/>
        <w:color w:val="000000" w:themeColor="text1"/>
        <w:sz w:val="22"/>
        <w:szCs w:val="22"/>
      </w:rPr>
    </w:tblStylePr>
    <w:tblStylePr w:type="firstCol">
      <w:rPr>
        <w:rFonts w:asciiTheme="minorHAnsi" w:hAnsiTheme="minorHAnsi" w:hint="default"/>
        <w:b w:val="0"/>
        <w:bCs/>
        <w:i w:val="0"/>
        <w:iCs w:val="0"/>
        <w:color w:val="000000" w:themeColor="text1"/>
        <w:sz w:val="22"/>
        <w:szCs w:val="22"/>
      </w:rPr>
    </w:tblStylePr>
    <w:tblStylePr w:type="lastCol">
      <w:rPr>
        <w:rFonts w:asciiTheme="minorHAnsi" w:hAnsiTheme="minorHAnsi" w:hint="default"/>
        <w:b w:val="0"/>
        <w:bCs/>
        <w:i w:val="0"/>
        <w:iCs w:val="0"/>
        <w:color w:val="000000" w:themeColor="text1"/>
        <w:sz w:val="22"/>
        <w:szCs w:val="22"/>
      </w:rPr>
    </w:tblStylePr>
    <w:tblStylePr w:type="band1Horz">
      <w:rPr>
        <w:rFonts w:asciiTheme="minorHAnsi" w:hAnsiTheme="minorHAnsi" w:hint="default"/>
        <w:color w:val="000000" w:themeColor="text1"/>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tblStylePr w:type="band2Horz">
      <w:rPr>
        <w:rFonts w:asciiTheme="minorHAnsi" w:hAnsiTheme="minorHAnsi" w:hint="default"/>
        <w:color w:val="000000" w:themeColor="text1"/>
        <w:sz w:val="22"/>
        <w:szCs w:val="22"/>
      </w:rPr>
    </w:tblStylePr>
  </w:style>
  <w:style w:type="paragraph" w:customStyle="1" w:styleId="regulartext">
    <w:name w:val="regulartext"/>
    <w:basedOn w:val="Normal"/>
    <w:rsid w:val="009778E1"/>
    <w:pPr>
      <w:spacing w:before="100" w:beforeAutospacing="1" w:after="100" w:afterAutospacing="1"/>
    </w:pPr>
    <w:rPr>
      <w:rFonts w:ascii="Arial" w:hAnsi="Arial" w:cs="Arial"/>
      <w:sz w:val="18"/>
      <w:szCs w:val="18"/>
    </w:rPr>
  </w:style>
  <w:style w:type="character" w:customStyle="1" w:styleId="z-TopofFormChar">
    <w:name w:val="z-Top of Form Char"/>
    <w:basedOn w:val="DefaultParagraphFont"/>
    <w:link w:val="HTMLTopofForm"/>
    <w:uiPriority w:val="99"/>
    <w:semiHidden/>
    <w:rsid w:val="009B6DB2"/>
    <w:rPr>
      <w:rFonts w:ascii="Arial" w:hAnsi="Arial" w:cs="Arial"/>
      <w:vanish/>
      <w:sz w:val="16"/>
      <w:szCs w:val="16"/>
    </w:rPr>
  </w:style>
  <w:style w:type="paragraph" w:styleId="HTMLTopofForm">
    <w:name w:val="HTML Top of Form"/>
    <w:basedOn w:val="Normal"/>
    <w:next w:val="Normal"/>
    <w:link w:val="z-TopofFormChar"/>
    <w:hidden/>
    <w:uiPriority w:val="99"/>
    <w:semiHidden/>
    <w:unhideWhenUsed/>
    <w:rsid w:val="009B6DB2"/>
    <w:pPr>
      <w:pBdr>
        <w:bottom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HTMLBottomofForm"/>
    <w:uiPriority w:val="99"/>
    <w:semiHidden/>
    <w:rsid w:val="009B6DB2"/>
    <w:rPr>
      <w:rFonts w:ascii="Arial" w:hAnsi="Arial" w:cs="Arial"/>
      <w:vanish/>
      <w:sz w:val="16"/>
      <w:szCs w:val="16"/>
    </w:rPr>
  </w:style>
  <w:style w:type="paragraph" w:styleId="HTMLBottomofForm">
    <w:name w:val="HTML Bottom of Form"/>
    <w:basedOn w:val="Normal"/>
    <w:next w:val="Normal"/>
    <w:link w:val="z-BottomofFormChar"/>
    <w:hidden/>
    <w:uiPriority w:val="99"/>
    <w:semiHidden/>
    <w:unhideWhenUsed/>
    <w:rsid w:val="009B6DB2"/>
    <w:pPr>
      <w:pBdr>
        <w:top w:val="single" w:sz="6" w:space="1" w:color="auto"/>
      </w:pBdr>
      <w:jc w:val="center"/>
    </w:pPr>
    <w:rPr>
      <w:rFonts w:ascii="Arial" w:hAnsi="Arial" w:cs="Arial"/>
      <w:vanish/>
      <w:sz w:val="16"/>
      <w:szCs w:val="16"/>
    </w:rPr>
  </w:style>
  <w:style w:type="paragraph" w:styleId="Revision">
    <w:name w:val="Revision"/>
    <w:hidden/>
    <w:uiPriority w:val="99"/>
    <w:semiHidden/>
    <w:rsid w:val="00713042"/>
    <w:rPr>
      <w:sz w:val="24"/>
      <w:szCs w:val="24"/>
    </w:rPr>
  </w:style>
  <w:style w:type="character" w:styleId="CommentReference">
    <w:name w:val="annotation reference"/>
    <w:basedOn w:val="DefaultParagraphFont"/>
    <w:unhideWhenUsed/>
    <w:rsid w:val="00A84F9C"/>
    <w:rPr>
      <w:sz w:val="16"/>
      <w:szCs w:val="16"/>
    </w:rPr>
  </w:style>
  <w:style w:type="paragraph" w:styleId="CommentText">
    <w:name w:val="annotation text"/>
    <w:basedOn w:val="Normal"/>
    <w:link w:val="CommentTextChar"/>
    <w:unhideWhenUsed/>
    <w:rsid w:val="00A84F9C"/>
    <w:rPr>
      <w:sz w:val="20"/>
      <w:szCs w:val="20"/>
    </w:rPr>
  </w:style>
  <w:style w:type="character" w:customStyle="1" w:styleId="CommentTextChar">
    <w:name w:val="Comment Text Char"/>
    <w:basedOn w:val="DefaultParagraphFont"/>
    <w:link w:val="CommentText"/>
    <w:rsid w:val="00A84F9C"/>
  </w:style>
  <w:style w:type="paragraph" w:styleId="CommentSubject">
    <w:name w:val="annotation subject"/>
    <w:basedOn w:val="CommentText"/>
    <w:next w:val="CommentText"/>
    <w:link w:val="CommentSubjectChar"/>
    <w:uiPriority w:val="99"/>
    <w:semiHidden/>
    <w:unhideWhenUsed/>
    <w:rsid w:val="00A84F9C"/>
    <w:rPr>
      <w:b/>
      <w:bCs/>
    </w:rPr>
  </w:style>
  <w:style w:type="character" w:customStyle="1" w:styleId="CommentSubjectChar">
    <w:name w:val="Comment Subject Char"/>
    <w:basedOn w:val="CommentTextChar"/>
    <w:link w:val="CommentSubject"/>
    <w:uiPriority w:val="99"/>
    <w:semiHidden/>
    <w:rsid w:val="00A84F9C"/>
    <w:rPr>
      <w:b/>
      <w:bCs/>
    </w:rPr>
  </w:style>
  <w:style w:type="paragraph" w:styleId="Header">
    <w:name w:val="header"/>
    <w:basedOn w:val="Normal"/>
    <w:link w:val="HeaderChar"/>
    <w:uiPriority w:val="99"/>
    <w:unhideWhenUsed/>
    <w:rsid w:val="00656C6B"/>
    <w:pPr>
      <w:tabs>
        <w:tab w:val="center" w:pos="4680"/>
        <w:tab w:val="right" w:pos="9360"/>
      </w:tabs>
    </w:pPr>
  </w:style>
  <w:style w:type="character" w:customStyle="1" w:styleId="HeaderChar">
    <w:name w:val="Header Char"/>
    <w:basedOn w:val="DefaultParagraphFont"/>
    <w:link w:val="Header"/>
    <w:uiPriority w:val="99"/>
    <w:rsid w:val="00656C6B"/>
    <w:rPr>
      <w:sz w:val="24"/>
      <w:szCs w:val="24"/>
    </w:rPr>
  </w:style>
  <w:style w:type="paragraph" w:styleId="Footer">
    <w:name w:val="footer"/>
    <w:basedOn w:val="Normal"/>
    <w:link w:val="FooterChar"/>
    <w:uiPriority w:val="99"/>
    <w:unhideWhenUsed/>
    <w:rsid w:val="00656C6B"/>
    <w:pPr>
      <w:tabs>
        <w:tab w:val="center" w:pos="4680"/>
        <w:tab w:val="right" w:pos="9360"/>
      </w:tabs>
    </w:pPr>
  </w:style>
  <w:style w:type="character" w:customStyle="1" w:styleId="FooterChar">
    <w:name w:val="Footer Char"/>
    <w:basedOn w:val="DefaultParagraphFont"/>
    <w:link w:val="Footer"/>
    <w:uiPriority w:val="99"/>
    <w:rsid w:val="00656C6B"/>
    <w:rPr>
      <w:sz w:val="24"/>
      <w:szCs w:val="24"/>
    </w:rPr>
  </w:style>
  <w:style w:type="table" w:customStyle="1" w:styleId="TableGrid1">
    <w:name w:val="Table Grid1"/>
    <w:basedOn w:val="TableNormal"/>
    <w:next w:val="TableGrid"/>
    <w:uiPriority w:val="59"/>
    <w:rsid w:val="00577441"/>
    <w:rPr>
      <w:rFonts w:ascii="System" w:hAnsi="Syste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B54823"/>
    <w:rPr>
      <w:rFonts w:ascii="Consolas" w:eastAsia="Calibri" w:hAnsi="Consolas"/>
      <w:sz w:val="21"/>
      <w:szCs w:val="21"/>
    </w:rPr>
  </w:style>
  <w:style w:type="character" w:customStyle="1" w:styleId="PlainTextChar">
    <w:name w:val="Plain Text Char"/>
    <w:basedOn w:val="DefaultParagraphFont"/>
    <w:link w:val="PlainText"/>
    <w:uiPriority w:val="99"/>
    <w:semiHidden/>
    <w:rsid w:val="00B54823"/>
    <w:rPr>
      <w:rFonts w:ascii="Consolas" w:eastAsia="Calibri" w:hAnsi="Consolas"/>
      <w:sz w:val="21"/>
      <w:szCs w:val="21"/>
    </w:rPr>
  </w:style>
  <w:style w:type="table" w:customStyle="1" w:styleId="TableGrid2">
    <w:name w:val="Table Grid2"/>
    <w:basedOn w:val="TableNormal"/>
    <w:next w:val="TableGrid"/>
    <w:rsid w:val="001F2CD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B12BCF"/>
    <w:pPr>
      <w:spacing w:line="480" w:lineRule="atLeast"/>
      <w:ind w:firstLine="720"/>
    </w:pPr>
    <w:rPr>
      <w:szCs w:val="20"/>
    </w:rPr>
  </w:style>
  <w:style w:type="character" w:customStyle="1" w:styleId="BodyTextIndent2Char">
    <w:name w:val="Body Text Indent 2 Char"/>
    <w:basedOn w:val="DefaultParagraphFont"/>
    <w:link w:val="BodyTextIndent2"/>
    <w:rsid w:val="00B12BCF"/>
    <w:rPr>
      <w:sz w:val="24"/>
    </w:rPr>
  </w:style>
  <w:style w:type="character" w:styleId="UnresolvedMention">
    <w:name w:val="Unresolved Mention"/>
    <w:basedOn w:val="DefaultParagraphFont"/>
    <w:uiPriority w:val="99"/>
    <w:semiHidden/>
    <w:unhideWhenUsed/>
    <w:rsid w:val="00B3258D"/>
    <w:rPr>
      <w:color w:val="605E5C"/>
      <w:shd w:val="clear" w:color="auto" w:fill="E1DFDD"/>
    </w:rPr>
  </w:style>
  <w:style w:type="paragraph" w:customStyle="1" w:styleId="Level1">
    <w:name w:val="Level 1"/>
    <w:basedOn w:val="Normal"/>
    <w:rsid w:val="001B2779"/>
    <w:pPr>
      <w:widowControl w:val="0"/>
      <w:autoSpaceDE w:val="0"/>
      <w:autoSpaceDN w:val="0"/>
      <w:adjustRightInd w:val="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b043ad-99bd-47e3-9810-b28475e6bb37">
      <Terms xmlns="http://schemas.microsoft.com/office/infopath/2007/PartnerControls"/>
    </lcf76f155ced4ddcb4097134ff3c332f>
    <TaxCatchAll xmlns="defa1d43-bffb-4614-a544-251af0605e16" xsi:nil="true"/>
    <SharedWithUsers xmlns="53b043ad-99bd-47e3-9810-b28475e6bb37">
      <UserInfo>
        <DisplayName/>
        <AccountId xsi:nil="true"/>
        <AccountType/>
      </UserInfo>
    </SharedWithUsers>
    <SharedWithDetails xmlns="53b043ad-99bd-47e3-9810-b28475e6bb3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C883C7D36104488BF3C5FAC67E98DE" ma:contentTypeVersion="15" ma:contentTypeDescription="Create a new document." ma:contentTypeScope="" ma:versionID="6c62bcb8099f4251b25aefaaf91d7624">
  <xsd:schema xmlns:xsd="http://www.w3.org/2001/XMLSchema" xmlns:xs="http://www.w3.org/2001/XMLSchema" xmlns:p="http://schemas.microsoft.com/office/2006/metadata/properties" xmlns:ns2="53b043ad-99bd-47e3-9810-b28475e6bb37" xmlns:ns3="defa1d43-bffb-4614-a544-251af0605e16" targetNamespace="http://schemas.microsoft.com/office/2006/metadata/properties" ma:root="true" ma:fieldsID="2249fd8a0bf9273875baf6b57cd11a5b" ns2:_="" ns3:_="">
    <xsd:import namespace="53b043ad-99bd-47e3-9810-b28475e6bb37"/>
    <xsd:import namespace="defa1d43-bffb-4614-a544-251af0605e16"/>
    <xsd:element name="properties">
      <xsd:complexType>
        <xsd:sequence>
          <xsd:element name="documentManagement">
            <xsd:complexType>
              <xsd:all>
                <xsd:element ref="ns2:SharedWithUsers" minOccurs="0"/>
                <xsd:element ref="ns2:SharedWithDetails"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43ad-99bd-47e3-9810-b28475e6bb37"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false">
      <xsd:simpleType>
        <xsd:restriction base="dms:Note">
          <xsd:maxLength value="255"/>
        </xsd:restriction>
      </xsd:simpleType>
    </xsd:element>
    <xsd:element name="MediaServiceBillingMetadata" ma:index="10" nillable="true" ma:displayName="MediaServiceBillingMetadata" ma:hidden="true" ma:internalName="MediaServiceBillingMetadata" ma:readOnly="true">
      <xsd:simpleType>
        <xsd:restriction base="dms:Not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fa1d43-bffb-4614-a544-251af0605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4bf5cf7-a55a-4164-9663-16864ad359b3}" ma:internalName="TaxCatchAll" ma:showField="CatchAllData" ma:web="defa1d43-bffb-4614-a544-251af0605e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1B8969-4445-44D3-A6D5-DF4FA20D5CDF}">
  <ds:schemaRefs>
    <ds:schemaRef ds:uri="http://schemas.microsoft.com/office/2006/metadata/properties"/>
    <ds:schemaRef ds:uri="http://schemas.microsoft.com/office/infopath/2007/PartnerControls"/>
    <ds:schemaRef ds:uri="53b043ad-99bd-47e3-9810-b28475e6bb37"/>
    <ds:schemaRef ds:uri="defa1d43-bffb-4614-a544-251af0605e16"/>
  </ds:schemaRefs>
</ds:datastoreItem>
</file>

<file path=customXml/itemProps2.xml><?xml version="1.0" encoding="utf-8"?>
<ds:datastoreItem xmlns:ds="http://schemas.openxmlformats.org/officeDocument/2006/customXml" ds:itemID="{83A0697B-D554-483E-A8BA-E431E49F6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43ad-99bd-47e3-9810-b28475e6bb37"/>
    <ds:schemaRef ds:uri="defa1d43-bffb-4614-a544-251af0605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BEEE07-57D5-461B-AE2D-9A6E06D36E09}">
  <ds:schemaRefs>
    <ds:schemaRef ds:uri="http://schemas.openxmlformats.org/officeDocument/2006/bibliography"/>
  </ds:schemaRefs>
</ds:datastoreItem>
</file>

<file path=customXml/itemProps4.xml><?xml version="1.0" encoding="utf-8"?>
<ds:datastoreItem xmlns:ds="http://schemas.openxmlformats.org/officeDocument/2006/customXml" ds:itemID="{5128633D-22D6-4628-835C-7F4E942E34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DEA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Submissions</dc:title>
  <dc:creator>DEA</dc:creator>
  <cp:lastModifiedBy>Moore, Alana J</cp:lastModifiedBy>
  <cp:revision>16</cp:revision>
  <cp:lastPrinted>2015-11-13T14:55:00Z</cp:lastPrinted>
  <dcterms:created xsi:type="dcterms:W3CDTF">2026-07-06T15:41:00Z</dcterms:created>
  <dcterms:modified xsi:type="dcterms:W3CDTF">2026-10-02T18:06:56Z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0x0101009CC883C7D36104488BF3C5FAC67E98DE</vt:lpwstr>
  </property>
  <property fmtid="{D5CDD505-2E9C-101B-9397-08002B2CF9AE}" pid="3" name="MediaServiceImageTags">
    <vt:lpwstr/>
  </property>
</Properties>
</file>