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C1537" w:rsidRPr="00B051D2" w:rsidP="000550C7" w14:paraId="470AC4A5" w14:textId="77777777">
      <w:pPr>
        <w:tabs>
          <w:tab w:val="left" w:pos="0"/>
          <w:tab w:val="left" w:pos="720"/>
          <w:tab w:val="left" w:pos="1440"/>
          <w:tab w:val="left" w:pos="201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Times New Roman" w:hAnsi="Times New Roman"/>
          <w:b/>
          <w:noProof w:val="0"/>
          <w:sz w:val="24"/>
        </w:rPr>
      </w:pPr>
      <w:r w:rsidRPr="00B051D2">
        <w:rPr>
          <w:rFonts w:ascii="Times New Roman" w:hAnsi="Times New Roman"/>
          <w:b/>
          <w:noProof w:val="0"/>
          <w:sz w:val="24"/>
        </w:rPr>
        <w:t>Supporting Statement for Paperwork Reduction Act Submissions</w:t>
      </w:r>
    </w:p>
    <w:p w:rsidR="000936D4" w:rsidRPr="00B051D2" w:rsidP="000550C7" w14:paraId="0326BB59" w14:textId="6EC8228A">
      <w:pPr>
        <w:tabs>
          <w:tab w:val="left" w:pos="0"/>
          <w:tab w:val="left" w:pos="720"/>
          <w:tab w:val="left" w:pos="1440"/>
          <w:tab w:val="left" w:pos="201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Times New Roman" w:hAnsi="Times New Roman"/>
          <w:b/>
          <w:noProof w:val="0"/>
          <w:sz w:val="24"/>
        </w:rPr>
      </w:pPr>
      <w:bookmarkStart w:id="0" w:name="OLE_LINK1"/>
      <w:r>
        <w:rPr>
          <w:rFonts w:ascii="Times New Roman" w:hAnsi="Times New Roman"/>
          <w:b/>
          <w:noProof w:val="0"/>
          <w:sz w:val="24"/>
        </w:rPr>
        <w:t>Recordkeeping Requirements for the Transfer of Electronic Prescriptions for Controlled Substances (EPCS) in Schedules II-V between Pharmacies for Initial Filling</w:t>
      </w:r>
    </w:p>
    <w:bookmarkEnd w:id="0"/>
    <w:p w:rsidR="001A64B0" w:rsidP="000550C7" w14:paraId="7FEDEACB" w14:textId="1895AB0F">
      <w:pPr>
        <w:tabs>
          <w:tab w:val="left" w:pos="0"/>
          <w:tab w:val="left" w:pos="720"/>
          <w:tab w:val="left" w:pos="1440"/>
          <w:tab w:val="left" w:pos="201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Times New Roman" w:hAnsi="Times New Roman"/>
          <w:b/>
          <w:noProof w:val="0"/>
          <w:sz w:val="24"/>
        </w:rPr>
      </w:pPr>
      <w:r w:rsidRPr="00B051D2">
        <w:rPr>
          <w:rFonts w:ascii="Times New Roman" w:hAnsi="Times New Roman"/>
          <w:b/>
          <w:noProof w:val="0"/>
          <w:sz w:val="24"/>
        </w:rPr>
        <w:t xml:space="preserve">OMB </w:t>
      </w:r>
      <w:r w:rsidRPr="00B051D2" w:rsidR="004A0B75">
        <w:rPr>
          <w:rFonts w:ascii="Times New Roman" w:hAnsi="Times New Roman"/>
          <w:b/>
          <w:noProof w:val="0"/>
          <w:sz w:val="24"/>
        </w:rPr>
        <w:t xml:space="preserve">Approval </w:t>
      </w:r>
      <w:r w:rsidR="00813BD7">
        <w:rPr>
          <w:rFonts w:ascii="Times New Roman" w:hAnsi="Times New Roman"/>
          <w:b/>
          <w:noProof w:val="0"/>
          <w:sz w:val="24"/>
        </w:rPr>
        <w:t>#</w:t>
      </w:r>
      <w:r w:rsidR="001C47F6">
        <w:rPr>
          <w:rFonts w:ascii="Times New Roman" w:hAnsi="Times New Roman"/>
          <w:b/>
          <w:noProof w:val="0"/>
          <w:sz w:val="24"/>
        </w:rPr>
        <w:t>1117-</w:t>
      </w:r>
      <w:r w:rsidR="00851B10">
        <w:rPr>
          <w:rFonts w:ascii="Times New Roman" w:hAnsi="Times New Roman"/>
          <w:b/>
          <w:noProof w:val="0"/>
          <w:sz w:val="24"/>
        </w:rPr>
        <w:t>0061</w:t>
      </w:r>
    </w:p>
    <w:p w:rsidR="00B051D2" w:rsidP="000550C7" w14:paraId="6555670E" w14:textId="77777777">
      <w:pPr>
        <w:tabs>
          <w:tab w:val="left" w:pos="0"/>
          <w:tab w:val="left" w:pos="720"/>
          <w:tab w:val="left" w:pos="1440"/>
          <w:tab w:val="left" w:pos="201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Times New Roman" w:hAnsi="Times New Roman"/>
          <w:b/>
          <w:noProof w:val="0"/>
          <w:sz w:val="24"/>
        </w:rPr>
      </w:pPr>
    </w:p>
    <w:p w:rsidR="00B051D2" w:rsidRPr="00B051D2" w:rsidP="004B077C" w14:paraId="185F77DA" w14:textId="4CB5AC31">
      <w:pPr>
        <w:tabs>
          <w:tab w:val="left" w:pos="0"/>
          <w:tab w:val="left" w:pos="720"/>
          <w:tab w:val="left" w:pos="1440"/>
          <w:tab w:val="left" w:pos="201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contextualSpacing/>
        <w:rPr>
          <w:rFonts w:ascii="Times New Roman" w:hAnsi="Times New Roman"/>
          <w:noProof w:val="0"/>
          <w:sz w:val="24"/>
        </w:rPr>
      </w:pPr>
      <w:r>
        <w:rPr>
          <w:rFonts w:ascii="Times New Roman" w:hAnsi="Times New Roman"/>
          <w:noProof w:val="0"/>
          <w:sz w:val="24"/>
        </w:rPr>
        <w:t>The Drug Enforcement Administration (DEA) seeks</w:t>
      </w:r>
      <w:r w:rsidR="00090C0E">
        <w:rPr>
          <w:rFonts w:ascii="Times New Roman" w:hAnsi="Times New Roman"/>
          <w:noProof w:val="0"/>
          <w:sz w:val="24"/>
        </w:rPr>
        <w:t xml:space="preserve"> approval by</w:t>
      </w:r>
      <w:r>
        <w:rPr>
          <w:rFonts w:ascii="Times New Roman" w:hAnsi="Times New Roman"/>
          <w:noProof w:val="0"/>
          <w:sz w:val="24"/>
        </w:rPr>
        <w:t xml:space="preserve"> </w:t>
      </w:r>
      <w:r w:rsidR="009151B2">
        <w:rPr>
          <w:rFonts w:ascii="Times New Roman" w:hAnsi="Times New Roman"/>
          <w:noProof w:val="0"/>
          <w:sz w:val="24"/>
        </w:rPr>
        <w:t xml:space="preserve">the </w:t>
      </w:r>
      <w:r>
        <w:rPr>
          <w:rFonts w:ascii="Times New Roman" w:hAnsi="Times New Roman"/>
          <w:noProof w:val="0"/>
          <w:sz w:val="24"/>
        </w:rPr>
        <w:t xml:space="preserve">Office of Management and Budget (OMB) </w:t>
      </w:r>
      <w:r w:rsidR="007B0BA3">
        <w:rPr>
          <w:rFonts w:ascii="Times New Roman" w:hAnsi="Times New Roman"/>
          <w:noProof w:val="0"/>
          <w:sz w:val="24"/>
        </w:rPr>
        <w:t>for</w:t>
      </w:r>
      <w:r>
        <w:rPr>
          <w:rFonts w:ascii="Times New Roman" w:hAnsi="Times New Roman"/>
          <w:noProof w:val="0"/>
          <w:sz w:val="24"/>
        </w:rPr>
        <w:t xml:space="preserve"> a</w:t>
      </w:r>
      <w:r w:rsidR="00412512">
        <w:rPr>
          <w:rFonts w:ascii="Times New Roman" w:hAnsi="Times New Roman"/>
          <w:noProof w:val="0"/>
          <w:sz w:val="24"/>
        </w:rPr>
        <w:t xml:space="preserve"> </w:t>
      </w:r>
      <w:r w:rsidR="00FF39B0">
        <w:rPr>
          <w:rFonts w:ascii="Times New Roman" w:hAnsi="Times New Roman"/>
          <w:noProof w:val="0"/>
          <w:sz w:val="24"/>
        </w:rPr>
        <w:t xml:space="preserve">new </w:t>
      </w:r>
      <w:r>
        <w:rPr>
          <w:rFonts w:ascii="Times New Roman" w:hAnsi="Times New Roman"/>
          <w:noProof w:val="0"/>
          <w:sz w:val="24"/>
        </w:rPr>
        <w:t>collection of information</w:t>
      </w:r>
      <w:r w:rsidR="00FF39B0">
        <w:rPr>
          <w:rFonts w:ascii="Times New Roman" w:hAnsi="Times New Roman"/>
          <w:noProof w:val="0"/>
          <w:sz w:val="24"/>
        </w:rPr>
        <w:t xml:space="preserve">, </w:t>
      </w:r>
      <w:r w:rsidR="008E1B3A">
        <w:rPr>
          <w:rFonts w:ascii="Times New Roman" w:hAnsi="Times New Roman"/>
          <w:noProof w:val="0"/>
          <w:sz w:val="24"/>
        </w:rPr>
        <w:t xml:space="preserve">Recordkeeping Requirements for the </w:t>
      </w:r>
      <w:r w:rsidR="00FF39B0">
        <w:rPr>
          <w:rFonts w:ascii="Times New Roman" w:hAnsi="Times New Roman"/>
          <w:noProof w:val="0"/>
          <w:sz w:val="24"/>
        </w:rPr>
        <w:t xml:space="preserve">Transfer of Electronic Prescriptions for Controlled Substances (EPCS) </w:t>
      </w:r>
      <w:r w:rsidR="008E1B3A">
        <w:rPr>
          <w:rFonts w:ascii="Times New Roman" w:hAnsi="Times New Roman"/>
          <w:noProof w:val="0"/>
          <w:sz w:val="24"/>
        </w:rPr>
        <w:t xml:space="preserve">in Schedules II-V </w:t>
      </w:r>
      <w:r w:rsidR="00FF39B0">
        <w:rPr>
          <w:rFonts w:ascii="Times New Roman" w:hAnsi="Times New Roman"/>
          <w:noProof w:val="0"/>
          <w:sz w:val="24"/>
        </w:rPr>
        <w:t>between Pharmacies for Initial Filling</w:t>
      </w:r>
      <w:r w:rsidR="00AA4A98">
        <w:rPr>
          <w:rFonts w:ascii="Times New Roman" w:hAnsi="Times New Roman"/>
          <w:noProof w:val="0"/>
          <w:sz w:val="24"/>
        </w:rPr>
        <w:t>.</w:t>
      </w:r>
    </w:p>
    <w:p w:rsidR="000C1537" w:rsidP="004B077C" w14:paraId="2185B206" w14:textId="573D0C6B">
      <w:pPr>
        <w:tabs>
          <w:tab w:val="left" w:pos="0"/>
          <w:tab w:val="left" w:pos="720"/>
          <w:tab w:val="left" w:pos="1440"/>
          <w:tab w:val="left" w:pos="201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contextualSpacing/>
        <w:rPr>
          <w:rFonts w:ascii="Times New Roman" w:hAnsi="Times New Roman"/>
          <w:b/>
          <w:noProof w:val="0"/>
          <w:sz w:val="24"/>
        </w:rPr>
      </w:pPr>
    </w:p>
    <w:p w:rsidR="00FC3D26" w:rsidRPr="008E1B3A" w:rsidP="5F5A509C" w14:paraId="226EAF35" w14:textId="3178E995">
      <w:pPr>
        <w:tabs>
          <w:tab w:val="left" w:pos="0"/>
          <w:tab w:val="left" w:pos="720"/>
          <w:tab w:val="left" w:pos="1440"/>
          <w:tab w:val="left" w:pos="201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imes New Roman" w:hAnsi="Times New Roman"/>
          <w:noProof w:val="0"/>
          <w:sz w:val="24"/>
          <w:szCs w:val="24"/>
        </w:rPr>
      </w:pPr>
    </w:p>
    <w:p w:rsidR="000C1537" w:rsidRPr="00B051D2" w:rsidP="000550C7" w14:paraId="210B6321" w14:textId="77777777">
      <w:pPr>
        <w:tabs>
          <w:tab w:val="left" w:pos="0"/>
          <w:tab w:val="left" w:pos="720"/>
          <w:tab w:val="left" w:pos="1440"/>
          <w:tab w:val="left" w:pos="201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imes New Roman" w:hAnsi="Times New Roman"/>
          <w:b/>
          <w:noProof w:val="0"/>
          <w:sz w:val="24"/>
        </w:rPr>
      </w:pPr>
      <w:r w:rsidRPr="00B051D2">
        <w:rPr>
          <w:rFonts w:ascii="Times New Roman" w:hAnsi="Times New Roman"/>
          <w:b/>
          <w:noProof w:val="0"/>
          <w:sz w:val="24"/>
        </w:rPr>
        <w:t xml:space="preserve">Part </w:t>
      </w:r>
      <w:r w:rsidRPr="00B051D2">
        <w:rPr>
          <w:rFonts w:ascii="Times New Roman" w:hAnsi="Times New Roman"/>
          <w:b/>
          <w:noProof w:val="0"/>
          <w:sz w:val="24"/>
        </w:rPr>
        <w:t xml:space="preserve">A. </w:t>
      </w:r>
      <w:r w:rsidR="00D52432">
        <w:rPr>
          <w:rFonts w:ascii="Times New Roman" w:hAnsi="Times New Roman"/>
          <w:b/>
          <w:noProof w:val="0"/>
          <w:sz w:val="24"/>
        </w:rPr>
        <w:t>Justification</w:t>
      </w:r>
      <w:r w:rsidRPr="00B051D2" w:rsidR="00B051D2">
        <w:rPr>
          <w:rFonts w:ascii="Times New Roman" w:hAnsi="Times New Roman"/>
          <w:b/>
          <w:noProof w:val="0"/>
          <w:sz w:val="24"/>
        </w:rPr>
        <w:t xml:space="preserve"> </w:t>
      </w:r>
    </w:p>
    <w:p w:rsidR="001A64B0" w:rsidP="000550C7" w14:paraId="4CE69F63" w14:textId="77777777">
      <w:pPr>
        <w:tabs>
          <w:tab w:val="left" w:pos="0"/>
          <w:tab w:val="left" w:pos="720"/>
          <w:tab w:val="left" w:pos="1440"/>
          <w:tab w:val="left" w:pos="201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imes New Roman" w:hAnsi="Times New Roman"/>
          <w:noProof w:val="0"/>
          <w:sz w:val="24"/>
        </w:rPr>
      </w:pPr>
    </w:p>
    <w:p w:rsidR="004F65F6" w:rsidP="006563A4" w14:paraId="55021DBD" w14:textId="28444DB5">
      <w:pPr>
        <w:tabs>
          <w:tab w:val="left" w:pos="720"/>
          <w:tab w:val="left" w:pos="1440"/>
          <w:tab w:val="left" w:pos="2160"/>
        </w:tabs>
        <w:contextualSpacing/>
        <w:rPr>
          <w:rFonts w:ascii="Times New Roman" w:hAnsi="Times New Roman"/>
          <w:noProof w:val="0"/>
          <w:sz w:val="24"/>
          <w:szCs w:val="24"/>
        </w:rPr>
      </w:pPr>
      <w:r w:rsidRPr="001B4940">
        <w:rPr>
          <w:rFonts w:ascii="Times New Roman" w:hAnsi="Times New Roman"/>
          <w:noProof w:val="0"/>
          <w:sz w:val="24"/>
          <w:szCs w:val="24"/>
        </w:rPr>
        <w:t xml:space="preserve">1. </w:t>
      </w:r>
      <w:r w:rsidRPr="001B4940" w:rsidR="00090C0E">
        <w:rPr>
          <w:rFonts w:ascii="Times New Roman" w:hAnsi="Times New Roman"/>
          <w:noProof w:val="0"/>
          <w:sz w:val="24"/>
          <w:szCs w:val="24"/>
        </w:rPr>
        <w:t xml:space="preserve"> </w:t>
      </w:r>
      <w:r w:rsidR="00FC3D26">
        <w:rPr>
          <w:rFonts w:ascii="Times New Roman" w:hAnsi="Times New Roman"/>
          <w:noProof w:val="0"/>
          <w:sz w:val="24"/>
          <w:szCs w:val="24"/>
        </w:rPr>
        <w:t xml:space="preserve">DEA implements and enforces the Comprehensive Drug Abuse Prevention and Control Act of 1970, </w:t>
      </w:r>
      <w:r w:rsidR="0016040B">
        <w:rPr>
          <w:rFonts w:ascii="Times New Roman" w:hAnsi="Times New Roman"/>
          <w:noProof w:val="0"/>
          <w:sz w:val="24"/>
          <w:szCs w:val="24"/>
        </w:rPr>
        <w:t>often referred to as the Controlled Substances Act (CSA)</w:t>
      </w:r>
      <w:r w:rsidR="00FC3D26">
        <w:rPr>
          <w:rFonts w:ascii="Times New Roman" w:hAnsi="Times New Roman"/>
          <w:noProof w:val="0"/>
          <w:sz w:val="24"/>
          <w:szCs w:val="24"/>
        </w:rPr>
        <w:t>,</w:t>
      </w:r>
      <w:r w:rsidR="0016040B">
        <w:rPr>
          <w:rFonts w:ascii="Times New Roman" w:hAnsi="Times New Roman"/>
          <w:noProof w:val="0"/>
          <w:sz w:val="24"/>
          <w:szCs w:val="24"/>
        </w:rPr>
        <w:t xml:space="preserve"> and the Controlled Substance Import and Export Act (CSIEA),</w:t>
      </w:r>
      <w:r w:rsidR="00FC3D26">
        <w:rPr>
          <w:rFonts w:ascii="Times New Roman" w:hAnsi="Times New Roman"/>
          <w:noProof w:val="0"/>
          <w:sz w:val="24"/>
          <w:szCs w:val="24"/>
        </w:rPr>
        <w:t xml:space="preserve"> as amended.</w:t>
      </w:r>
      <w:r>
        <w:rPr>
          <w:rStyle w:val="FootnoteReference"/>
          <w:rFonts w:ascii="Times New Roman" w:hAnsi="Times New Roman"/>
          <w:noProof w:val="0"/>
          <w:sz w:val="24"/>
          <w:szCs w:val="24"/>
          <w:vertAlign w:val="superscript"/>
        </w:rPr>
        <w:footnoteReference w:id="3"/>
      </w:r>
      <w:r w:rsidR="00FC3D26">
        <w:rPr>
          <w:rFonts w:ascii="Times New Roman" w:hAnsi="Times New Roman"/>
          <w:noProof w:val="0"/>
          <w:sz w:val="24"/>
          <w:szCs w:val="24"/>
        </w:rPr>
        <w:t xml:space="preserve">  </w:t>
      </w:r>
      <w:r w:rsidR="00A703BB">
        <w:rPr>
          <w:rFonts w:ascii="Times New Roman" w:hAnsi="Times New Roman"/>
          <w:noProof w:val="0"/>
          <w:sz w:val="24"/>
          <w:szCs w:val="24"/>
        </w:rPr>
        <w:t>The</w:t>
      </w:r>
      <w:r w:rsidR="0016040B">
        <w:rPr>
          <w:rFonts w:ascii="Times New Roman" w:hAnsi="Times New Roman"/>
          <w:noProof w:val="0"/>
          <w:sz w:val="24"/>
          <w:szCs w:val="24"/>
        </w:rPr>
        <w:t xml:space="preserve"> CSA</w:t>
      </w:r>
      <w:r w:rsidR="00A703BB">
        <w:rPr>
          <w:rFonts w:ascii="Times New Roman" w:hAnsi="Times New Roman"/>
          <w:noProof w:val="0"/>
          <w:sz w:val="24"/>
          <w:szCs w:val="24"/>
        </w:rPr>
        <w:t xml:space="preserve"> requires every DEA registrant</w:t>
      </w:r>
      <w:r w:rsidR="0016040B">
        <w:rPr>
          <w:rFonts w:ascii="Times New Roman" w:hAnsi="Times New Roman"/>
          <w:noProof w:val="0"/>
          <w:sz w:val="24"/>
          <w:szCs w:val="24"/>
        </w:rPr>
        <w:t xml:space="preserve"> </w:t>
      </w:r>
      <w:r w:rsidR="00A703BB">
        <w:rPr>
          <w:rFonts w:ascii="Times New Roman" w:hAnsi="Times New Roman"/>
          <w:noProof w:val="0"/>
          <w:sz w:val="24"/>
          <w:szCs w:val="24"/>
        </w:rPr>
        <w:t>to make a biennial inventory and maintain, on a current basis, a complete and accurate record of each controlled substance manufactured, received, sold, delivered, or otherwise disposed of.</w:t>
      </w:r>
      <w:r>
        <w:rPr>
          <w:rStyle w:val="FootnoteReference"/>
          <w:rFonts w:ascii="Times New Roman" w:hAnsi="Times New Roman"/>
          <w:noProof w:val="0"/>
          <w:sz w:val="24"/>
          <w:szCs w:val="24"/>
          <w:vertAlign w:val="superscript"/>
        </w:rPr>
        <w:footnoteReference w:id="4"/>
      </w:r>
      <w:r>
        <w:rPr>
          <w:rFonts w:ascii="Times New Roman" w:hAnsi="Times New Roman"/>
          <w:noProof w:val="0"/>
          <w:sz w:val="24"/>
          <w:szCs w:val="24"/>
        </w:rPr>
        <w:t xml:space="preserve">  These records must be maintained separately from all other records of the registrant, or alternatively, in the case of nonnarcotic controlled substances, be in such form that required information is readily retrievable from ordinary business records of the registrant.</w:t>
      </w:r>
      <w:r>
        <w:rPr>
          <w:rStyle w:val="FootnoteReference"/>
          <w:rFonts w:ascii="Times New Roman" w:hAnsi="Times New Roman"/>
          <w:noProof w:val="0"/>
          <w:sz w:val="24"/>
          <w:szCs w:val="24"/>
          <w:vertAlign w:val="superscript"/>
        </w:rPr>
        <w:footnoteReference w:id="5"/>
      </w:r>
      <w:r>
        <w:rPr>
          <w:rFonts w:ascii="Times New Roman" w:hAnsi="Times New Roman"/>
          <w:noProof w:val="0"/>
          <w:sz w:val="24"/>
          <w:szCs w:val="24"/>
        </w:rPr>
        <w:t xml:space="preserve">  The records maintained by registrants must be retained and available for at least two years for inspection and copying by officers or employees of the United States as authorized by the Attorney General.</w:t>
      </w:r>
      <w:r>
        <w:rPr>
          <w:rStyle w:val="FootnoteReference"/>
          <w:rFonts w:ascii="Times New Roman" w:hAnsi="Times New Roman"/>
          <w:noProof w:val="0"/>
          <w:sz w:val="24"/>
          <w:szCs w:val="24"/>
          <w:vertAlign w:val="superscript"/>
        </w:rPr>
        <w:footnoteReference w:id="6"/>
      </w:r>
      <w:r w:rsidRPr="004F65F6">
        <w:rPr>
          <w:rFonts w:ascii="Times New Roman" w:hAnsi="Times New Roman"/>
          <w:noProof w:val="0"/>
          <w:sz w:val="24"/>
          <w:szCs w:val="24"/>
          <w:vertAlign w:val="superscript"/>
        </w:rPr>
        <w:t xml:space="preserve"> </w:t>
      </w:r>
      <w:r>
        <w:rPr>
          <w:rFonts w:ascii="Times New Roman" w:hAnsi="Times New Roman"/>
          <w:noProof w:val="0"/>
          <w:sz w:val="24"/>
          <w:szCs w:val="24"/>
        </w:rPr>
        <w:t xml:space="preserve"> The records must be in accordance with and contain such relevant information as may be required by regulations promulgated by DEA.</w:t>
      </w:r>
      <w:r>
        <w:rPr>
          <w:rStyle w:val="FootnoteReference"/>
          <w:rFonts w:ascii="Times New Roman" w:hAnsi="Times New Roman"/>
          <w:noProof w:val="0"/>
          <w:sz w:val="24"/>
          <w:szCs w:val="24"/>
          <w:vertAlign w:val="superscript"/>
        </w:rPr>
        <w:footnoteReference w:id="7"/>
      </w:r>
    </w:p>
    <w:p w:rsidR="00512671" w:rsidP="5F5A509C" w14:paraId="2E0949EE" w14:textId="038F617D">
      <w:pPr>
        <w:ind w:firstLine="360"/>
        <w:contextualSpacing/>
        <w:jc w:val="both"/>
        <w:rPr>
          <w:rFonts w:ascii="Times New Roman" w:hAnsi="Times New Roman"/>
          <w:noProof w:val="0"/>
          <w:sz w:val="24"/>
          <w:szCs w:val="24"/>
        </w:rPr>
      </w:pPr>
      <w:r w:rsidRPr="5F5A509C">
        <w:rPr>
          <w:rFonts w:ascii="Times New Roman" w:hAnsi="Times New Roman"/>
          <w:noProof w:val="0"/>
          <w:sz w:val="24"/>
          <w:szCs w:val="24"/>
        </w:rPr>
        <w:t xml:space="preserve"> </w:t>
      </w:r>
    </w:p>
    <w:p w:rsidR="00BC5E35" w:rsidP="0932D2EB" w14:paraId="22C766C6" w14:textId="37A18C45">
      <w:pPr>
        <w:tabs>
          <w:tab w:val="left" w:pos="720"/>
          <w:tab w:val="left" w:pos="1440"/>
          <w:tab w:val="left" w:pos="2160"/>
        </w:tabs>
        <w:contextualSpacing/>
        <w:rPr>
          <w:rFonts w:ascii="Times New Roman" w:hAnsi="Times New Roman"/>
          <w:noProof w:val="0"/>
          <w:sz w:val="24"/>
          <w:szCs w:val="24"/>
        </w:rPr>
      </w:pPr>
      <w:r w:rsidRPr="0932D2EB" w:rsidR="06222F25">
        <w:rPr>
          <w:rFonts w:ascii="Times New Roman" w:hAnsi="Times New Roman"/>
          <w:noProof w:val="0"/>
          <w:sz w:val="24"/>
          <w:szCs w:val="24"/>
        </w:rPr>
        <w:t xml:space="preserve">2. </w:t>
      </w:r>
      <w:r w:rsidRPr="0932D2EB" w:rsidR="6BF7BE0C">
        <w:rPr>
          <w:rFonts w:ascii="Times New Roman" w:hAnsi="Times New Roman"/>
          <w:noProof w:val="0"/>
          <w:sz w:val="24"/>
          <w:szCs w:val="24"/>
        </w:rPr>
        <w:t xml:space="preserve"> </w:t>
      </w:r>
      <w:r w:rsidRPr="0932D2EB" w:rsidR="2F1A9D49">
        <w:rPr>
          <w:rFonts w:ascii="Times New Roman" w:hAnsi="Times New Roman"/>
          <w:noProof w:val="0"/>
          <w:sz w:val="24"/>
          <w:szCs w:val="24"/>
        </w:rPr>
        <w:t>This information collection</w:t>
      </w:r>
      <w:r w:rsidRPr="0932D2EB" w:rsidR="2F1A9D49">
        <w:rPr>
          <w:rFonts w:ascii="Times New Roman" w:hAnsi="Times New Roman"/>
          <w:noProof w:val="0"/>
          <w:sz w:val="24"/>
          <w:szCs w:val="24"/>
        </w:rPr>
        <w:t xml:space="preserve"> require</w:t>
      </w:r>
      <w:r w:rsidRPr="0932D2EB" w:rsidR="5F3CE20F">
        <w:rPr>
          <w:rFonts w:ascii="Times New Roman" w:hAnsi="Times New Roman"/>
          <w:noProof w:val="0"/>
          <w:sz w:val="24"/>
          <w:szCs w:val="24"/>
        </w:rPr>
        <w:t>s</w:t>
      </w:r>
      <w:r w:rsidRPr="0932D2EB" w:rsidR="2F1A9D49">
        <w:rPr>
          <w:rFonts w:ascii="Times New Roman" w:hAnsi="Times New Roman"/>
          <w:noProof w:val="0"/>
          <w:sz w:val="24"/>
          <w:szCs w:val="24"/>
        </w:rPr>
        <w:t xml:space="preserve"> </w:t>
      </w:r>
      <w:r w:rsidRPr="0932D2EB" w:rsidR="704FB9B3">
        <w:rPr>
          <w:rFonts w:ascii="Times New Roman" w:hAnsi="Times New Roman"/>
          <w:noProof w:val="0"/>
          <w:sz w:val="24"/>
          <w:szCs w:val="24"/>
        </w:rPr>
        <w:t>the</w:t>
      </w:r>
      <w:r w:rsidRPr="0932D2EB" w:rsidR="6D1A0694">
        <w:rPr>
          <w:rFonts w:ascii="Times New Roman" w:hAnsi="Times New Roman"/>
          <w:noProof w:val="0"/>
          <w:sz w:val="24"/>
          <w:szCs w:val="24"/>
        </w:rPr>
        <w:t xml:space="preserve"> transferring pharmacy to update the electronic prescription record to note that the prescription was transferred, and to add the following information:  the name, address, and DEA registration number of the pharmacy to which the prescription was transferred; the name of the pharmacist receiving the transfer; the name of the transferring pharmacist; and the date of the transfer</w:t>
      </w:r>
      <w:r w:rsidRPr="0932D2EB" w:rsidR="6D1A0694">
        <w:rPr>
          <w:rFonts w:ascii="Times New Roman" w:hAnsi="Times New Roman"/>
          <w:noProof w:val="0"/>
          <w:sz w:val="24"/>
          <w:szCs w:val="24"/>
        </w:rPr>
        <w:t xml:space="preserve">.  </w:t>
      </w:r>
      <w:r w:rsidRPr="0932D2EB" w:rsidR="6D1A0694">
        <w:rPr>
          <w:rFonts w:ascii="Times New Roman" w:hAnsi="Times New Roman"/>
          <w:noProof w:val="0"/>
          <w:sz w:val="24"/>
          <w:szCs w:val="24"/>
        </w:rPr>
        <w:t>The pharmacy receiving the transfer</w:t>
      </w:r>
      <w:r w:rsidRPr="0932D2EB" w:rsidR="17C214CF">
        <w:rPr>
          <w:rFonts w:ascii="Times New Roman" w:hAnsi="Times New Roman"/>
          <w:noProof w:val="0"/>
          <w:sz w:val="24"/>
          <w:szCs w:val="24"/>
        </w:rPr>
        <w:t xml:space="preserve"> is</w:t>
      </w:r>
      <w:r w:rsidRPr="0932D2EB" w:rsidR="6D1A0694">
        <w:rPr>
          <w:rFonts w:ascii="Times New Roman" w:hAnsi="Times New Roman"/>
          <w:noProof w:val="0"/>
          <w:sz w:val="24"/>
          <w:szCs w:val="24"/>
        </w:rPr>
        <w:t xml:space="preserve"> required to update the electronic prescription record with the name, address, and DEA registration number of the pharmacy transferring the prescription, the name of the transferring pharmacist, the name of the pharmacist receiving the transfer, and the date of the transfer.</w:t>
      </w:r>
    </w:p>
    <w:p w:rsidR="00BC5E35" w:rsidP="004B077C" w14:paraId="6E06F671" w14:textId="74B6F33B">
      <w:pPr>
        <w:ind w:firstLine="360"/>
        <w:contextualSpacing/>
        <w:jc w:val="both"/>
        <w:rPr>
          <w:rFonts w:ascii="Times New Roman" w:hAnsi="Times New Roman"/>
          <w:noProof w:val="0"/>
          <w:sz w:val="24"/>
          <w:szCs w:val="24"/>
        </w:rPr>
      </w:pPr>
    </w:p>
    <w:p w:rsidR="00BC5E35" w:rsidP="004B077C" w14:paraId="0A54B63E" w14:textId="2A09E582">
      <w:pPr>
        <w:ind w:firstLine="360"/>
        <w:contextualSpacing/>
        <w:jc w:val="both"/>
        <w:rPr>
          <w:rFonts w:ascii="Times New Roman" w:hAnsi="Times New Roman"/>
          <w:noProof w:val="0"/>
          <w:sz w:val="24"/>
          <w:szCs w:val="24"/>
        </w:rPr>
      </w:pPr>
      <w:r>
        <w:rPr>
          <w:rFonts w:ascii="Times New Roman" w:hAnsi="Times New Roman"/>
          <w:noProof w:val="0"/>
          <w:sz w:val="24"/>
          <w:szCs w:val="24"/>
        </w:rPr>
        <w:t xml:space="preserve">These recordkeeping requirements enable </w:t>
      </w:r>
      <w:r w:rsidRPr="00BC5E35">
        <w:rPr>
          <w:rFonts w:ascii="Times New Roman" w:hAnsi="Times New Roman"/>
          <w:noProof w:val="0"/>
          <w:sz w:val="24"/>
          <w:szCs w:val="24"/>
        </w:rPr>
        <w:t xml:space="preserve">DEA to maintain complete accountability for all </w:t>
      </w:r>
      <w:r>
        <w:rPr>
          <w:rFonts w:ascii="Times New Roman" w:hAnsi="Times New Roman"/>
          <w:noProof w:val="0"/>
          <w:sz w:val="24"/>
          <w:szCs w:val="24"/>
        </w:rPr>
        <w:t>EPCS</w:t>
      </w:r>
      <w:r w:rsidRPr="00BC5E35">
        <w:rPr>
          <w:rFonts w:ascii="Times New Roman" w:hAnsi="Times New Roman"/>
          <w:noProof w:val="0"/>
          <w:sz w:val="24"/>
          <w:szCs w:val="24"/>
        </w:rPr>
        <w:t xml:space="preserve"> dispensed by a p</w:t>
      </w:r>
      <w:r>
        <w:rPr>
          <w:rFonts w:ascii="Times New Roman" w:hAnsi="Times New Roman"/>
          <w:noProof w:val="0"/>
          <w:sz w:val="24"/>
          <w:szCs w:val="24"/>
        </w:rPr>
        <w:t>harmacy</w:t>
      </w:r>
      <w:r w:rsidRPr="00BC5E35">
        <w:rPr>
          <w:rFonts w:ascii="Times New Roman" w:hAnsi="Times New Roman"/>
          <w:noProof w:val="0"/>
          <w:sz w:val="24"/>
          <w:szCs w:val="24"/>
        </w:rPr>
        <w:t>.  This accountability allow</w:t>
      </w:r>
      <w:r>
        <w:rPr>
          <w:rFonts w:ascii="Times New Roman" w:hAnsi="Times New Roman"/>
          <w:noProof w:val="0"/>
          <w:sz w:val="24"/>
          <w:szCs w:val="24"/>
        </w:rPr>
        <w:t>s</w:t>
      </w:r>
      <w:r w:rsidRPr="00BC5E35">
        <w:rPr>
          <w:rFonts w:ascii="Times New Roman" w:hAnsi="Times New Roman"/>
          <w:noProof w:val="0"/>
          <w:sz w:val="24"/>
          <w:szCs w:val="24"/>
        </w:rPr>
        <w:t xml:space="preserve"> DEA to maintain a closed system of distribution for </w:t>
      </w:r>
      <w:r>
        <w:rPr>
          <w:rFonts w:ascii="Times New Roman" w:hAnsi="Times New Roman"/>
          <w:noProof w:val="0"/>
          <w:sz w:val="24"/>
          <w:szCs w:val="24"/>
        </w:rPr>
        <w:t>EPCS</w:t>
      </w:r>
      <w:r>
        <w:rPr>
          <w:rFonts w:ascii="Times New Roman" w:hAnsi="Times New Roman"/>
          <w:noProof w:val="0"/>
          <w:sz w:val="24"/>
          <w:szCs w:val="24"/>
        </w:rPr>
        <w:t xml:space="preserve"> and</w:t>
      </w:r>
      <w:r w:rsidR="00295D62">
        <w:rPr>
          <w:rFonts w:ascii="Times New Roman" w:hAnsi="Times New Roman"/>
          <w:noProof w:val="0"/>
          <w:sz w:val="24"/>
          <w:szCs w:val="24"/>
        </w:rPr>
        <w:t xml:space="preserve"> reduce</w:t>
      </w:r>
      <w:r>
        <w:rPr>
          <w:rFonts w:ascii="Times New Roman" w:hAnsi="Times New Roman"/>
          <w:noProof w:val="0"/>
          <w:sz w:val="24"/>
          <w:szCs w:val="24"/>
        </w:rPr>
        <w:t>s</w:t>
      </w:r>
      <w:r w:rsidR="00295D62">
        <w:rPr>
          <w:rFonts w:ascii="Times New Roman" w:hAnsi="Times New Roman"/>
          <w:noProof w:val="0"/>
          <w:sz w:val="24"/>
          <w:szCs w:val="24"/>
        </w:rPr>
        <w:t xml:space="preserve"> opportunities for diversion</w:t>
      </w:r>
      <w:r w:rsidRPr="00BC5E35">
        <w:rPr>
          <w:rFonts w:ascii="Times New Roman" w:hAnsi="Times New Roman"/>
          <w:noProof w:val="0"/>
          <w:sz w:val="24"/>
          <w:szCs w:val="24"/>
        </w:rPr>
        <w:t>.</w:t>
      </w:r>
    </w:p>
    <w:p w:rsidR="00001766" w:rsidP="000550C7" w14:paraId="5F5C59F9" w14:textId="77777777">
      <w:pPr>
        <w:contextualSpacing/>
        <w:jc w:val="both"/>
        <w:rPr>
          <w:rFonts w:ascii="Times New Roman" w:hAnsi="Times New Roman"/>
          <w:noProof w:val="0"/>
          <w:sz w:val="24"/>
          <w:szCs w:val="24"/>
        </w:rPr>
      </w:pPr>
    </w:p>
    <w:p w:rsidR="00AA4A98" w:rsidRPr="00813A52" w:rsidP="006563A4" w14:paraId="039547B8" w14:textId="69E0CA2C">
      <w:pPr>
        <w:contextualSpacing/>
        <w:rPr>
          <w:rFonts w:ascii="Times New Roman" w:hAnsi="Times New Roman"/>
          <w:noProof w:val="0"/>
          <w:sz w:val="24"/>
          <w:szCs w:val="24"/>
        </w:rPr>
      </w:pPr>
      <w:r w:rsidRPr="001B4940">
        <w:rPr>
          <w:rFonts w:ascii="Times New Roman" w:hAnsi="Times New Roman"/>
          <w:noProof w:val="0"/>
          <w:sz w:val="24"/>
          <w:szCs w:val="24"/>
        </w:rPr>
        <w:t>3</w:t>
      </w:r>
      <w:r w:rsidRPr="001B4940">
        <w:rPr>
          <w:rFonts w:ascii="Times New Roman" w:hAnsi="Times New Roman"/>
          <w:noProof w:val="0"/>
          <w:sz w:val="24"/>
          <w:szCs w:val="24"/>
        </w:rPr>
        <w:t xml:space="preserve">. </w:t>
      </w:r>
      <w:r w:rsidRPr="001B4940" w:rsidR="00090C0E">
        <w:rPr>
          <w:rFonts w:ascii="Times New Roman" w:hAnsi="Times New Roman"/>
          <w:noProof w:val="0"/>
          <w:sz w:val="24"/>
          <w:szCs w:val="24"/>
        </w:rPr>
        <w:t xml:space="preserve"> </w:t>
      </w:r>
      <w:r w:rsidR="00001766">
        <w:rPr>
          <w:rFonts w:ascii="Times New Roman" w:hAnsi="Times New Roman"/>
          <w:noProof w:val="0"/>
          <w:sz w:val="24"/>
          <w:szCs w:val="24"/>
        </w:rPr>
        <w:t>These</w:t>
      </w:r>
      <w:r w:rsidR="00001766">
        <w:rPr>
          <w:rFonts w:ascii="Times New Roman" w:hAnsi="Times New Roman"/>
          <w:noProof w:val="0"/>
          <w:sz w:val="24"/>
          <w:szCs w:val="24"/>
        </w:rPr>
        <w:t xml:space="preserve"> requirements do not involve reporting, and therefore, issues related to electronic submission are not applicable.  The records of EPCS transfers between pharmacies will be maintained electronically in the pharmacies’ electronic prescription applications.</w:t>
      </w:r>
    </w:p>
    <w:p w:rsidR="00AA4A98" w:rsidRPr="001B4940" w:rsidP="000550C7" w14:paraId="6DEC4EA2" w14:textId="77777777">
      <w:pPr>
        <w:contextualSpacing/>
        <w:rPr>
          <w:rFonts w:ascii="Times New Roman" w:hAnsi="Times New Roman"/>
          <w:noProof w:val="0"/>
          <w:sz w:val="24"/>
          <w:szCs w:val="24"/>
        </w:rPr>
      </w:pPr>
    </w:p>
    <w:p w:rsidR="00CE207E" w:rsidRPr="000550C7" w:rsidP="006563A4" w14:paraId="7141AC5B" w14:textId="5EAB2BA2">
      <w:pPr>
        <w:tabs>
          <w:tab w:val="left" w:pos="720"/>
          <w:tab w:val="left" w:pos="1440"/>
          <w:tab w:val="left" w:pos="2160"/>
        </w:tabs>
        <w:contextualSpacing/>
        <w:rPr>
          <w:rFonts w:ascii="Times New Roman" w:hAnsi="Times New Roman"/>
          <w:noProof w:val="0"/>
          <w:sz w:val="24"/>
          <w:szCs w:val="24"/>
        </w:rPr>
      </w:pPr>
      <w:r w:rsidRPr="000550C7">
        <w:rPr>
          <w:rFonts w:ascii="Times New Roman" w:hAnsi="Times New Roman"/>
          <w:noProof w:val="0"/>
          <w:sz w:val="24"/>
          <w:szCs w:val="24"/>
        </w:rPr>
        <w:t>4</w:t>
      </w:r>
      <w:r w:rsidRPr="000550C7">
        <w:rPr>
          <w:rFonts w:ascii="Times New Roman" w:hAnsi="Times New Roman"/>
          <w:noProof w:val="0"/>
          <w:sz w:val="24"/>
          <w:szCs w:val="24"/>
        </w:rPr>
        <w:t xml:space="preserve">. </w:t>
      </w:r>
      <w:r w:rsidRPr="000550C7" w:rsidR="00090C0E">
        <w:rPr>
          <w:rFonts w:ascii="Times New Roman" w:hAnsi="Times New Roman"/>
          <w:noProof w:val="0"/>
          <w:sz w:val="24"/>
          <w:szCs w:val="24"/>
        </w:rPr>
        <w:t xml:space="preserve"> </w:t>
      </w:r>
      <w:r w:rsidR="00AA4671">
        <w:rPr>
          <w:rFonts w:ascii="Times New Roman" w:hAnsi="Times New Roman"/>
          <w:noProof w:val="0"/>
          <w:sz w:val="24"/>
          <w:szCs w:val="24"/>
        </w:rPr>
        <w:t>DEA</w:t>
      </w:r>
      <w:r w:rsidR="00AA4671">
        <w:rPr>
          <w:rFonts w:ascii="Times New Roman" w:hAnsi="Times New Roman"/>
          <w:noProof w:val="0"/>
          <w:sz w:val="24"/>
          <w:szCs w:val="24"/>
        </w:rPr>
        <w:t xml:space="preserve"> has made efforts to identify and prevent duplication of information.  The collection of this information is unique to DEA and is not duplicative.</w:t>
      </w:r>
    </w:p>
    <w:p w:rsidR="00AF2AFA" w:rsidRPr="001B4940" w:rsidP="000550C7" w14:paraId="7F7E0735" w14:textId="77777777">
      <w:pPr>
        <w:tabs>
          <w:tab w:val="left" w:pos="720"/>
          <w:tab w:val="left" w:pos="1440"/>
          <w:tab w:val="left" w:pos="2160"/>
        </w:tabs>
        <w:contextualSpacing/>
        <w:rPr>
          <w:rFonts w:ascii="Times New Roman" w:hAnsi="Times New Roman"/>
          <w:noProof w:val="0"/>
          <w:sz w:val="24"/>
          <w:szCs w:val="24"/>
        </w:rPr>
      </w:pPr>
    </w:p>
    <w:p w:rsidR="00CE207E" w:rsidRPr="000550C7" w:rsidP="006563A4" w14:paraId="7E285278" w14:textId="7F80EEAE">
      <w:pPr>
        <w:tabs>
          <w:tab w:val="left" w:pos="720"/>
          <w:tab w:val="left" w:pos="1440"/>
          <w:tab w:val="left" w:pos="2160"/>
        </w:tabs>
        <w:contextualSpacing/>
        <w:rPr>
          <w:rFonts w:ascii="Times New Roman" w:hAnsi="Times New Roman"/>
          <w:noProof w:val="0"/>
          <w:sz w:val="24"/>
          <w:szCs w:val="24"/>
        </w:rPr>
      </w:pPr>
      <w:r w:rsidRPr="001B4940">
        <w:rPr>
          <w:rFonts w:ascii="Times New Roman" w:hAnsi="Times New Roman"/>
          <w:noProof w:val="0"/>
          <w:sz w:val="24"/>
          <w:szCs w:val="24"/>
        </w:rPr>
        <w:t xml:space="preserve">5. </w:t>
      </w:r>
      <w:r w:rsidRPr="001B4940" w:rsidR="00090C0E">
        <w:rPr>
          <w:rFonts w:ascii="Times New Roman" w:hAnsi="Times New Roman"/>
          <w:noProof w:val="0"/>
          <w:sz w:val="24"/>
          <w:szCs w:val="24"/>
        </w:rPr>
        <w:t xml:space="preserve"> </w:t>
      </w:r>
      <w:r w:rsidR="00AA4671">
        <w:rPr>
          <w:rFonts w:ascii="Times New Roman" w:hAnsi="Times New Roman"/>
          <w:noProof w:val="0"/>
          <w:sz w:val="24"/>
          <w:szCs w:val="24"/>
        </w:rPr>
        <w:t>DEA</w:t>
      </w:r>
      <w:r w:rsidR="00B13743">
        <w:rPr>
          <w:rFonts w:ascii="Times New Roman" w:hAnsi="Times New Roman"/>
          <w:noProof w:val="0"/>
          <w:sz w:val="24"/>
          <w:szCs w:val="24"/>
        </w:rPr>
        <w:t xml:space="preserve"> expects this collection will not </w:t>
      </w:r>
      <w:r w:rsidR="00AA4671">
        <w:rPr>
          <w:rFonts w:ascii="Times New Roman" w:hAnsi="Times New Roman"/>
          <w:noProof w:val="0"/>
          <w:sz w:val="24"/>
          <w:szCs w:val="24"/>
        </w:rPr>
        <w:t>have a significant economic impact on a substantial number of small entities</w:t>
      </w:r>
      <w:r w:rsidR="00B13743">
        <w:rPr>
          <w:rFonts w:ascii="Times New Roman" w:hAnsi="Times New Roman"/>
          <w:noProof w:val="0"/>
          <w:sz w:val="24"/>
          <w:szCs w:val="24"/>
        </w:rPr>
        <w:t xml:space="preserve"> within the meaning and intent of the Regulatory Flexibility Act, 5 U.S.C. 601-612</w:t>
      </w:r>
      <w:r w:rsidR="00AA4671">
        <w:rPr>
          <w:rFonts w:ascii="Times New Roman" w:hAnsi="Times New Roman"/>
          <w:noProof w:val="0"/>
          <w:sz w:val="24"/>
          <w:szCs w:val="24"/>
        </w:rPr>
        <w:t>.</w:t>
      </w:r>
    </w:p>
    <w:p w:rsidR="00E975C5" w:rsidRPr="001B4940" w:rsidP="000550C7" w14:paraId="6BF0C63E" w14:textId="77777777">
      <w:pPr>
        <w:contextualSpacing/>
        <w:rPr>
          <w:rFonts w:ascii="Times New Roman" w:hAnsi="Times New Roman"/>
          <w:noProof w:val="0"/>
          <w:sz w:val="24"/>
          <w:szCs w:val="24"/>
        </w:rPr>
      </w:pPr>
    </w:p>
    <w:p w:rsidR="00FC3D26" w:rsidRPr="001B4940" w:rsidP="006563A4" w14:paraId="2A2210C4" w14:textId="5C89BE74">
      <w:pPr>
        <w:contextualSpacing/>
        <w:rPr>
          <w:rFonts w:ascii="Times New Roman" w:hAnsi="Times New Roman"/>
          <w:noProof w:val="0"/>
          <w:sz w:val="24"/>
          <w:szCs w:val="24"/>
        </w:rPr>
      </w:pPr>
      <w:r w:rsidRPr="001B4940">
        <w:rPr>
          <w:rFonts w:ascii="Times New Roman" w:hAnsi="Times New Roman"/>
          <w:noProof w:val="0"/>
          <w:sz w:val="24"/>
          <w:szCs w:val="24"/>
        </w:rPr>
        <w:t xml:space="preserve">6. </w:t>
      </w:r>
      <w:r w:rsidRPr="001B4940" w:rsidR="00090C0E">
        <w:rPr>
          <w:rFonts w:ascii="Times New Roman" w:hAnsi="Times New Roman"/>
          <w:noProof w:val="0"/>
          <w:sz w:val="24"/>
          <w:szCs w:val="24"/>
        </w:rPr>
        <w:t xml:space="preserve"> </w:t>
      </w:r>
      <w:r>
        <w:rPr>
          <w:rFonts w:ascii="Times New Roman" w:hAnsi="Times New Roman"/>
          <w:noProof w:val="0"/>
          <w:sz w:val="24"/>
          <w:szCs w:val="24"/>
        </w:rPr>
        <w:t>Pursuant to 21 U.S.C. 827(b), records must be maintained for a period of at least two years.  DEA does not have the authority to reduce the burden or period of recordkeeping.  Failure to collect the information or to conduct the collection less frequently will contravene the CSA, reduce accountability, and increase the risks of diversion.</w:t>
      </w:r>
    </w:p>
    <w:p w:rsidR="008964A5" w:rsidRPr="001B4940" w:rsidP="000550C7" w14:paraId="259FA390" w14:textId="77777777">
      <w:pPr>
        <w:contextualSpacing/>
        <w:rPr>
          <w:rFonts w:ascii="Times New Roman" w:hAnsi="Times New Roman"/>
          <w:noProof w:val="0"/>
          <w:sz w:val="24"/>
          <w:szCs w:val="24"/>
        </w:rPr>
      </w:pPr>
    </w:p>
    <w:p w:rsidR="00CE207E" w:rsidRPr="001B4940" w:rsidP="006563A4" w14:paraId="19992B7C" w14:textId="150286FE">
      <w:pPr>
        <w:tabs>
          <w:tab w:val="left" w:pos="720"/>
          <w:tab w:val="left" w:pos="1440"/>
          <w:tab w:val="left" w:pos="2160"/>
        </w:tabs>
        <w:contextualSpacing/>
        <w:rPr>
          <w:rFonts w:ascii="Times New Roman" w:hAnsi="Times New Roman"/>
          <w:noProof w:val="0"/>
          <w:sz w:val="24"/>
          <w:szCs w:val="24"/>
        </w:rPr>
      </w:pPr>
      <w:r w:rsidRPr="000550C7">
        <w:rPr>
          <w:rFonts w:ascii="Times New Roman" w:hAnsi="Times New Roman"/>
          <w:noProof w:val="0"/>
          <w:sz w:val="24"/>
          <w:szCs w:val="24"/>
        </w:rPr>
        <w:t>7</w:t>
      </w:r>
      <w:r w:rsidRPr="000550C7">
        <w:rPr>
          <w:rFonts w:ascii="Times New Roman" w:hAnsi="Times New Roman"/>
          <w:noProof w:val="0"/>
          <w:sz w:val="24"/>
          <w:szCs w:val="24"/>
        </w:rPr>
        <w:t xml:space="preserve">. </w:t>
      </w:r>
      <w:r w:rsidRPr="000550C7" w:rsidR="00090C0E">
        <w:rPr>
          <w:rFonts w:ascii="Times New Roman" w:hAnsi="Times New Roman"/>
          <w:noProof w:val="0"/>
          <w:sz w:val="24"/>
          <w:szCs w:val="24"/>
        </w:rPr>
        <w:t xml:space="preserve"> </w:t>
      </w:r>
      <w:r w:rsidRPr="00AA4A98" w:rsidR="00AD6D9C">
        <w:rPr>
          <w:rFonts w:ascii="Times New Roman" w:hAnsi="Times New Roman"/>
          <w:noProof w:val="0"/>
          <w:sz w:val="24"/>
          <w:szCs w:val="24"/>
        </w:rPr>
        <w:t>There</w:t>
      </w:r>
      <w:r w:rsidRPr="00AA4A98" w:rsidR="00AD6D9C">
        <w:rPr>
          <w:rFonts w:ascii="Times New Roman" w:hAnsi="Times New Roman"/>
          <w:noProof w:val="0"/>
          <w:sz w:val="24"/>
          <w:szCs w:val="24"/>
        </w:rPr>
        <w:t xml:space="preserve"> are no special circumstances applicable to this information collection. </w:t>
      </w:r>
    </w:p>
    <w:p w:rsidR="00695627" w:rsidRPr="001B4940" w:rsidP="000550C7" w14:paraId="2425ED5E" w14:textId="77777777">
      <w:pPr>
        <w:contextualSpacing/>
        <w:rPr>
          <w:rFonts w:ascii="Times New Roman" w:hAnsi="Times New Roman"/>
          <w:noProof w:val="0"/>
          <w:sz w:val="24"/>
          <w:szCs w:val="24"/>
        </w:rPr>
      </w:pPr>
    </w:p>
    <w:p w:rsidR="00530949" w:rsidP="0932D2EB" w14:paraId="06A39E80" w14:textId="07D0D7AC">
      <w:pPr>
        <w:tabs>
          <w:tab w:val="left" w:pos="720"/>
          <w:tab w:val="left" w:pos="1440"/>
          <w:tab w:val="left" w:pos="2160"/>
        </w:tabs>
        <w:contextualSpacing/>
        <w:rPr>
          <w:rFonts w:ascii="Times New Roman" w:hAnsi="Times New Roman"/>
          <w:sz w:val="24"/>
          <w:szCs w:val="24"/>
        </w:rPr>
      </w:pPr>
      <w:r w:rsidRPr="0932D2EB" w:rsidR="6FDE4242">
        <w:rPr>
          <w:rFonts w:ascii="Times New Roman" w:hAnsi="Times New Roman"/>
          <w:noProof w:val="0"/>
          <w:sz w:val="24"/>
          <w:szCs w:val="24"/>
        </w:rPr>
        <w:t>8</w:t>
      </w:r>
      <w:r w:rsidRPr="0932D2EB" w:rsidR="6FDE4242">
        <w:rPr>
          <w:rFonts w:ascii="Times New Roman" w:hAnsi="Times New Roman"/>
          <w:noProof w:val="0"/>
          <w:sz w:val="24"/>
          <w:szCs w:val="24"/>
        </w:rPr>
        <w:t xml:space="preserve">. </w:t>
      </w:r>
      <w:r w:rsidRPr="0932D2EB" w:rsidR="71291A44">
        <w:rPr>
          <w:rFonts w:ascii="Times New Roman" w:hAnsi="Times New Roman"/>
          <w:noProof w:val="0"/>
          <w:sz w:val="24"/>
          <w:szCs w:val="24"/>
        </w:rPr>
        <w:t xml:space="preserve"> </w:t>
      </w:r>
      <w:r w:rsidRPr="0932D2EB" w:rsidR="6011780F">
        <w:rPr>
          <w:rFonts w:ascii="Times New Roman" w:hAnsi="Times New Roman"/>
          <w:sz w:val="24"/>
          <w:szCs w:val="24"/>
        </w:rPr>
        <w:t>The</w:t>
      </w:r>
      <w:r w:rsidRPr="0932D2EB" w:rsidR="6011780F">
        <w:rPr>
          <w:rFonts w:ascii="Times New Roman" w:hAnsi="Times New Roman"/>
          <w:sz w:val="24"/>
          <w:szCs w:val="24"/>
        </w:rPr>
        <w:t xml:space="preserve"> 60-day Notice was published i</w:t>
      </w:r>
      <w:r w:rsidRPr="0932D2EB" w:rsidR="2264C5F0">
        <w:rPr>
          <w:rFonts w:ascii="Times New Roman" w:hAnsi="Times New Roman"/>
          <w:sz w:val="24"/>
          <w:szCs w:val="24"/>
        </w:rPr>
        <w:t xml:space="preserve">n the </w:t>
      </w:r>
      <w:r w:rsidRPr="0932D2EB" w:rsidR="2264C5F0">
        <w:rPr>
          <w:rFonts w:ascii="Times New Roman" w:hAnsi="Times New Roman"/>
          <w:i/>
          <w:iCs/>
          <w:sz w:val="24"/>
          <w:szCs w:val="24"/>
        </w:rPr>
        <w:t>Federal Register</w:t>
      </w:r>
      <w:r w:rsidRPr="0932D2EB" w:rsidR="2264C5F0">
        <w:rPr>
          <w:rFonts w:ascii="Times New Roman" w:hAnsi="Times New Roman"/>
          <w:sz w:val="24"/>
          <w:szCs w:val="24"/>
        </w:rPr>
        <w:t xml:space="preserve"> on </w:t>
      </w:r>
      <w:r w:rsidRPr="0932D2EB" w:rsidR="28C2F6C6">
        <w:rPr>
          <w:rFonts w:ascii="Times New Roman" w:hAnsi="Times New Roman"/>
          <w:sz w:val="24"/>
          <w:szCs w:val="24"/>
        </w:rPr>
        <w:t>July 23</w:t>
      </w:r>
      <w:r w:rsidRPr="0932D2EB" w:rsidR="2264C5F0">
        <w:rPr>
          <w:rFonts w:ascii="Times New Roman" w:hAnsi="Times New Roman"/>
          <w:sz w:val="24"/>
          <w:szCs w:val="24"/>
        </w:rPr>
        <w:t>, 202</w:t>
      </w:r>
      <w:r w:rsidRPr="0932D2EB" w:rsidR="41E82039">
        <w:rPr>
          <w:rFonts w:ascii="Times New Roman" w:hAnsi="Times New Roman"/>
          <w:sz w:val="24"/>
          <w:szCs w:val="24"/>
        </w:rPr>
        <w:t>6</w:t>
      </w:r>
      <w:r w:rsidRPr="0932D2EB" w:rsidR="2264C5F0">
        <w:rPr>
          <w:rFonts w:ascii="Times New Roman" w:hAnsi="Times New Roman"/>
          <w:sz w:val="24"/>
          <w:szCs w:val="24"/>
        </w:rPr>
        <w:t xml:space="preserve"> at </w:t>
      </w:r>
      <w:r w:rsidRPr="0932D2EB" w:rsidR="0D16E8ED">
        <w:rPr>
          <w:rFonts w:ascii="Times New Roman" w:hAnsi="Times New Roman"/>
          <w:sz w:val="24"/>
          <w:szCs w:val="24"/>
        </w:rPr>
        <w:t>91</w:t>
      </w:r>
      <w:r w:rsidRPr="0932D2EB" w:rsidR="2264C5F0">
        <w:rPr>
          <w:rFonts w:ascii="Times New Roman" w:hAnsi="Times New Roman"/>
          <w:sz w:val="24"/>
          <w:szCs w:val="24"/>
        </w:rPr>
        <w:t xml:space="preserve"> FR </w:t>
      </w:r>
      <w:r w:rsidRPr="0932D2EB" w:rsidR="7D317AD4">
        <w:rPr>
          <w:rFonts w:ascii="Times New Roman" w:hAnsi="Times New Roman"/>
          <w:sz w:val="24"/>
          <w:szCs w:val="24"/>
        </w:rPr>
        <w:t>46484</w:t>
      </w:r>
      <w:r w:rsidRPr="0932D2EB" w:rsidR="2264C5F0">
        <w:rPr>
          <w:rFonts w:ascii="Times New Roman" w:hAnsi="Times New Roman"/>
          <w:sz w:val="24"/>
          <w:szCs w:val="24"/>
        </w:rPr>
        <w:t xml:space="preserve">.  </w:t>
      </w:r>
      <w:r w:rsidRPr="0932D2EB" w:rsidR="6011780F">
        <w:rPr>
          <w:rFonts w:ascii="Times New Roman" w:hAnsi="Times New Roman"/>
          <w:sz w:val="24"/>
          <w:szCs w:val="24"/>
        </w:rPr>
        <w:t xml:space="preserve">The comment period ended on </w:t>
      </w:r>
      <w:r w:rsidRPr="0932D2EB" w:rsidR="2672F33D">
        <w:rPr>
          <w:rFonts w:ascii="Times New Roman" w:hAnsi="Times New Roman"/>
          <w:sz w:val="24"/>
          <w:szCs w:val="24"/>
        </w:rPr>
        <w:t>September 21</w:t>
      </w:r>
      <w:r w:rsidRPr="0932D2EB" w:rsidR="6011780F">
        <w:rPr>
          <w:rFonts w:ascii="Times New Roman" w:hAnsi="Times New Roman"/>
          <w:sz w:val="24"/>
          <w:szCs w:val="24"/>
        </w:rPr>
        <w:t>, 202</w:t>
      </w:r>
      <w:r w:rsidRPr="0932D2EB" w:rsidR="7FBD3132">
        <w:rPr>
          <w:rFonts w:ascii="Times New Roman" w:hAnsi="Times New Roman"/>
          <w:sz w:val="24"/>
          <w:szCs w:val="24"/>
        </w:rPr>
        <w:t>6</w:t>
      </w:r>
      <w:r w:rsidRPr="0932D2EB" w:rsidR="6011780F">
        <w:rPr>
          <w:rFonts w:ascii="Times New Roman" w:hAnsi="Times New Roman"/>
          <w:sz w:val="24"/>
          <w:szCs w:val="24"/>
        </w:rPr>
        <w:t>.</w:t>
      </w:r>
      <w:r w:rsidRPr="0932D2EB" w:rsidR="0A60FABE">
        <w:rPr>
          <w:rFonts w:ascii="Times New Roman" w:hAnsi="Times New Roman"/>
          <w:sz w:val="24"/>
          <w:szCs w:val="24"/>
        </w:rPr>
        <w:t xml:space="preserve"> </w:t>
      </w:r>
      <w:r w:rsidRPr="0932D2EB" w:rsidR="6011780F">
        <w:rPr>
          <w:rFonts w:ascii="Times New Roman" w:hAnsi="Times New Roman"/>
          <w:sz w:val="24"/>
          <w:szCs w:val="24"/>
        </w:rPr>
        <w:t xml:space="preserve"> No comments were received</w:t>
      </w:r>
      <w:r w:rsidRPr="0932D2EB" w:rsidR="7414126C">
        <w:rPr>
          <w:rFonts w:ascii="Times New Roman" w:hAnsi="Times New Roman"/>
          <w:sz w:val="24"/>
          <w:szCs w:val="24"/>
        </w:rPr>
        <w:t>.</w:t>
      </w:r>
      <w:r w:rsidRPr="0932D2EB" w:rsidR="5B6497B3">
        <w:rPr>
          <w:rFonts w:ascii="Times New Roman" w:hAnsi="Times New Roman"/>
          <w:sz w:val="24"/>
          <w:szCs w:val="24"/>
        </w:rPr>
        <w:t xml:space="preserve">  The final rul</w:t>
      </w:r>
      <w:r w:rsidRPr="0932D2EB" w:rsidR="5B6497B3">
        <w:rPr>
          <w:rFonts w:ascii="Times New Roman" w:hAnsi="Times New Roman"/>
          <w:sz w:val="24"/>
          <w:szCs w:val="24"/>
        </w:rPr>
        <w:t xml:space="preserve"> published in the </w:t>
      </w:r>
      <w:r w:rsidRPr="0932D2EB" w:rsidR="5B6497B3">
        <w:rPr>
          <w:rFonts w:ascii="Times New Roman" w:hAnsi="Times New Roman"/>
          <w:i/>
          <w:iCs/>
          <w:sz w:val="24"/>
          <w:szCs w:val="24"/>
        </w:rPr>
        <w:t>Federal Register</w:t>
      </w:r>
      <w:r w:rsidRPr="0932D2EB" w:rsidR="5B6497B3">
        <w:rPr>
          <w:rFonts w:ascii="Times New Roman" w:hAnsi="Times New Roman"/>
          <w:sz w:val="24"/>
          <w:szCs w:val="24"/>
        </w:rPr>
        <w:t xml:space="preserve"> on </w:t>
      </w:r>
      <w:r w:rsidRPr="0932D2EB" w:rsidR="2134D546">
        <w:rPr>
          <w:rFonts w:ascii="Times New Roman" w:hAnsi="Times New Roman"/>
          <w:sz w:val="24"/>
          <w:szCs w:val="24"/>
        </w:rPr>
        <w:t>October 1</w:t>
      </w:r>
      <w:r w:rsidRPr="0932D2EB" w:rsidR="69A77DB7">
        <w:rPr>
          <w:rFonts w:ascii="Times New Roman" w:hAnsi="Times New Roman"/>
          <w:sz w:val="24"/>
          <w:szCs w:val="24"/>
        </w:rPr>
        <w:t>, 20</w:t>
      </w:r>
      <w:r w:rsidRPr="0932D2EB" w:rsidR="0972A65C">
        <w:rPr>
          <w:rFonts w:ascii="Times New Roman" w:hAnsi="Times New Roman"/>
          <w:sz w:val="24"/>
          <w:szCs w:val="24"/>
        </w:rPr>
        <w:t>26</w:t>
      </w:r>
      <w:r w:rsidRPr="0932D2EB" w:rsidR="5B6497B3">
        <w:rPr>
          <w:rFonts w:ascii="Times New Roman" w:hAnsi="Times New Roman"/>
          <w:sz w:val="24"/>
          <w:szCs w:val="24"/>
        </w:rPr>
        <w:t>, at</w:t>
      </w:r>
      <w:r w:rsidRPr="0932D2EB" w:rsidR="0B7929F5">
        <w:rPr>
          <w:rFonts w:ascii="Times New Roman" w:hAnsi="Times New Roman"/>
          <w:sz w:val="24"/>
          <w:szCs w:val="24"/>
        </w:rPr>
        <w:t xml:space="preserve"> </w:t>
      </w:r>
      <w:r w:rsidRPr="0932D2EB" w:rsidR="6089CB60">
        <w:rPr>
          <w:rFonts w:ascii="Times New Roman" w:hAnsi="Times New Roman"/>
          <w:sz w:val="24"/>
          <w:szCs w:val="24"/>
        </w:rPr>
        <w:t>91</w:t>
      </w:r>
      <w:r w:rsidRPr="0932D2EB" w:rsidR="5B6497B3">
        <w:rPr>
          <w:rFonts w:ascii="Times New Roman" w:hAnsi="Times New Roman"/>
          <w:sz w:val="24"/>
          <w:szCs w:val="24"/>
        </w:rPr>
        <w:t xml:space="preserve"> FR</w:t>
      </w:r>
      <w:r w:rsidRPr="0932D2EB" w:rsidR="0A60FABE">
        <w:rPr>
          <w:rFonts w:ascii="Times New Roman" w:hAnsi="Times New Roman"/>
          <w:sz w:val="24"/>
          <w:szCs w:val="24"/>
        </w:rPr>
        <w:t xml:space="preserve"> </w:t>
      </w:r>
      <w:r w:rsidRPr="0932D2EB" w:rsidR="4D023242">
        <w:rPr>
          <w:rFonts w:ascii="Times New Roman" w:hAnsi="Times New Roman"/>
          <w:sz w:val="24"/>
          <w:szCs w:val="24"/>
        </w:rPr>
        <w:t>62560</w:t>
      </w:r>
      <w:r w:rsidRPr="0932D2EB" w:rsidR="5B6497B3">
        <w:rPr>
          <w:rFonts w:ascii="Times New Roman" w:hAnsi="Times New Roman"/>
          <w:sz w:val="24"/>
          <w:szCs w:val="24"/>
        </w:rPr>
        <w:t>.</w:t>
      </w:r>
    </w:p>
    <w:p w:rsidR="00AA4A98" w:rsidP="004B077C" w14:paraId="4A315D90" w14:textId="11B4C03D">
      <w:pPr>
        <w:ind w:firstLine="360"/>
        <w:contextualSpacing/>
        <w:rPr>
          <w:rFonts w:ascii="Times New Roman" w:hAnsi="Times New Roman"/>
          <w:sz w:val="24"/>
          <w:szCs w:val="24"/>
        </w:rPr>
      </w:pPr>
    </w:p>
    <w:p w:rsidR="00695627" w:rsidRPr="00AA4A98" w:rsidP="004B077C" w14:paraId="1CB616C4" w14:textId="26288720">
      <w:pPr>
        <w:ind w:firstLine="360"/>
        <w:contextualSpacing/>
        <w:rPr>
          <w:rFonts w:ascii="Times New Roman" w:hAnsi="Times New Roman"/>
          <w:sz w:val="24"/>
          <w:szCs w:val="24"/>
        </w:rPr>
      </w:pPr>
      <w:r w:rsidRPr="00AA4A98">
        <w:rPr>
          <w:rFonts w:ascii="Times New Roman" w:hAnsi="Times New Roman"/>
          <w:sz w:val="24"/>
          <w:szCs w:val="24"/>
        </w:rPr>
        <w:t>DEA meets regularly with the affected industry to discuss policies, programs, and regulations.  These meetings provide an open forum to discuss matters of mutual concern with representatives of those entities from whom the information is obtained.</w:t>
      </w:r>
    </w:p>
    <w:p w:rsidR="003E411E" w:rsidRPr="00AA4A98" w:rsidP="000550C7" w14:paraId="10941062" w14:textId="77777777">
      <w:pPr>
        <w:contextualSpacing/>
        <w:rPr>
          <w:rFonts w:ascii="Times New Roman" w:hAnsi="Times New Roman"/>
          <w:sz w:val="24"/>
          <w:szCs w:val="24"/>
        </w:rPr>
      </w:pPr>
    </w:p>
    <w:p w:rsidR="00072531" w:rsidRPr="000550C7" w:rsidP="006563A4" w14:paraId="30523E30" w14:textId="259BC96C">
      <w:pPr>
        <w:tabs>
          <w:tab w:val="left" w:pos="720"/>
          <w:tab w:val="left" w:pos="1440"/>
          <w:tab w:val="left" w:pos="2160"/>
        </w:tabs>
        <w:contextualSpacing/>
        <w:rPr>
          <w:rFonts w:ascii="Times New Roman" w:hAnsi="Times New Roman"/>
          <w:noProof w:val="0"/>
          <w:sz w:val="24"/>
          <w:szCs w:val="24"/>
        </w:rPr>
      </w:pPr>
      <w:r w:rsidRPr="001B4940">
        <w:rPr>
          <w:rFonts w:ascii="Times New Roman" w:hAnsi="Times New Roman"/>
          <w:noProof w:val="0"/>
          <w:sz w:val="24"/>
          <w:szCs w:val="24"/>
        </w:rPr>
        <w:t>9</w:t>
      </w:r>
      <w:r w:rsidRPr="001B4940">
        <w:rPr>
          <w:rFonts w:ascii="Times New Roman" w:hAnsi="Times New Roman"/>
          <w:noProof w:val="0"/>
          <w:sz w:val="24"/>
          <w:szCs w:val="24"/>
        </w:rPr>
        <w:t xml:space="preserve">. </w:t>
      </w:r>
      <w:r w:rsidRPr="001B4940" w:rsidR="00090C0E">
        <w:rPr>
          <w:rFonts w:ascii="Times New Roman" w:hAnsi="Times New Roman"/>
          <w:noProof w:val="0"/>
          <w:sz w:val="24"/>
          <w:szCs w:val="24"/>
        </w:rPr>
        <w:t xml:space="preserve"> </w:t>
      </w:r>
      <w:r w:rsidRPr="000550C7" w:rsidR="00A52C58">
        <w:rPr>
          <w:rFonts w:ascii="Times New Roman" w:hAnsi="Times New Roman"/>
          <w:noProof w:val="0"/>
          <w:sz w:val="24"/>
          <w:szCs w:val="24"/>
        </w:rPr>
        <w:t>This</w:t>
      </w:r>
      <w:r w:rsidRPr="000550C7" w:rsidR="00A52C58">
        <w:rPr>
          <w:rFonts w:ascii="Times New Roman" w:hAnsi="Times New Roman"/>
          <w:noProof w:val="0"/>
          <w:sz w:val="24"/>
          <w:szCs w:val="24"/>
        </w:rPr>
        <w:t xml:space="preserve"> collection of information does </w:t>
      </w:r>
      <w:r w:rsidRPr="000550C7" w:rsidR="00A52C58">
        <w:rPr>
          <w:rFonts w:ascii="Times New Roman" w:hAnsi="Times New Roman"/>
          <w:noProof w:val="0"/>
          <w:sz w:val="24"/>
          <w:szCs w:val="24"/>
        </w:rPr>
        <w:t>not propose to provide</w:t>
      </w:r>
      <w:r w:rsidRPr="000550C7" w:rsidR="00A52C58">
        <w:rPr>
          <w:rFonts w:ascii="Times New Roman" w:hAnsi="Times New Roman"/>
          <w:noProof w:val="0"/>
          <w:sz w:val="24"/>
          <w:szCs w:val="24"/>
        </w:rPr>
        <w:t xml:space="preserve"> any payment or gift to respondents.</w:t>
      </w:r>
    </w:p>
    <w:p w:rsidR="00A52C58" w:rsidRPr="000550C7" w:rsidP="000550C7" w14:paraId="5E289146" w14:textId="77777777">
      <w:pPr>
        <w:contextualSpacing/>
        <w:rPr>
          <w:rFonts w:ascii="Times New Roman" w:hAnsi="Times New Roman"/>
          <w:noProof w:val="0"/>
          <w:sz w:val="24"/>
          <w:szCs w:val="24"/>
        </w:rPr>
      </w:pPr>
    </w:p>
    <w:p w:rsidR="001A64B0" w:rsidRPr="00AA4A98" w:rsidP="006563A4" w14:paraId="6FFC89FC" w14:textId="69461E7A">
      <w:pPr>
        <w:tabs>
          <w:tab w:val="left" w:pos="720"/>
          <w:tab w:val="left" w:pos="1440"/>
          <w:tab w:val="left" w:pos="2160"/>
        </w:tabs>
        <w:contextualSpacing/>
        <w:rPr>
          <w:rFonts w:ascii="Times New Roman" w:hAnsi="Times New Roman"/>
          <w:sz w:val="24"/>
          <w:szCs w:val="24"/>
        </w:rPr>
      </w:pPr>
      <w:r w:rsidRPr="000550C7">
        <w:rPr>
          <w:rFonts w:ascii="Times New Roman" w:hAnsi="Times New Roman"/>
          <w:noProof w:val="0"/>
          <w:sz w:val="24"/>
          <w:szCs w:val="24"/>
        </w:rPr>
        <w:t xml:space="preserve">10. </w:t>
      </w:r>
      <w:r w:rsidRPr="000550C7" w:rsidR="00090C0E">
        <w:rPr>
          <w:rFonts w:ascii="Times New Roman" w:hAnsi="Times New Roman"/>
          <w:noProof w:val="0"/>
          <w:sz w:val="24"/>
          <w:szCs w:val="24"/>
        </w:rPr>
        <w:t xml:space="preserve"> </w:t>
      </w:r>
      <w:r w:rsidRPr="00AA4A98" w:rsidR="009151B2">
        <w:rPr>
          <w:rFonts w:ascii="Times New Roman" w:hAnsi="Times New Roman"/>
          <w:sz w:val="24"/>
          <w:szCs w:val="24"/>
        </w:rPr>
        <w:t>Information requested in this collection may be considered confidential business information if marked as such in accordance with 28 CFR 16.8(c) and Exemption 4 of the Freedom of Information Act (FOIA).  Submitters who are required to furnish commercial or financial information to the government are protected from the competitive disadvantages that could result from disclosure of such information.  The information is protected by DEA through secure storage, limited access, and federal regulatory and DEA procedures.  In the event a FOIA request is made to obtain information that has been designated as confidential business information per 28 CFR 16.8(c) and Exemption 4 of FOIA, the DEA will give written notice to the submitter to allow an opportunity to object within a reasonable time prior to any disclosure by DEA.</w:t>
      </w:r>
    </w:p>
    <w:p w:rsidR="009151B2" w:rsidRPr="001B4940" w:rsidP="000550C7" w14:paraId="46467AAA" w14:textId="77777777">
      <w:pPr>
        <w:contextualSpacing/>
        <w:rPr>
          <w:rFonts w:ascii="Times New Roman" w:hAnsi="Times New Roman"/>
          <w:noProof w:val="0"/>
          <w:sz w:val="24"/>
          <w:szCs w:val="24"/>
        </w:rPr>
      </w:pPr>
    </w:p>
    <w:p w:rsidR="00072531" w:rsidRPr="000550C7" w:rsidP="006563A4" w14:paraId="08DF6B20" w14:textId="3F925976">
      <w:pPr>
        <w:tabs>
          <w:tab w:val="left" w:pos="720"/>
          <w:tab w:val="left" w:pos="1440"/>
          <w:tab w:val="left" w:pos="2160"/>
        </w:tabs>
        <w:contextualSpacing/>
        <w:rPr>
          <w:rFonts w:ascii="Times New Roman" w:hAnsi="Times New Roman"/>
          <w:noProof w:val="0"/>
          <w:sz w:val="24"/>
          <w:szCs w:val="24"/>
        </w:rPr>
      </w:pPr>
      <w:r w:rsidRPr="001B4940">
        <w:rPr>
          <w:rFonts w:ascii="Times New Roman" w:hAnsi="Times New Roman"/>
          <w:noProof w:val="0"/>
          <w:sz w:val="24"/>
          <w:szCs w:val="24"/>
        </w:rPr>
        <w:t>11</w:t>
      </w:r>
      <w:r w:rsidRPr="001B4940">
        <w:rPr>
          <w:rFonts w:ascii="Times New Roman" w:hAnsi="Times New Roman"/>
          <w:noProof w:val="0"/>
          <w:sz w:val="24"/>
          <w:szCs w:val="24"/>
        </w:rPr>
        <w:t xml:space="preserve">. </w:t>
      </w:r>
      <w:r w:rsidRPr="000550C7" w:rsidR="00090C0E">
        <w:rPr>
          <w:rFonts w:ascii="Times New Roman" w:hAnsi="Times New Roman"/>
          <w:noProof w:val="0"/>
          <w:sz w:val="24"/>
          <w:szCs w:val="24"/>
        </w:rPr>
        <w:t xml:space="preserve"> </w:t>
      </w:r>
      <w:r w:rsidRPr="000550C7" w:rsidR="00B051D2">
        <w:rPr>
          <w:rFonts w:ascii="Times New Roman" w:hAnsi="Times New Roman"/>
          <w:noProof w:val="0"/>
          <w:sz w:val="24"/>
          <w:szCs w:val="24"/>
        </w:rPr>
        <w:t>This</w:t>
      </w:r>
      <w:r w:rsidRPr="000550C7" w:rsidR="00B051D2">
        <w:rPr>
          <w:rFonts w:ascii="Times New Roman" w:hAnsi="Times New Roman"/>
          <w:noProof w:val="0"/>
          <w:sz w:val="24"/>
          <w:szCs w:val="24"/>
        </w:rPr>
        <w:t xml:space="preserve"> collection of information does </w:t>
      </w:r>
      <w:r w:rsidR="00181D95">
        <w:rPr>
          <w:rFonts w:ascii="Times New Roman" w:hAnsi="Times New Roman"/>
          <w:noProof w:val="0"/>
          <w:sz w:val="24"/>
          <w:szCs w:val="24"/>
        </w:rPr>
        <w:t xml:space="preserve">not </w:t>
      </w:r>
      <w:r w:rsidRPr="000550C7" w:rsidR="00B051D2">
        <w:rPr>
          <w:rFonts w:ascii="Times New Roman" w:hAnsi="Times New Roman"/>
          <w:noProof w:val="0"/>
          <w:sz w:val="24"/>
          <w:szCs w:val="24"/>
        </w:rPr>
        <w:t>ask any questions of a sensitive nature.</w:t>
      </w:r>
    </w:p>
    <w:p w:rsidR="00B051D2" w:rsidRPr="000550C7" w:rsidP="000550C7" w14:paraId="7E1D5A47" w14:textId="77777777">
      <w:pPr>
        <w:tabs>
          <w:tab w:val="left" w:pos="720"/>
          <w:tab w:val="left" w:pos="1440"/>
          <w:tab w:val="left" w:pos="2160"/>
        </w:tabs>
        <w:contextualSpacing/>
        <w:rPr>
          <w:rFonts w:ascii="Times New Roman" w:hAnsi="Times New Roman"/>
          <w:noProof w:val="0"/>
          <w:sz w:val="24"/>
          <w:szCs w:val="24"/>
        </w:rPr>
      </w:pPr>
    </w:p>
    <w:p w:rsidR="001B0FF5" w:rsidP="5F5A509C" w14:paraId="30F446C1" w14:textId="2C24F040">
      <w:pPr>
        <w:pStyle w:val="BodyText2"/>
        <w:spacing w:line="240" w:lineRule="auto"/>
        <w:contextualSpacing/>
      </w:pPr>
      <w:r>
        <w:t>12</w:t>
      </w:r>
      <w:r>
        <w:t>.</w:t>
      </w:r>
      <w:r w:rsidR="3B196671">
        <w:t xml:space="preserve"> </w:t>
      </w:r>
      <w:r>
        <w:t xml:space="preserve"> </w:t>
      </w:r>
      <w:r w:rsidR="56487799">
        <w:t>This</w:t>
      </w:r>
      <w:r w:rsidR="56487799">
        <w:t xml:space="preserve"> rule will affect</w:t>
      </w:r>
      <w:r w:rsidR="7D9F07EA">
        <w:t xml:space="preserve"> a</w:t>
      </w:r>
      <w:r w:rsidR="56487799">
        <w:t xml:space="preserve">pproximately </w:t>
      </w:r>
      <w:bookmarkStart w:id="1" w:name="OLE_LINK9"/>
      <w:r w:rsidR="05600B07">
        <w:t>66,088</w:t>
      </w:r>
      <w:r w:rsidR="56487799">
        <w:t xml:space="preserve"> </w:t>
      </w:r>
      <w:bookmarkEnd w:id="1"/>
      <w:r w:rsidR="56487799">
        <w:t>pharmacies who are registering with DEA</w:t>
      </w:r>
      <w:r w:rsidR="011A70D7">
        <w:t xml:space="preserve"> to handle control substances</w:t>
      </w:r>
      <w:r w:rsidR="56487799">
        <w:t>.</w:t>
      </w:r>
      <w:r w:rsidR="011A70D7">
        <w:t xml:space="preserve"> </w:t>
      </w:r>
    </w:p>
    <w:p w:rsidR="00C21A7E" w:rsidP="000550C7" w14:paraId="0926461E" w14:textId="6A788346">
      <w:pPr>
        <w:contextualSpacing/>
        <w:rPr>
          <w:rFonts w:ascii="Times New Roman" w:hAnsi="Times New Roman"/>
          <w:sz w:val="24"/>
          <w:szCs w:val="24"/>
        </w:rPr>
      </w:pPr>
    </w:p>
    <w:tbl>
      <w:tblPr>
        <w:tblW w:w="10164" w:type="dxa"/>
        <w:tblLook w:val="04A0"/>
      </w:tblPr>
      <w:tblGrid>
        <w:gridCol w:w="1328"/>
        <w:gridCol w:w="1701"/>
        <w:gridCol w:w="1451"/>
        <w:gridCol w:w="1397"/>
        <w:gridCol w:w="1017"/>
        <w:gridCol w:w="1157"/>
        <w:gridCol w:w="910"/>
        <w:gridCol w:w="1316"/>
      </w:tblGrid>
      <w:tr w14:paraId="1DEFD0C1" w14:textId="77777777" w:rsidTr="5F5A509C">
        <w:tblPrEx>
          <w:tblW w:w="10164" w:type="dxa"/>
          <w:tblLook w:val="04A0"/>
        </w:tblPrEx>
        <w:trPr>
          <w:trHeight w:val="1042"/>
        </w:trPr>
        <w:tc>
          <w:tcPr>
            <w:tcW w:w="1276" w:type="dxa"/>
            <w:tcBorders>
              <w:top w:val="single" w:sz="8" w:space="0" w:color="auto"/>
              <w:left w:val="single" w:sz="8" w:space="0" w:color="auto"/>
              <w:bottom w:val="nil"/>
              <w:right w:val="single" w:sz="8" w:space="0" w:color="auto"/>
            </w:tcBorders>
            <w:shd w:val="clear" w:color="auto" w:fill="C5D9F1"/>
            <w:vAlign w:val="center"/>
            <w:hideMark/>
          </w:tcPr>
          <w:p w:rsidR="00E001D7" w:rsidRPr="00E001D7" w:rsidP="00E001D7" w14:paraId="1D6CACFE" w14:textId="77777777">
            <w:pPr>
              <w:rPr>
                <w:rFonts w:ascii="Times New Roman" w:hAnsi="Times New Roman"/>
                <w:noProof w:val="0"/>
                <w:color w:val="000000"/>
              </w:rPr>
            </w:pPr>
            <w:r w:rsidRPr="5F5A509C">
              <w:rPr>
                <w:rFonts w:ascii="Times New Roman" w:hAnsi="Times New Roman"/>
                <w:noProof w:val="0"/>
                <w:color w:val="000000" w:themeColor="text1"/>
              </w:rPr>
              <w:t> </w:t>
            </w:r>
            <w:r w:rsidRPr="5F5A509C">
              <w:rPr>
                <w:rFonts w:ascii="Times New Roman" w:hAnsi="Times New Roman"/>
                <w:b/>
                <w:bCs/>
                <w:noProof w:val="0"/>
                <w:color w:val="000000" w:themeColor="text1"/>
              </w:rPr>
              <w:t xml:space="preserve">Activity </w:t>
            </w:r>
          </w:p>
        </w:tc>
        <w:tc>
          <w:tcPr>
            <w:tcW w:w="1701" w:type="dxa"/>
            <w:tcBorders>
              <w:top w:val="single" w:sz="8" w:space="0" w:color="auto"/>
              <w:left w:val="nil"/>
              <w:bottom w:val="nil"/>
              <w:right w:val="single" w:sz="8" w:space="0" w:color="auto"/>
            </w:tcBorders>
            <w:shd w:val="clear" w:color="auto" w:fill="C5D9F1"/>
            <w:vAlign w:val="center"/>
            <w:hideMark/>
          </w:tcPr>
          <w:p w:rsidR="00E001D7" w:rsidRPr="00E001D7" w:rsidP="00E001D7" w14:paraId="6D354704" w14:textId="77777777">
            <w:pPr>
              <w:jc w:val="center"/>
              <w:rPr>
                <w:rFonts w:ascii="Times New Roman" w:hAnsi="Times New Roman"/>
                <w:b/>
                <w:bCs/>
                <w:noProof w:val="0"/>
                <w:color w:val="000000"/>
              </w:rPr>
            </w:pPr>
            <w:r w:rsidRPr="5F5A509C">
              <w:rPr>
                <w:rFonts w:ascii="Times New Roman" w:hAnsi="Times New Roman"/>
                <w:b/>
                <w:bCs/>
                <w:noProof w:val="0"/>
                <w:color w:val="000000" w:themeColor="text1"/>
              </w:rPr>
              <w:t>Number of Respondents</w:t>
            </w:r>
          </w:p>
        </w:tc>
        <w:tc>
          <w:tcPr>
            <w:tcW w:w="1451" w:type="dxa"/>
            <w:tcBorders>
              <w:top w:val="single" w:sz="8" w:space="0" w:color="auto"/>
              <w:left w:val="nil"/>
              <w:bottom w:val="nil"/>
              <w:right w:val="single" w:sz="8" w:space="0" w:color="auto"/>
            </w:tcBorders>
            <w:shd w:val="clear" w:color="auto" w:fill="C5D9F1"/>
            <w:vAlign w:val="center"/>
            <w:hideMark/>
          </w:tcPr>
          <w:p w:rsidR="00E001D7" w:rsidRPr="00E001D7" w:rsidP="00E001D7" w14:paraId="2FF24DE1" w14:textId="77777777">
            <w:pPr>
              <w:jc w:val="center"/>
              <w:rPr>
                <w:rFonts w:ascii="Times New Roman" w:hAnsi="Times New Roman"/>
                <w:b/>
                <w:bCs/>
                <w:noProof w:val="0"/>
                <w:color w:val="000000"/>
              </w:rPr>
            </w:pPr>
            <w:r w:rsidRPr="5F5A509C">
              <w:rPr>
                <w:rFonts w:ascii="Times New Roman" w:hAnsi="Times New Roman"/>
                <w:b/>
                <w:bCs/>
                <w:noProof w:val="0"/>
                <w:color w:val="000000" w:themeColor="text1"/>
              </w:rPr>
              <w:t>Frequency</w:t>
            </w:r>
          </w:p>
        </w:tc>
        <w:tc>
          <w:tcPr>
            <w:tcW w:w="1397" w:type="dxa"/>
            <w:tcBorders>
              <w:top w:val="single" w:sz="8" w:space="0" w:color="auto"/>
              <w:left w:val="nil"/>
              <w:bottom w:val="nil"/>
              <w:right w:val="single" w:sz="8" w:space="0" w:color="auto"/>
            </w:tcBorders>
            <w:shd w:val="clear" w:color="auto" w:fill="C5D9F1"/>
            <w:vAlign w:val="center"/>
            <w:hideMark/>
          </w:tcPr>
          <w:p w:rsidR="00E001D7" w:rsidRPr="00E001D7" w:rsidP="00E001D7" w14:paraId="7DA27A17" w14:textId="77777777">
            <w:pPr>
              <w:jc w:val="center"/>
              <w:rPr>
                <w:rFonts w:ascii="Times New Roman" w:hAnsi="Times New Roman"/>
                <w:b/>
                <w:bCs/>
                <w:noProof w:val="0"/>
                <w:color w:val="000000"/>
              </w:rPr>
            </w:pPr>
            <w:r w:rsidRPr="5F5A509C">
              <w:rPr>
                <w:rFonts w:ascii="Times New Roman" w:hAnsi="Times New Roman"/>
                <w:b/>
                <w:bCs/>
                <w:noProof w:val="0"/>
                <w:color w:val="000000" w:themeColor="text1"/>
              </w:rPr>
              <w:t>Total Annual Responses</w:t>
            </w:r>
          </w:p>
        </w:tc>
        <w:tc>
          <w:tcPr>
            <w:tcW w:w="964" w:type="dxa"/>
            <w:tcBorders>
              <w:top w:val="single" w:sz="8" w:space="0" w:color="auto"/>
              <w:left w:val="nil"/>
              <w:bottom w:val="nil"/>
              <w:right w:val="single" w:sz="8" w:space="0" w:color="auto"/>
            </w:tcBorders>
            <w:shd w:val="clear" w:color="auto" w:fill="C5D9F1"/>
            <w:vAlign w:val="center"/>
            <w:hideMark/>
          </w:tcPr>
          <w:p w:rsidR="00E001D7" w:rsidRPr="00E001D7" w:rsidP="00E001D7" w14:paraId="5D32BDE3" w14:textId="77777777">
            <w:pPr>
              <w:jc w:val="center"/>
              <w:rPr>
                <w:rFonts w:ascii="Times New Roman" w:hAnsi="Times New Roman"/>
                <w:b/>
                <w:bCs/>
                <w:noProof w:val="0"/>
                <w:color w:val="000000"/>
              </w:rPr>
            </w:pPr>
            <w:r w:rsidRPr="5F5A509C">
              <w:rPr>
                <w:rFonts w:ascii="Times New Roman" w:hAnsi="Times New Roman"/>
                <w:b/>
                <w:bCs/>
                <w:noProof w:val="0"/>
                <w:color w:val="000000" w:themeColor="text1"/>
              </w:rPr>
              <w:t>Time Per Response (Hours)</w:t>
            </w:r>
          </w:p>
        </w:tc>
        <w:tc>
          <w:tcPr>
            <w:tcW w:w="1157" w:type="dxa"/>
            <w:tcBorders>
              <w:top w:val="single" w:sz="8" w:space="0" w:color="auto"/>
              <w:left w:val="nil"/>
              <w:bottom w:val="nil"/>
              <w:right w:val="single" w:sz="8" w:space="0" w:color="auto"/>
            </w:tcBorders>
            <w:shd w:val="clear" w:color="auto" w:fill="C5D9F1"/>
            <w:vAlign w:val="center"/>
            <w:hideMark/>
          </w:tcPr>
          <w:p w:rsidR="00E001D7" w:rsidRPr="00E001D7" w:rsidP="00E001D7" w14:paraId="7EAB9F47" w14:textId="77777777">
            <w:pPr>
              <w:jc w:val="center"/>
              <w:rPr>
                <w:rFonts w:ascii="Times New Roman" w:hAnsi="Times New Roman"/>
                <w:b/>
                <w:bCs/>
                <w:noProof w:val="0"/>
                <w:color w:val="000000"/>
              </w:rPr>
            </w:pPr>
            <w:r w:rsidRPr="5F5A509C">
              <w:rPr>
                <w:rFonts w:ascii="Times New Roman" w:hAnsi="Times New Roman"/>
                <w:b/>
                <w:bCs/>
                <w:noProof w:val="0"/>
                <w:color w:val="000000" w:themeColor="text1"/>
              </w:rPr>
              <w:t>Total Annual Burden (Hours)</w:t>
            </w:r>
          </w:p>
        </w:tc>
        <w:tc>
          <w:tcPr>
            <w:tcW w:w="910" w:type="dxa"/>
            <w:tcBorders>
              <w:top w:val="single" w:sz="8" w:space="0" w:color="auto"/>
              <w:left w:val="nil"/>
              <w:bottom w:val="nil"/>
              <w:right w:val="single" w:sz="8" w:space="0" w:color="auto"/>
            </w:tcBorders>
            <w:shd w:val="clear" w:color="auto" w:fill="C5D9F1"/>
            <w:vAlign w:val="center"/>
            <w:hideMark/>
          </w:tcPr>
          <w:p w:rsidR="00E001D7" w:rsidRPr="00E001D7" w:rsidP="00E001D7" w14:paraId="190A63A0" w14:textId="77777777">
            <w:pPr>
              <w:jc w:val="center"/>
              <w:rPr>
                <w:rFonts w:ascii="Times New Roman" w:hAnsi="Times New Roman"/>
                <w:b/>
                <w:bCs/>
                <w:noProof w:val="0"/>
                <w:color w:val="000000"/>
              </w:rPr>
            </w:pPr>
            <w:r w:rsidRPr="5F5A509C">
              <w:rPr>
                <w:rFonts w:ascii="Times New Roman" w:hAnsi="Times New Roman"/>
                <w:b/>
                <w:bCs/>
                <w:noProof w:val="0"/>
                <w:color w:val="000000" w:themeColor="text1"/>
              </w:rPr>
              <w:t>Hourly Rate*</w:t>
            </w:r>
          </w:p>
        </w:tc>
        <w:tc>
          <w:tcPr>
            <w:tcW w:w="1308" w:type="dxa"/>
            <w:tcBorders>
              <w:top w:val="single" w:sz="8" w:space="0" w:color="auto"/>
              <w:left w:val="nil"/>
              <w:bottom w:val="nil"/>
              <w:right w:val="single" w:sz="8" w:space="0" w:color="auto"/>
            </w:tcBorders>
            <w:shd w:val="clear" w:color="auto" w:fill="C5D9F1"/>
            <w:vAlign w:val="center"/>
            <w:hideMark/>
          </w:tcPr>
          <w:p w:rsidR="00E001D7" w:rsidRPr="00E001D7" w:rsidP="00E001D7" w14:paraId="3E9CBC47" w14:textId="77777777">
            <w:pPr>
              <w:jc w:val="center"/>
              <w:rPr>
                <w:rFonts w:ascii="Times New Roman" w:hAnsi="Times New Roman"/>
                <w:b/>
                <w:bCs/>
                <w:noProof w:val="0"/>
                <w:color w:val="000000"/>
              </w:rPr>
            </w:pPr>
            <w:r w:rsidRPr="5F5A509C">
              <w:rPr>
                <w:rFonts w:ascii="Times New Roman" w:hAnsi="Times New Roman"/>
                <w:b/>
                <w:bCs/>
                <w:noProof w:val="0"/>
                <w:color w:val="000000" w:themeColor="text1"/>
              </w:rPr>
              <w:t xml:space="preserve"> Monetized Value of Respondent Time </w:t>
            </w:r>
          </w:p>
        </w:tc>
      </w:tr>
      <w:tr w14:paraId="6FF5B9E2" w14:textId="77777777" w:rsidTr="5F5A509C">
        <w:tblPrEx>
          <w:tblW w:w="10164" w:type="dxa"/>
          <w:tblLook w:val="04A0"/>
        </w:tblPrEx>
        <w:trPr>
          <w:trHeight w:val="575"/>
        </w:trPr>
        <w:tc>
          <w:tcPr>
            <w:tcW w:w="1276" w:type="dxa"/>
            <w:tcBorders>
              <w:top w:val="single" w:sz="8" w:space="0" w:color="auto"/>
              <w:left w:val="single" w:sz="8" w:space="0" w:color="auto"/>
              <w:bottom w:val="single" w:sz="8" w:space="0" w:color="auto"/>
              <w:right w:val="single" w:sz="8" w:space="0" w:color="auto"/>
            </w:tcBorders>
            <w:vAlign w:val="bottom"/>
            <w:hideMark/>
          </w:tcPr>
          <w:p w:rsidR="00E001D7" w:rsidRPr="00E001D7" w:rsidP="5F5A509C" w14:paraId="1428313E" w14:textId="77777777">
            <w:pPr>
              <w:rPr>
                <w:rFonts w:ascii="Times New Roman" w:hAnsi="Times New Roman"/>
                <w:i/>
                <w:iCs/>
                <w:noProof w:val="0"/>
                <w:color w:val="000000"/>
                <w:sz w:val="22"/>
                <w:szCs w:val="22"/>
              </w:rPr>
            </w:pPr>
            <w:r w:rsidRPr="5F5A509C">
              <w:rPr>
                <w:rFonts w:ascii="Times New Roman" w:hAnsi="Times New Roman"/>
                <w:i/>
                <w:iCs/>
                <w:noProof w:val="0"/>
                <w:color w:val="000000" w:themeColor="text1"/>
                <w:sz w:val="22"/>
                <w:szCs w:val="22"/>
              </w:rPr>
              <w:t>Transfer of ESCP</w:t>
            </w:r>
          </w:p>
        </w:tc>
        <w:tc>
          <w:tcPr>
            <w:tcW w:w="1701" w:type="dxa"/>
            <w:tcBorders>
              <w:top w:val="single" w:sz="8" w:space="0" w:color="auto"/>
              <w:left w:val="nil"/>
              <w:bottom w:val="single" w:sz="8" w:space="0" w:color="auto"/>
              <w:right w:val="single" w:sz="8" w:space="0" w:color="auto"/>
            </w:tcBorders>
            <w:noWrap/>
            <w:vAlign w:val="bottom"/>
            <w:hideMark/>
          </w:tcPr>
          <w:p w:rsidR="00E001D7" w:rsidRPr="00E001D7" w:rsidP="5F5A509C" w14:paraId="64F5C2AE" w14:textId="77777777">
            <w:pPr>
              <w:jc w:val="right"/>
              <w:rPr>
                <w:rFonts w:ascii="Times New Roman" w:hAnsi="Times New Roman"/>
                <w:noProof w:val="0"/>
                <w:color w:val="000000"/>
                <w:sz w:val="22"/>
                <w:szCs w:val="22"/>
              </w:rPr>
            </w:pPr>
            <w:r w:rsidRPr="5F5A509C">
              <w:rPr>
                <w:rFonts w:ascii="Times New Roman" w:hAnsi="Times New Roman"/>
                <w:noProof w:val="0"/>
                <w:color w:val="000000" w:themeColor="text1"/>
                <w:sz w:val="22"/>
                <w:szCs w:val="22"/>
              </w:rPr>
              <w:t xml:space="preserve">                            66,088 </w:t>
            </w:r>
          </w:p>
        </w:tc>
        <w:tc>
          <w:tcPr>
            <w:tcW w:w="1451" w:type="dxa"/>
            <w:tcBorders>
              <w:top w:val="single" w:sz="8" w:space="0" w:color="auto"/>
              <w:left w:val="nil"/>
              <w:bottom w:val="single" w:sz="8" w:space="0" w:color="auto"/>
              <w:right w:val="nil"/>
            </w:tcBorders>
            <w:noWrap/>
            <w:vAlign w:val="bottom"/>
            <w:hideMark/>
          </w:tcPr>
          <w:p w:rsidR="00E001D7" w:rsidRPr="00E001D7" w:rsidP="00E001D7" w14:paraId="433A7F07" w14:textId="77777777">
            <w:pPr>
              <w:jc w:val="right"/>
              <w:rPr>
                <w:rFonts w:ascii="Times New Roman" w:hAnsi="Times New Roman"/>
                <w:noProof w:val="0"/>
                <w:color w:val="000000"/>
                <w:sz w:val="22"/>
                <w:szCs w:val="22"/>
              </w:rPr>
            </w:pPr>
            <w:r w:rsidRPr="5F5A509C">
              <w:rPr>
                <w:rFonts w:ascii="Times New Roman" w:hAnsi="Times New Roman"/>
                <w:noProof w:val="0"/>
                <w:color w:val="000000" w:themeColor="text1"/>
                <w:sz w:val="22"/>
                <w:szCs w:val="22"/>
              </w:rPr>
              <w:t>195.19429</w:t>
            </w:r>
          </w:p>
        </w:tc>
        <w:tc>
          <w:tcPr>
            <w:tcW w:w="1397" w:type="dxa"/>
            <w:tcBorders>
              <w:top w:val="single" w:sz="8" w:space="0" w:color="auto"/>
              <w:left w:val="single" w:sz="8" w:space="0" w:color="auto"/>
              <w:bottom w:val="single" w:sz="8" w:space="0" w:color="auto"/>
              <w:right w:val="single" w:sz="8" w:space="0" w:color="auto"/>
            </w:tcBorders>
            <w:noWrap/>
            <w:vAlign w:val="bottom"/>
            <w:hideMark/>
          </w:tcPr>
          <w:p w:rsidR="00E001D7" w:rsidRPr="00E001D7" w:rsidP="5F5A509C" w14:paraId="36280603" w14:textId="5977C597">
            <w:pPr>
              <w:jc w:val="right"/>
              <w:rPr>
                <w:rFonts w:ascii="Times New Roman" w:hAnsi="Times New Roman"/>
                <w:noProof w:val="0"/>
                <w:color w:val="000000"/>
                <w:sz w:val="22"/>
                <w:szCs w:val="22"/>
              </w:rPr>
            </w:pPr>
            <w:r w:rsidRPr="5F5A509C">
              <w:rPr>
                <w:rFonts w:ascii="Times New Roman" w:hAnsi="Times New Roman"/>
                <w:noProof w:val="0"/>
                <w:color w:val="000000" w:themeColor="text1"/>
                <w:sz w:val="22"/>
                <w:szCs w:val="22"/>
              </w:rPr>
              <w:t>12,900,000</w:t>
            </w:r>
          </w:p>
        </w:tc>
        <w:tc>
          <w:tcPr>
            <w:tcW w:w="964" w:type="dxa"/>
            <w:tcBorders>
              <w:top w:val="single" w:sz="8" w:space="0" w:color="auto"/>
              <w:left w:val="nil"/>
              <w:bottom w:val="single" w:sz="8" w:space="0" w:color="auto"/>
              <w:right w:val="nil"/>
            </w:tcBorders>
            <w:noWrap/>
            <w:vAlign w:val="bottom"/>
            <w:hideMark/>
          </w:tcPr>
          <w:p w:rsidR="00E001D7" w:rsidRPr="00E001D7" w:rsidP="00E001D7" w14:paraId="387B6C18" w14:textId="77777777">
            <w:pPr>
              <w:jc w:val="right"/>
              <w:rPr>
                <w:rFonts w:ascii="Times New Roman" w:hAnsi="Times New Roman"/>
                <w:noProof w:val="0"/>
                <w:color w:val="000000"/>
                <w:sz w:val="22"/>
                <w:szCs w:val="22"/>
              </w:rPr>
            </w:pPr>
            <w:r w:rsidRPr="5F5A509C">
              <w:rPr>
                <w:rFonts w:ascii="Times New Roman" w:hAnsi="Times New Roman"/>
                <w:noProof w:val="0"/>
                <w:color w:val="000000" w:themeColor="text1"/>
                <w:sz w:val="22"/>
                <w:szCs w:val="22"/>
              </w:rPr>
              <w:t>0.05</w:t>
            </w:r>
          </w:p>
        </w:tc>
        <w:tc>
          <w:tcPr>
            <w:tcW w:w="1157" w:type="dxa"/>
            <w:tcBorders>
              <w:top w:val="single" w:sz="8" w:space="0" w:color="auto"/>
              <w:left w:val="single" w:sz="8" w:space="0" w:color="auto"/>
              <w:bottom w:val="single" w:sz="8" w:space="0" w:color="auto"/>
              <w:right w:val="single" w:sz="8" w:space="0" w:color="auto"/>
            </w:tcBorders>
            <w:noWrap/>
            <w:vAlign w:val="bottom"/>
            <w:hideMark/>
          </w:tcPr>
          <w:p w:rsidR="00E001D7" w:rsidRPr="00E001D7" w:rsidP="5F5A509C" w14:paraId="71EEA7BD" w14:textId="77777777">
            <w:pPr>
              <w:jc w:val="right"/>
              <w:rPr>
                <w:rFonts w:ascii="Times New Roman" w:hAnsi="Times New Roman"/>
                <w:noProof w:val="0"/>
                <w:color w:val="000000"/>
                <w:sz w:val="22"/>
                <w:szCs w:val="22"/>
              </w:rPr>
            </w:pPr>
            <w:r w:rsidRPr="5F5A509C">
              <w:rPr>
                <w:rFonts w:ascii="Times New Roman" w:hAnsi="Times New Roman"/>
                <w:noProof w:val="0"/>
                <w:color w:val="000000" w:themeColor="text1"/>
                <w:sz w:val="22"/>
                <w:szCs w:val="22"/>
              </w:rPr>
              <w:t xml:space="preserve">      645,000 </w:t>
            </w:r>
          </w:p>
        </w:tc>
        <w:tc>
          <w:tcPr>
            <w:tcW w:w="910" w:type="dxa"/>
            <w:tcBorders>
              <w:top w:val="single" w:sz="8" w:space="0" w:color="auto"/>
              <w:left w:val="nil"/>
              <w:bottom w:val="single" w:sz="8" w:space="0" w:color="auto"/>
              <w:right w:val="nil"/>
            </w:tcBorders>
            <w:noWrap/>
            <w:vAlign w:val="bottom"/>
            <w:hideMark/>
          </w:tcPr>
          <w:p w:rsidR="00E001D7" w:rsidRPr="00E001D7" w:rsidP="5F5A509C" w14:paraId="6BA5E163" w14:textId="2583F729">
            <w:pPr>
              <w:jc w:val="right"/>
              <w:rPr>
                <w:rFonts w:ascii="Times New Roman" w:hAnsi="Times New Roman"/>
                <w:noProof w:val="0"/>
                <w:color w:val="000000"/>
                <w:sz w:val="22"/>
                <w:szCs w:val="22"/>
              </w:rPr>
            </w:pPr>
            <w:r w:rsidRPr="5F5A509C">
              <w:rPr>
                <w:rFonts w:ascii="Times New Roman" w:hAnsi="Times New Roman"/>
                <w:noProof w:val="0"/>
                <w:color w:val="000000" w:themeColor="text1"/>
                <w:sz w:val="22"/>
                <w:szCs w:val="22"/>
              </w:rPr>
              <w:t xml:space="preserve"> $97.38 </w:t>
            </w:r>
          </w:p>
        </w:tc>
        <w:tc>
          <w:tcPr>
            <w:tcW w:w="1308" w:type="dxa"/>
            <w:tcBorders>
              <w:top w:val="single" w:sz="8" w:space="0" w:color="auto"/>
              <w:left w:val="single" w:sz="8" w:space="0" w:color="auto"/>
              <w:bottom w:val="single" w:sz="8" w:space="0" w:color="auto"/>
              <w:right w:val="single" w:sz="8" w:space="0" w:color="auto"/>
            </w:tcBorders>
            <w:noWrap/>
            <w:vAlign w:val="bottom"/>
            <w:hideMark/>
          </w:tcPr>
          <w:p w:rsidR="00E001D7" w:rsidRPr="00E001D7" w:rsidP="5F5A509C" w14:paraId="55C48A2D" w14:textId="7152DF62">
            <w:pPr>
              <w:jc w:val="right"/>
              <w:rPr>
                <w:rFonts w:ascii="Times New Roman" w:hAnsi="Times New Roman"/>
                <w:noProof w:val="0"/>
                <w:color w:val="000000"/>
                <w:sz w:val="22"/>
                <w:szCs w:val="22"/>
              </w:rPr>
            </w:pPr>
            <w:r w:rsidRPr="5F5A509C">
              <w:rPr>
                <w:rFonts w:ascii="Times New Roman" w:hAnsi="Times New Roman"/>
                <w:noProof w:val="0"/>
                <w:color w:val="000000" w:themeColor="text1"/>
                <w:sz w:val="22"/>
                <w:szCs w:val="22"/>
              </w:rPr>
              <w:t xml:space="preserve"> $62,810,100 </w:t>
            </w:r>
          </w:p>
        </w:tc>
      </w:tr>
      <w:tr w14:paraId="1A66E60F" w14:textId="77777777" w:rsidTr="5F5A509C">
        <w:tblPrEx>
          <w:tblW w:w="10164" w:type="dxa"/>
          <w:tblLook w:val="04A0"/>
        </w:tblPrEx>
        <w:trPr>
          <w:trHeight w:val="545"/>
        </w:trPr>
        <w:tc>
          <w:tcPr>
            <w:tcW w:w="1276" w:type="dxa"/>
            <w:tcBorders>
              <w:top w:val="nil"/>
              <w:left w:val="single" w:sz="8" w:space="0" w:color="auto"/>
              <w:bottom w:val="single" w:sz="8" w:space="0" w:color="auto"/>
              <w:right w:val="single" w:sz="8" w:space="0" w:color="auto"/>
            </w:tcBorders>
            <w:shd w:val="clear" w:color="auto" w:fill="C5D9F1"/>
            <w:vAlign w:val="center"/>
            <w:hideMark/>
          </w:tcPr>
          <w:p w:rsidR="00E001D7" w:rsidRPr="00E001D7" w:rsidP="5F5A509C" w14:paraId="40E915A0" w14:textId="77777777">
            <w:pPr>
              <w:rPr>
                <w:rFonts w:ascii="Times New Roman" w:hAnsi="Times New Roman"/>
                <w:b/>
                <w:bCs/>
                <w:i/>
                <w:iCs/>
                <w:noProof w:val="0"/>
                <w:color w:val="000000"/>
              </w:rPr>
            </w:pPr>
            <w:r w:rsidRPr="5F5A509C">
              <w:rPr>
                <w:rFonts w:ascii="Times New Roman" w:hAnsi="Times New Roman"/>
                <w:b/>
                <w:bCs/>
                <w:i/>
                <w:iCs/>
                <w:noProof w:val="0"/>
                <w:color w:val="000000" w:themeColor="text1"/>
              </w:rPr>
              <w:t>Unduplicated Totals</w:t>
            </w:r>
          </w:p>
        </w:tc>
        <w:tc>
          <w:tcPr>
            <w:tcW w:w="1701" w:type="dxa"/>
            <w:tcBorders>
              <w:top w:val="nil"/>
              <w:left w:val="nil"/>
              <w:bottom w:val="single" w:sz="8" w:space="0" w:color="auto"/>
              <w:right w:val="single" w:sz="8" w:space="0" w:color="auto"/>
            </w:tcBorders>
            <w:shd w:val="clear" w:color="auto" w:fill="C5D9F1"/>
            <w:vAlign w:val="center"/>
            <w:hideMark/>
          </w:tcPr>
          <w:p w:rsidR="00E001D7" w:rsidRPr="00E001D7" w:rsidP="5F5A509C" w14:paraId="48EF8526" w14:textId="2F44457E">
            <w:pPr>
              <w:jc w:val="right"/>
              <w:rPr>
                <w:rFonts w:ascii="Times New Roman" w:hAnsi="Times New Roman"/>
                <w:b/>
                <w:bCs/>
                <w:i/>
                <w:iCs/>
                <w:noProof w:val="0"/>
                <w:color w:val="000000"/>
              </w:rPr>
            </w:pPr>
            <w:r w:rsidRPr="5F5A509C">
              <w:rPr>
                <w:rFonts w:ascii="Times New Roman" w:hAnsi="Times New Roman"/>
                <w:b/>
                <w:bCs/>
                <w:i/>
                <w:iCs/>
                <w:noProof w:val="0"/>
                <w:color w:val="000000" w:themeColor="text1"/>
              </w:rPr>
              <w:t xml:space="preserve">                  66,088 </w:t>
            </w:r>
          </w:p>
        </w:tc>
        <w:tc>
          <w:tcPr>
            <w:tcW w:w="1451" w:type="dxa"/>
            <w:tcBorders>
              <w:top w:val="nil"/>
              <w:left w:val="nil"/>
              <w:bottom w:val="single" w:sz="8" w:space="0" w:color="auto"/>
              <w:right w:val="single" w:sz="8" w:space="0" w:color="auto"/>
            </w:tcBorders>
            <w:shd w:val="clear" w:color="auto" w:fill="C5D9F1"/>
            <w:vAlign w:val="center"/>
            <w:hideMark/>
          </w:tcPr>
          <w:p w:rsidR="00E001D7" w:rsidRPr="00E001D7" w:rsidP="5F5A509C" w14:paraId="27D3DD78" w14:textId="77777777">
            <w:pPr>
              <w:jc w:val="right"/>
              <w:rPr>
                <w:rFonts w:ascii="Times New Roman" w:hAnsi="Times New Roman"/>
                <w:b/>
                <w:bCs/>
                <w:i/>
                <w:iCs/>
                <w:noProof w:val="0"/>
                <w:color w:val="000000"/>
              </w:rPr>
            </w:pPr>
            <w:r w:rsidRPr="5F5A509C">
              <w:rPr>
                <w:rFonts w:ascii="Times New Roman" w:hAnsi="Times New Roman"/>
                <w:b/>
                <w:bCs/>
                <w:i/>
                <w:iCs/>
                <w:noProof w:val="0"/>
                <w:color w:val="000000" w:themeColor="text1"/>
              </w:rPr>
              <w:t>0</w:t>
            </w:r>
          </w:p>
        </w:tc>
        <w:tc>
          <w:tcPr>
            <w:tcW w:w="1397" w:type="dxa"/>
            <w:tcBorders>
              <w:top w:val="nil"/>
              <w:left w:val="nil"/>
              <w:bottom w:val="single" w:sz="8" w:space="0" w:color="auto"/>
              <w:right w:val="single" w:sz="8" w:space="0" w:color="auto"/>
            </w:tcBorders>
            <w:shd w:val="clear" w:color="auto" w:fill="C5D9F1"/>
            <w:vAlign w:val="center"/>
            <w:hideMark/>
          </w:tcPr>
          <w:p w:rsidR="00E001D7" w:rsidRPr="00E001D7" w:rsidP="5F5A509C" w14:paraId="05E41632" w14:textId="77777777">
            <w:pPr>
              <w:jc w:val="right"/>
              <w:rPr>
                <w:rFonts w:ascii="Times New Roman" w:hAnsi="Times New Roman"/>
                <w:b/>
                <w:bCs/>
                <w:i/>
                <w:iCs/>
                <w:noProof w:val="0"/>
                <w:color w:val="000000"/>
              </w:rPr>
            </w:pPr>
            <w:r w:rsidRPr="5F5A509C">
              <w:rPr>
                <w:rFonts w:ascii="Times New Roman" w:hAnsi="Times New Roman"/>
                <w:b/>
                <w:bCs/>
                <w:i/>
                <w:iCs/>
                <w:noProof w:val="0"/>
                <w:color w:val="000000" w:themeColor="text1"/>
              </w:rPr>
              <w:t xml:space="preserve">  12,900,000 </w:t>
            </w:r>
          </w:p>
        </w:tc>
        <w:tc>
          <w:tcPr>
            <w:tcW w:w="964" w:type="dxa"/>
            <w:tcBorders>
              <w:top w:val="nil"/>
              <w:left w:val="nil"/>
              <w:bottom w:val="single" w:sz="8" w:space="0" w:color="auto"/>
              <w:right w:val="nil"/>
            </w:tcBorders>
            <w:shd w:val="clear" w:color="auto" w:fill="C5D9F1"/>
            <w:vAlign w:val="center"/>
            <w:hideMark/>
          </w:tcPr>
          <w:p w:rsidR="00E001D7" w:rsidRPr="00E001D7" w:rsidP="5F5A509C" w14:paraId="1A342839" w14:textId="77777777">
            <w:pPr>
              <w:jc w:val="right"/>
              <w:rPr>
                <w:rFonts w:ascii="Times New Roman" w:hAnsi="Times New Roman"/>
                <w:b/>
                <w:bCs/>
                <w:i/>
                <w:iCs/>
                <w:noProof w:val="0"/>
                <w:color w:val="000000"/>
              </w:rPr>
            </w:pPr>
            <w:r w:rsidRPr="5F5A509C">
              <w:rPr>
                <w:rFonts w:ascii="Times New Roman" w:hAnsi="Times New Roman"/>
                <w:b/>
                <w:bCs/>
                <w:i/>
                <w:iCs/>
                <w:noProof w:val="0"/>
                <w:color w:val="000000" w:themeColor="text1"/>
              </w:rPr>
              <w:t>0.05</w:t>
            </w:r>
          </w:p>
        </w:tc>
        <w:tc>
          <w:tcPr>
            <w:tcW w:w="1157" w:type="dxa"/>
            <w:tcBorders>
              <w:top w:val="nil"/>
              <w:left w:val="single" w:sz="8" w:space="0" w:color="auto"/>
              <w:bottom w:val="single" w:sz="8" w:space="0" w:color="auto"/>
              <w:right w:val="single" w:sz="8" w:space="0" w:color="auto"/>
            </w:tcBorders>
            <w:shd w:val="clear" w:color="auto" w:fill="C5D9F1"/>
            <w:vAlign w:val="center"/>
            <w:hideMark/>
          </w:tcPr>
          <w:p w:rsidR="00E001D7" w:rsidRPr="00E001D7" w:rsidP="5F5A509C" w14:paraId="5DF7E50D" w14:textId="0FC1B3EE">
            <w:pPr>
              <w:jc w:val="right"/>
              <w:rPr>
                <w:rFonts w:ascii="Times New Roman" w:hAnsi="Times New Roman"/>
                <w:b/>
                <w:bCs/>
                <w:i/>
                <w:iCs/>
                <w:noProof w:val="0"/>
                <w:color w:val="000000"/>
              </w:rPr>
            </w:pPr>
            <w:r w:rsidRPr="5F5A509C">
              <w:rPr>
                <w:rFonts w:ascii="Times New Roman" w:hAnsi="Times New Roman"/>
                <w:b/>
                <w:bCs/>
                <w:i/>
                <w:iCs/>
                <w:noProof w:val="0"/>
                <w:color w:val="000000" w:themeColor="text1"/>
              </w:rPr>
              <w:t xml:space="preserve">     645,000 </w:t>
            </w:r>
          </w:p>
        </w:tc>
        <w:tc>
          <w:tcPr>
            <w:tcW w:w="910" w:type="dxa"/>
            <w:tcBorders>
              <w:top w:val="nil"/>
              <w:left w:val="nil"/>
              <w:bottom w:val="single" w:sz="8" w:space="0" w:color="auto"/>
              <w:right w:val="nil"/>
            </w:tcBorders>
            <w:shd w:val="clear" w:color="auto" w:fill="C5D9F1"/>
            <w:vAlign w:val="center"/>
            <w:hideMark/>
          </w:tcPr>
          <w:p w:rsidR="00E001D7" w:rsidRPr="00E001D7" w:rsidP="5F5A509C" w14:paraId="0A1B1578" w14:textId="7F312947">
            <w:pPr>
              <w:jc w:val="right"/>
              <w:rPr>
                <w:rFonts w:ascii="Times New Roman" w:hAnsi="Times New Roman"/>
                <w:b/>
                <w:bCs/>
                <w:i/>
                <w:iCs/>
                <w:noProof w:val="0"/>
                <w:color w:val="000000"/>
              </w:rPr>
            </w:pPr>
            <w:r w:rsidRPr="5F5A509C">
              <w:rPr>
                <w:rFonts w:ascii="Times New Roman" w:hAnsi="Times New Roman"/>
                <w:b/>
                <w:bCs/>
                <w:i/>
                <w:iCs/>
                <w:noProof w:val="0"/>
                <w:color w:val="000000" w:themeColor="text1"/>
              </w:rPr>
              <w:t xml:space="preserve"> $ 97.38 </w:t>
            </w:r>
          </w:p>
        </w:tc>
        <w:tc>
          <w:tcPr>
            <w:tcW w:w="1308" w:type="dxa"/>
            <w:tcBorders>
              <w:top w:val="nil"/>
              <w:left w:val="single" w:sz="8" w:space="0" w:color="auto"/>
              <w:bottom w:val="single" w:sz="8" w:space="0" w:color="auto"/>
              <w:right w:val="single" w:sz="8" w:space="0" w:color="auto"/>
            </w:tcBorders>
            <w:shd w:val="clear" w:color="auto" w:fill="C5D9F1"/>
            <w:vAlign w:val="center"/>
            <w:hideMark/>
          </w:tcPr>
          <w:p w:rsidR="00E001D7" w:rsidRPr="00E001D7" w:rsidP="5F5A509C" w14:paraId="4C1345BB" w14:textId="65F2271D">
            <w:pPr>
              <w:jc w:val="right"/>
              <w:rPr>
                <w:rFonts w:ascii="Times New Roman" w:hAnsi="Times New Roman"/>
                <w:b/>
                <w:bCs/>
                <w:i/>
                <w:iCs/>
                <w:noProof w:val="0"/>
                <w:color w:val="000000"/>
              </w:rPr>
            </w:pPr>
            <w:r w:rsidRPr="5F5A509C">
              <w:rPr>
                <w:rFonts w:ascii="Times New Roman" w:hAnsi="Times New Roman"/>
                <w:b/>
                <w:bCs/>
                <w:i/>
                <w:iCs/>
                <w:noProof w:val="0"/>
                <w:color w:val="000000" w:themeColor="text1"/>
              </w:rPr>
              <w:t xml:space="preserve"> $ 62,810,100 </w:t>
            </w:r>
          </w:p>
        </w:tc>
      </w:tr>
    </w:tbl>
    <w:p w:rsidR="00C21A7E" w:rsidRPr="00867BE8" w:rsidP="5F5A509C" w14:paraId="77997E3F" w14:textId="1D9E527F">
      <w:pPr>
        <w:contextualSpacing/>
        <w:rPr>
          <w:rFonts w:ascii="Times New Roman" w:hAnsi="Times New Roman"/>
          <w:sz w:val="20"/>
          <w:szCs w:val="20"/>
        </w:rPr>
      </w:pPr>
      <w:r w:rsidRPr="5F5A509C">
        <w:rPr>
          <w:rFonts w:ascii="Times New Roman" w:hAnsi="Times New Roman"/>
        </w:rPr>
        <w:t xml:space="preserve"> </w:t>
      </w:r>
    </w:p>
    <w:p w:rsidR="5F5A509C" w14:paraId="695B2F09" w14:textId="244E7126"/>
    <w:p w:rsidR="5F5A509C" w14:paraId="6C8C424B" w14:textId="77DC8AEA"/>
    <w:p w:rsidR="00572EEB" w:rsidP="5F5A509C" w14:paraId="0B64C868" w14:textId="77777777">
      <w:pPr>
        <w:contextualSpacing/>
        <w:rPr>
          <w:rFonts w:ascii="Times New Roman" w:hAnsi="Times New Roman"/>
          <w:sz w:val="24"/>
          <w:szCs w:val="24"/>
        </w:rPr>
      </w:pPr>
    </w:p>
    <w:tbl>
      <w:tblPr>
        <w:tblW w:w="5040" w:type="dxa"/>
        <w:tblLook w:val="04A0"/>
      </w:tblPr>
      <w:tblGrid>
        <w:gridCol w:w="1500"/>
        <w:gridCol w:w="2440"/>
        <w:gridCol w:w="1100"/>
      </w:tblGrid>
      <w:tr w14:paraId="09D8057E" w14:textId="77777777" w:rsidTr="5F5A509C">
        <w:tblPrEx>
          <w:tblW w:w="5040" w:type="dxa"/>
          <w:tblLook w:val="04A0"/>
        </w:tblPrEx>
        <w:trPr>
          <w:trHeight w:val="300"/>
        </w:trPr>
        <w:tc>
          <w:tcPr>
            <w:tcW w:w="1500" w:type="dxa"/>
            <w:tcBorders>
              <w:top w:val="nil"/>
              <w:left w:val="nil"/>
              <w:bottom w:val="nil"/>
              <w:right w:val="nil"/>
            </w:tcBorders>
            <w:noWrap/>
            <w:vAlign w:val="bottom"/>
            <w:hideMark/>
          </w:tcPr>
          <w:p w:rsidR="00EB5440" w:rsidRPr="00EB5440" w:rsidP="00EB5440" w14:paraId="246FC435" w14:textId="77777777">
            <w:pPr>
              <w:rPr>
                <w:rFonts w:ascii="Times New Roman" w:hAnsi="Times New Roman"/>
                <w:noProof w:val="0"/>
                <w:color w:val="000000"/>
                <w:sz w:val="22"/>
                <w:szCs w:val="22"/>
              </w:rPr>
            </w:pPr>
            <w:r w:rsidRPr="5F5A509C">
              <w:rPr>
                <w:rFonts w:ascii="Times New Roman" w:hAnsi="Times New Roman"/>
                <w:noProof w:val="0"/>
                <w:color w:val="000000" w:themeColor="text1"/>
                <w:sz w:val="22"/>
                <w:szCs w:val="22"/>
              </w:rPr>
              <w:t>Hourly Rate*</w:t>
            </w:r>
          </w:p>
        </w:tc>
        <w:tc>
          <w:tcPr>
            <w:tcW w:w="2440" w:type="dxa"/>
            <w:tcBorders>
              <w:top w:val="nil"/>
              <w:left w:val="nil"/>
              <w:bottom w:val="nil"/>
              <w:right w:val="nil"/>
            </w:tcBorders>
            <w:noWrap/>
            <w:vAlign w:val="bottom"/>
            <w:hideMark/>
          </w:tcPr>
          <w:p w:rsidR="00EB5440" w:rsidRPr="00EB5440" w:rsidP="00EB5440" w14:paraId="6EC6E743" w14:textId="77777777">
            <w:pPr>
              <w:rPr>
                <w:rFonts w:ascii="Times New Roman" w:hAnsi="Times New Roman"/>
                <w:noProof w:val="0"/>
                <w:color w:val="000000"/>
                <w:sz w:val="22"/>
                <w:szCs w:val="22"/>
              </w:rPr>
            </w:pPr>
          </w:p>
        </w:tc>
        <w:tc>
          <w:tcPr>
            <w:tcW w:w="1100" w:type="dxa"/>
            <w:tcBorders>
              <w:top w:val="nil"/>
              <w:left w:val="nil"/>
              <w:bottom w:val="nil"/>
              <w:right w:val="nil"/>
            </w:tcBorders>
            <w:noWrap/>
            <w:vAlign w:val="bottom"/>
            <w:hideMark/>
          </w:tcPr>
          <w:p w:rsidR="00EB5440" w:rsidRPr="00EB5440" w:rsidP="00EB5440" w14:paraId="5FA2F684" w14:textId="77777777">
            <w:pPr>
              <w:rPr>
                <w:rFonts w:ascii="Times New Roman" w:hAnsi="Times New Roman"/>
                <w:noProof w:val="0"/>
              </w:rPr>
            </w:pPr>
          </w:p>
        </w:tc>
      </w:tr>
      <w:tr w14:paraId="7036C078" w14:textId="77777777" w:rsidTr="5F5A509C">
        <w:tblPrEx>
          <w:tblW w:w="5040" w:type="dxa"/>
          <w:tblLook w:val="04A0"/>
        </w:tblPrEx>
        <w:trPr>
          <w:trHeight w:val="570"/>
        </w:trPr>
        <w:tc>
          <w:tcPr>
            <w:tcW w:w="1500" w:type="dxa"/>
            <w:tcBorders>
              <w:top w:val="nil"/>
              <w:left w:val="nil"/>
              <w:bottom w:val="nil"/>
              <w:right w:val="nil"/>
            </w:tcBorders>
            <w:noWrap/>
            <w:vAlign w:val="bottom"/>
            <w:hideMark/>
          </w:tcPr>
          <w:p w:rsidR="00EB5440" w:rsidRPr="00EB5440" w:rsidP="00EB5440" w14:paraId="3F575697" w14:textId="77777777">
            <w:pPr>
              <w:rPr>
                <w:rFonts w:ascii="Times New Roman" w:hAnsi="Times New Roman"/>
                <w:noProof w:val="0"/>
              </w:rPr>
            </w:pPr>
          </w:p>
        </w:tc>
        <w:tc>
          <w:tcPr>
            <w:tcW w:w="2440" w:type="dxa"/>
            <w:tcBorders>
              <w:top w:val="nil"/>
              <w:left w:val="nil"/>
              <w:bottom w:val="nil"/>
              <w:right w:val="nil"/>
            </w:tcBorders>
            <w:vAlign w:val="bottom"/>
            <w:hideMark/>
          </w:tcPr>
          <w:p w:rsidR="00EB5440" w:rsidRPr="00EB5440" w:rsidP="00EB5440" w14:paraId="14A1B1F4" w14:textId="27A2BC78">
            <w:pPr>
              <w:rPr>
                <w:rFonts w:ascii="Times New Roman" w:hAnsi="Times New Roman"/>
                <w:noProof w:val="0"/>
                <w:color w:val="000000"/>
                <w:sz w:val="22"/>
                <w:szCs w:val="22"/>
              </w:rPr>
            </w:pPr>
            <w:r w:rsidRPr="00EB5440">
              <w:rPr>
                <w:rFonts w:ascii="Times New Roman" w:hAnsi="Times New Roman"/>
                <w:noProof w:val="0"/>
                <w:color w:val="000000"/>
                <w:sz w:val="22"/>
                <w:szCs w:val="22"/>
              </w:rPr>
              <w:t>Estimated hourly wage ($/hour):</w:t>
            </w:r>
            <w:r>
              <w:rPr>
                <w:rStyle w:val="FootnoteReference"/>
                <w:rFonts w:ascii="Times New Roman" w:hAnsi="Times New Roman"/>
                <w:noProof w:val="0"/>
                <w:color w:val="000000"/>
                <w:sz w:val="24"/>
                <w:szCs w:val="24"/>
                <w:vertAlign w:val="superscript"/>
              </w:rPr>
              <w:footnoteReference w:id="8"/>
            </w:r>
          </w:p>
        </w:tc>
        <w:tc>
          <w:tcPr>
            <w:tcW w:w="1100" w:type="dxa"/>
            <w:tcBorders>
              <w:top w:val="nil"/>
              <w:left w:val="nil"/>
              <w:bottom w:val="nil"/>
              <w:right w:val="nil"/>
            </w:tcBorders>
            <w:noWrap/>
            <w:vAlign w:val="bottom"/>
            <w:hideMark/>
          </w:tcPr>
          <w:p w:rsidR="00EB5440" w:rsidRPr="00EB5440" w:rsidP="00EB5440" w14:paraId="1A34A1FA" w14:textId="081D8F9C">
            <w:pPr>
              <w:rPr>
                <w:rFonts w:ascii="Times New Roman" w:hAnsi="Times New Roman"/>
                <w:noProof w:val="0"/>
                <w:color w:val="000000"/>
                <w:sz w:val="22"/>
                <w:szCs w:val="22"/>
              </w:rPr>
            </w:pPr>
            <w:r w:rsidRPr="5F5A509C">
              <w:rPr>
                <w:rFonts w:ascii="Times New Roman" w:hAnsi="Times New Roman"/>
                <w:noProof w:val="0"/>
                <w:color w:val="000000" w:themeColor="text1"/>
                <w:sz w:val="22"/>
                <w:szCs w:val="22"/>
              </w:rPr>
              <w:t xml:space="preserve"> $    68.05 </w:t>
            </w:r>
          </w:p>
        </w:tc>
      </w:tr>
      <w:tr w14:paraId="796CD760" w14:textId="77777777" w:rsidTr="5F5A509C">
        <w:tblPrEx>
          <w:tblW w:w="5040" w:type="dxa"/>
          <w:tblLook w:val="04A0"/>
        </w:tblPrEx>
        <w:trPr>
          <w:trHeight w:val="850"/>
        </w:trPr>
        <w:tc>
          <w:tcPr>
            <w:tcW w:w="1500" w:type="dxa"/>
            <w:tcBorders>
              <w:top w:val="nil"/>
              <w:left w:val="nil"/>
              <w:bottom w:val="nil"/>
              <w:right w:val="nil"/>
            </w:tcBorders>
            <w:noWrap/>
            <w:vAlign w:val="bottom"/>
            <w:hideMark/>
          </w:tcPr>
          <w:p w:rsidR="00EB5440" w:rsidRPr="00EB5440" w:rsidP="00EB5440" w14:paraId="7F82B4D3" w14:textId="77777777">
            <w:pPr>
              <w:rPr>
                <w:rFonts w:ascii="Times New Roman" w:hAnsi="Times New Roman"/>
                <w:noProof w:val="0"/>
                <w:color w:val="000000"/>
                <w:sz w:val="22"/>
                <w:szCs w:val="22"/>
              </w:rPr>
            </w:pPr>
          </w:p>
        </w:tc>
        <w:tc>
          <w:tcPr>
            <w:tcW w:w="2440" w:type="dxa"/>
            <w:tcBorders>
              <w:top w:val="nil"/>
              <w:left w:val="nil"/>
              <w:bottom w:val="nil"/>
              <w:right w:val="nil"/>
            </w:tcBorders>
            <w:vAlign w:val="bottom"/>
            <w:hideMark/>
          </w:tcPr>
          <w:p w:rsidR="00EB5440" w:rsidRPr="00EB5440" w:rsidP="00EB5440" w14:paraId="545FFEF5" w14:textId="2D25CC2C">
            <w:pPr>
              <w:rPr>
                <w:rFonts w:ascii="Times New Roman" w:hAnsi="Times New Roman"/>
                <w:noProof w:val="0"/>
                <w:color w:val="000000"/>
                <w:sz w:val="22"/>
                <w:szCs w:val="22"/>
              </w:rPr>
            </w:pPr>
            <w:r w:rsidRPr="00EB5440">
              <w:rPr>
                <w:rFonts w:ascii="Times New Roman" w:hAnsi="Times New Roman"/>
                <w:noProof w:val="0"/>
                <w:color w:val="000000"/>
                <w:sz w:val="22"/>
                <w:szCs w:val="22"/>
              </w:rPr>
              <w:t>Load for benefits (percent of labor rate):</w:t>
            </w:r>
            <w:r>
              <w:rPr>
                <w:rStyle w:val="FootnoteReference"/>
                <w:rFonts w:ascii="Times New Roman" w:hAnsi="Times New Roman"/>
                <w:noProof w:val="0"/>
                <w:color w:val="000000"/>
                <w:sz w:val="24"/>
                <w:szCs w:val="24"/>
                <w:vertAlign w:val="superscript"/>
              </w:rPr>
              <w:footnoteReference w:id="9"/>
            </w:r>
          </w:p>
        </w:tc>
        <w:tc>
          <w:tcPr>
            <w:tcW w:w="1100" w:type="dxa"/>
            <w:tcBorders>
              <w:top w:val="nil"/>
              <w:left w:val="nil"/>
              <w:bottom w:val="single" w:sz="4" w:space="0" w:color="auto"/>
              <w:right w:val="nil"/>
            </w:tcBorders>
            <w:noWrap/>
            <w:vAlign w:val="bottom"/>
            <w:hideMark/>
          </w:tcPr>
          <w:p w:rsidR="00EB5440" w:rsidRPr="00EB5440" w:rsidP="00EB5440" w14:paraId="01C4E409" w14:textId="2EE92E4D">
            <w:pPr>
              <w:jc w:val="right"/>
              <w:rPr>
                <w:rFonts w:ascii="Times New Roman" w:hAnsi="Times New Roman"/>
                <w:noProof w:val="0"/>
                <w:color w:val="000000"/>
                <w:sz w:val="22"/>
                <w:szCs w:val="22"/>
              </w:rPr>
            </w:pPr>
            <w:r w:rsidRPr="5F5A509C">
              <w:rPr>
                <w:rFonts w:ascii="Times New Roman" w:hAnsi="Times New Roman"/>
                <w:noProof w:val="0"/>
                <w:color w:val="000000" w:themeColor="text1"/>
                <w:sz w:val="22"/>
                <w:szCs w:val="22"/>
              </w:rPr>
              <w:t>43</w:t>
            </w:r>
            <w:r w:rsidRPr="5F5A509C" w:rsidR="16830641">
              <w:rPr>
                <w:rFonts w:ascii="Times New Roman" w:hAnsi="Times New Roman"/>
                <w:noProof w:val="0"/>
                <w:color w:val="000000" w:themeColor="text1"/>
                <w:sz w:val="22"/>
                <w:szCs w:val="22"/>
              </w:rPr>
              <w:t>.1</w:t>
            </w:r>
            <w:r w:rsidRPr="5F5A509C">
              <w:rPr>
                <w:rFonts w:ascii="Times New Roman" w:hAnsi="Times New Roman"/>
                <w:noProof w:val="0"/>
                <w:color w:val="000000" w:themeColor="text1"/>
                <w:sz w:val="22"/>
                <w:szCs w:val="22"/>
              </w:rPr>
              <w:t>%</w:t>
            </w:r>
          </w:p>
        </w:tc>
      </w:tr>
      <w:tr w14:paraId="71EC76F0" w14:textId="77777777" w:rsidTr="5F5A509C">
        <w:tblPrEx>
          <w:tblW w:w="5040" w:type="dxa"/>
          <w:tblLook w:val="04A0"/>
        </w:tblPrEx>
        <w:trPr>
          <w:trHeight w:val="570"/>
        </w:trPr>
        <w:tc>
          <w:tcPr>
            <w:tcW w:w="1500" w:type="dxa"/>
            <w:tcBorders>
              <w:top w:val="nil"/>
              <w:left w:val="nil"/>
              <w:bottom w:val="nil"/>
              <w:right w:val="nil"/>
            </w:tcBorders>
            <w:noWrap/>
            <w:vAlign w:val="bottom"/>
            <w:hideMark/>
          </w:tcPr>
          <w:p w:rsidR="00EB5440" w:rsidRPr="00EB5440" w:rsidP="00EB5440" w14:paraId="5F8F813A" w14:textId="77777777">
            <w:pPr>
              <w:jc w:val="right"/>
              <w:rPr>
                <w:rFonts w:ascii="Times New Roman" w:hAnsi="Times New Roman"/>
                <w:noProof w:val="0"/>
                <w:color w:val="000000"/>
                <w:sz w:val="22"/>
                <w:szCs w:val="22"/>
              </w:rPr>
            </w:pPr>
          </w:p>
        </w:tc>
        <w:tc>
          <w:tcPr>
            <w:tcW w:w="2440" w:type="dxa"/>
            <w:tcBorders>
              <w:top w:val="nil"/>
              <w:left w:val="nil"/>
              <w:bottom w:val="nil"/>
              <w:right w:val="nil"/>
            </w:tcBorders>
            <w:vAlign w:val="bottom"/>
            <w:hideMark/>
          </w:tcPr>
          <w:p w:rsidR="00EB5440" w:rsidRPr="00EB5440" w:rsidP="00EB5440" w14:paraId="1F5D6883" w14:textId="77777777">
            <w:pPr>
              <w:rPr>
                <w:rFonts w:ascii="Times New Roman" w:hAnsi="Times New Roman"/>
                <w:noProof w:val="0"/>
                <w:color w:val="000000"/>
                <w:sz w:val="22"/>
                <w:szCs w:val="22"/>
              </w:rPr>
            </w:pPr>
            <w:r w:rsidRPr="5F5A509C">
              <w:rPr>
                <w:rFonts w:ascii="Times New Roman" w:hAnsi="Times New Roman"/>
                <w:noProof w:val="0"/>
                <w:color w:val="000000" w:themeColor="text1"/>
                <w:sz w:val="22"/>
                <w:szCs w:val="22"/>
              </w:rPr>
              <w:t>Loaded labor rate ($/hour):</w:t>
            </w:r>
          </w:p>
        </w:tc>
        <w:tc>
          <w:tcPr>
            <w:tcW w:w="1100" w:type="dxa"/>
            <w:tcBorders>
              <w:top w:val="nil"/>
              <w:left w:val="nil"/>
              <w:bottom w:val="nil"/>
              <w:right w:val="nil"/>
            </w:tcBorders>
            <w:noWrap/>
            <w:vAlign w:val="bottom"/>
            <w:hideMark/>
          </w:tcPr>
          <w:p w:rsidR="00EB5440" w:rsidRPr="00EB5440" w:rsidP="00EB5440" w14:paraId="5D7F2648" w14:textId="21339CAA">
            <w:pPr>
              <w:rPr>
                <w:rFonts w:ascii="Times New Roman" w:hAnsi="Times New Roman"/>
                <w:noProof w:val="0"/>
                <w:color w:val="000000"/>
                <w:sz w:val="22"/>
                <w:szCs w:val="22"/>
              </w:rPr>
            </w:pPr>
            <w:r w:rsidRPr="5F5A509C">
              <w:rPr>
                <w:rFonts w:ascii="Times New Roman" w:hAnsi="Times New Roman"/>
                <w:noProof w:val="0"/>
                <w:color w:val="000000" w:themeColor="text1"/>
                <w:sz w:val="22"/>
                <w:szCs w:val="22"/>
              </w:rPr>
              <w:t xml:space="preserve"> $    97.38 </w:t>
            </w:r>
          </w:p>
        </w:tc>
      </w:tr>
    </w:tbl>
    <w:p w:rsidR="005E4262" w:rsidP="5F5A509C" w14:paraId="08577DA3" w14:textId="77777777">
      <w:pPr>
        <w:contextualSpacing/>
        <w:rPr>
          <w:rFonts w:ascii="Times New Roman" w:hAnsi="Times New Roman"/>
          <w:sz w:val="24"/>
          <w:szCs w:val="24"/>
        </w:rPr>
      </w:pPr>
    </w:p>
    <w:p w:rsidR="00EB5440" w:rsidRPr="00AA4A98" w:rsidP="000550C7" w14:paraId="2979F52F" w14:textId="77777777">
      <w:pPr>
        <w:contextualSpacing/>
        <w:rPr>
          <w:rFonts w:ascii="Times New Roman" w:hAnsi="Times New Roman"/>
          <w:sz w:val="24"/>
          <w:szCs w:val="24"/>
        </w:rPr>
      </w:pPr>
    </w:p>
    <w:p w:rsidR="00E75B77" w:rsidP="006563A4" w14:paraId="34E5F832" w14:textId="6E04B8BA">
      <w:pPr>
        <w:contextualSpacing/>
        <w:rPr>
          <w:rFonts w:ascii="Times New Roman" w:hAnsi="Times New Roman"/>
          <w:sz w:val="24"/>
          <w:szCs w:val="24"/>
        </w:rPr>
      </w:pPr>
      <w:r w:rsidRPr="00AA4A98">
        <w:rPr>
          <w:rFonts w:ascii="Times New Roman" w:hAnsi="Times New Roman"/>
          <w:sz w:val="24"/>
          <w:szCs w:val="24"/>
        </w:rPr>
        <w:t xml:space="preserve">13.  </w:t>
      </w:r>
      <w:r w:rsidRPr="00384754" w:rsidR="00E66732">
        <w:rPr>
          <w:rFonts w:ascii="Times New Roman" w:hAnsi="Times New Roman"/>
          <w:sz w:val="24"/>
          <w:szCs w:val="24"/>
        </w:rPr>
        <w:t>The estimated annual cost burden is zero.  Respondents are not estimated to incur any    a) additional start-up cost or capital expenditure, or b) additional operation and maintenance costs or purchase services as a result of this information collection.</w:t>
      </w:r>
    </w:p>
    <w:p w:rsidR="00E66732" w:rsidRPr="00AA4A98" w:rsidP="000550C7" w14:paraId="75611E9D" w14:textId="77777777">
      <w:pPr>
        <w:contextualSpacing/>
        <w:rPr>
          <w:rFonts w:ascii="Times New Roman" w:hAnsi="Times New Roman"/>
          <w:sz w:val="24"/>
          <w:szCs w:val="24"/>
        </w:rPr>
      </w:pPr>
    </w:p>
    <w:p w:rsidR="00D22ADC" w:rsidRPr="00AA4A98" w:rsidP="006563A4" w14:paraId="43E0C9CE" w14:textId="1A540748">
      <w:pPr>
        <w:contextualSpacing/>
        <w:rPr>
          <w:rFonts w:ascii="Times New Roman" w:hAnsi="Times New Roman"/>
          <w:sz w:val="24"/>
          <w:szCs w:val="24"/>
        </w:rPr>
      </w:pPr>
      <w:r w:rsidRPr="00AA4A98">
        <w:rPr>
          <w:rFonts w:ascii="Times New Roman" w:hAnsi="Times New Roman"/>
          <w:sz w:val="24"/>
          <w:szCs w:val="24"/>
        </w:rPr>
        <w:t xml:space="preserve">14.  </w:t>
      </w:r>
      <w:bookmarkStart w:id="2" w:name="OLE_LINK5"/>
      <w:bookmarkStart w:id="3" w:name="OLE_LINK6"/>
      <w:r w:rsidRPr="004B077C" w:rsidR="004B077C">
        <w:rPr>
          <w:rFonts w:ascii="Times New Roman" w:hAnsi="Times New Roman"/>
          <w:sz w:val="24"/>
          <w:szCs w:val="24"/>
        </w:rPr>
        <w:t>The required information is recorded and maintained by respondents.  There is no cost to the Federal Government.</w:t>
      </w:r>
    </w:p>
    <w:bookmarkEnd w:id="2"/>
    <w:bookmarkEnd w:id="3"/>
    <w:p w:rsidR="00E75B77" w:rsidRPr="00AA4A98" w:rsidP="000550C7" w14:paraId="2D94AF06" w14:textId="77777777">
      <w:pPr>
        <w:contextualSpacing/>
        <w:rPr>
          <w:rFonts w:ascii="Times New Roman" w:hAnsi="Times New Roman"/>
          <w:sz w:val="24"/>
          <w:szCs w:val="24"/>
        </w:rPr>
      </w:pPr>
    </w:p>
    <w:p w:rsidR="00C923DB" w:rsidRPr="00C923DB" w:rsidP="00C923DB" w14:paraId="5F3842B8" w14:textId="23AB414D">
      <w:pPr>
        <w:jc w:val="both"/>
        <w:rPr>
          <w:sz w:val="24"/>
          <w:szCs w:val="24"/>
        </w:rPr>
      </w:pPr>
      <w:r w:rsidRPr="5F5A509C">
        <w:rPr>
          <w:rFonts w:ascii="Times New Roman" w:hAnsi="Times New Roman"/>
          <w:noProof w:val="0"/>
          <w:sz w:val="24"/>
          <w:szCs w:val="24"/>
        </w:rPr>
        <w:t>15.</w:t>
      </w:r>
      <w:r w:rsidRPr="5F5A509C" w:rsidR="3B196671">
        <w:rPr>
          <w:rFonts w:ascii="Times New Roman" w:hAnsi="Times New Roman"/>
          <w:noProof w:val="0"/>
          <w:sz w:val="24"/>
          <w:szCs w:val="24"/>
        </w:rPr>
        <w:t xml:space="preserve"> </w:t>
      </w:r>
      <w:r w:rsidRPr="5F5A509C" w:rsidR="1D986050">
        <w:rPr>
          <w:rFonts w:ascii="Times New Roman" w:hAnsi="Times New Roman"/>
          <w:sz w:val="24"/>
          <w:szCs w:val="24"/>
        </w:rPr>
        <w:t>The change in annual responses and annual burden hours reflects a decrease in electronic prescriptions for controlled substance</w:t>
      </w:r>
      <w:r w:rsidRPr="5F5A509C" w:rsidR="5A7A4147">
        <w:rPr>
          <w:rFonts w:ascii="Times New Roman" w:hAnsi="Times New Roman"/>
          <w:sz w:val="24"/>
          <w:szCs w:val="24"/>
        </w:rPr>
        <w:t>s.</w:t>
      </w:r>
      <w:r w:rsidRPr="5F5A509C" w:rsidR="621479B4">
        <w:rPr>
          <w:rFonts w:ascii="Times New Roman" w:hAnsi="Times New Roman"/>
          <w:sz w:val="24"/>
          <w:szCs w:val="24"/>
        </w:rPr>
        <w:t xml:space="preserve">  Changes to the annual cost reflect change in methods. Previously, the approved 2023 figure represented the “Monetized Value of Respondent Time” calculated in section 12.  The new requested annual cost represents the figure from section 13.  T</w:t>
      </w:r>
      <w:r w:rsidRPr="5F5A509C" w:rsidR="1D986050">
        <w:rPr>
          <w:rFonts w:ascii="Times New Roman" w:hAnsi="Times New Roman"/>
          <w:sz w:val="24"/>
          <w:szCs w:val="24"/>
        </w:rPr>
        <w:t>here have been no statutory or regulatory changes affecting this information collection.  The table below summarizes the changes since the last renewal of this information collection.</w:t>
      </w:r>
      <w:r w:rsidRPr="5F5A509C" w:rsidR="1D986050">
        <w:rPr>
          <w:sz w:val="24"/>
          <w:szCs w:val="24"/>
        </w:rPr>
        <w:t xml:space="preserve"> </w:t>
      </w:r>
    </w:p>
    <w:p w:rsidR="00E02F2C" w:rsidP="5F5A509C" w14:paraId="0EBF89B6" w14:textId="5CBC439B">
      <w:pPr>
        <w:tabs>
          <w:tab w:val="left" w:pos="720"/>
          <w:tab w:val="left" w:pos="1440"/>
          <w:tab w:val="left" w:pos="2160"/>
        </w:tabs>
        <w:contextualSpacing/>
        <w:jc w:val="both"/>
        <w:rPr>
          <w:rFonts w:ascii="Times New Roman" w:hAnsi="Times New Roman"/>
          <w:noProof w:val="0"/>
          <w:sz w:val="24"/>
          <w:szCs w:val="24"/>
        </w:rPr>
      </w:pPr>
    </w:p>
    <w:p w:rsidR="005E4262" w:rsidP="5F5A509C" w14:paraId="476E1B00" w14:textId="77777777">
      <w:pPr>
        <w:tabs>
          <w:tab w:val="left" w:pos="720"/>
          <w:tab w:val="left" w:pos="1440"/>
          <w:tab w:val="left" w:pos="2160"/>
        </w:tabs>
        <w:contextualSpacing/>
        <w:jc w:val="both"/>
        <w:rPr>
          <w:rFonts w:ascii="Times New Roman" w:hAnsi="Times New Roman"/>
          <w:sz w:val="24"/>
          <w:szCs w:val="24"/>
        </w:rPr>
      </w:pPr>
    </w:p>
    <w:tbl>
      <w:tblPr>
        <w:tblW w:w="5540" w:type="dxa"/>
        <w:tblLook w:val="04A0"/>
      </w:tblPr>
      <w:tblGrid>
        <w:gridCol w:w="1380"/>
        <w:gridCol w:w="1420"/>
        <w:gridCol w:w="1220"/>
        <w:gridCol w:w="1520"/>
      </w:tblGrid>
      <w:tr w14:paraId="6303CB78" w14:textId="77777777" w:rsidTr="5F5A509C">
        <w:tblPrEx>
          <w:tblW w:w="5540" w:type="dxa"/>
          <w:tblLook w:val="04A0"/>
        </w:tblPrEx>
        <w:trPr>
          <w:trHeight w:val="1050"/>
        </w:trPr>
        <w:tc>
          <w:tcPr>
            <w:tcW w:w="1380" w:type="dxa"/>
            <w:tcBorders>
              <w:top w:val="single" w:sz="8" w:space="0" w:color="auto"/>
              <w:left w:val="single" w:sz="8" w:space="0" w:color="auto"/>
              <w:bottom w:val="single" w:sz="8" w:space="0" w:color="auto"/>
              <w:right w:val="single" w:sz="8" w:space="0" w:color="auto"/>
            </w:tcBorders>
            <w:shd w:val="clear" w:color="auto" w:fill="C5D9F1"/>
            <w:vAlign w:val="center"/>
            <w:hideMark/>
          </w:tcPr>
          <w:p w:rsidR="00E001D7" w:rsidRPr="00E001D7" w:rsidP="00E001D7" w14:paraId="4558B258" w14:textId="77777777">
            <w:pPr>
              <w:jc w:val="center"/>
              <w:rPr>
                <w:rFonts w:ascii="Times New Roman" w:hAnsi="Times New Roman"/>
                <w:b/>
                <w:bCs/>
                <w:noProof w:val="0"/>
                <w:color w:val="000000"/>
              </w:rPr>
            </w:pPr>
            <w:r w:rsidRPr="5F5A509C">
              <w:rPr>
                <w:rFonts w:ascii="Times New Roman" w:hAnsi="Times New Roman"/>
                <w:b/>
                <w:bCs/>
                <w:noProof w:val="0"/>
                <w:color w:val="000000" w:themeColor="text1"/>
              </w:rPr>
              <w:t> </w:t>
            </w:r>
          </w:p>
        </w:tc>
        <w:tc>
          <w:tcPr>
            <w:tcW w:w="1420" w:type="dxa"/>
            <w:tcBorders>
              <w:top w:val="single" w:sz="8" w:space="0" w:color="auto"/>
              <w:left w:val="nil"/>
              <w:bottom w:val="single" w:sz="8" w:space="0" w:color="auto"/>
              <w:right w:val="single" w:sz="8" w:space="0" w:color="auto"/>
            </w:tcBorders>
            <w:shd w:val="clear" w:color="auto" w:fill="C5D9F1"/>
            <w:vAlign w:val="center"/>
            <w:hideMark/>
          </w:tcPr>
          <w:p w:rsidR="00E001D7" w:rsidRPr="00E001D7" w:rsidP="00E001D7" w14:paraId="76BEBB99" w14:textId="77777777">
            <w:pPr>
              <w:jc w:val="center"/>
              <w:rPr>
                <w:rFonts w:ascii="Times New Roman" w:hAnsi="Times New Roman"/>
                <w:b/>
                <w:bCs/>
                <w:noProof w:val="0"/>
                <w:color w:val="000000"/>
              </w:rPr>
            </w:pPr>
            <w:r w:rsidRPr="5F5A509C">
              <w:rPr>
                <w:rFonts w:ascii="Times New Roman" w:hAnsi="Times New Roman"/>
                <w:b/>
                <w:bCs/>
                <w:noProof w:val="0"/>
                <w:color w:val="000000" w:themeColor="text1"/>
              </w:rPr>
              <w:t>2023 Approved Burden</w:t>
            </w:r>
          </w:p>
        </w:tc>
        <w:tc>
          <w:tcPr>
            <w:tcW w:w="1220" w:type="dxa"/>
            <w:tcBorders>
              <w:top w:val="single" w:sz="8" w:space="0" w:color="auto"/>
              <w:left w:val="nil"/>
              <w:bottom w:val="single" w:sz="8" w:space="0" w:color="auto"/>
              <w:right w:val="single" w:sz="8" w:space="0" w:color="auto"/>
            </w:tcBorders>
            <w:shd w:val="clear" w:color="auto" w:fill="C5D9F1"/>
            <w:vAlign w:val="center"/>
            <w:hideMark/>
          </w:tcPr>
          <w:p w:rsidR="00E001D7" w:rsidRPr="00E001D7" w:rsidP="00E001D7" w14:paraId="0E2FD06D" w14:textId="77777777">
            <w:pPr>
              <w:jc w:val="center"/>
              <w:rPr>
                <w:rFonts w:ascii="Times New Roman" w:hAnsi="Times New Roman"/>
                <w:b/>
                <w:bCs/>
                <w:noProof w:val="0"/>
                <w:color w:val="000000"/>
              </w:rPr>
            </w:pPr>
            <w:r w:rsidRPr="5F5A509C">
              <w:rPr>
                <w:rFonts w:ascii="Times New Roman" w:hAnsi="Times New Roman"/>
                <w:b/>
                <w:bCs/>
                <w:noProof w:val="0"/>
                <w:color w:val="000000" w:themeColor="text1"/>
              </w:rPr>
              <w:t>2026 New Requested Burden</w:t>
            </w:r>
          </w:p>
        </w:tc>
        <w:tc>
          <w:tcPr>
            <w:tcW w:w="1520" w:type="dxa"/>
            <w:tcBorders>
              <w:top w:val="single" w:sz="8" w:space="0" w:color="auto"/>
              <w:left w:val="nil"/>
              <w:bottom w:val="single" w:sz="8" w:space="0" w:color="auto"/>
              <w:right w:val="single" w:sz="8" w:space="0" w:color="auto"/>
            </w:tcBorders>
            <w:shd w:val="clear" w:color="auto" w:fill="C5D9F1"/>
            <w:vAlign w:val="center"/>
            <w:hideMark/>
          </w:tcPr>
          <w:p w:rsidR="00E001D7" w:rsidRPr="00E001D7" w:rsidP="00E001D7" w14:paraId="5B5B922E" w14:textId="77777777">
            <w:pPr>
              <w:jc w:val="center"/>
              <w:rPr>
                <w:rFonts w:ascii="Times New Roman" w:hAnsi="Times New Roman"/>
                <w:b/>
                <w:bCs/>
                <w:noProof w:val="0"/>
                <w:color w:val="000000"/>
              </w:rPr>
            </w:pPr>
            <w:r w:rsidRPr="5F5A509C">
              <w:rPr>
                <w:rFonts w:ascii="Times New Roman" w:hAnsi="Times New Roman"/>
                <w:b/>
                <w:bCs/>
                <w:noProof w:val="0"/>
                <w:color w:val="000000" w:themeColor="text1"/>
              </w:rPr>
              <w:t>Difference</w:t>
            </w:r>
          </w:p>
        </w:tc>
      </w:tr>
      <w:tr w14:paraId="738E5CE3" w14:textId="77777777" w:rsidTr="5F5A509C">
        <w:tblPrEx>
          <w:tblW w:w="5540" w:type="dxa"/>
          <w:tblLook w:val="04A0"/>
        </w:tblPrEx>
        <w:trPr>
          <w:trHeight w:val="580"/>
        </w:trPr>
        <w:tc>
          <w:tcPr>
            <w:tcW w:w="1380" w:type="dxa"/>
            <w:tcBorders>
              <w:top w:val="nil"/>
              <w:left w:val="single" w:sz="8" w:space="0" w:color="auto"/>
              <w:bottom w:val="single" w:sz="8" w:space="0" w:color="auto"/>
              <w:right w:val="single" w:sz="8" w:space="0" w:color="auto"/>
            </w:tcBorders>
            <w:vAlign w:val="center"/>
            <w:hideMark/>
          </w:tcPr>
          <w:p w:rsidR="00E001D7" w:rsidRPr="00E001D7" w:rsidP="00E001D7" w14:paraId="23A1B5DA" w14:textId="77777777">
            <w:pPr>
              <w:rPr>
                <w:rFonts w:ascii="Times New Roman" w:hAnsi="Times New Roman"/>
                <w:noProof w:val="0"/>
                <w:color w:val="000000"/>
              </w:rPr>
            </w:pPr>
            <w:r w:rsidRPr="5F5A509C">
              <w:rPr>
                <w:rFonts w:ascii="Times New Roman" w:hAnsi="Times New Roman"/>
                <w:noProof w:val="0"/>
                <w:color w:val="000000" w:themeColor="text1"/>
              </w:rPr>
              <w:t>Annual responses</w:t>
            </w:r>
          </w:p>
        </w:tc>
        <w:tc>
          <w:tcPr>
            <w:tcW w:w="1420" w:type="dxa"/>
            <w:tcBorders>
              <w:top w:val="nil"/>
              <w:left w:val="nil"/>
              <w:bottom w:val="single" w:sz="8" w:space="0" w:color="auto"/>
              <w:right w:val="nil"/>
            </w:tcBorders>
            <w:noWrap/>
            <w:vAlign w:val="bottom"/>
            <w:hideMark/>
          </w:tcPr>
          <w:p w:rsidR="00E001D7" w:rsidRPr="00E001D7" w:rsidP="00E001D7" w14:paraId="0DCA3E52" w14:textId="77777777">
            <w:pPr>
              <w:rPr>
                <w:rFonts w:ascii="Times New Roman" w:hAnsi="Times New Roman"/>
                <w:noProof w:val="0"/>
                <w:color w:val="000000"/>
                <w:sz w:val="22"/>
                <w:szCs w:val="22"/>
              </w:rPr>
            </w:pPr>
            <w:r w:rsidRPr="5F5A509C">
              <w:rPr>
                <w:rFonts w:ascii="Times New Roman" w:hAnsi="Times New Roman"/>
                <w:noProof w:val="0"/>
                <w:color w:val="000000" w:themeColor="text1"/>
                <w:sz w:val="22"/>
                <w:szCs w:val="22"/>
              </w:rPr>
              <w:t xml:space="preserve">     25,000,000 </w:t>
            </w:r>
          </w:p>
        </w:tc>
        <w:tc>
          <w:tcPr>
            <w:tcW w:w="1220" w:type="dxa"/>
            <w:tcBorders>
              <w:top w:val="nil"/>
              <w:left w:val="single" w:sz="8" w:space="0" w:color="auto"/>
              <w:bottom w:val="single" w:sz="8" w:space="0" w:color="auto"/>
              <w:right w:val="single" w:sz="8" w:space="0" w:color="auto"/>
            </w:tcBorders>
            <w:noWrap/>
            <w:vAlign w:val="bottom"/>
            <w:hideMark/>
          </w:tcPr>
          <w:p w:rsidR="00E001D7" w:rsidRPr="00E001D7" w:rsidP="00E001D7" w14:paraId="22C58644" w14:textId="77777777">
            <w:pPr>
              <w:rPr>
                <w:rFonts w:ascii="Times New Roman" w:hAnsi="Times New Roman"/>
                <w:noProof w:val="0"/>
                <w:color w:val="000000"/>
                <w:sz w:val="22"/>
                <w:szCs w:val="22"/>
              </w:rPr>
            </w:pPr>
            <w:r w:rsidRPr="5F5A509C">
              <w:rPr>
                <w:rFonts w:ascii="Times New Roman" w:hAnsi="Times New Roman"/>
                <w:noProof w:val="0"/>
                <w:color w:val="000000" w:themeColor="text1"/>
                <w:sz w:val="22"/>
                <w:szCs w:val="22"/>
              </w:rPr>
              <w:t xml:space="preserve"> 12,900,000 </w:t>
            </w:r>
          </w:p>
        </w:tc>
        <w:tc>
          <w:tcPr>
            <w:tcW w:w="1520" w:type="dxa"/>
            <w:tcBorders>
              <w:top w:val="nil"/>
              <w:left w:val="nil"/>
              <w:bottom w:val="single" w:sz="8" w:space="0" w:color="auto"/>
              <w:right w:val="single" w:sz="8" w:space="0" w:color="auto"/>
            </w:tcBorders>
            <w:noWrap/>
            <w:vAlign w:val="bottom"/>
            <w:hideMark/>
          </w:tcPr>
          <w:p w:rsidR="00E001D7" w:rsidRPr="00E001D7" w:rsidP="00E001D7" w14:paraId="0EBC9435" w14:textId="1E6F6909">
            <w:pPr>
              <w:rPr>
                <w:rFonts w:ascii="Times New Roman" w:hAnsi="Times New Roman"/>
                <w:noProof w:val="0"/>
                <w:color w:val="000000"/>
                <w:sz w:val="22"/>
                <w:szCs w:val="22"/>
              </w:rPr>
            </w:pPr>
            <w:r w:rsidRPr="5F5A509C">
              <w:rPr>
                <w:rFonts w:ascii="Times New Roman" w:hAnsi="Times New Roman"/>
                <w:noProof w:val="0"/>
                <w:color w:val="000000" w:themeColor="text1"/>
                <w:sz w:val="22"/>
                <w:szCs w:val="22"/>
              </w:rPr>
              <w:t xml:space="preserve">    -12,100,000</w:t>
            </w:r>
          </w:p>
        </w:tc>
      </w:tr>
      <w:tr w14:paraId="681EB2A6" w14:textId="77777777" w:rsidTr="5F5A509C">
        <w:tblPrEx>
          <w:tblW w:w="5540" w:type="dxa"/>
          <w:tblLook w:val="04A0"/>
        </w:tblPrEx>
        <w:trPr>
          <w:trHeight w:val="550"/>
        </w:trPr>
        <w:tc>
          <w:tcPr>
            <w:tcW w:w="1380" w:type="dxa"/>
            <w:tcBorders>
              <w:top w:val="nil"/>
              <w:left w:val="single" w:sz="8" w:space="0" w:color="auto"/>
              <w:bottom w:val="single" w:sz="8" w:space="0" w:color="auto"/>
              <w:right w:val="single" w:sz="8" w:space="0" w:color="auto"/>
            </w:tcBorders>
            <w:vAlign w:val="center"/>
            <w:hideMark/>
          </w:tcPr>
          <w:p w:rsidR="00E001D7" w:rsidRPr="00E001D7" w:rsidP="00E001D7" w14:paraId="378E740A" w14:textId="77777777">
            <w:pPr>
              <w:rPr>
                <w:rFonts w:ascii="Times New Roman" w:hAnsi="Times New Roman"/>
                <w:noProof w:val="0"/>
                <w:color w:val="000000"/>
              </w:rPr>
            </w:pPr>
            <w:r w:rsidRPr="5F5A509C">
              <w:rPr>
                <w:rFonts w:ascii="Times New Roman" w:hAnsi="Times New Roman"/>
                <w:noProof w:val="0"/>
                <w:color w:val="000000" w:themeColor="text1"/>
              </w:rPr>
              <w:t>Annual burden hours</w:t>
            </w:r>
          </w:p>
        </w:tc>
        <w:tc>
          <w:tcPr>
            <w:tcW w:w="1420" w:type="dxa"/>
            <w:tcBorders>
              <w:top w:val="nil"/>
              <w:left w:val="nil"/>
              <w:bottom w:val="single" w:sz="8" w:space="0" w:color="auto"/>
              <w:right w:val="nil"/>
            </w:tcBorders>
            <w:noWrap/>
            <w:vAlign w:val="bottom"/>
            <w:hideMark/>
          </w:tcPr>
          <w:p w:rsidR="00E001D7" w:rsidRPr="00E001D7" w:rsidP="00E001D7" w14:paraId="6F067BF9" w14:textId="77777777">
            <w:pPr>
              <w:rPr>
                <w:rFonts w:ascii="Times New Roman" w:hAnsi="Times New Roman"/>
                <w:noProof w:val="0"/>
                <w:color w:val="000000"/>
                <w:sz w:val="22"/>
                <w:szCs w:val="22"/>
              </w:rPr>
            </w:pPr>
            <w:r w:rsidRPr="5F5A509C">
              <w:rPr>
                <w:rFonts w:ascii="Times New Roman" w:hAnsi="Times New Roman"/>
                <w:noProof w:val="0"/>
                <w:color w:val="000000" w:themeColor="text1"/>
                <w:sz w:val="22"/>
                <w:szCs w:val="22"/>
              </w:rPr>
              <w:t xml:space="preserve">      1,250,000 </w:t>
            </w:r>
          </w:p>
        </w:tc>
        <w:tc>
          <w:tcPr>
            <w:tcW w:w="1220" w:type="dxa"/>
            <w:tcBorders>
              <w:top w:val="nil"/>
              <w:left w:val="single" w:sz="8" w:space="0" w:color="auto"/>
              <w:bottom w:val="single" w:sz="8" w:space="0" w:color="auto"/>
              <w:right w:val="single" w:sz="8" w:space="0" w:color="auto"/>
            </w:tcBorders>
            <w:noWrap/>
            <w:vAlign w:val="bottom"/>
            <w:hideMark/>
          </w:tcPr>
          <w:p w:rsidR="00E001D7" w:rsidRPr="00E001D7" w:rsidP="00E001D7" w14:paraId="66CEDF37" w14:textId="77777777">
            <w:pPr>
              <w:rPr>
                <w:rFonts w:ascii="Times New Roman" w:hAnsi="Times New Roman"/>
                <w:noProof w:val="0"/>
                <w:color w:val="000000"/>
                <w:sz w:val="22"/>
                <w:szCs w:val="22"/>
              </w:rPr>
            </w:pPr>
            <w:r w:rsidRPr="5F5A509C">
              <w:rPr>
                <w:rFonts w:ascii="Times New Roman" w:hAnsi="Times New Roman"/>
                <w:noProof w:val="0"/>
                <w:color w:val="000000" w:themeColor="text1"/>
                <w:sz w:val="22"/>
                <w:szCs w:val="22"/>
              </w:rPr>
              <w:t xml:space="preserve">      645,000 </w:t>
            </w:r>
          </w:p>
        </w:tc>
        <w:tc>
          <w:tcPr>
            <w:tcW w:w="1520" w:type="dxa"/>
            <w:tcBorders>
              <w:top w:val="nil"/>
              <w:left w:val="nil"/>
              <w:bottom w:val="single" w:sz="8" w:space="0" w:color="auto"/>
              <w:right w:val="single" w:sz="8" w:space="0" w:color="auto"/>
            </w:tcBorders>
            <w:noWrap/>
            <w:vAlign w:val="bottom"/>
            <w:hideMark/>
          </w:tcPr>
          <w:p w:rsidR="00E001D7" w:rsidRPr="00E001D7" w:rsidP="00E001D7" w14:paraId="29562037" w14:textId="55E0698A">
            <w:pPr>
              <w:rPr>
                <w:rFonts w:ascii="Times New Roman" w:hAnsi="Times New Roman"/>
                <w:noProof w:val="0"/>
                <w:color w:val="000000"/>
                <w:sz w:val="22"/>
                <w:szCs w:val="22"/>
              </w:rPr>
            </w:pPr>
            <w:r w:rsidRPr="5F5A509C">
              <w:rPr>
                <w:rFonts w:ascii="Times New Roman" w:hAnsi="Times New Roman"/>
                <w:noProof w:val="0"/>
                <w:color w:val="000000" w:themeColor="text1"/>
                <w:sz w:val="22"/>
                <w:szCs w:val="22"/>
              </w:rPr>
              <w:t xml:space="preserve">         -605,000</w:t>
            </w:r>
          </w:p>
        </w:tc>
      </w:tr>
      <w:tr w14:paraId="0FF651E1" w14:textId="77777777" w:rsidTr="5F5A509C">
        <w:tblPrEx>
          <w:tblW w:w="5540" w:type="dxa"/>
          <w:tblLook w:val="04A0"/>
        </w:tblPrEx>
        <w:trPr>
          <w:trHeight w:val="300"/>
        </w:trPr>
        <w:tc>
          <w:tcPr>
            <w:tcW w:w="1380" w:type="dxa"/>
            <w:tcBorders>
              <w:top w:val="nil"/>
              <w:left w:val="single" w:sz="8" w:space="0" w:color="auto"/>
              <w:bottom w:val="single" w:sz="8" w:space="0" w:color="auto"/>
              <w:right w:val="single" w:sz="8" w:space="0" w:color="auto"/>
            </w:tcBorders>
            <w:vAlign w:val="center"/>
            <w:hideMark/>
          </w:tcPr>
          <w:p w:rsidR="00E001D7" w:rsidRPr="00E001D7" w:rsidP="00E001D7" w14:paraId="7CB86DE2" w14:textId="77777777">
            <w:pPr>
              <w:rPr>
                <w:rFonts w:ascii="Times New Roman" w:hAnsi="Times New Roman"/>
                <w:noProof w:val="0"/>
                <w:color w:val="000000"/>
              </w:rPr>
            </w:pPr>
            <w:r w:rsidRPr="5F5A509C">
              <w:rPr>
                <w:rFonts w:ascii="Times New Roman" w:hAnsi="Times New Roman"/>
                <w:noProof w:val="0"/>
                <w:color w:val="000000" w:themeColor="text1"/>
              </w:rPr>
              <w:t>Annual cost ($)</w:t>
            </w:r>
          </w:p>
        </w:tc>
        <w:tc>
          <w:tcPr>
            <w:tcW w:w="1420" w:type="dxa"/>
            <w:tcBorders>
              <w:top w:val="nil"/>
              <w:left w:val="nil"/>
              <w:bottom w:val="single" w:sz="8" w:space="0" w:color="auto"/>
              <w:right w:val="nil"/>
            </w:tcBorders>
            <w:noWrap/>
            <w:vAlign w:val="bottom"/>
            <w:hideMark/>
          </w:tcPr>
          <w:p w:rsidR="00E001D7" w:rsidRPr="00E001D7" w:rsidP="00E001D7" w14:paraId="4A5C604D" w14:textId="77777777">
            <w:pPr>
              <w:rPr>
                <w:rFonts w:ascii="Times New Roman" w:hAnsi="Times New Roman"/>
                <w:noProof w:val="0"/>
                <w:color w:val="000000"/>
                <w:sz w:val="22"/>
                <w:szCs w:val="22"/>
              </w:rPr>
            </w:pPr>
            <w:r w:rsidRPr="5F5A509C">
              <w:rPr>
                <w:rFonts w:ascii="Times New Roman" w:hAnsi="Times New Roman"/>
                <w:noProof w:val="0"/>
                <w:color w:val="000000" w:themeColor="text1"/>
                <w:sz w:val="22"/>
                <w:szCs w:val="22"/>
              </w:rPr>
              <w:t xml:space="preserve">     11,000,000 </w:t>
            </w:r>
          </w:p>
        </w:tc>
        <w:tc>
          <w:tcPr>
            <w:tcW w:w="1220" w:type="dxa"/>
            <w:tcBorders>
              <w:top w:val="nil"/>
              <w:left w:val="single" w:sz="8" w:space="0" w:color="auto"/>
              <w:bottom w:val="single" w:sz="8" w:space="0" w:color="auto"/>
              <w:right w:val="single" w:sz="8" w:space="0" w:color="auto"/>
            </w:tcBorders>
            <w:noWrap/>
            <w:vAlign w:val="bottom"/>
            <w:hideMark/>
          </w:tcPr>
          <w:p w:rsidR="00E001D7" w:rsidRPr="00E001D7" w:rsidP="00E001D7" w14:paraId="54E744B6" w14:textId="77777777">
            <w:pPr>
              <w:rPr>
                <w:rFonts w:ascii="Times New Roman" w:hAnsi="Times New Roman"/>
                <w:noProof w:val="0"/>
                <w:color w:val="000000"/>
                <w:sz w:val="22"/>
                <w:szCs w:val="22"/>
              </w:rPr>
            </w:pPr>
            <w:r w:rsidRPr="5F5A509C">
              <w:rPr>
                <w:rFonts w:ascii="Times New Roman" w:hAnsi="Times New Roman"/>
                <w:noProof w:val="0"/>
                <w:color w:val="000000" w:themeColor="text1"/>
                <w:sz w:val="22"/>
                <w:szCs w:val="22"/>
              </w:rPr>
              <w:t xml:space="preserve">              -   </w:t>
            </w:r>
          </w:p>
        </w:tc>
        <w:tc>
          <w:tcPr>
            <w:tcW w:w="1520" w:type="dxa"/>
            <w:tcBorders>
              <w:top w:val="nil"/>
              <w:left w:val="nil"/>
              <w:bottom w:val="single" w:sz="8" w:space="0" w:color="auto"/>
              <w:right w:val="single" w:sz="8" w:space="0" w:color="auto"/>
            </w:tcBorders>
            <w:noWrap/>
            <w:vAlign w:val="bottom"/>
            <w:hideMark/>
          </w:tcPr>
          <w:p w:rsidR="00E001D7" w:rsidRPr="00E001D7" w:rsidP="00E001D7" w14:paraId="4743D2AF" w14:textId="6DF55E40">
            <w:pPr>
              <w:rPr>
                <w:rFonts w:ascii="Times New Roman" w:hAnsi="Times New Roman"/>
                <w:noProof w:val="0"/>
                <w:color w:val="000000"/>
                <w:sz w:val="22"/>
                <w:szCs w:val="22"/>
              </w:rPr>
            </w:pPr>
            <w:r w:rsidRPr="5F5A509C">
              <w:rPr>
                <w:rFonts w:ascii="Times New Roman" w:hAnsi="Times New Roman"/>
                <w:noProof w:val="0"/>
                <w:color w:val="000000" w:themeColor="text1"/>
                <w:sz w:val="22"/>
                <w:szCs w:val="22"/>
              </w:rPr>
              <w:t xml:space="preserve">    -11,000,000</w:t>
            </w:r>
          </w:p>
        </w:tc>
      </w:tr>
    </w:tbl>
    <w:p w:rsidR="00CC40DC" w:rsidRPr="00AA4A98" w:rsidP="5F5A509C" w14:paraId="12B8F88A" w14:textId="69E2E64B">
      <w:pPr>
        <w:tabs>
          <w:tab w:val="left" w:pos="720"/>
          <w:tab w:val="left" w:pos="1440"/>
          <w:tab w:val="left" w:pos="2160"/>
        </w:tabs>
        <w:contextualSpacing/>
        <w:jc w:val="both"/>
        <w:rPr>
          <w:rFonts w:ascii="Times New Roman" w:hAnsi="Times New Roman"/>
          <w:noProof w:val="0"/>
          <w:sz w:val="24"/>
          <w:szCs w:val="24"/>
        </w:rPr>
      </w:pPr>
    </w:p>
    <w:p w:rsidR="00695627" w:rsidRPr="001B4940" w:rsidP="000550C7" w14:paraId="5D237197" w14:textId="77777777">
      <w:pPr>
        <w:tabs>
          <w:tab w:val="left" w:pos="720"/>
          <w:tab w:val="left" w:pos="1440"/>
          <w:tab w:val="left" w:pos="2160"/>
        </w:tabs>
        <w:contextualSpacing/>
        <w:rPr>
          <w:rFonts w:ascii="Times New Roman" w:hAnsi="Times New Roman"/>
          <w:noProof w:val="0"/>
          <w:sz w:val="24"/>
          <w:szCs w:val="24"/>
        </w:rPr>
      </w:pPr>
    </w:p>
    <w:p w:rsidR="000C1537" w:rsidRPr="000550C7" w:rsidP="000550C7" w14:paraId="098EF5F4" w14:textId="37E1562C">
      <w:pPr>
        <w:tabs>
          <w:tab w:val="left" w:pos="720"/>
          <w:tab w:val="left" w:pos="1440"/>
          <w:tab w:val="left" w:pos="2160"/>
        </w:tabs>
        <w:contextualSpacing/>
        <w:rPr>
          <w:rFonts w:ascii="Times New Roman" w:hAnsi="Times New Roman"/>
          <w:noProof w:val="0"/>
          <w:sz w:val="24"/>
          <w:szCs w:val="24"/>
        </w:rPr>
      </w:pPr>
      <w:r w:rsidRPr="000550C7">
        <w:rPr>
          <w:rFonts w:ascii="Times New Roman" w:hAnsi="Times New Roman"/>
          <w:noProof w:val="0"/>
          <w:sz w:val="24"/>
          <w:szCs w:val="24"/>
        </w:rPr>
        <w:t>16</w:t>
      </w:r>
      <w:r w:rsidRPr="000550C7">
        <w:rPr>
          <w:rFonts w:ascii="Times New Roman" w:hAnsi="Times New Roman"/>
          <w:noProof w:val="0"/>
          <w:sz w:val="24"/>
          <w:szCs w:val="24"/>
        </w:rPr>
        <w:t xml:space="preserve">. </w:t>
      </w:r>
      <w:r w:rsidRPr="000550C7" w:rsidR="00090C0E">
        <w:rPr>
          <w:rFonts w:ascii="Times New Roman" w:hAnsi="Times New Roman"/>
          <w:noProof w:val="0"/>
          <w:sz w:val="24"/>
          <w:szCs w:val="24"/>
        </w:rPr>
        <w:t xml:space="preserve"> </w:t>
      </w:r>
      <w:r w:rsidRPr="000550C7" w:rsidR="00B051D2">
        <w:rPr>
          <w:rFonts w:ascii="Times New Roman" w:hAnsi="Times New Roman"/>
          <w:noProof w:val="0"/>
          <w:sz w:val="24"/>
          <w:szCs w:val="24"/>
        </w:rPr>
        <w:t>DEA</w:t>
      </w:r>
      <w:r w:rsidRPr="000550C7" w:rsidR="00B051D2">
        <w:rPr>
          <w:rFonts w:ascii="Times New Roman" w:hAnsi="Times New Roman"/>
          <w:noProof w:val="0"/>
          <w:sz w:val="24"/>
          <w:szCs w:val="24"/>
        </w:rPr>
        <w:t xml:space="preserve"> will not publish the results of the information collected</w:t>
      </w:r>
      <w:r w:rsidRPr="000550C7">
        <w:rPr>
          <w:rFonts w:ascii="Times New Roman" w:hAnsi="Times New Roman"/>
          <w:noProof w:val="0"/>
          <w:sz w:val="24"/>
          <w:szCs w:val="24"/>
        </w:rPr>
        <w:t>.</w:t>
      </w:r>
    </w:p>
    <w:p w:rsidR="00695627" w:rsidRPr="000550C7" w:rsidP="000550C7" w14:paraId="4C7E5693" w14:textId="77777777">
      <w:pPr>
        <w:tabs>
          <w:tab w:val="left" w:pos="720"/>
        </w:tabs>
        <w:contextualSpacing/>
        <w:jc w:val="both"/>
        <w:rPr>
          <w:rFonts w:ascii="Times New Roman" w:hAnsi="Times New Roman"/>
          <w:noProof w:val="0"/>
          <w:sz w:val="24"/>
          <w:szCs w:val="24"/>
        </w:rPr>
      </w:pPr>
    </w:p>
    <w:p w:rsidR="00504512" w:rsidRPr="00043464" w:rsidP="006563A4" w14:paraId="6370E739" w14:textId="54871627">
      <w:pPr>
        <w:tabs>
          <w:tab w:val="left" w:pos="720"/>
        </w:tabs>
        <w:contextualSpacing/>
        <w:jc w:val="both"/>
        <w:rPr>
          <w:rFonts w:ascii="Times New Roman" w:hAnsi="Times New Roman"/>
          <w:noProof w:val="0"/>
          <w:sz w:val="24"/>
          <w:szCs w:val="24"/>
        </w:rPr>
      </w:pPr>
      <w:r w:rsidRPr="000550C7">
        <w:rPr>
          <w:rFonts w:ascii="Times New Roman" w:hAnsi="Times New Roman"/>
          <w:noProof w:val="0"/>
          <w:sz w:val="24"/>
          <w:szCs w:val="24"/>
        </w:rPr>
        <w:t xml:space="preserve">17. </w:t>
      </w:r>
      <w:r w:rsidRPr="000550C7" w:rsidR="00090C0E">
        <w:rPr>
          <w:rFonts w:ascii="Times New Roman" w:hAnsi="Times New Roman"/>
          <w:noProof w:val="0"/>
          <w:sz w:val="24"/>
          <w:szCs w:val="24"/>
        </w:rPr>
        <w:t xml:space="preserve"> </w:t>
      </w:r>
      <w:r w:rsidRPr="00043464">
        <w:rPr>
          <w:rFonts w:ascii="Times New Roman" w:hAnsi="Times New Roman"/>
          <w:noProof w:val="0"/>
          <w:sz w:val="24"/>
          <w:szCs w:val="24"/>
        </w:rPr>
        <w:t>DEA is not seeking approval not to display the expiration date for OMB approval of this information collection.</w:t>
      </w:r>
    </w:p>
    <w:p w:rsidR="00072531" w:rsidP="000550C7" w14:paraId="6C5DD32A" w14:textId="4CF4670A">
      <w:pPr>
        <w:contextualSpacing/>
        <w:rPr>
          <w:rFonts w:ascii="Times New Roman" w:hAnsi="Times New Roman"/>
          <w:noProof w:val="0"/>
          <w:sz w:val="24"/>
        </w:rPr>
      </w:pPr>
      <w:r w:rsidRPr="00C27E82">
        <w:rPr>
          <w:rFonts w:ascii="Times New Roman" w:hAnsi="Times New Roman"/>
          <w:b/>
          <w:noProof w:val="0"/>
          <w:sz w:val="24"/>
        </w:rPr>
        <w:t xml:space="preserve"> </w:t>
      </w:r>
    </w:p>
    <w:p w:rsidR="00CE3759" w:rsidP="006563A4" w14:paraId="45E75DD2" w14:textId="1EF76EB8">
      <w:pPr>
        <w:tabs>
          <w:tab w:val="left" w:pos="720"/>
          <w:tab w:val="left" w:pos="1440"/>
          <w:tab w:val="left" w:pos="2160"/>
        </w:tabs>
        <w:contextualSpacing/>
        <w:jc w:val="both"/>
        <w:rPr>
          <w:rFonts w:ascii="Times New Roman" w:hAnsi="Times New Roman"/>
          <w:b/>
          <w:sz w:val="24"/>
          <w:szCs w:val="24"/>
        </w:rPr>
      </w:pPr>
      <w:r>
        <w:rPr>
          <w:rFonts w:ascii="Times New Roman" w:hAnsi="Times New Roman"/>
          <w:noProof w:val="0"/>
          <w:sz w:val="24"/>
        </w:rPr>
        <w:t xml:space="preserve">18. </w:t>
      </w:r>
      <w:r w:rsidR="00090C0E">
        <w:rPr>
          <w:rFonts w:ascii="Times New Roman" w:hAnsi="Times New Roman"/>
          <w:noProof w:val="0"/>
          <w:sz w:val="24"/>
        </w:rPr>
        <w:t xml:space="preserve"> </w:t>
      </w:r>
      <w:r w:rsidR="00B051D2">
        <w:rPr>
          <w:rFonts w:ascii="Times New Roman" w:hAnsi="Times New Roman"/>
          <w:noProof w:val="0"/>
          <w:sz w:val="24"/>
        </w:rPr>
        <w:t xml:space="preserve">DEA is not seeking an exception to the certification statement “Certification for Paperwork Reduction Act Submissions” for this collection of information.  </w:t>
      </w:r>
    </w:p>
    <w:p w:rsidR="00CE3759" w:rsidP="000550C7" w14:paraId="58071D13" w14:textId="77777777">
      <w:pPr>
        <w:contextualSpacing/>
        <w:rPr>
          <w:rFonts w:ascii="Times New Roman" w:hAnsi="Times New Roman"/>
          <w:b/>
          <w:sz w:val="24"/>
          <w:szCs w:val="24"/>
        </w:rPr>
      </w:pPr>
    </w:p>
    <w:p w:rsidR="000C1537" w:rsidRPr="00B051D2" w:rsidP="000550C7" w14:paraId="23F34F4D" w14:textId="77777777">
      <w:pPr>
        <w:contextualSpacing/>
        <w:rPr>
          <w:rFonts w:ascii="Times New Roman" w:hAnsi="Times New Roman"/>
          <w:b/>
          <w:sz w:val="24"/>
          <w:szCs w:val="24"/>
        </w:rPr>
      </w:pPr>
      <w:r w:rsidRPr="00B051D2">
        <w:rPr>
          <w:rFonts w:ascii="Times New Roman" w:hAnsi="Times New Roman"/>
          <w:b/>
          <w:sz w:val="24"/>
          <w:szCs w:val="24"/>
        </w:rPr>
        <w:t>Part B. Statistical Methods</w:t>
      </w:r>
    </w:p>
    <w:p w:rsidR="001A64B0" w:rsidRPr="000C1537" w:rsidP="000550C7" w14:paraId="4835F7F1" w14:textId="77777777">
      <w:pPr>
        <w:contextualSpacing/>
        <w:rPr>
          <w:rFonts w:ascii="Times New Roman" w:hAnsi="Times New Roman"/>
          <w:sz w:val="24"/>
          <w:szCs w:val="24"/>
        </w:rPr>
      </w:pPr>
    </w:p>
    <w:p w:rsidR="000C1537" w:rsidRPr="000C1537" w:rsidP="004B077C" w14:paraId="5975B084" w14:textId="6DEBF51B">
      <w:pPr>
        <w:ind w:firstLine="360"/>
        <w:contextualSpacing/>
        <w:rPr>
          <w:rFonts w:ascii="Times New Roman" w:hAnsi="Times New Roman"/>
          <w:sz w:val="24"/>
          <w:szCs w:val="24"/>
        </w:rPr>
      </w:pPr>
      <w:r>
        <w:rPr>
          <w:rFonts w:ascii="Times New Roman" w:hAnsi="Times New Roman"/>
          <w:sz w:val="24"/>
          <w:szCs w:val="24"/>
        </w:rPr>
        <w:t>D</w:t>
      </w:r>
      <w:r w:rsidR="00B35B59">
        <w:rPr>
          <w:rFonts w:ascii="Times New Roman" w:hAnsi="Times New Roman"/>
          <w:sz w:val="24"/>
          <w:szCs w:val="24"/>
        </w:rPr>
        <w:t>EA will not be</w:t>
      </w:r>
      <w:r w:rsidRPr="000C1537" w:rsidR="00B35B59">
        <w:rPr>
          <w:rFonts w:ascii="Times New Roman" w:hAnsi="Times New Roman"/>
          <w:sz w:val="24"/>
          <w:szCs w:val="24"/>
        </w:rPr>
        <w:t xml:space="preserve"> </w:t>
      </w:r>
      <w:r w:rsidRPr="000C1537">
        <w:rPr>
          <w:rFonts w:ascii="Times New Roman" w:hAnsi="Times New Roman"/>
          <w:sz w:val="24"/>
          <w:szCs w:val="24"/>
        </w:rPr>
        <w:t>employ</w:t>
      </w:r>
      <w:r w:rsidR="00B35B59">
        <w:rPr>
          <w:rFonts w:ascii="Times New Roman" w:hAnsi="Times New Roman"/>
          <w:sz w:val="24"/>
          <w:szCs w:val="24"/>
        </w:rPr>
        <w:t>ing</w:t>
      </w:r>
      <w:r w:rsidRPr="000C1537">
        <w:rPr>
          <w:rFonts w:ascii="Times New Roman" w:hAnsi="Times New Roman"/>
          <w:sz w:val="24"/>
          <w:szCs w:val="24"/>
        </w:rPr>
        <w:t xml:space="preserve"> statistical methods in this information collection.</w:t>
      </w:r>
    </w:p>
    <w:sectPr w:rsidSect="001576A9">
      <w:headerReference w:type="default" r:id="rId9"/>
      <w:footerReference w:type="default" r:id="rId10"/>
      <w:pgSz w:w="12240" w:h="15840" w:orient="portrait" w:code="1"/>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stem">
    <w:altName w:val="Calibri"/>
    <w:panose1 w:val="00000000000000000000"/>
    <w:charset w:val="00"/>
    <w:family w:val="swiss"/>
    <w:pitch w:val="variable"/>
    <w:sig w:usb0="00000003" w:usb1="00000000" w:usb2="00000000" w:usb3="00000000" w:csb0="00000001" w:csb1="00000000"/>
  </w:font>
  <w:font w:name="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noProof w:val="0"/>
      </w:rPr>
      <w:id w:val="1142312181"/>
      <w:docPartObj>
        <w:docPartGallery w:val="Page Numbers (Bottom of Page)"/>
        <w:docPartUnique/>
      </w:docPartObj>
    </w:sdtPr>
    <w:sdtEndPr>
      <w:rPr>
        <w:noProof/>
      </w:rPr>
    </w:sdtEndPr>
    <w:sdtContent>
      <w:p w:rsidR="00572EEB" w14:paraId="6D66A05C" w14:textId="00BF8888">
        <w:pPr>
          <w:pStyle w:val="Footer"/>
          <w:jc w:val="center"/>
        </w:pPr>
        <w:r>
          <w:rPr>
            <w:noProof w:val="0"/>
          </w:rPr>
          <w:fldChar w:fldCharType="begin"/>
        </w:r>
        <w:r>
          <w:instrText xml:space="preserve"> PAGE   \* MERGEFORMAT </w:instrText>
        </w:r>
        <w:r>
          <w:rPr>
            <w:noProof w:val="0"/>
          </w:rPr>
          <w:fldChar w:fldCharType="separate"/>
        </w:r>
        <w:r w:rsidR="00EA4EC1">
          <w:t>5</w:t>
        </w:r>
        <w:r>
          <w:fldChar w:fldCharType="end"/>
        </w:r>
      </w:p>
    </w:sdtContent>
  </w:sdt>
  <w:p w:rsidR="00572EEB" w14:paraId="1522CE6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C1E55" w14:paraId="59B2EC0E" w14:textId="77777777">
      <w:r>
        <w:separator/>
      </w:r>
    </w:p>
  </w:footnote>
  <w:footnote w:type="continuationSeparator" w:id="1">
    <w:p w:rsidR="003C1E55" w14:paraId="44A5A4B7" w14:textId="77777777">
      <w:r>
        <w:continuationSeparator/>
      </w:r>
    </w:p>
  </w:footnote>
  <w:footnote w:type="continuationNotice" w:id="2">
    <w:p w:rsidR="003C1E55" w14:paraId="7CA56B76" w14:textId="77777777"/>
  </w:footnote>
  <w:footnote w:id="3">
    <w:p w:rsidR="0016040B" w:rsidRPr="0016040B" w14:paraId="3C2CA85A" w14:textId="3CC2178E">
      <w:pPr>
        <w:pStyle w:val="FootnoteText"/>
        <w:rPr>
          <w:rFonts w:ascii="Times New Roman" w:hAnsi="Times New Roman"/>
        </w:rPr>
      </w:pPr>
      <w:r w:rsidRPr="0016040B">
        <w:rPr>
          <w:rStyle w:val="FootnoteReference"/>
          <w:rFonts w:ascii="Times New Roman" w:hAnsi="Times New Roman"/>
          <w:vertAlign w:val="superscript"/>
        </w:rPr>
        <w:footnoteRef/>
      </w:r>
      <w:r w:rsidRPr="0016040B">
        <w:rPr>
          <w:rFonts w:ascii="Times New Roman" w:hAnsi="Times New Roman"/>
          <w:vertAlign w:val="superscript"/>
        </w:rPr>
        <w:t xml:space="preserve"> </w:t>
      </w:r>
      <w:r w:rsidRPr="0016040B">
        <w:rPr>
          <w:rFonts w:ascii="Times New Roman" w:hAnsi="Times New Roman"/>
        </w:rPr>
        <w:t>21 U.S.C. 801-971.</w:t>
      </w:r>
    </w:p>
  </w:footnote>
  <w:footnote w:id="4">
    <w:p w:rsidR="004F65F6" w:rsidRPr="004F65F6" w14:paraId="09C25DBD" w14:textId="7CB8DED4">
      <w:pPr>
        <w:pStyle w:val="FootnoteText"/>
        <w:rPr>
          <w:rFonts w:ascii="Times New Roman" w:hAnsi="Times New Roman"/>
        </w:rPr>
      </w:pPr>
      <w:r w:rsidRPr="004F65F6">
        <w:rPr>
          <w:rStyle w:val="FootnoteReference"/>
          <w:rFonts w:ascii="Times New Roman" w:hAnsi="Times New Roman"/>
          <w:vertAlign w:val="superscript"/>
        </w:rPr>
        <w:footnoteRef/>
      </w:r>
      <w:r w:rsidRPr="004F65F6">
        <w:rPr>
          <w:rFonts w:ascii="Times New Roman" w:hAnsi="Times New Roman"/>
          <w:vertAlign w:val="superscript"/>
        </w:rPr>
        <w:t xml:space="preserve"> </w:t>
      </w:r>
      <w:r w:rsidRPr="004F65F6">
        <w:rPr>
          <w:rFonts w:ascii="Times New Roman" w:hAnsi="Times New Roman"/>
        </w:rPr>
        <w:t>21 U.S.C. 827 and 958.</w:t>
      </w:r>
    </w:p>
  </w:footnote>
  <w:footnote w:id="5">
    <w:p w:rsidR="004F65F6" w:rsidRPr="004F65F6" w14:paraId="671BA802" w14:textId="49A028B9">
      <w:pPr>
        <w:pStyle w:val="FootnoteText"/>
        <w:rPr>
          <w:rFonts w:ascii="Times New Roman" w:hAnsi="Times New Roman"/>
        </w:rPr>
      </w:pPr>
      <w:r w:rsidRPr="004F65F6">
        <w:rPr>
          <w:rStyle w:val="FootnoteReference"/>
          <w:rFonts w:ascii="Times New Roman" w:hAnsi="Times New Roman"/>
          <w:vertAlign w:val="superscript"/>
        </w:rPr>
        <w:footnoteRef/>
      </w:r>
      <w:r w:rsidRPr="004F65F6">
        <w:rPr>
          <w:rFonts w:ascii="Times New Roman" w:hAnsi="Times New Roman"/>
          <w:vertAlign w:val="superscript"/>
        </w:rPr>
        <w:t xml:space="preserve"> </w:t>
      </w:r>
      <w:r w:rsidRPr="004F65F6">
        <w:rPr>
          <w:rFonts w:ascii="Times New Roman" w:hAnsi="Times New Roman"/>
        </w:rPr>
        <w:t>21 U.S.C. 827(b)(2).</w:t>
      </w:r>
    </w:p>
  </w:footnote>
  <w:footnote w:id="6">
    <w:p w:rsidR="004F65F6" w:rsidRPr="004F65F6" w14:paraId="5AE90999" w14:textId="1F82E536">
      <w:pPr>
        <w:pStyle w:val="FootnoteText"/>
        <w:rPr>
          <w:rFonts w:ascii="Times New Roman" w:hAnsi="Times New Roman"/>
        </w:rPr>
      </w:pPr>
      <w:r w:rsidRPr="004F65F6">
        <w:rPr>
          <w:rStyle w:val="FootnoteReference"/>
          <w:rFonts w:ascii="Times New Roman" w:hAnsi="Times New Roman"/>
          <w:vertAlign w:val="superscript"/>
        </w:rPr>
        <w:footnoteRef/>
      </w:r>
      <w:r w:rsidRPr="004F65F6">
        <w:rPr>
          <w:rFonts w:ascii="Times New Roman" w:hAnsi="Times New Roman"/>
        </w:rPr>
        <w:t xml:space="preserve"> 21 U.S.C. 827(b)(3).</w:t>
      </w:r>
    </w:p>
  </w:footnote>
  <w:footnote w:id="7">
    <w:p w:rsidR="004F65F6" w:rsidRPr="004F65F6" w14:paraId="75509708" w14:textId="53EE0C7A">
      <w:pPr>
        <w:pStyle w:val="FootnoteText"/>
        <w:rPr>
          <w:rFonts w:ascii="Times New Roman" w:hAnsi="Times New Roman"/>
        </w:rPr>
      </w:pPr>
      <w:r w:rsidRPr="004F65F6">
        <w:rPr>
          <w:rStyle w:val="FootnoteReference"/>
          <w:rFonts w:ascii="Times New Roman" w:hAnsi="Times New Roman"/>
          <w:vertAlign w:val="superscript"/>
        </w:rPr>
        <w:footnoteRef/>
      </w:r>
      <w:r w:rsidRPr="004F65F6">
        <w:rPr>
          <w:rFonts w:ascii="Times New Roman" w:hAnsi="Times New Roman"/>
          <w:vertAlign w:val="superscript"/>
        </w:rPr>
        <w:t xml:space="preserve"> </w:t>
      </w:r>
      <w:r w:rsidRPr="004F65F6">
        <w:rPr>
          <w:rFonts w:ascii="Times New Roman" w:hAnsi="Times New Roman"/>
        </w:rPr>
        <w:t>21 U.S.C. 827(b)(1).</w:t>
      </w:r>
    </w:p>
  </w:footnote>
  <w:footnote w:id="8">
    <w:p w:rsidR="005344D1" w14:paraId="29251C90" w14:textId="46949B2F">
      <w:pPr>
        <w:pStyle w:val="FootnoteText"/>
      </w:pPr>
      <w:r>
        <w:rPr>
          <w:rStyle w:val="FootnoteReference"/>
        </w:rPr>
        <w:footnoteRef/>
      </w:r>
      <w:r w:rsidR="5F5A509C">
        <w:t xml:space="preserve"> </w:t>
      </w:r>
      <w:r w:rsidRPr="005344D1" w:rsidR="5F5A509C">
        <w:t>Hourly median wage, Bureau of Labor Statistics, Occupational and Employment wages, May 2025 11-2022 Sales Manager for North American Industry Classification System code 446110 https://www.bls.gov/oes/current/oes_nat.htm.</w:t>
      </w:r>
    </w:p>
  </w:footnote>
  <w:footnote w:id="9">
    <w:p w:rsidR="005344D1" w:rsidRPr="005344D1" w:rsidP="005344D1" w14:paraId="600E12AD" w14:textId="77777777">
      <w:pPr>
        <w:pStyle w:val="FootnoteText"/>
      </w:pPr>
      <w:r>
        <w:rPr>
          <w:rStyle w:val="FootnoteReference"/>
        </w:rPr>
        <w:footnoteRef/>
      </w:r>
      <w:r w:rsidR="5F5A509C">
        <w:t xml:space="preserve"> </w:t>
      </w:r>
      <w:r w:rsidRPr="005344D1" w:rsidR="5F5A509C">
        <w:t xml:space="preserve">Bureau of Labor Statistics, “Employer Costs for Employee Compensation – March 2026” (ECEC) reports that average benefits for private industry </w:t>
      </w:r>
      <w:r w:rsidRPr="005344D1" w:rsidR="5F5A509C">
        <w:t>is</w:t>
      </w:r>
      <w:r w:rsidRPr="005344D1" w:rsidR="5F5A509C">
        <w:t xml:space="preserve"> 30.1% of total compensation.  The 30.1% of total compensation equates to 43.1% (30.1% / 69.9%) load on wages and salaries. </w:t>
      </w:r>
    </w:p>
    <w:p w:rsidR="005344D1" w14:paraId="1E1687AF" w14:textId="16EF673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44DE" w:rsidP="00DC44DE" w14:paraId="4135A7B7" w14:textId="155F592B">
    <w:pPr>
      <w:tabs>
        <w:tab w:val="left" w:pos="0"/>
        <w:tab w:val="left" w:pos="720"/>
        <w:tab w:val="left" w:pos="1440"/>
        <w:tab w:val="left" w:pos="201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noProof w:val="0"/>
      </w:rPr>
    </w:pPr>
    <w:r w:rsidRPr="006563A4">
      <w:rPr>
        <w:rFonts w:ascii="Times New Roman" w:hAnsi="Times New Roman"/>
        <w:noProof w:val="0"/>
      </w:rPr>
      <w:t>Recordkeeping Requirements for the Transfer of Electronic Prescriptions for Controlled Substances (EPCS) in Schedules II-V between Pharmacies for Initial Filling</w:t>
    </w:r>
  </w:p>
  <w:p w:rsidR="00DC44DE" w:rsidP="00DC44DE" w14:paraId="30A58CD5" w14:textId="29A0049C">
    <w:pPr>
      <w:tabs>
        <w:tab w:val="left" w:pos="0"/>
        <w:tab w:val="left" w:pos="720"/>
        <w:tab w:val="left" w:pos="1440"/>
        <w:tab w:val="left" w:pos="201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noProof w:val="0"/>
      </w:rPr>
    </w:pPr>
    <w:r>
      <w:rPr>
        <w:rFonts w:ascii="Times New Roman" w:hAnsi="Times New Roman"/>
        <w:noProof w:val="0"/>
      </w:rPr>
      <w:t>OMB Control Number</w:t>
    </w:r>
    <w:r>
      <w:rPr>
        <w:rFonts w:ascii="Times New Roman" w:hAnsi="Times New Roman"/>
        <w:noProof w:val="0"/>
      </w:rPr>
      <w:t>:  1117</w:t>
    </w:r>
    <w:r>
      <w:rPr>
        <w:rFonts w:ascii="Times New Roman" w:hAnsi="Times New Roman"/>
        <w:noProof w:val="0"/>
      </w:rPr>
      <w:t>-0061</w:t>
    </w:r>
  </w:p>
  <w:p w:rsidR="00DC44DE" w:rsidRPr="006563A4" w:rsidP="006563A4" w14:paraId="7ADD8FDD" w14:textId="5BF16CDB">
    <w:pPr>
      <w:tabs>
        <w:tab w:val="left" w:pos="0"/>
        <w:tab w:val="left" w:pos="720"/>
        <w:tab w:val="left" w:pos="1440"/>
        <w:tab w:val="left" w:pos="201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noProof w:val="0"/>
      </w:rPr>
    </w:pPr>
    <w:r>
      <w:rPr>
        <w:rFonts w:ascii="Times New Roman" w:hAnsi="Times New Roman"/>
        <w:noProof w:val="0"/>
      </w:rPr>
      <w:t xml:space="preserve">OMB Expiration Date: NA </w:t>
    </w:r>
  </w:p>
  <w:p w:rsidR="00572EEB" w14:paraId="22D18204" w14:textId="77777777">
    <w:pPr>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8C1BD6"/>
    <w:multiLevelType w:val="hybridMultilevel"/>
    <w:tmpl w:val="1576D0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66135F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nsid w:val="18DB350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1DE9240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20866FA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24C302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29A25C74"/>
    <w:multiLevelType w:val="singleLevel"/>
    <w:tmpl w:val="EBA2601C"/>
    <w:lvl w:ilvl="0">
      <w:start w:val="16"/>
      <w:numFmt w:val="decimal"/>
      <w:lvlText w:val="%1."/>
      <w:lvlJc w:val="left"/>
      <w:pPr>
        <w:tabs>
          <w:tab w:val="num" w:pos="1080"/>
        </w:tabs>
        <w:ind w:left="1080" w:hanging="360"/>
      </w:pPr>
      <w:rPr>
        <w:rFonts w:hint="default"/>
      </w:rPr>
    </w:lvl>
  </w:abstractNum>
  <w:abstractNum w:abstractNumId="7">
    <w:nsid w:val="2C9B6EE7"/>
    <w:multiLevelType w:val="singleLevel"/>
    <w:tmpl w:val="EBA2601C"/>
    <w:lvl w:ilvl="0">
      <w:start w:val="16"/>
      <w:numFmt w:val="decimal"/>
      <w:lvlText w:val="%1."/>
      <w:lvlJc w:val="left"/>
      <w:pPr>
        <w:tabs>
          <w:tab w:val="num" w:pos="1080"/>
        </w:tabs>
        <w:ind w:left="1080" w:hanging="360"/>
      </w:pPr>
      <w:rPr>
        <w:rFonts w:hint="default"/>
      </w:rPr>
    </w:lvl>
  </w:abstractNum>
  <w:abstractNum w:abstractNumId="8">
    <w:nsid w:val="2CA9195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2EB64842"/>
    <w:multiLevelType w:val="hybridMultilevel"/>
    <w:tmpl w:val="896C99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107127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32E250EC"/>
    <w:multiLevelType w:val="singleLevel"/>
    <w:tmpl w:val="8CA2C114"/>
    <w:lvl w:ilvl="0">
      <w:start w:val="1"/>
      <w:numFmt w:val="decimal"/>
      <w:lvlText w:val="%1."/>
      <w:lvlJc w:val="left"/>
      <w:pPr>
        <w:tabs>
          <w:tab w:val="num" w:pos="1080"/>
        </w:tabs>
        <w:ind w:left="1080" w:hanging="360"/>
      </w:pPr>
      <w:rPr>
        <w:rFonts w:hint="default"/>
      </w:rPr>
    </w:lvl>
  </w:abstractNum>
  <w:abstractNum w:abstractNumId="12">
    <w:nsid w:val="36B20D8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38F1449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3D8A1B6F"/>
    <w:multiLevelType w:val="hybridMultilevel"/>
    <w:tmpl w:val="4DA672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0330AB9"/>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6">
    <w:nsid w:val="646E0D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65A65DE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6EA92325"/>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775A00A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nsid w:val="798A7E3E"/>
    <w:multiLevelType w:val="singleLevel"/>
    <w:tmpl w:val="A55EB0CE"/>
    <w:lvl w:ilvl="0">
      <w:start w:val="8"/>
      <w:numFmt w:val="decimal"/>
      <w:lvlText w:val="%1."/>
      <w:lvlJc w:val="left"/>
      <w:pPr>
        <w:tabs>
          <w:tab w:val="num" w:pos="1080"/>
        </w:tabs>
        <w:ind w:left="1080" w:hanging="360"/>
      </w:pPr>
      <w:rPr>
        <w:rFonts w:hint="default"/>
      </w:rPr>
    </w:lvl>
  </w:abstractNum>
  <w:abstractNum w:abstractNumId="21">
    <w:nsid w:val="7C4F46F0"/>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942100742">
    <w:abstractNumId w:val="11"/>
  </w:num>
  <w:num w:numId="2" w16cid:durableId="1996451470">
    <w:abstractNumId w:val="15"/>
  </w:num>
  <w:num w:numId="3" w16cid:durableId="1706171664">
    <w:abstractNumId w:val="20"/>
  </w:num>
  <w:num w:numId="4" w16cid:durableId="714307687">
    <w:abstractNumId w:val="7"/>
  </w:num>
  <w:num w:numId="5" w16cid:durableId="152650539">
    <w:abstractNumId w:val="18"/>
  </w:num>
  <w:num w:numId="6" w16cid:durableId="1630933810">
    <w:abstractNumId w:val="6"/>
  </w:num>
  <w:num w:numId="7" w16cid:durableId="1440031969">
    <w:abstractNumId w:val="1"/>
  </w:num>
  <w:num w:numId="8" w16cid:durableId="1568177868">
    <w:abstractNumId w:val="19"/>
  </w:num>
  <w:num w:numId="9" w16cid:durableId="1162353663">
    <w:abstractNumId w:val="21"/>
  </w:num>
  <w:num w:numId="10" w16cid:durableId="1404838715">
    <w:abstractNumId w:val="4"/>
  </w:num>
  <w:num w:numId="11" w16cid:durableId="1877814542">
    <w:abstractNumId w:val="16"/>
  </w:num>
  <w:num w:numId="12" w16cid:durableId="1194028997">
    <w:abstractNumId w:val="8"/>
  </w:num>
  <w:num w:numId="13" w16cid:durableId="356586633">
    <w:abstractNumId w:val="17"/>
  </w:num>
  <w:num w:numId="14" w16cid:durableId="1024748390">
    <w:abstractNumId w:val="13"/>
  </w:num>
  <w:num w:numId="15" w16cid:durableId="1842116763">
    <w:abstractNumId w:val="5"/>
  </w:num>
  <w:num w:numId="16" w16cid:durableId="1347441591">
    <w:abstractNumId w:val="12"/>
  </w:num>
  <w:num w:numId="17" w16cid:durableId="1266427364">
    <w:abstractNumId w:val="2"/>
  </w:num>
  <w:num w:numId="18" w16cid:durableId="1561286129">
    <w:abstractNumId w:val="3"/>
  </w:num>
  <w:num w:numId="19" w16cid:durableId="533739236">
    <w:abstractNumId w:val="10"/>
  </w:num>
  <w:num w:numId="20" w16cid:durableId="1112476247">
    <w:abstractNumId w:val="9"/>
  </w:num>
  <w:num w:numId="21" w16cid:durableId="73625494">
    <w:abstractNumId w:val="0"/>
  </w:num>
  <w:num w:numId="22" w16cid:durableId="8048138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2AA"/>
    <w:rsid w:val="00001766"/>
    <w:rsid w:val="00003CA9"/>
    <w:rsid w:val="0001166E"/>
    <w:rsid w:val="00014C4D"/>
    <w:rsid w:val="0001747B"/>
    <w:rsid w:val="00024E2B"/>
    <w:rsid w:val="0002793F"/>
    <w:rsid w:val="000307CF"/>
    <w:rsid w:val="00040C64"/>
    <w:rsid w:val="00042476"/>
    <w:rsid w:val="00043464"/>
    <w:rsid w:val="00047F50"/>
    <w:rsid w:val="000550C7"/>
    <w:rsid w:val="00055CCA"/>
    <w:rsid w:val="00072531"/>
    <w:rsid w:val="00072975"/>
    <w:rsid w:val="000729D4"/>
    <w:rsid w:val="00073D7B"/>
    <w:rsid w:val="00080B50"/>
    <w:rsid w:val="00090C0E"/>
    <w:rsid w:val="00090EEB"/>
    <w:rsid w:val="000936D4"/>
    <w:rsid w:val="0009395B"/>
    <w:rsid w:val="00096518"/>
    <w:rsid w:val="000A3366"/>
    <w:rsid w:val="000A48E5"/>
    <w:rsid w:val="000B05CC"/>
    <w:rsid w:val="000B0778"/>
    <w:rsid w:val="000B2518"/>
    <w:rsid w:val="000B30D6"/>
    <w:rsid w:val="000B3A44"/>
    <w:rsid w:val="000C1537"/>
    <w:rsid w:val="000C233D"/>
    <w:rsid w:val="000C3BE0"/>
    <w:rsid w:val="000C46D6"/>
    <w:rsid w:val="000C697C"/>
    <w:rsid w:val="000D2EA6"/>
    <w:rsid w:val="000E4A77"/>
    <w:rsid w:val="000E728F"/>
    <w:rsid w:val="0010264F"/>
    <w:rsid w:val="00103A27"/>
    <w:rsid w:val="00106AAC"/>
    <w:rsid w:val="00115747"/>
    <w:rsid w:val="001200DB"/>
    <w:rsid w:val="001275B6"/>
    <w:rsid w:val="00132072"/>
    <w:rsid w:val="0013751E"/>
    <w:rsid w:val="00146805"/>
    <w:rsid w:val="001576A9"/>
    <w:rsid w:val="0016040B"/>
    <w:rsid w:val="00160BA0"/>
    <w:rsid w:val="001610B9"/>
    <w:rsid w:val="00181D95"/>
    <w:rsid w:val="00187730"/>
    <w:rsid w:val="001945E3"/>
    <w:rsid w:val="001948C7"/>
    <w:rsid w:val="001A64B0"/>
    <w:rsid w:val="001A6B52"/>
    <w:rsid w:val="001A7C2B"/>
    <w:rsid w:val="001B0FF5"/>
    <w:rsid w:val="001B3C46"/>
    <w:rsid w:val="001B4940"/>
    <w:rsid w:val="001B509D"/>
    <w:rsid w:val="001B6D6B"/>
    <w:rsid w:val="001C0567"/>
    <w:rsid w:val="001C1292"/>
    <w:rsid w:val="001C47F6"/>
    <w:rsid w:val="001C7DE4"/>
    <w:rsid w:val="001D0C8C"/>
    <w:rsid w:val="001D1C52"/>
    <w:rsid w:val="001D593B"/>
    <w:rsid w:val="001D70F6"/>
    <w:rsid w:val="001E1407"/>
    <w:rsid w:val="001E3A04"/>
    <w:rsid w:val="001E6B15"/>
    <w:rsid w:val="001E72F7"/>
    <w:rsid w:val="001F2129"/>
    <w:rsid w:val="001F24F2"/>
    <w:rsid w:val="001F31A3"/>
    <w:rsid w:val="001F328F"/>
    <w:rsid w:val="0020105A"/>
    <w:rsid w:val="00202FD8"/>
    <w:rsid w:val="002039F4"/>
    <w:rsid w:val="00204598"/>
    <w:rsid w:val="00204F60"/>
    <w:rsid w:val="002061BE"/>
    <w:rsid w:val="00213992"/>
    <w:rsid w:val="00221401"/>
    <w:rsid w:val="002364CB"/>
    <w:rsid w:val="0023781B"/>
    <w:rsid w:val="00247B5A"/>
    <w:rsid w:val="00253917"/>
    <w:rsid w:val="00254B07"/>
    <w:rsid w:val="00256291"/>
    <w:rsid w:val="00264BA6"/>
    <w:rsid w:val="00266EDA"/>
    <w:rsid w:val="00267D10"/>
    <w:rsid w:val="0027229C"/>
    <w:rsid w:val="002727CA"/>
    <w:rsid w:val="00285AF3"/>
    <w:rsid w:val="0028737B"/>
    <w:rsid w:val="00287834"/>
    <w:rsid w:val="002939D5"/>
    <w:rsid w:val="00295D62"/>
    <w:rsid w:val="00296FD9"/>
    <w:rsid w:val="002A5027"/>
    <w:rsid w:val="002A785B"/>
    <w:rsid w:val="002B3988"/>
    <w:rsid w:val="002C5672"/>
    <w:rsid w:val="002D03DF"/>
    <w:rsid w:val="002D08DA"/>
    <w:rsid w:val="002D2CA4"/>
    <w:rsid w:val="002D6A10"/>
    <w:rsid w:val="002D7617"/>
    <w:rsid w:val="002E1925"/>
    <w:rsid w:val="002E364E"/>
    <w:rsid w:val="002E3BAD"/>
    <w:rsid w:val="002E4B64"/>
    <w:rsid w:val="002F0759"/>
    <w:rsid w:val="003045D7"/>
    <w:rsid w:val="00310BF5"/>
    <w:rsid w:val="00312186"/>
    <w:rsid w:val="00317FEB"/>
    <w:rsid w:val="003238E0"/>
    <w:rsid w:val="00323DF6"/>
    <w:rsid w:val="00331303"/>
    <w:rsid w:val="003323BE"/>
    <w:rsid w:val="00335B7D"/>
    <w:rsid w:val="00340835"/>
    <w:rsid w:val="003415E1"/>
    <w:rsid w:val="00347A3F"/>
    <w:rsid w:val="00355983"/>
    <w:rsid w:val="0035613D"/>
    <w:rsid w:val="00356C68"/>
    <w:rsid w:val="003632C4"/>
    <w:rsid w:val="00363E37"/>
    <w:rsid w:val="003744B7"/>
    <w:rsid w:val="00381749"/>
    <w:rsid w:val="00384754"/>
    <w:rsid w:val="003853E3"/>
    <w:rsid w:val="003865AE"/>
    <w:rsid w:val="00393556"/>
    <w:rsid w:val="00397627"/>
    <w:rsid w:val="003A0729"/>
    <w:rsid w:val="003A2653"/>
    <w:rsid w:val="003A47A0"/>
    <w:rsid w:val="003A75B2"/>
    <w:rsid w:val="003B1894"/>
    <w:rsid w:val="003B462C"/>
    <w:rsid w:val="003B51FF"/>
    <w:rsid w:val="003B565A"/>
    <w:rsid w:val="003B5B37"/>
    <w:rsid w:val="003C1E55"/>
    <w:rsid w:val="003C6B62"/>
    <w:rsid w:val="003C7787"/>
    <w:rsid w:val="003D62DF"/>
    <w:rsid w:val="003D75CE"/>
    <w:rsid w:val="003E19B7"/>
    <w:rsid w:val="003E411E"/>
    <w:rsid w:val="003E759F"/>
    <w:rsid w:val="00403678"/>
    <w:rsid w:val="00406E88"/>
    <w:rsid w:val="00412512"/>
    <w:rsid w:val="00417CC2"/>
    <w:rsid w:val="004202AA"/>
    <w:rsid w:val="00436B13"/>
    <w:rsid w:val="004374B0"/>
    <w:rsid w:val="00441C24"/>
    <w:rsid w:val="004457EC"/>
    <w:rsid w:val="00447D09"/>
    <w:rsid w:val="00451D6C"/>
    <w:rsid w:val="004523E4"/>
    <w:rsid w:val="004547B8"/>
    <w:rsid w:val="00457043"/>
    <w:rsid w:val="00460751"/>
    <w:rsid w:val="00467313"/>
    <w:rsid w:val="004679E7"/>
    <w:rsid w:val="00473372"/>
    <w:rsid w:val="0048099B"/>
    <w:rsid w:val="00480BEE"/>
    <w:rsid w:val="00481016"/>
    <w:rsid w:val="00484015"/>
    <w:rsid w:val="00485B3F"/>
    <w:rsid w:val="004878FE"/>
    <w:rsid w:val="004965E6"/>
    <w:rsid w:val="004A0B75"/>
    <w:rsid w:val="004A1D5E"/>
    <w:rsid w:val="004A6D84"/>
    <w:rsid w:val="004B077C"/>
    <w:rsid w:val="004B6259"/>
    <w:rsid w:val="004C089F"/>
    <w:rsid w:val="004C31A0"/>
    <w:rsid w:val="004C501D"/>
    <w:rsid w:val="004C57AA"/>
    <w:rsid w:val="004C7C1B"/>
    <w:rsid w:val="004D68DA"/>
    <w:rsid w:val="004D7C03"/>
    <w:rsid w:val="004E5AD0"/>
    <w:rsid w:val="004E7783"/>
    <w:rsid w:val="004F0E08"/>
    <w:rsid w:val="004F2230"/>
    <w:rsid w:val="004F5024"/>
    <w:rsid w:val="004F65F6"/>
    <w:rsid w:val="00501458"/>
    <w:rsid w:val="005017D6"/>
    <w:rsid w:val="00503848"/>
    <w:rsid w:val="00504512"/>
    <w:rsid w:val="0050553B"/>
    <w:rsid w:val="00512671"/>
    <w:rsid w:val="00516270"/>
    <w:rsid w:val="00520344"/>
    <w:rsid w:val="00520B1C"/>
    <w:rsid w:val="00530949"/>
    <w:rsid w:val="00531600"/>
    <w:rsid w:val="005322C9"/>
    <w:rsid w:val="0053425E"/>
    <w:rsid w:val="005344D1"/>
    <w:rsid w:val="00557350"/>
    <w:rsid w:val="00562D6D"/>
    <w:rsid w:val="00563B33"/>
    <w:rsid w:val="00564F07"/>
    <w:rsid w:val="00572EEB"/>
    <w:rsid w:val="005825C6"/>
    <w:rsid w:val="00583984"/>
    <w:rsid w:val="00584F45"/>
    <w:rsid w:val="0059407C"/>
    <w:rsid w:val="00596459"/>
    <w:rsid w:val="005A0509"/>
    <w:rsid w:val="005A1D74"/>
    <w:rsid w:val="005A4781"/>
    <w:rsid w:val="005C36AF"/>
    <w:rsid w:val="005C6149"/>
    <w:rsid w:val="005D5AAF"/>
    <w:rsid w:val="005D7A95"/>
    <w:rsid w:val="005E1C3C"/>
    <w:rsid w:val="005E28C3"/>
    <w:rsid w:val="005E2D44"/>
    <w:rsid w:val="005E4262"/>
    <w:rsid w:val="005E70FF"/>
    <w:rsid w:val="005F45D8"/>
    <w:rsid w:val="00602468"/>
    <w:rsid w:val="00603426"/>
    <w:rsid w:val="00606C77"/>
    <w:rsid w:val="00607165"/>
    <w:rsid w:val="00607ECB"/>
    <w:rsid w:val="00616128"/>
    <w:rsid w:val="00630832"/>
    <w:rsid w:val="00630964"/>
    <w:rsid w:val="006365D8"/>
    <w:rsid w:val="00640CC3"/>
    <w:rsid w:val="00640EAE"/>
    <w:rsid w:val="00645EBD"/>
    <w:rsid w:val="00647620"/>
    <w:rsid w:val="0065322F"/>
    <w:rsid w:val="00653760"/>
    <w:rsid w:val="00653D0F"/>
    <w:rsid w:val="00655AD9"/>
    <w:rsid w:val="006563A4"/>
    <w:rsid w:val="00660C66"/>
    <w:rsid w:val="00662A09"/>
    <w:rsid w:val="00665335"/>
    <w:rsid w:val="00674684"/>
    <w:rsid w:val="00692B39"/>
    <w:rsid w:val="00695627"/>
    <w:rsid w:val="0069717E"/>
    <w:rsid w:val="00697A45"/>
    <w:rsid w:val="00697EC4"/>
    <w:rsid w:val="006A278B"/>
    <w:rsid w:val="006A44AB"/>
    <w:rsid w:val="006A5DD3"/>
    <w:rsid w:val="006A5FAE"/>
    <w:rsid w:val="006A7E04"/>
    <w:rsid w:val="006B1E12"/>
    <w:rsid w:val="006B1E52"/>
    <w:rsid w:val="006B63F1"/>
    <w:rsid w:val="006C5056"/>
    <w:rsid w:val="006D3114"/>
    <w:rsid w:val="006D6B26"/>
    <w:rsid w:val="006D6E52"/>
    <w:rsid w:val="006D7F5D"/>
    <w:rsid w:val="006E0755"/>
    <w:rsid w:val="006E6456"/>
    <w:rsid w:val="006F5F73"/>
    <w:rsid w:val="0070093C"/>
    <w:rsid w:val="00707072"/>
    <w:rsid w:val="00711DA2"/>
    <w:rsid w:val="007126CC"/>
    <w:rsid w:val="00713B1A"/>
    <w:rsid w:val="007164CA"/>
    <w:rsid w:val="0071658B"/>
    <w:rsid w:val="0072448E"/>
    <w:rsid w:val="007257A3"/>
    <w:rsid w:val="00727DE4"/>
    <w:rsid w:val="00733CBE"/>
    <w:rsid w:val="007341E2"/>
    <w:rsid w:val="007403FB"/>
    <w:rsid w:val="00743F18"/>
    <w:rsid w:val="0074466F"/>
    <w:rsid w:val="00752FA4"/>
    <w:rsid w:val="00753F1E"/>
    <w:rsid w:val="00760231"/>
    <w:rsid w:val="00762166"/>
    <w:rsid w:val="007706D5"/>
    <w:rsid w:val="00776F7B"/>
    <w:rsid w:val="0078590F"/>
    <w:rsid w:val="0079012C"/>
    <w:rsid w:val="007A0905"/>
    <w:rsid w:val="007A5D17"/>
    <w:rsid w:val="007A6E5F"/>
    <w:rsid w:val="007B06D5"/>
    <w:rsid w:val="007B0BA3"/>
    <w:rsid w:val="007B20CA"/>
    <w:rsid w:val="007C1A51"/>
    <w:rsid w:val="007C1FFE"/>
    <w:rsid w:val="007C787E"/>
    <w:rsid w:val="007D35B9"/>
    <w:rsid w:val="007D58E1"/>
    <w:rsid w:val="007D6549"/>
    <w:rsid w:val="007E493D"/>
    <w:rsid w:val="007E4956"/>
    <w:rsid w:val="007F1BC8"/>
    <w:rsid w:val="007F1D5F"/>
    <w:rsid w:val="0080166A"/>
    <w:rsid w:val="00802AF9"/>
    <w:rsid w:val="00803E02"/>
    <w:rsid w:val="00805055"/>
    <w:rsid w:val="0080720C"/>
    <w:rsid w:val="008118F0"/>
    <w:rsid w:val="00813A52"/>
    <w:rsid w:val="00813BD7"/>
    <w:rsid w:val="00822772"/>
    <w:rsid w:val="00823529"/>
    <w:rsid w:val="00824714"/>
    <w:rsid w:val="008248A2"/>
    <w:rsid w:val="0082680D"/>
    <w:rsid w:val="00827400"/>
    <w:rsid w:val="00827435"/>
    <w:rsid w:val="008333E1"/>
    <w:rsid w:val="00833B1E"/>
    <w:rsid w:val="00834E3F"/>
    <w:rsid w:val="00837798"/>
    <w:rsid w:val="0084494A"/>
    <w:rsid w:val="008458D9"/>
    <w:rsid w:val="00851B10"/>
    <w:rsid w:val="008535D1"/>
    <w:rsid w:val="00860ED2"/>
    <w:rsid w:val="0086467C"/>
    <w:rsid w:val="00867199"/>
    <w:rsid w:val="00867BE8"/>
    <w:rsid w:val="00875C53"/>
    <w:rsid w:val="00875FE9"/>
    <w:rsid w:val="00882D9D"/>
    <w:rsid w:val="00885594"/>
    <w:rsid w:val="00887D98"/>
    <w:rsid w:val="008964A5"/>
    <w:rsid w:val="008970AF"/>
    <w:rsid w:val="008A3424"/>
    <w:rsid w:val="008B12B1"/>
    <w:rsid w:val="008B5B93"/>
    <w:rsid w:val="008B7B24"/>
    <w:rsid w:val="008C00BD"/>
    <w:rsid w:val="008C26E1"/>
    <w:rsid w:val="008C49C2"/>
    <w:rsid w:val="008C5125"/>
    <w:rsid w:val="008D2D46"/>
    <w:rsid w:val="008E0063"/>
    <w:rsid w:val="008E1B3A"/>
    <w:rsid w:val="008E1FB0"/>
    <w:rsid w:val="008E7B3E"/>
    <w:rsid w:val="008E7D52"/>
    <w:rsid w:val="008F7D40"/>
    <w:rsid w:val="00904E80"/>
    <w:rsid w:val="00905192"/>
    <w:rsid w:val="009105A3"/>
    <w:rsid w:val="00912BEB"/>
    <w:rsid w:val="00913AFD"/>
    <w:rsid w:val="009151B2"/>
    <w:rsid w:val="009167C4"/>
    <w:rsid w:val="009173BD"/>
    <w:rsid w:val="00921795"/>
    <w:rsid w:val="00922573"/>
    <w:rsid w:val="009356AB"/>
    <w:rsid w:val="00936A27"/>
    <w:rsid w:val="00942B59"/>
    <w:rsid w:val="009523DE"/>
    <w:rsid w:val="00956DC2"/>
    <w:rsid w:val="00970E8B"/>
    <w:rsid w:val="00976CFE"/>
    <w:rsid w:val="009822CD"/>
    <w:rsid w:val="00982C2B"/>
    <w:rsid w:val="00983DED"/>
    <w:rsid w:val="00984D1A"/>
    <w:rsid w:val="00985D10"/>
    <w:rsid w:val="009910FC"/>
    <w:rsid w:val="0099333D"/>
    <w:rsid w:val="009B3EBD"/>
    <w:rsid w:val="009B71F1"/>
    <w:rsid w:val="009C5ECB"/>
    <w:rsid w:val="009C7698"/>
    <w:rsid w:val="009D08CB"/>
    <w:rsid w:val="009D37E6"/>
    <w:rsid w:val="009D6B26"/>
    <w:rsid w:val="009E10CB"/>
    <w:rsid w:val="009E27BB"/>
    <w:rsid w:val="009E4BFA"/>
    <w:rsid w:val="009E5DAC"/>
    <w:rsid w:val="009F13C8"/>
    <w:rsid w:val="009F38A1"/>
    <w:rsid w:val="00A00BBC"/>
    <w:rsid w:val="00A03B7A"/>
    <w:rsid w:val="00A07710"/>
    <w:rsid w:val="00A10F23"/>
    <w:rsid w:val="00A11FC3"/>
    <w:rsid w:val="00A13A11"/>
    <w:rsid w:val="00A17F99"/>
    <w:rsid w:val="00A32B3D"/>
    <w:rsid w:val="00A334B2"/>
    <w:rsid w:val="00A338B6"/>
    <w:rsid w:val="00A36638"/>
    <w:rsid w:val="00A421CA"/>
    <w:rsid w:val="00A4256B"/>
    <w:rsid w:val="00A42A92"/>
    <w:rsid w:val="00A43EB9"/>
    <w:rsid w:val="00A5110C"/>
    <w:rsid w:val="00A52C58"/>
    <w:rsid w:val="00A52E4C"/>
    <w:rsid w:val="00A62661"/>
    <w:rsid w:val="00A64305"/>
    <w:rsid w:val="00A65D73"/>
    <w:rsid w:val="00A65E30"/>
    <w:rsid w:val="00A703BB"/>
    <w:rsid w:val="00A71AA6"/>
    <w:rsid w:val="00A808A3"/>
    <w:rsid w:val="00A80C70"/>
    <w:rsid w:val="00A83187"/>
    <w:rsid w:val="00A903BA"/>
    <w:rsid w:val="00AA4671"/>
    <w:rsid w:val="00AA4A98"/>
    <w:rsid w:val="00AA6AD4"/>
    <w:rsid w:val="00AB20A0"/>
    <w:rsid w:val="00AB4176"/>
    <w:rsid w:val="00AB4B8C"/>
    <w:rsid w:val="00AD005D"/>
    <w:rsid w:val="00AD0446"/>
    <w:rsid w:val="00AD6472"/>
    <w:rsid w:val="00AD6D9C"/>
    <w:rsid w:val="00AE52E1"/>
    <w:rsid w:val="00AF2AFA"/>
    <w:rsid w:val="00B02534"/>
    <w:rsid w:val="00B051D2"/>
    <w:rsid w:val="00B07F5C"/>
    <w:rsid w:val="00B108F3"/>
    <w:rsid w:val="00B1316D"/>
    <w:rsid w:val="00B13743"/>
    <w:rsid w:val="00B17FFB"/>
    <w:rsid w:val="00B200CE"/>
    <w:rsid w:val="00B251B2"/>
    <w:rsid w:val="00B346F1"/>
    <w:rsid w:val="00B35B59"/>
    <w:rsid w:val="00B37310"/>
    <w:rsid w:val="00B40956"/>
    <w:rsid w:val="00B446BC"/>
    <w:rsid w:val="00B50163"/>
    <w:rsid w:val="00B51820"/>
    <w:rsid w:val="00B558D9"/>
    <w:rsid w:val="00B55AE0"/>
    <w:rsid w:val="00B561F4"/>
    <w:rsid w:val="00B577EF"/>
    <w:rsid w:val="00B6707D"/>
    <w:rsid w:val="00B67343"/>
    <w:rsid w:val="00B71445"/>
    <w:rsid w:val="00B91C3E"/>
    <w:rsid w:val="00B921B3"/>
    <w:rsid w:val="00B96EE6"/>
    <w:rsid w:val="00BA2667"/>
    <w:rsid w:val="00BA35CB"/>
    <w:rsid w:val="00BA6FC2"/>
    <w:rsid w:val="00BB1DBD"/>
    <w:rsid w:val="00BB3A79"/>
    <w:rsid w:val="00BC5E35"/>
    <w:rsid w:val="00BC7AA4"/>
    <w:rsid w:val="00BD4078"/>
    <w:rsid w:val="00BD5FE2"/>
    <w:rsid w:val="00BE16A2"/>
    <w:rsid w:val="00BF25A0"/>
    <w:rsid w:val="00BF2C0B"/>
    <w:rsid w:val="00C002A3"/>
    <w:rsid w:val="00C052D7"/>
    <w:rsid w:val="00C11AD3"/>
    <w:rsid w:val="00C20074"/>
    <w:rsid w:val="00C209E3"/>
    <w:rsid w:val="00C21A7E"/>
    <w:rsid w:val="00C21AF9"/>
    <w:rsid w:val="00C2303D"/>
    <w:rsid w:val="00C23E21"/>
    <w:rsid w:val="00C26699"/>
    <w:rsid w:val="00C27E82"/>
    <w:rsid w:val="00C31749"/>
    <w:rsid w:val="00C3623C"/>
    <w:rsid w:val="00C409B9"/>
    <w:rsid w:val="00C41304"/>
    <w:rsid w:val="00C42F38"/>
    <w:rsid w:val="00C44FE6"/>
    <w:rsid w:val="00C45343"/>
    <w:rsid w:val="00C462E8"/>
    <w:rsid w:val="00C46DA6"/>
    <w:rsid w:val="00C5178D"/>
    <w:rsid w:val="00C55291"/>
    <w:rsid w:val="00C55954"/>
    <w:rsid w:val="00C61884"/>
    <w:rsid w:val="00C74CAA"/>
    <w:rsid w:val="00C76348"/>
    <w:rsid w:val="00C774F4"/>
    <w:rsid w:val="00C777C7"/>
    <w:rsid w:val="00C80482"/>
    <w:rsid w:val="00C84076"/>
    <w:rsid w:val="00C84F6F"/>
    <w:rsid w:val="00C87399"/>
    <w:rsid w:val="00C87B94"/>
    <w:rsid w:val="00C90095"/>
    <w:rsid w:val="00C923DB"/>
    <w:rsid w:val="00C927C6"/>
    <w:rsid w:val="00C96846"/>
    <w:rsid w:val="00CA0464"/>
    <w:rsid w:val="00CA3BC6"/>
    <w:rsid w:val="00CB0C55"/>
    <w:rsid w:val="00CB1429"/>
    <w:rsid w:val="00CB24B8"/>
    <w:rsid w:val="00CB38EE"/>
    <w:rsid w:val="00CB5091"/>
    <w:rsid w:val="00CB7F7B"/>
    <w:rsid w:val="00CC40DC"/>
    <w:rsid w:val="00CD6F66"/>
    <w:rsid w:val="00CD786A"/>
    <w:rsid w:val="00CE1499"/>
    <w:rsid w:val="00CE207E"/>
    <w:rsid w:val="00CE36A7"/>
    <w:rsid w:val="00CE3759"/>
    <w:rsid w:val="00CE4844"/>
    <w:rsid w:val="00CE7CB0"/>
    <w:rsid w:val="00D03E0F"/>
    <w:rsid w:val="00D11975"/>
    <w:rsid w:val="00D167D9"/>
    <w:rsid w:val="00D21E7B"/>
    <w:rsid w:val="00D22177"/>
    <w:rsid w:val="00D22ADC"/>
    <w:rsid w:val="00D274B8"/>
    <w:rsid w:val="00D3631A"/>
    <w:rsid w:val="00D401C9"/>
    <w:rsid w:val="00D40FC5"/>
    <w:rsid w:val="00D41931"/>
    <w:rsid w:val="00D511DB"/>
    <w:rsid w:val="00D52432"/>
    <w:rsid w:val="00D66333"/>
    <w:rsid w:val="00D673B5"/>
    <w:rsid w:val="00D81D93"/>
    <w:rsid w:val="00D84EDF"/>
    <w:rsid w:val="00D90F04"/>
    <w:rsid w:val="00DA0FF4"/>
    <w:rsid w:val="00DB1B0A"/>
    <w:rsid w:val="00DB7313"/>
    <w:rsid w:val="00DB766B"/>
    <w:rsid w:val="00DC2025"/>
    <w:rsid w:val="00DC44DE"/>
    <w:rsid w:val="00DC5700"/>
    <w:rsid w:val="00DC5A96"/>
    <w:rsid w:val="00DD1915"/>
    <w:rsid w:val="00DD1F7C"/>
    <w:rsid w:val="00DD603C"/>
    <w:rsid w:val="00DD7DA6"/>
    <w:rsid w:val="00DE1F57"/>
    <w:rsid w:val="00DF1722"/>
    <w:rsid w:val="00DF3ECA"/>
    <w:rsid w:val="00DF4F33"/>
    <w:rsid w:val="00DF505F"/>
    <w:rsid w:val="00E001D7"/>
    <w:rsid w:val="00E018CC"/>
    <w:rsid w:val="00E02F2C"/>
    <w:rsid w:val="00E14622"/>
    <w:rsid w:val="00E16393"/>
    <w:rsid w:val="00E23899"/>
    <w:rsid w:val="00E27D78"/>
    <w:rsid w:val="00E3091D"/>
    <w:rsid w:val="00E32DD0"/>
    <w:rsid w:val="00E357DE"/>
    <w:rsid w:val="00E41DE5"/>
    <w:rsid w:val="00E42A97"/>
    <w:rsid w:val="00E55C83"/>
    <w:rsid w:val="00E564E0"/>
    <w:rsid w:val="00E66732"/>
    <w:rsid w:val="00E75B77"/>
    <w:rsid w:val="00E820A7"/>
    <w:rsid w:val="00E85EDF"/>
    <w:rsid w:val="00E8666E"/>
    <w:rsid w:val="00E9198D"/>
    <w:rsid w:val="00E92365"/>
    <w:rsid w:val="00E92CB6"/>
    <w:rsid w:val="00E9376C"/>
    <w:rsid w:val="00E975C5"/>
    <w:rsid w:val="00EA0482"/>
    <w:rsid w:val="00EA4EC1"/>
    <w:rsid w:val="00EA5A7C"/>
    <w:rsid w:val="00EA62D1"/>
    <w:rsid w:val="00EB48F5"/>
    <w:rsid w:val="00EB5440"/>
    <w:rsid w:val="00ED0562"/>
    <w:rsid w:val="00ED0C58"/>
    <w:rsid w:val="00ED2B99"/>
    <w:rsid w:val="00ED317F"/>
    <w:rsid w:val="00ED55A6"/>
    <w:rsid w:val="00ED7611"/>
    <w:rsid w:val="00ED7FCB"/>
    <w:rsid w:val="00EE1041"/>
    <w:rsid w:val="00EE7FA9"/>
    <w:rsid w:val="00EF0E84"/>
    <w:rsid w:val="00EF4675"/>
    <w:rsid w:val="00F03133"/>
    <w:rsid w:val="00F11648"/>
    <w:rsid w:val="00F13405"/>
    <w:rsid w:val="00F14D33"/>
    <w:rsid w:val="00F16738"/>
    <w:rsid w:val="00F174BE"/>
    <w:rsid w:val="00F178A6"/>
    <w:rsid w:val="00F208C8"/>
    <w:rsid w:val="00F23297"/>
    <w:rsid w:val="00F2538C"/>
    <w:rsid w:val="00F27151"/>
    <w:rsid w:val="00F304A0"/>
    <w:rsid w:val="00F316B4"/>
    <w:rsid w:val="00F359E9"/>
    <w:rsid w:val="00F36B34"/>
    <w:rsid w:val="00F374E1"/>
    <w:rsid w:val="00F37572"/>
    <w:rsid w:val="00F37A40"/>
    <w:rsid w:val="00F41ED7"/>
    <w:rsid w:val="00F42B31"/>
    <w:rsid w:val="00F43BDC"/>
    <w:rsid w:val="00F64EA5"/>
    <w:rsid w:val="00F710BC"/>
    <w:rsid w:val="00F750AE"/>
    <w:rsid w:val="00F76D5E"/>
    <w:rsid w:val="00F804CC"/>
    <w:rsid w:val="00F80965"/>
    <w:rsid w:val="00F80B6A"/>
    <w:rsid w:val="00F83073"/>
    <w:rsid w:val="00F91DB5"/>
    <w:rsid w:val="00F951F0"/>
    <w:rsid w:val="00F9644D"/>
    <w:rsid w:val="00FA0E99"/>
    <w:rsid w:val="00FA17CB"/>
    <w:rsid w:val="00FA4169"/>
    <w:rsid w:val="00FA576E"/>
    <w:rsid w:val="00FB41E0"/>
    <w:rsid w:val="00FB4835"/>
    <w:rsid w:val="00FB7BDC"/>
    <w:rsid w:val="00FC3989"/>
    <w:rsid w:val="00FC3D26"/>
    <w:rsid w:val="00FC504F"/>
    <w:rsid w:val="00FC6B08"/>
    <w:rsid w:val="00FD41F2"/>
    <w:rsid w:val="00FE5729"/>
    <w:rsid w:val="00FE5CBD"/>
    <w:rsid w:val="00FE5CED"/>
    <w:rsid w:val="00FF39B0"/>
    <w:rsid w:val="00FF5247"/>
    <w:rsid w:val="011A70D7"/>
    <w:rsid w:val="013ABF34"/>
    <w:rsid w:val="05600B07"/>
    <w:rsid w:val="06222F25"/>
    <w:rsid w:val="064D89DF"/>
    <w:rsid w:val="0932D2EB"/>
    <w:rsid w:val="0972A65C"/>
    <w:rsid w:val="0A60FABE"/>
    <w:rsid w:val="0B7929F5"/>
    <w:rsid w:val="0D16E8ED"/>
    <w:rsid w:val="128102BD"/>
    <w:rsid w:val="133AE9CF"/>
    <w:rsid w:val="15DF1AA7"/>
    <w:rsid w:val="16830641"/>
    <w:rsid w:val="16C22DD4"/>
    <w:rsid w:val="17C214CF"/>
    <w:rsid w:val="1D986050"/>
    <w:rsid w:val="2134D546"/>
    <w:rsid w:val="2264C5F0"/>
    <w:rsid w:val="2672F33D"/>
    <w:rsid w:val="28C2F6C6"/>
    <w:rsid w:val="290DE09A"/>
    <w:rsid w:val="2B3EB608"/>
    <w:rsid w:val="2B749300"/>
    <w:rsid w:val="2E52D343"/>
    <w:rsid w:val="2F1A9D49"/>
    <w:rsid w:val="3167E379"/>
    <w:rsid w:val="3241620C"/>
    <w:rsid w:val="32F575AC"/>
    <w:rsid w:val="35957563"/>
    <w:rsid w:val="39A7C0F3"/>
    <w:rsid w:val="3A45EC5F"/>
    <w:rsid w:val="3B196671"/>
    <w:rsid w:val="3E91F24B"/>
    <w:rsid w:val="41E82039"/>
    <w:rsid w:val="43EF7685"/>
    <w:rsid w:val="4D023242"/>
    <w:rsid w:val="4D95795A"/>
    <w:rsid w:val="4F5BAA2F"/>
    <w:rsid w:val="508F13A4"/>
    <w:rsid w:val="5389DB88"/>
    <w:rsid w:val="56487799"/>
    <w:rsid w:val="57359714"/>
    <w:rsid w:val="5A7A4147"/>
    <w:rsid w:val="5B6497B3"/>
    <w:rsid w:val="5BF125FD"/>
    <w:rsid w:val="5D3301F9"/>
    <w:rsid w:val="5F3CE20F"/>
    <w:rsid w:val="5F5A509C"/>
    <w:rsid w:val="6011780F"/>
    <w:rsid w:val="6089CB60"/>
    <w:rsid w:val="6172BB0B"/>
    <w:rsid w:val="621479B4"/>
    <w:rsid w:val="69A77DB7"/>
    <w:rsid w:val="6B4DD302"/>
    <w:rsid w:val="6BF7BE0C"/>
    <w:rsid w:val="6C7A0EA1"/>
    <w:rsid w:val="6D1A0694"/>
    <w:rsid w:val="6FDE4242"/>
    <w:rsid w:val="700FA7F8"/>
    <w:rsid w:val="704FB9B3"/>
    <w:rsid w:val="71291A44"/>
    <w:rsid w:val="72D1DFFF"/>
    <w:rsid w:val="7333ED5E"/>
    <w:rsid w:val="7414126C"/>
    <w:rsid w:val="7D0879FE"/>
    <w:rsid w:val="7D317AD4"/>
    <w:rsid w:val="7D9F07EA"/>
    <w:rsid w:val="7FBD313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BD15F53"/>
  <w15:docId w15:val="{139FDFEA-0EFF-4F57-9F53-9C91AE860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ystem" w:eastAsia="Times New Roman" w:hAnsi="System"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3992"/>
    <w:rPr>
      <w:noProof/>
    </w:rPr>
  </w:style>
  <w:style w:type="paragraph" w:styleId="Heading1">
    <w:name w:val="heading 1"/>
    <w:next w:val="Normal"/>
    <w:qFormat/>
    <w:rsid w:val="00213992"/>
    <w:pPr>
      <w:outlineLvl w:val="0"/>
    </w:pPr>
    <w:rPr>
      <w:rFonts w:ascii="Times New Roman" w:hAnsi="Times New Roman"/>
      <w:noProof/>
    </w:rPr>
  </w:style>
  <w:style w:type="paragraph" w:styleId="Heading2">
    <w:name w:val="heading 2"/>
    <w:next w:val="Normal"/>
    <w:qFormat/>
    <w:rsid w:val="00213992"/>
    <w:pPr>
      <w:outlineLvl w:val="1"/>
    </w:pPr>
    <w:rPr>
      <w:rFonts w:ascii="Times New Roman" w:hAnsi="Times New Roman"/>
      <w:noProof/>
    </w:rPr>
  </w:style>
  <w:style w:type="paragraph" w:styleId="Heading3">
    <w:name w:val="heading 3"/>
    <w:next w:val="Normal"/>
    <w:qFormat/>
    <w:rsid w:val="00213992"/>
    <w:pPr>
      <w:outlineLvl w:val="2"/>
    </w:pPr>
    <w:rPr>
      <w:rFonts w:ascii="Times New Roman" w:hAnsi="Times New Roman"/>
      <w:noProof/>
    </w:rPr>
  </w:style>
  <w:style w:type="paragraph" w:styleId="Heading4">
    <w:name w:val="heading 4"/>
    <w:next w:val="Normal"/>
    <w:qFormat/>
    <w:rsid w:val="00213992"/>
    <w:pPr>
      <w:outlineLvl w:val="3"/>
    </w:pPr>
    <w:rPr>
      <w:rFonts w:ascii="Times New Roman" w:hAnsi="Times New Roman"/>
      <w:noProof/>
    </w:rPr>
  </w:style>
  <w:style w:type="paragraph" w:styleId="Heading5">
    <w:name w:val="heading 5"/>
    <w:next w:val="Normal"/>
    <w:qFormat/>
    <w:rsid w:val="00213992"/>
    <w:pPr>
      <w:outlineLvl w:val="4"/>
    </w:pPr>
    <w:rPr>
      <w:rFonts w:ascii="Times New Roman" w:hAnsi="Times New Roman"/>
      <w:noProof/>
    </w:rPr>
  </w:style>
  <w:style w:type="paragraph" w:styleId="Heading6">
    <w:name w:val="heading 6"/>
    <w:next w:val="Normal"/>
    <w:qFormat/>
    <w:rsid w:val="00213992"/>
    <w:pPr>
      <w:outlineLvl w:val="5"/>
    </w:pPr>
    <w:rPr>
      <w:rFonts w:ascii="Times New Roman" w:hAnsi="Times New Roman"/>
      <w:noProof/>
    </w:rPr>
  </w:style>
  <w:style w:type="paragraph" w:styleId="Heading7">
    <w:name w:val="heading 7"/>
    <w:next w:val="Normal"/>
    <w:qFormat/>
    <w:rsid w:val="00213992"/>
    <w:pPr>
      <w:outlineLvl w:val="6"/>
    </w:pPr>
    <w:rPr>
      <w:rFonts w:ascii="Times New Roman" w:hAnsi="Times New Roman"/>
      <w:noProof/>
    </w:rPr>
  </w:style>
  <w:style w:type="paragraph" w:styleId="Heading8">
    <w:name w:val="heading 8"/>
    <w:next w:val="Normal"/>
    <w:qFormat/>
    <w:rsid w:val="00213992"/>
    <w:pPr>
      <w:outlineLvl w:val="7"/>
    </w:pPr>
    <w:rPr>
      <w:rFonts w:ascii="Times New Roman" w:hAnsi="Times New Roman"/>
      <w:noProof/>
    </w:rPr>
  </w:style>
  <w:style w:type="paragraph" w:styleId="Heading9">
    <w:name w:val="heading 9"/>
    <w:next w:val="Normal"/>
    <w:qFormat/>
    <w:rsid w:val="00213992"/>
    <w:pPr>
      <w:outlineLvl w:val="8"/>
    </w:pPr>
    <w:rPr>
      <w:rFonts w:ascii="Times New Roman" w:hAnsi="Times New Roman"/>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13992"/>
    <w:pPr>
      <w:tabs>
        <w:tab w:val="center" w:pos="4320"/>
        <w:tab w:val="right" w:pos="8640"/>
      </w:tabs>
    </w:pPr>
  </w:style>
  <w:style w:type="paragraph" w:styleId="Footer">
    <w:name w:val="footer"/>
    <w:basedOn w:val="Normal"/>
    <w:link w:val="FooterChar"/>
    <w:uiPriority w:val="99"/>
    <w:rsid w:val="00213992"/>
    <w:pPr>
      <w:tabs>
        <w:tab w:val="center" w:pos="4320"/>
        <w:tab w:val="right" w:pos="8640"/>
      </w:tabs>
    </w:pPr>
  </w:style>
  <w:style w:type="paragraph" w:styleId="BodyText">
    <w:name w:val="Body Text"/>
    <w:basedOn w:val="Normal"/>
    <w:rsid w:val="00213992"/>
    <w:pPr>
      <w:spacing w:line="480" w:lineRule="atLeast"/>
      <w:jc w:val="both"/>
    </w:pPr>
    <w:rPr>
      <w:rFonts w:ascii="Times" w:hAnsi="Times"/>
      <w:noProof w:val="0"/>
      <w:sz w:val="22"/>
    </w:rPr>
  </w:style>
  <w:style w:type="paragraph" w:styleId="BodyTextIndent">
    <w:name w:val="Body Text Indent"/>
    <w:basedOn w:val="Normal"/>
    <w:rsid w:val="00213992"/>
    <w:pPr>
      <w:spacing w:line="480" w:lineRule="atLeast"/>
      <w:ind w:left="360" w:hanging="360"/>
    </w:pPr>
    <w:rPr>
      <w:rFonts w:ascii="Times" w:hAnsi="Times"/>
      <w:noProof w:val="0"/>
      <w:sz w:val="22"/>
    </w:rPr>
  </w:style>
  <w:style w:type="paragraph" w:styleId="BodyText2">
    <w:name w:val="Body Text 2"/>
    <w:basedOn w:val="Normal"/>
    <w:rsid w:val="00213992"/>
    <w:pPr>
      <w:spacing w:line="480" w:lineRule="auto"/>
      <w:ind w:right="-354"/>
    </w:pPr>
    <w:rPr>
      <w:rFonts w:ascii="Times New Roman" w:hAnsi="Times New Roman"/>
      <w:noProof w:val="0"/>
      <w:sz w:val="24"/>
    </w:rPr>
  </w:style>
  <w:style w:type="paragraph" w:styleId="BodyText3">
    <w:name w:val="Body Text 3"/>
    <w:basedOn w:val="Normal"/>
    <w:rsid w:val="00213992"/>
    <w:pPr>
      <w:tabs>
        <w:tab w:val="left" w:pos="0"/>
      </w:tabs>
      <w:spacing w:line="480" w:lineRule="auto"/>
      <w:ind w:right="-444"/>
    </w:pPr>
    <w:rPr>
      <w:rFonts w:ascii="Times New Roman" w:hAnsi="Times New Roman"/>
      <w:noProof w:val="0"/>
      <w:sz w:val="24"/>
    </w:rPr>
  </w:style>
  <w:style w:type="paragraph" w:styleId="BodyTextIndent2">
    <w:name w:val="Body Text Indent 2"/>
    <w:basedOn w:val="Normal"/>
    <w:rsid w:val="00213992"/>
    <w:pPr>
      <w:tabs>
        <w:tab w:val="left" w:pos="540"/>
      </w:tabs>
      <w:spacing w:line="480" w:lineRule="auto"/>
      <w:ind w:left="540" w:hanging="630"/>
    </w:pPr>
    <w:rPr>
      <w:rFonts w:ascii="Times New Roman" w:hAnsi="Times New Roman"/>
      <w:noProof w:val="0"/>
      <w:sz w:val="24"/>
    </w:rPr>
  </w:style>
  <w:style w:type="paragraph" w:styleId="BodyTextIndent3">
    <w:name w:val="Body Text Indent 3"/>
    <w:basedOn w:val="Normal"/>
    <w:rsid w:val="00213992"/>
    <w:pPr>
      <w:spacing w:line="480" w:lineRule="auto"/>
      <w:ind w:right="-354" w:firstLine="540"/>
    </w:pPr>
    <w:rPr>
      <w:rFonts w:ascii="Times New Roman" w:hAnsi="Times New Roman"/>
      <w:noProof w:val="0"/>
      <w:sz w:val="24"/>
    </w:rPr>
  </w:style>
  <w:style w:type="paragraph" w:styleId="BalloonText">
    <w:name w:val="Balloon Text"/>
    <w:basedOn w:val="Normal"/>
    <w:semiHidden/>
    <w:rsid w:val="00C462E8"/>
    <w:rPr>
      <w:rFonts w:ascii="Tahoma" w:hAnsi="Tahoma"/>
      <w:sz w:val="16"/>
      <w:szCs w:val="16"/>
    </w:rPr>
  </w:style>
  <w:style w:type="character" w:styleId="CommentReference">
    <w:name w:val="annotation reference"/>
    <w:basedOn w:val="DefaultParagraphFont"/>
    <w:unhideWhenUsed/>
    <w:rsid w:val="00202FD8"/>
    <w:rPr>
      <w:sz w:val="16"/>
      <w:szCs w:val="16"/>
    </w:rPr>
  </w:style>
  <w:style w:type="paragraph" w:styleId="CommentText">
    <w:name w:val="annotation text"/>
    <w:basedOn w:val="Normal"/>
    <w:link w:val="CommentTextChar"/>
    <w:unhideWhenUsed/>
    <w:rsid w:val="00202FD8"/>
  </w:style>
  <w:style w:type="character" w:customStyle="1" w:styleId="CommentTextChar">
    <w:name w:val="Comment Text Char"/>
    <w:basedOn w:val="DefaultParagraphFont"/>
    <w:link w:val="CommentText"/>
    <w:rsid w:val="00202FD8"/>
    <w:rPr>
      <w:noProof/>
    </w:rPr>
  </w:style>
  <w:style w:type="paragraph" w:styleId="CommentSubject">
    <w:name w:val="annotation subject"/>
    <w:basedOn w:val="CommentText"/>
    <w:next w:val="CommentText"/>
    <w:link w:val="CommentSubjectChar"/>
    <w:uiPriority w:val="99"/>
    <w:semiHidden/>
    <w:unhideWhenUsed/>
    <w:rsid w:val="00202FD8"/>
    <w:rPr>
      <w:b/>
      <w:bCs/>
    </w:rPr>
  </w:style>
  <w:style w:type="character" w:customStyle="1" w:styleId="CommentSubjectChar">
    <w:name w:val="Comment Subject Char"/>
    <w:basedOn w:val="CommentTextChar"/>
    <w:link w:val="CommentSubject"/>
    <w:uiPriority w:val="99"/>
    <w:semiHidden/>
    <w:rsid w:val="00202FD8"/>
    <w:rPr>
      <w:b/>
      <w:bCs/>
      <w:noProof/>
    </w:rPr>
  </w:style>
  <w:style w:type="paragraph" w:styleId="Revision">
    <w:name w:val="Revision"/>
    <w:hidden/>
    <w:uiPriority w:val="99"/>
    <w:semiHidden/>
    <w:rsid w:val="000E4A77"/>
    <w:rPr>
      <w:noProof/>
    </w:rPr>
  </w:style>
  <w:style w:type="character" w:customStyle="1" w:styleId="FooterChar">
    <w:name w:val="Footer Char"/>
    <w:basedOn w:val="DefaultParagraphFont"/>
    <w:link w:val="Footer"/>
    <w:uiPriority w:val="99"/>
    <w:rsid w:val="00DF4F33"/>
    <w:rPr>
      <w:noProof/>
    </w:rPr>
  </w:style>
  <w:style w:type="paragraph" w:styleId="FootnoteText">
    <w:name w:val="footnote text"/>
    <w:basedOn w:val="Normal"/>
    <w:link w:val="FootnoteTextChar"/>
    <w:uiPriority w:val="99"/>
    <w:semiHidden/>
    <w:unhideWhenUsed/>
    <w:rsid w:val="00040C64"/>
    <w:rPr>
      <w:rFonts w:ascii="Cambria" w:hAnsi="Cambria"/>
      <w:noProof w:val="0"/>
    </w:rPr>
  </w:style>
  <w:style w:type="character" w:customStyle="1" w:styleId="FootnoteTextChar">
    <w:name w:val="Footnote Text Char"/>
    <w:basedOn w:val="DefaultParagraphFont"/>
    <w:link w:val="FootnoteText"/>
    <w:uiPriority w:val="99"/>
    <w:semiHidden/>
    <w:rsid w:val="00040C64"/>
    <w:rPr>
      <w:rFonts w:ascii="Cambria" w:hAnsi="Cambria"/>
    </w:rPr>
  </w:style>
  <w:style w:type="character" w:styleId="FootnoteReference">
    <w:name w:val="footnote reference"/>
    <w:basedOn w:val="DefaultParagraphFont"/>
    <w:uiPriority w:val="99"/>
    <w:semiHidden/>
    <w:unhideWhenUsed/>
    <w:rsid w:val="00040C64"/>
    <w:rPr>
      <w:rFonts w:cs="Times New Roman"/>
    </w:rPr>
  </w:style>
  <w:style w:type="table" w:styleId="TableGrid">
    <w:name w:val="Table Grid"/>
    <w:basedOn w:val="TableNormal"/>
    <w:uiPriority w:val="59"/>
    <w:rsid w:val="007403FB"/>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039F4"/>
    <w:rPr>
      <w:color w:val="0000FF" w:themeColor="hyperlink"/>
      <w:u w:val="single"/>
    </w:rPr>
  </w:style>
  <w:style w:type="paragraph" w:styleId="NormalWeb">
    <w:name w:val="Normal (Web)"/>
    <w:basedOn w:val="Normal"/>
    <w:uiPriority w:val="99"/>
    <w:semiHidden/>
    <w:unhideWhenUsed/>
    <w:rsid w:val="00EB5440"/>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b043ad-99bd-47e3-9810-b28475e6bb37">
      <Terms xmlns="http://schemas.microsoft.com/office/infopath/2007/PartnerControls"/>
    </lcf76f155ced4ddcb4097134ff3c332f>
    <TaxCatchAll xmlns="defa1d43-bffb-4614-a544-251af0605e16" xsi:nil="true"/>
    <SharedWithUsers xmlns="53b043ad-99bd-47e3-9810-b28475e6bb37">
      <UserInfo>
        <DisplayName/>
        <AccountId xsi:nil="true"/>
        <AccountType/>
      </UserInfo>
    </SharedWithUsers>
    <SharedWithDetails xmlns="53b043ad-99bd-47e3-9810-b28475e6bb3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C883C7D36104488BF3C5FAC67E98DE" ma:contentTypeVersion="15" ma:contentTypeDescription="Create a new document." ma:contentTypeScope="" ma:versionID="6c62bcb8099f4251b25aefaaf91d7624">
  <xsd:schema xmlns:xsd="http://www.w3.org/2001/XMLSchema" xmlns:xs="http://www.w3.org/2001/XMLSchema" xmlns:p="http://schemas.microsoft.com/office/2006/metadata/properties" xmlns:ns2="53b043ad-99bd-47e3-9810-b28475e6bb37" xmlns:ns3="defa1d43-bffb-4614-a544-251af0605e16" targetNamespace="http://schemas.microsoft.com/office/2006/metadata/properties" ma:root="true" ma:fieldsID="2249fd8a0bf9273875baf6b57cd11a5b" ns2:_="" ns3:_="">
    <xsd:import namespace="53b043ad-99bd-47e3-9810-b28475e6bb37"/>
    <xsd:import namespace="defa1d43-bffb-4614-a544-251af0605e16"/>
    <xsd:element name="properties">
      <xsd:complexType>
        <xsd:sequence>
          <xsd:element name="documentManagement">
            <xsd:complexType>
              <xsd:all>
                <xsd:element ref="ns2:SharedWithUsers" minOccurs="0"/>
                <xsd:element ref="ns2:SharedWithDetails" minOccurs="0"/>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43ad-99bd-47e3-9810-b28475e6bb37" elementFormDefault="qualified">
    <xsd:import namespace="http://schemas.microsoft.com/office/2006/documentManagement/types"/>
    <xsd:import namespace="http://schemas.microsoft.com/office/infopath/2007/PartnerControls"/>
    <xsd:element name="SharedWithUsers" ma:index="8" nillable="true" ma:displayName="Shared With" ma:list="UserInfo" ma:SearchPeopleOnly="fals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false">
      <xsd:simpleType>
        <xsd:restriction base="dms:Note">
          <xsd:maxLength value="255"/>
        </xsd:restriction>
      </xsd:simpleType>
    </xsd:element>
    <xsd:element name="MediaServiceBillingMetadata" ma:index="10" nillable="true" ma:displayName="MediaServiceBillingMetadata" ma:hidden="true" ma:internalName="MediaServiceBillingMetadata" ma:readOnly="true">
      <xsd:simpleType>
        <xsd:restriction base="dms:Note"/>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fa1d43-bffb-4614-a544-251af0605e1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4bf5cf7-a55a-4164-9663-16864ad359b3}" ma:internalName="TaxCatchAll" ma:showField="CatchAllData" ma:web="defa1d43-bffb-4614-a544-251af0605e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28A274-BECA-44B3-B627-5A40F01CE253}">
  <ds:schemaRefs>
    <ds:schemaRef ds:uri="http://schemas.openxmlformats.org/officeDocument/2006/bibliography"/>
  </ds:schemaRefs>
</ds:datastoreItem>
</file>

<file path=customXml/itemProps2.xml><?xml version="1.0" encoding="utf-8"?>
<ds:datastoreItem xmlns:ds="http://schemas.openxmlformats.org/officeDocument/2006/customXml" ds:itemID="{5B877622-C344-44D6-8966-54C936BECC9C}">
  <ds:schemaRefs>
    <ds:schemaRef ds:uri="http://schemas.microsoft.com/office/2006/metadata/properties"/>
    <ds:schemaRef ds:uri="http://schemas.microsoft.com/office/infopath/2007/PartnerControls"/>
    <ds:schemaRef ds:uri="53b043ad-99bd-47e3-9810-b28475e6bb37"/>
    <ds:schemaRef ds:uri="defa1d43-bffb-4614-a544-251af0605e16"/>
  </ds:schemaRefs>
</ds:datastoreItem>
</file>

<file path=customXml/itemProps3.xml><?xml version="1.0" encoding="utf-8"?>
<ds:datastoreItem xmlns:ds="http://schemas.openxmlformats.org/officeDocument/2006/customXml" ds:itemID="{A02827A4-EA28-446D-A69F-27CF502F5F40}">
  <ds:schemaRefs>
    <ds:schemaRef ds:uri="http://schemas.microsoft.com/sharepoint/v3/contenttype/forms"/>
  </ds:schemaRefs>
</ds:datastoreItem>
</file>

<file path=customXml/itemProps4.xml><?xml version="1.0" encoding="utf-8"?>
<ds:datastoreItem xmlns:ds="http://schemas.openxmlformats.org/officeDocument/2006/customXml" ds:itemID="{027BC7ED-A782-4AB1-A8C8-805909048F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43ad-99bd-47e3-9810-b28475e6bb37"/>
    <ds:schemaRef ds:uri="defa1d43-bffb-4614-a544-251af0605e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DEA</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Paperwork Reduction Act Submissions</dc:title>
  <dc:creator>McLemore, Leslie B</dc:creator>
  <cp:lastModifiedBy>Moore, Alana J</cp:lastModifiedBy>
  <cp:revision>23</cp:revision>
  <cp:lastPrinted>2016-06-22T15:45:00Z</cp:lastPrinted>
  <dcterms:created xsi:type="dcterms:W3CDTF">2026-07-02T19:32:00Z</dcterms:created>
  <dcterms:modified xsi:type="dcterms:W3CDTF">2026-10-05T14:29:14Z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0x0101009CC883C7D36104488BF3C5FAC67E98DE</vt:lpwstr>
  </property>
  <property fmtid="{D5CDD505-2E9C-101B-9397-08002B2CF9AE}" pid="3" name="MediaServiceImageTags">
    <vt:lpwstr/>
  </property>
</Properties>
</file>