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D80021" w14:paraId="24E84DC2" w14:textId="77777777">
      <w:pPr>
        <w:pStyle w:val="Heading1"/>
        <w:spacing w:before="73"/>
        <w:ind w:left="4"/>
      </w:pPr>
      <w:r>
        <w:t>DEPARTMENT</w:t>
      </w:r>
      <w:r>
        <w:rPr>
          <w:spacing w:val="-5"/>
        </w:rPr>
        <w:t xml:space="preserve"> </w:t>
      </w:r>
      <w:r>
        <w:t>OF</w:t>
      </w:r>
      <w:r>
        <w:rPr>
          <w:spacing w:val="-5"/>
        </w:rPr>
        <w:t xml:space="preserve"> </w:t>
      </w:r>
      <w:r>
        <w:rPr>
          <w:spacing w:val="-2"/>
        </w:rPr>
        <w:t>JUSTICE</w:t>
      </w:r>
    </w:p>
    <w:p w:rsidR="00D80021" w14:paraId="7EFBCDA2" w14:textId="77777777">
      <w:pPr>
        <w:ind w:left="3" w:right="6"/>
        <w:jc w:val="center"/>
        <w:rPr>
          <w:sz w:val="24"/>
        </w:rPr>
      </w:pPr>
      <w:r>
        <w:rPr>
          <w:sz w:val="24"/>
        </w:rPr>
        <w:t>BUREAU</w:t>
      </w:r>
      <w:r>
        <w:rPr>
          <w:spacing w:val="-6"/>
          <w:sz w:val="24"/>
        </w:rPr>
        <w:t xml:space="preserve"> </w:t>
      </w:r>
      <w:r>
        <w:rPr>
          <w:sz w:val="24"/>
        </w:rPr>
        <w:t>OF</w:t>
      </w:r>
      <w:r>
        <w:rPr>
          <w:spacing w:val="-5"/>
          <w:sz w:val="24"/>
        </w:rPr>
        <w:t xml:space="preserve"> </w:t>
      </w:r>
      <w:r>
        <w:rPr>
          <w:sz w:val="24"/>
        </w:rPr>
        <w:t>ALCOHOL,</w:t>
      </w:r>
      <w:r>
        <w:rPr>
          <w:spacing w:val="-3"/>
          <w:sz w:val="24"/>
        </w:rPr>
        <w:t xml:space="preserve"> </w:t>
      </w:r>
      <w:r>
        <w:rPr>
          <w:sz w:val="24"/>
        </w:rPr>
        <w:t>TOBACCO,</w:t>
      </w:r>
      <w:r>
        <w:rPr>
          <w:spacing w:val="-1"/>
          <w:sz w:val="24"/>
        </w:rPr>
        <w:t xml:space="preserve"> </w:t>
      </w:r>
      <w:r>
        <w:rPr>
          <w:sz w:val="24"/>
        </w:rPr>
        <w:t>FIREARMS</w:t>
      </w:r>
      <w:r>
        <w:rPr>
          <w:spacing w:val="-3"/>
          <w:sz w:val="24"/>
        </w:rPr>
        <w:t xml:space="preserve"> </w:t>
      </w:r>
      <w:r>
        <w:rPr>
          <w:sz w:val="24"/>
        </w:rPr>
        <w:t>AND</w:t>
      </w:r>
      <w:r>
        <w:rPr>
          <w:spacing w:val="-3"/>
          <w:sz w:val="24"/>
        </w:rPr>
        <w:t xml:space="preserve"> </w:t>
      </w:r>
      <w:r>
        <w:rPr>
          <w:spacing w:val="-2"/>
          <w:sz w:val="24"/>
        </w:rPr>
        <w:t>EXPLOSIVES</w:t>
      </w:r>
    </w:p>
    <w:p w:rsidR="00D80021" w14:paraId="1D0CCEF8" w14:textId="77777777">
      <w:pPr>
        <w:pStyle w:val="BodyText"/>
      </w:pPr>
    </w:p>
    <w:p w:rsidR="00D80021" w14:paraId="0F6CB12D" w14:textId="77777777">
      <w:pPr>
        <w:pStyle w:val="BodyText"/>
        <w:ind w:left="2660" w:right="2663"/>
        <w:jc w:val="center"/>
      </w:pPr>
      <w:r>
        <w:t>Information</w:t>
      </w:r>
      <w:r>
        <w:rPr>
          <w:spacing w:val="-15"/>
        </w:rPr>
        <w:t xml:space="preserve"> </w:t>
      </w:r>
      <w:r>
        <w:t>Collection</w:t>
      </w:r>
      <w:r>
        <w:rPr>
          <w:spacing w:val="-15"/>
        </w:rPr>
        <w:t xml:space="preserve"> </w:t>
      </w:r>
      <w:r>
        <w:t>Request Supporting Statement</w:t>
      </w:r>
    </w:p>
    <w:p w:rsidR="00D80021" w14:paraId="57D5BDD9" w14:textId="77777777">
      <w:pPr>
        <w:pStyle w:val="Heading1"/>
      </w:pPr>
      <w:r>
        <w:t>OMB</w:t>
      </w:r>
      <w:r>
        <w:rPr>
          <w:spacing w:val="-4"/>
        </w:rPr>
        <w:t xml:space="preserve"> </w:t>
      </w:r>
      <w:r>
        <w:t>1140-</w:t>
      </w:r>
      <w:r>
        <w:rPr>
          <w:spacing w:val="-4"/>
        </w:rPr>
        <w:t>0012</w:t>
      </w:r>
    </w:p>
    <w:p w:rsidR="00D80021" w14:paraId="3DE11802" w14:textId="77777777">
      <w:pPr>
        <w:pStyle w:val="BodyText"/>
        <w:ind w:right="6"/>
        <w:jc w:val="center"/>
      </w:pPr>
      <w:r>
        <w:t>Notice</w:t>
      </w:r>
      <w:r>
        <w:rPr>
          <w:spacing w:val="-3"/>
        </w:rPr>
        <w:t xml:space="preserve"> </w:t>
      </w:r>
      <w:r>
        <w:t>of Firearms</w:t>
      </w:r>
      <w:r>
        <w:rPr>
          <w:spacing w:val="-2"/>
        </w:rPr>
        <w:t xml:space="preserve"> </w:t>
      </w:r>
      <w:r>
        <w:t>Manufactured</w:t>
      </w:r>
      <w:r>
        <w:rPr>
          <w:spacing w:val="-1"/>
        </w:rPr>
        <w:t xml:space="preserve"> </w:t>
      </w:r>
      <w:r>
        <w:t>or</w:t>
      </w:r>
      <w:r>
        <w:rPr>
          <w:spacing w:val="-1"/>
        </w:rPr>
        <w:t xml:space="preserve"> </w:t>
      </w:r>
      <w:r>
        <w:t>Imported -</w:t>
      </w:r>
      <w:r>
        <w:rPr>
          <w:spacing w:val="-2"/>
        </w:rPr>
        <w:t xml:space="preserve"> </w:t>
      </w:r>
      <w:r>
        <w:t>ATF</w:t>
      </w:r>
      <w:r>
        <w:rPr>
          <w:spacing w:val="-3"/>
        </w:rPr>
        <w:t xml:space="preserve"> </w:t>
      </w:r>
      <w:r>
        <w:t>Form</w:t>
      </w:r>
      <w:r>
        <w:rPr>
          <w:spacing w:val="-2"/>
        </w:rPr>
        <w:t xml:space="preserve"> </w:t>
      </w:r>
      <w:r>
        <w:t>2</w:t>
      </w:r>
      <w:r>
        <w:rPr>
          <w:spacing w:val="-1"/>
        </w:rPr>
        <w:t xml:space="preserve"> </w:t>
      </w:r>
      <w:r>
        <w:rPr>
          <w:spacing w:val="-2"/>
        </w:rPr>
        <w:t>(5320.2)</w:t>
      </w:r>
    </w:p>
    <w:p w:rsidR="00D80021" w14:paraId="7F62C6F6" w14:textId="77777777">
      <w:pPr>
        <w:pStyle w:val="BodyText"/>
      </w:pPr>
    </w:p>
    <w:p w:rsidR="00D80021" w14:paraId="0B77BB17" w14:textId="77777777">
      <w:pPr>
        <w:pStyle w:val="BodyText"/>
      </w:pPr>
    </w:p>
    <w:p w:rsidR="00D80021" w14:paraId="0B510E3E" w14:textId="77777777">
      <w:pPr>
        <w:pStyle w:val="Heading1"/>
        <w:numPr>
          <w:ilvl w:val="0"/>
          <w:numId w:val="1"/>
        </w:numPr>
        <w:tabs>
          <w:tab w:val="left" w:pos="943"/>
        </w:tabs>
        <w:ind w:right="0"/>
        <w:jc w:val="left"/>
      </w:pPr>
      <w:r>
        <w:rPr>
          <w:spacing w:val="-2"/>
          <w:u w:val="single"/>
        </w:rPr>
        <w:t>JUSTIFICATION</w:t>
      </w:r>
    </w:p>
    <w:p w:rsidR="00D80021" w14:paraId="3F9C0C6F" w14:textId="77777777">
      <w:pPr>
        <w:pStyle w:val="BodyText"/>
      </w:pPr>
    </w:p>
    <w:p w:rsidR="00D80021" w14:paraId="6095C2BB" w14:textId="77777777">
      <w:pPr>
        <w:pStyle w:val="ListParagraph"/>
        <w:numPr>
          <w:ilvl w:val="1"/>
          <w:numId w:val="1"/>
        </w:numPr>
        <w:tabs>
          <w:tab w:val="left" w:pos="1531"/>
        </w:tabs>
        <w:ind w:right="426"/>
        <w:rPr>
          <w:sz w:val="24"/>
        </w:rPr>
      </w:pPr>
      <w:r>
        <w:rPr>
          <w:sz w:val="24"/>
        </w:rPr>
        <w:t xml:space="preserve">The </w:t>
      </w:r>
      <w:r>
        <w:t xml:space="preserve">Notice of </w:t>
      </w:r>
      <w:r>
        <w:rPr>
          <w:sz w:val="24"/>
        </w:rPr>
        <w:t>Firearms Manufactured or Imported - ATF Form 2 (5320.2) is required of (1) a person who is qualified to manufacture National Firearms Act</w:t>
      </w:r>
      <w:r>
        <w:rPr>
          <w:spacing w:val="-2"/>
          <w:sz w:val="24"/>
        </w:rPr>
        <w:t xml:space="preserve"> </w:t>
      </w:r>
      <w:r>
        <w:rPr>
          <w:sz w:val="24"/>
        </w:rPr>
        <w:t>(NFA)</w:t>
      </w:r>
      <w:r>
        <w:rPr>
          <w:spacing w:val="-3"/>
          <w:sz w:val="24"/>
        </w:rPr>
        <w:t xml:space="preserve"> </w:t>
      </w:r>
      <w:r>
        <w:rPr>
          <w:sz w:val="24"/>
        </w:rPr>
        <w:t>firearms,</w:t>
      </w:r>
      <w:r>
        <w:rPr>
          <w:spacing w:val="-2"/>
          <w:sz w:val="24"/>
        </w:rPr>
        <w:t xml:space="preserve"> </w:t>
      </w:r>
      <w:r>
        <w:rPr>
          <w:sz w:val="24"/>
        </w:rPr>
        <w:t>or</w:t>
      </w:r>
      <w:r>
        <w:rPr>
          <w:spacing w:val="-3"/>
          <w:sz w:val="24"/>
        </w:rPr>
        <w:t xml:space="preserve"> </w:t>
      </w:r>
      <w:r>
        <w:rPr>
          <w:sz w:val="24"/>
        </w:rPr>
        <w:t>(2)</w:t>
      </w:r>
      <w:r>
        <w:rPr>
          <w:spacing w:val="-3"/>
          <w:sz w:val="24"/>
        </w:rPr>
        <w:t xml:space="preserve"> </w:t>
      </w:r>
      <w:r>
        <w:rPr>
          <w:sz w:val="24"/>
        </w:rPr>
        <w:t>a</w:t>
      </w:r>
      <w:r>
        <w:rPr>
          <w:spacing w:val="-3"/>
          <w:sz w:val="24"/>
        </w:rPr>
        <w:t xml:space="preserve"> </w:t>
      </w:r>
      <w:r>
        <w:rPr>
          <w:sz w:val="24"/>
        </w:rPr>
        <w:t>person who</w:t>
      </w:r>
      <w:r>
        <w:rPr>
          <w:spacing w:val="-2"/>
          <w:sz w:val="24"/>
        </w:rPr>
        <w:t xml:space="preserve"> </w:t>
      </w:r>
      <w:r>
        <w:rPr>
          <w:sz w:val="24"/>
        </w:rPr>
        <w:t>is</w:t>
      </w:r>
      <w:r>
        <w:rPr>
          <w:spacing w:val="-2"/>
          <w:sz w:val="24"/>
        </w:rPr>
        <w:t xml:space="preserve"> </w:t>
      </w:r>
      <w:r>
        <w:rPr>
          <w:sz w:val="24"/>
        </w:rPr>
        <w:t>qualified</w:t>
      </w:r>
      <w:r>
        <w:rPr>
          <w:spacing w:val="-2"/>
          <w:sz w:val="24"/>
        </w:rPr>
        <w:t xml:space="preserve"> </w:t>
      </w:r>
      <w:r>
        <w:rPr>
          <w:sz w:val="24"/>
        </w:rPr>
        <w:t>to</w:t>
      </w:r>
      <w:r>
        <w:rPr>
          <w:spacing w:val="-2"/>
          <w:sz w:val="24"/>
        </w:rPr>
        <w:t xml:space="preserve"> </w:t>
      </w:r>
      <w:r>
        <w:rPr>
          <w:sz w:val="24"/>
        </w:rPr>
        <w:t>import</w:t>
      </w:r>
      <w:r>
        <w:rPr>
          <w:spacing w:val="-2"/>
          <w:sz w:val="24"/>
        </w:rPr>
        <w:t xml:space="preserve"> </w:t>
      </w:r>
      <w:r>
        <w:rPr>
          <w:sz w:val="24"/>
        </w:rPr>
        <w:t>NFA</w:t>
      </w:r>
      <w:r>
        <w:rPr>
          <w:spacing w:val="-3"/>
          <w:sz w:val="24"/>
        </w:rPr>
        <w:t xml:space="preserve"> </w:t>
      </w:r>
      <w:r>
        <w:rPr>
          <w:sz w:val="24"/>
        </w:rPr>
        <w:t>firearms to register manufactured</w:t>
      </w:r>
      <w:r>
        <w:rPr>
          <w:spacing w:val="-26"/>
          <w:sz w:val="24"/>
        </w:rPr>
        <w:t xml:space="preserve"> </w:t>
      </w:r>
      <w:r>
        <w:rPr>
          <w:sz w:val="24"/>
        </w:rPr>
        <w:t>or imported NFA firearm(s). In general, under the provisions</w:t>
      </w:r>
      <w:r>
        <w:rPr>
          <w:spacing w:val="-3"/>
          <w:sz w:val="24"/>
        </w:rPr>
        <w:t xml:space="preserve"> </w:t>
      </w:r>
      <w:r>
        <w:rPr>
          <w:sz w:val="24"/>
        </w:rPr>
        <w:t>of</w:t>
      </w:r>
      <w:r>
        <w:rPr>
          <w:spacing w:val="-4"/>
          <w:sz w:val="24"/>
        </w:rPr>
        <w:t xml:space="preserve"> </w:t>
      </w:r>
      <w:r>
        <w:rPr>
          <w:sz w:val="24"/>
        </w:rPr>
        <w:t>26</w:t>
      </w:r>
      <w:r>
        <w:rPr>
          <w:spacing w:val="-3"/>
          <w:sz w:val="24"/>
        </w:rPr>
        <w:t xml:space="preserve"> </w:t>
      </w:r>
      <w:r>
        <w:rPr>
          <w:sz w:val="24"/>
        </w:rPr>
        <w:t>U.S.C.</w:t>
      </w:r>
      <w:r>
        <w:rPr>
          <w:spacing w:val="-3"/>
          <w:sz w:val="24"/>
        </w:rPr>
        <w:t xml:space="preserve"> </w:t>
      </w:r>
      <w:r>
        <w:rPr>
          <w:sz w:val="24"/>
        </w:rPr>
        <w:t>§</w:t>
      </w:r>
      <w:r>
        <w:rPr>
          <w:spacing w:val="-3"/>
          <w:sz w:val="24"/>
        </w:rPr>
        <w:t xml:space="preserve"> </w:t>
      </w:r>
      <w:r>
        <w:rPr>
          <w:sz w:val="24"/>
        </w:rPr>
        <w:t>5822,</w:t>
      </w:r>
      <w:r>
        <w:rPr>
          <w:spacing w:val="-3"/>
          <w:sz w:val="24"/>
        </w:rPr>
        <w:t xml:space="preserve"> </w:t>
      </w:r>
      <w:r>
        <w:rPr>
          <w:sz w:val="24"/>
        </w:rPr>
        <w:t>no</w:t>
      </w:r>
      <w:r>
        <w:rPr>
          <w:spacing w:val="-3"/>
          <w:sz w:val="24"/>
        </w:rPr>
        <w:t xml:space="preserve"> </w:t>
      </w:r>
      <w:r>
        <w:rPr>
          <w:sz w:val="24"/>
        </w:rPr>
        <w:t>person</w:t>
      </w:r>
      <w:r>
        <w:rPr>
          <w:spacing w:val="-3"/>
          <w:sz w:val="24"/>
        </w:rPr>
        <w:t xml:space="preserve"> </w:t>
      </w:r>
      <w:r>
        <w:rPr>
          <w:sz w:val="24"/>
        </w:rPr>
        <w:t>can</w:t>
      </w:r>
      <w:r>
        <w:rPr>
          <w:spacing w:val="-3"/>
          <w:sz w:val="24"/>
        </w:rPr>
        <w:t xml:space="preserve"> </w:t>
      </w:r>
      <w:r>
        <w:rPr>
          <w:sz w:val="24"/>
        </w:rPr>
        <w:t>make</w:t>
      </w:r>
      <w:r>
        <w:rPr>
          <w:spacing w:val="-4"/>
          <w:sz w:val="24"/>
        </w:rPr>
        <w:t xml:space="preserve"> </w:t>
      </w:r>
      <w:r>
        <w:rPr>
          <w:sz w:val="24"/>
        </w:rPr>
        <w:t>an</w:t>
      </w:r>
      <w:r>
        <w:rPr>
          <w:spacing w:val="-3"/>
          <w:sz w:val="24"/>
        </w:rPr>
        <w:t xml:space="preserve"> </w:t>
      </w:r>
      <w:r>
        <w:rPr>
          <w:sz w:val="24"/>
        </w:rPr>
        <w:t>NFA</w:t>
      </w:r>
      <w:r>
        <w:rPr>
          <w:spacing w:val="-4"/>
          <w:sz w:val="24"/>
        </w:rPr>
        <w:t xml:space="preserve"> </w:t>
      </w:r>
      <w:r>
        <w:rPr>
          <w:sz w:val="24"/>
        </w:rPr>
        <w:t>firearm</w:t>
      </w:r>
      <w:r>
        <w:rPr>
          <w:spacing w:val="-3"/>
          <w:sz w:val="24"/>
        </w:rPr>
        <w:t xml:space="preserve"> </w:t>
      </w:r>
      <w:r>
        <w:rPr>
          <w:sz w:val="24"/>
        </w:rPr>
        <w:t>until</w:t>
      </w:r>
      <w:r>
        <w:rPr>
          <w:spacing w:val="-3"/>
          <w:sz w:val="24"/>
        </w:rPr>
        <w:t xml:space="preserve"> </w:t>
      </w:r>
      <w:r>
        <w:rPr>
          <w:sz w:val="24"/>
        </w:rPr>
        <w:t>he or she has applied for and received approval from the Attorney General of the United States (delegated to ATF). Subject to certain exceptions, the making of an NFA firearm is subject to a tax of $200.</w:t>
      </w:r>
    </w:p>
    <w:p w:rsidR="00D80021" w14:paraId="6C5C79EA" w14:textId="77777777">
      <w:pPr>
        <w:pStyle w:val="BodyText"/>
        <w:spacing w:before="3"/>
      </w:pPr>
    </w:p>
    <w:p w:rsidR="00D80021" w14:paraId="32BDFB1F" w14:textId="77777777">
      <w:pPr>
        <w:pStyle w:val="BodyText"/>
        <w:ind w:left="1531" w:right="517"/>
      </w:pPr>
      <w:r>
        <w:t>Section</w:t>
      </w:r>
      <w:r>
        <w:rPr>
          <w:spacing w:val="-5"/>
        </w:rPr>
        <w:t xml:space="preserve"> </w:t>
      </w:r>
      <w:r>
        <w:t>5841(b)</w:t>
      </w:r>
      <w:r>
        <w:rPr>
          <w:spacing w:val="-6"/>
        </w:rPr>
        <w:t xml:space="preserve"> </w:t>
      </w:r>
      <w:r>
        <w:t>provides</w:t>
      </w:r>
      <w:r>
        <w:rPr>
          <w:spacing w:val="-3"/>
        </w:rPr>
        <w:t xml:space="preserve"> </w:t>
      </w:r>
      <w:r>
        <w:t>that</w:t>
      </w:r>
      <w:r>
        <w:rPr>
          <w:spacing w:val="-5"/>
        </w:rPr>
        <w:t xml:space="preserve"> </w:t>
      </w:r>
      <w:r>
        <w:t>each</w:t>
      </w:r>
      <w:r>
        <w:rPr>
          <w:spacing w:val="-5"/>
        </w:rPr>
        <w:t xml:space="preserve"> </w:t>
      </w:r>
      <w:r>
        <w:t>manufacturer</w:t>
      </w:r>
      <w:r>
        <w:rPr>
          <w:spacing w:val="-4"/>
        </w:rPr>
        <w:t xml:space="preserve"> </w:t>
      </w:r>
      <w:r>
        <w:t>and</w:t>
      </w:r>
      <w:r>
        <w:rPr>
          <w:spacing w:val="-5"/>
        </w:rPr>
        <w:t xml:space="preserve"> </w:t>
      </w:r>
      <w:r>
        <w:t>importer</w:t>
      </w:r>
      <w:r>
        <w:rPr>
          <w:spacing w:val="-6"/>
        </w:rPr>
        <w:t xml:space="preserve"> </w:t>
      </w:r>
      <w:r>
        <w:t>shall</w:t>
      </w:r>
      <w:r>
        <w:rPr>
          <w:spacing w:val="-5"/>
        </w:rPr>
        <w:t xml:space="preserve"> </w:t>
      </w:r>
      <w:r>
        <w:t xml:space="preserve">register each firearm manufactured or imported. Section 5841(c) provides that each manufacturer shall notify the Attorney General about the manufacture of a firearm, as provided by the regulations. These </w:t>
      </w:r>
      <w:r>
        <w:t>regulations further</w:t>
      </w:r>
      <w:r>
        <w:t xml:space="preserve"> stipulate that each importer must obtain authorization as required by regulations, prior to importing a firearm. Section 5852(c) exempts a qualified manufacturer from payment of the making tax for manufactured firearms.</w:t>
      </w:r>
    </w:p>
    <w:p w:rsidR="00D80021" w14:paraId="3D57AA81" w14:textId="77777777">
      <w:pPr>
        <w:pStyle w:val="BodyText"/>
        <w:spacing w:before="274" w:line="242" w:lineRule="auto"/>
        <w:ind w:left="1531" w:right="517"/>
      </w:pPr>
      <w:r>
        <w:t>These</w:t>
      </w:r>
      <w:r>
        <w:rPr>
          <w:spacing w:val="-5"/>
        </w:rPr>
        <w:t xml:space="preserve"> </w:t>
      </w:r>
      <w:r>
        <w:t>statutory</w:t>
      </w:r>
      <w:r>
        <w:rPr>
          <w:spacing w:val="-9"/>
        </w:rPr>
        <w:t xml:space="preserve"> </w:t>
      </w:r>
      <w:r>
        <w:t>requirements</w:t>
      </w:r>
      <w:r>
        <w:rPr>
          <w:spacing w:val="-4"/>
        </w:rPr>
        <w:t xml:space="preserve"> </w:t>
      </w:r>
      <w:r>
        <w:t>are</w:t>
      </w:r>
      <w:r>
        <w:rPr>
          <w:spacing w:val="-5"/>
        </w:rPr>
        <w:t xml:space="preserve"> </w:t>
      </w:r>
      <w:r>
        <w:t>implemented</w:t>
      </w:r>
      <w:r>
        <w:rPr>
          <w:spacing w:val="-4"/>
        </w:rPr>
        <w:t xml:space="preserve"> </w:t>
      </w:r>
      <w:r>
        <w:t>by</w:t>
      </w:r>
      <w:r>
        <w:rPr>
          <w:spacing w:val="-7"/>
        </w:rPr>
        <w:t xml:space="preserve"> </w:t>
      </w:r>
      <w:r>
        <w:t>§§</w:t>
      </w:r>
      <w:r>
        <w:rPr>
          <w:spacing w:val="-4"/>
        </w:rPr>
        <w:t xml:space="preserve"> </w:t>
      </w:r>
      <w:r>
        <w:t>479.101,</w:t>
      </w:r>
      <w:r>
        <w:rPr>
          <w:spacing w:val="-4"/>
        </w:rPr>
        <w:t xml:space="preserve"> </w:t>
      </w:r>
      <w:r>
        <w:t>479.103, 479.111, and 479.112, Title 27, Code of Federal Regulations. Section</w:t>
      </w:r>
    </w:p>
    <w:p w:rsidR="00D80021" w14:paraId="6734F353" w14:textId="77777777">
      <w:pPr>
        <w:pStyle w:val="BodyText"/>
        <w:ind w:left="1531" w:right="357"/>
      </w:pPr>
      <w:r>
        <w:t>479.101 provides that each manufacturer and importer shall register each firearm manufactured or imported as required by Part 479. Section 479.103 provides the requirements for a manufacturer to complete and file the ATF Form</w:t>
      </w:r>
      <w:r>
        <w:rPr>
          <w:spacing w:val="-4"/>
        </w:rPr>
        <w:t xml:space="preserve"> </w:t>
      </w:r>
      <w:r>
        <w:t>2</w:t>
      </w:r>
      <w:r>
        <w:rPr>
          <w:spacing w:val="-4"/>
        </w:rPr>
        <w:t xml:space="preserve"> </w:t>
      </w:r>
      <w:r>
        <w:t>(5320.2),</w:t>
      </w:r>
      <w:r>
        <w:rPr>
          <w:spacing w:val="-4"/>
        </w:rPr>
        <w:t xml:space="preserve"> </w:t>
      </w:r>
      <w:r>
        <w:t>in</w:t>
      </w:r>
      <w:r>
        <w:rPr>
          <w:spacing w:val="-4"/>
        </w:rPr>
        <w:t xml:space="preserve"> </w:t>
      </w:r>
      <w:r>
        <w:t>order</w:t>
      </w:r>
      <w:r>
        <w:rPr>
          <w:spacing w:val="-3"/>
        </w:rPr>
        <w:t xml:space="preserve"> </w:t>
      </w:r>
      <w:r>
        <w:t>to</w:t>
      </w:r>
      <w:r>
        <w:rPr>
          <w:spacing w:val="-4"/>
        </w:rPr>
        <w:t xml:space="preserve"> </w:t>
      </w:r>
      <w:r>
        <w:t>register</w:t>
      </w:r>
      <w:r>
        <w:rPr>
          <w:spacing w:val="-5"/>
        </w:rPr>
        <w:t xml:space="preserve"> </w:t>
      </w:r>
      <w:r>
        <w:t>manufactured</w:t>
      </w:r>
      <w:r>
        <w:rPr>
          <w:spacing w:val="-2"/>
        </w:rPr>
        <w:t xml:space="preserve"> </w:t>
      </w:r>
      <w:r>
        <w:t>firearms.</w:t>
      </w:r>
      <w:r>
        <w:rPr>
          <w:spacing w:val="-4"/>
        </w:rPr>
        <w:t xml:space="preserve"> </w:t>
      </w:r>
      <w:r>
        <w:t>Section</w:t>
      </w:r>
      <w:r>
        <w:rPr>
          <w:spacing w:val="-4"/>
        </w:rPr>
        <w:t xml:space="preserve"> </w:t>
      </w:r>
      <w:r>
        <w:t>479.111 provides</w:t>
      </w:r>
      <w:r>
        <w:rPr>
          <w:spacing w:val="-3"/>
        </w:rPr>
        <w:t xml:space="preserve"> </w:t>
      </w:r>
      <w:r>
        <w:t>that</w:t>
      </w:r>
      <w:r>
        <w:rPr>
          <w:spacing w:val="-3"/>
        </w:rPr>
        <w:t xml:space="preserve"> </w:t>
      </w:r>
      <w:r>
        <w:t>no</w:t>
      </w:r>
      <w:r>
        <w:rPr>
          <w:spacing w:val="-3"/>
        </w:rPr>
        <w:t xml:space="preserve"> </w:t>
      </w:r>
      <w:r>
        <w:t>firearm</w:t>
      </w:r>
      <w:r>
        <w:rPr>
          <w:spacing w:val="-1"/>
        </w:rPr>
        <w:t xml:space="preserve"> </w:t>
      </w:r>
      <w:r>
        <w:t>shall</w:t>
      </w:r>
      <w:r>
        <w:rPr>
          <w:spacing w:val="-3"/>
        </w:rPr>
        <w:t xml:space="preserve"> </w:t>
      </w:r>
      <w:r>
        <w:t>be</w:t>
      </w:r>
      <w:r>
        <w:rPr>
          <w:spacing w:val="-4"/>
        </w:rPr>
        <w:t xml:space="preserve"> </w:t>
      </w:r>
      <w:r>
        <w:t>imported</w:t>
      </w:r>
      <w:r>
        <w:rPr>
          <w:spacing w:val="-3"/>
        </w:rPr>
        <w:t xml:space="preserve"> </w:t>
      </w:r>
      <w:r>
        <w:t>unless</w:t>
      </w:r>
      <w:r>
        <w:rPr>
          <w:spacing w:val="-3"/>
        </w:rPr>
        <w:t xml:space="preserve"> </w:t>
      </w:r>
      <w:r>
        <w:t>the</w:t>
      </w:r>
      <w:r>
        <w:rPr>
          <w:spacing w:val="-4"/>
        </w:rPr>
        <w:t xml:space="preserve"> </w:t>
      </w:r>
      <w:r>
        <w:t>importer</w:t>
      </w:r>
      <w:r>
        <w:rPr>
          <w:spacing w:val="-4"/>
        </w:rPr>
        <w:t xml:space="preserve"> </w:t>
      </w:r>
      <w:r>
        <w:t>details</w:t>
      </w:r>
      <w:r>
        <w:rPr>
          <w:spacing w:val="-3"/>
        </w:rPr>
        <w:t xml:space="preserve"> </w:t>
      </w:r>
      <w:r>
        <w:t>that</w:t>
      </w:r>
      <w:r>
        <w:rPr>
          <w:spacing w:val="-3"/>
        </w:rPr>
        <w:t xml:space="preserve"> </w:t>
      </w:r>
      <w:r>
        <w:t xml:space="preserve">the importation is for a specific purpose(s). Section 479.112 also provides the requirements for an importer to complete and file the ATF Form 2 (5320.2), </w:t>
      </w:r>
      <w:r>
        <w:t>in order to</w:t>
      </w:r>
      <w:r>
        <w:t xml:space="preserve"> register imported firearms.</w:t>
      </w:r>
    </w:p>
    <w:p w:rsidR="00D80021" w14:paraId="75679688" w14:textId="77777777">
      <w:pPr>
        <w:pStyle w:val="BodyText"/>
        <w:spacing w:before="273"/>
        <w:ind w:left="1531" w:right="517"/>
      </w:pPr>
      <w:r>
        <w:t>Additionally, the ATF Form 2 (5320.2) is filed by federally licensed firearms</w:t>
      </w:r>
      <w:r>
        <w:rPr>
          <w:spacing w:val="-4"/>
        </w:rPr>
        <w:t xml:space="preserve"> </w:t>
      </w:r>
      <w:r>
        <w:t>manufacturers</w:t>
      </w:r>
      <w:r>
        <w:rPr>
          <w:spacing w:val="-2"/>
        </w:rPr>
        <w:t xml:space="preserve"> </w:t>
      </w:r>
      <w:r>
        <w:t>and/or</w:t>
      </w:r>
      <w:r>
        <w:rPr>
          <w:spacing w:val="-5"/>
        </w:rPr>
        <w:t xml:space="preserve"> </w:t>
      </w:r>
      <w:r>
        <w:t>importers</w:t>
      </w:r>
      <w:r>
        <w:rPr>
          <w:spacing w:val="-4"/>
        </w:rPr>
        <w:t xml:space="preserve"> </w:t>
      </w:r>
      <w:r>
        <w:t>(under</w:t>
      </w:r>
      <w:r>
        <w:rPr>
          <w:spacing w:val="-5"/>
        </w:rPr>
        <w:t xml:space="preserve"> </w:t>
      </w:r>
      <w:r>
        <w:t>Part</w:t>
      </w:r>
      <w:r>
        <w:rPr>
          <w:spacing w:val="-4"/>
        </w:rPr>
        <w:t xml:space="preserve"> </w:t>
      </w:r>
      <w:r>
        <w:t>478,</w:t>
      </w:r>
      <w:r>
        <w:rPr>
          <w:spacing w:val="-4"/>
        </w:rPr>
        <w:t xml:space="preserve"> </w:t>
      </w:r>
      <w:r>
        <w:t>Title</w:t>
      </w:r>
      <w:r>
        <w:rPr>
          <w:spacing w:val="-5"/>
        </w:rPr>
        <w:t xml:space="preserve"> </w:t>
      </w:r>
      <w:r>
        <w:t>27,</w:t>
      </w:r>
      <w:r>
        <w:rPr>
          <w:spacing w:val="-4"/>
        </w:rPr>
        <w:t xml:space="preserve"> </w:t>
      </w:r>
      <w:r>
        <w:t>Code</w:t>
      </w:r>
      <w:r>
        <w:rPr>
          <w:spacing w:val="-5"/>
        </w:rPr>
        <w:t xml:space="preserve"> </w:t>
      </w:r>
      <w:r>
        <w:t>of Federal Regulations), who have paid the special (occupational) tax to manufacture or import NFA firearms. It is occasionally filed by a government agency when the agency directly imports the NFA firearm.</w:t>
      </w:r>
    </w:p>
    <w:p w:rsidR="00D80021" w14:paraId="2206E861" w14:textId="77777777">
      <w:pPr>
        <w:pStyle w:val="BodyText"/>
        <w:sectPr>
          <w:type w:val="continuous"/>
          <w:pgSz w:w="12240" w:h="15840"/>
          <w:pgMar w:top="1320" w:right="1440" w:bottom="280" w:left="1440" w:header="720" w:footer="720" w:gutter="0"/>
          <w:cols w:space="720"/>
        </w:sectPr>
      </w:pPr>
    </w:p>
    <w:p w:rsidR="00D80021" w14:paraId="7E0D8636" w14:textId="77777777">
      <w:pPr>
        <w:pStyle w:val="BodyText"/>
        <w:spacing w:before="63"/>
        <w:ind w:left="1531" w:right="457"/>
      </w:pPr>
      <w:r>
        <w:t xml:space="preserve">The application is prepared in duplicate. One copy is retained by the manufacturer or importer as proof of registration. The other copy is sent to </w:t>
      </w:r>
      <w:r>
        <w:t>ATF</w:t>
      </w:r>
      <w:r>
        <w:rPr>
          <w:spacing w:val="-6"/>
        </w:rPr>
        <w:t xml:space="preserve"> </w:t>
      </w:r>
      <w:r>
        <w:t>and</w:t>
      </w:r>
      <w:r>
        <w:rPr>
          <w:spacing w:val="-3"/>
        </w:rPr>
        <w:t xml:space="preserve"> </w:t>
      </w:r>
      <w:r>
        <w:t>the</w:t>
      </w:r>
      <w:r>
        <w:rPr>
          <w:spacing w:val="-4"/>
        </w:rPr>
        <w:t xml:space="preserve"> </w:t>
      </w:r>
      <w:r>
        <w:t>receipt</w:t>
      </w:r>
      <w:r>
        <w:rPr>
          <w:spacing w:val="-3"/>
        </w:rPr>
        <w:t xml:space="preserve"> </w:t>
      </w:r>
      <w:r>
        <w:t>of</w:t>
      </w:r>
      <w:r>
        <w:rPr>
          <w:spacing w:val="-4"/>
        </w:rPr>
        <w:t xml:space="preserve"> </w:t>
      </w:r>
      <w:r>
        <w:t>the</w:t>
      </w:r>
      <w:r>
        <w:rPr>
          <w:spacing w:val="-4"/>
        </w:rPr>
        <w:t xml:space="preserve"> </w:t>
      </w:r>
      <w:r>
        <w:t>notice</w:t>
      </w:r>
      <w:r>
        <w:rPr>
          <w:spacing w:val="-4"/>
        </w:rPr>
        <w:t xml:space="preserve"> </w:t>
      </w:r>
      <w:r>
        <w:t>effects</w:t>
      </w:r>
      <w:r>
        <w:rPr>
          <w:spacing w:val="-3"/>
        </w:rPr>
        <w:t xml:space="preserve"> </w:t>
      </w:r>
      <w:r>
        <w:t>the</w:t>
      </w:r>
      <w:r>
        <w:rPr>
          <w:spacing w:val="-4"/>
        </w:rPr>
        <w:t xml:space="preserve"> </w:t>
      </w:r>
      <w:r>
        <w:t>registration</w:t>
      </w:r>
      <w:r>
        <w:rPr>
          <w:spacing w:val="-3"/>
        </w:rPr>
        <w:t xml:space="preserve"> </w:t>
      </w:r>
      <w:r>
        <w:t>of</w:t>
      </w:r>
      <w:r>
        <w:rPr>
          <w:spacing w:val="-4"/>
        </w:rPr>
        <w:t xml:space="preserve"> </w:t>
      </w:r>
      <w:r>
        <w:t>the</w:t>
      </w:r>
      <w:r>
        <w:rPr>
          <w:spacing w:val="-5"/>
        </w:rPr>
        <w:t xml:space="preserve"> </w:t>
      </w:r>
      <w:r>
        <w:t>firearm</w:t>
      </w:r>
      <w:r>
        <w:rPr>
          <w:spacing w:val="-34"/>
        </w:rPr>
        <w:t xml:space="preserve"> </w:t>
      </w:r>
      <w:r>
        <w:t>in</w:t>
      </w:r>
      <w:r>
        <w:rPr>
          <w:spacing w:val="-3"/>
        </w:rPr>
        <w:t xml:space="preserve"> </w:t>
      </w:r>
      <w:r>
        <w:t>the National Firearms Registration and Transfer Record to the manufacturer or importer.</w:t>
      </w:r>
      <w:r>
        <w:rPr>
          <w:spacing w:val="-4"/>
        </w:rPr>
        <w:t xml:space="preserve"> </w:t>
      </w:r>
      <w:r>
        <w:t>ATF</w:t>
      </w:r>
      <w:r>
        <w:rPr>
          <w:spacing w:val="-3"/>
        </w:rPr>
        <w:t xml:space="preserve"> </w:t>
      </w:r>
      <w:r>
        <w:t>returns</w:t>
      </w:r>
      <w:r>
        <w:rPr>
          <w:spacing w:val="-4"/>
        </w:rPr>
        <w:t xml:space="preserve"> </w:t>
      </w:r>
      <w:r>
        <w:t>a</w:t>
      </w:r>
      <w:r>
        <w:rPr>
          <w:spacing w:val="-3"/>
        </w:rPr>
        <w:t xml:space="preserve"> </w:t>
      </w:r>
      <w:r>
        <w:t>copy,</w:t>
      </w:r>
      <w:r>
        <w:rPr>
          <w:spacing w:val="-2"/>
        </w:rPr>
        <w:t xml:space="preserve"> </w:t>
      </w:r>
      <w:r>
        <w:t>although</w:t>
      </w:r>
      <w:r>
        <w:rPr>
          <w:spacing w:val="-4"/>
        </w:rPr>
        <w:t xml:space="preserve"> </w:t>
      </w:r>
      <w:r>
        <w:t>not</w:t>
      </w:r>
      <w:r>
        <w:rPr>
          <w:spacing w:val="-4"/>
        </w:rPr>
        <w:t xml:space="preserve"> </w:t>
      </w:r>
      <w:r>
        <w:t>required</w:t>
      </w:r>
      <w:r>
        <w:rPr>
          <w:spacing w:val="-4"/>
        </w:rPr>
        <w:t xml:space="preserve"> </w:t>
      </w:r>
      <w:r>
        <w:t>by</w:t>
      </w:r>
      <w:r>
        <w:rPr>
          <w:spacing w:val="-9"/>
        </w:rPr>
        <w:t xml:space="preserve"> </w:t>
      </w:r>
      <w:r>
        <w:t>the</w:t>
      </w:r>
      <w:r>
        <w:rPr>
          <w:spacing w:val="-5"/>
        </w:rPr>
        <w:t xml:space="preserve"> </w:t>
      </w:r>
      <w:r>
        <w:t>regulations,</w:t>
      </w:r>
      <w:r>
        <w:rPr>
          <w:spacing w:val="-5"/>
        </w:rPr>
        <w:t xml:space="preserve"> </w:t>
      </w:r>
      <w:r>
        <w:t>with a receipt so the submitter knows ATF did receive the form. As a notice, not an application, there is no approval or disapproval action taken.</w:t>
      </w:r>
    </w:p>
    <w:p w:rsidR="00D80021" w14:paraId="67E2AF90" w14:textId="77777777">
      <w:pPr>
        <w:pStyle w:val="BodyText"/>
      </w:pPr>
    </w:p>
    <w:p w:rsidR="00D80021" w14:paraId="7E762184" w14:textId="77777777">
      <w:pPr>
        <w:pStyle w:val="ListParagraph"/>
        <w:numPr>
          <w:ilvl w:val="1"/>
          <w:numId w:val="1"/>
        </w:numPr>
        <w:tabs>
          <w:tab w:val="left" w:pos="1483"/>
          <w:tab w:val="left" w:pos="1531"/>
        </w:tabs>
        <w:ind w:left="1483" w:right="410" w:hanging="540"/>
        <w:rPr>
          <w:sz w:val="24"/>
        </w:rPr>
      </w:pPr>
      <w:r>
        <w:rPr>
          <w:sz w:val="24"/>
        </w:rPr>
        <w:t>The</w:t>
      </w:r>
      <w:r>
        <w:rPr>
          <w:spacing w:val="40"/>
          <w:sz w:val="24"/>
        </w:rPr>
        <w:t xml:space="preserve"> </w:t>
      </w:r>
      <w:r>
        <w:rPr>
          <w:sz w:val="24"/>
        </w:rPr>
        <w:t>collected information is used to verify any subsequent transfer and registration</w:t>
      </w:r>
      <w:r>
        <w:rPr>
          <w:spacing w:val="-27"/>
          <w:sz w:val="24"/>
        </w:rPr>
        <w:t xml:space="preserve"> </w:t>
      </w:r>
      <w:r>
        <w:rPr>
          <w:sz w:val="24"/>
        </w:rPr>
        <w:t>of the firearm. In addition, registration information is used to determine</w:t>
      </w:r>
      <w:r>
        <w:rPr>
          <w:spacing w:val="-4"/>
          <w:sz w:val="24"/>
        </w:rPr>
        <w:t xml:space="preserve"> </w:t>
      </w:r>
      <w:r>
        <w:rPr>
          <w:sz w:val="24"/>
        </w:rPr>
        <w:t>the</w:t>
      </w:r>
      <w:r>
        <w:rPr>
          <w:spacing w:val="-3"/>
          <w:sz w:val="24"/>
        </w:rPr>
        <w:t xml:space="preserve"> </w:t>
      </w:r>
      <w:r>
        <w:rPr>
          <w:sz w:val="24"/>
        </w:rPr>
        <w:t>non-registration</w:t>
      </w:r>
      <w:r>
        <w:rPr>
          <w:spacing w:val="-2"/>
          <w:sz w:val="24"/>
        </w:rPr>
        <w:t xml:space="preserve"> </w:t>
      </w:r>
      <w:r>
        <w:rPr>
          <w:sz w:val="24"/>
        </w:rPr>
        <w:t>of</w:t>
      </w:r>
      <w:r>
        <w:rPr>
          <w:spacing w:val="-3"/>
          <w:sz w:val="24"/>
        </w:rPr>
        <w:t xml:space="preserve"> </w:t>
      </w:r>
      <w:r>
        <w:rPr>
          <w:sz w:val="24"/>
        </w:rPr>
        <w:t>a</w:t>
      </w:r>
      <w:r>
        <w:rPr>
          <w:spacing w:val="-3"/>
          <w:sz w:val="24"/>
        </w:rPr>
        <w:t xml:space="preserve"> </w:t>
      </w:r>
      <w:r>
        <w:rPr>
          <w:sz w:val="24"/>
        </w:rPr>
        <w:t>firearm,</w:t>
      </w:r>
      <w:r>
        <w:rPr>
          <w:spacing w:val="-2"/>
          <w:sz w:val="24"/>
        </w:rPr>
        <w:t xml:space="preserve"> </w:t>
      </w:r>
      <w:r>
        <w:rPr>
          <w:sz w:val="24"/>
        </w:rPr>
        <w:t>a</w:t>
      </w:r>
      <w:r>
        <w:rPr>
          <w:spacing w:val="-3"/>
          <w:sz w:val="24"/>
        </w:rPr>
        <w:t xml:space="preserve"> </w:t>
      </w:r>
      <w:r>
        <w:rPr>
          <w:sz w:val="24"/>
        </w:rPr>
        <w:t>violation</w:t>
      </w:r>
      <w:r>
        <w:rPr>
          <w:spacing w:val="-2"/>
          <w:sz w:val="24"/>
        </w:rPr>
        <w:t xml:space="preserve"> </w:t>
      </w:r>
      <w:r>
        <w:rPr>
          <w:sz w:val="24"/>
        </w:rPr>
        <w:t>as</w:t>
      </w:r>
      <w:r>
        <w:rPr>
          <w:spacing w:val="-2"/>
          <w:sz w:val="24"/>
        </w:rPr>
        <w:t xml:space="preserve"> </w:t>
      </w:r>
      <w:r>
        <w:rPr>
          <w:sz w:val="24"/>
        </w:rPr>
        <w:t>specified</w:t>
      </w:r>
      <w:r>
        <w:rPr>
          <w:spacing w:val="-3"/>
          <w:sz w:val="24"/>
        </w:rPr>
        <w:t xml:space="preserve"> </w:t>
      </w:r>
      <w:r>
        <w:rPr>
          <w:sz w:val="24"/>
        </w:rPr>
        <w:t>in</w:t>
      </w:r>
      <w:r>
        <w:rPr>
          <w:spacing w:val="-2"/>
          <w:sz w:val="24"/>
        </w:rPr>
        <w:t xml:space="preserve"> </w:t>
      </w:r>
      <w:r>
        <w:rPr>
          <w:sz w:val="24"/>
        </w:rPr>
        <w:t>§</w:t>
      </w:r>
      <w:r>
        <w:rPr>
          <w:spacing w:val="-2"/>
          <w:sz w:val="24"/>
        </w:rPr>
        <w:t xml:space="preserve"> </w:t>
      </w:r>
      <w:r>
        <w:rPr>
          <w:sz w:val="24"/>
        </w:rPr>
        <w:t>5861.</w:t>
      </w:r>
    </w:p>
    <w:p w:rsidR="00D80021" w14:paraId="14F0CEF9" w14:textId="77777777">
      <w:pPr>
        <w:pStyle w:val="BodyText"/>
      </w:pPr>
    </w:p>
    <w:p w:rsidR="00D80021" w14:paraId="7540F069" w14:textId="77777777">
      <w:pPr>
        <w:pStyle w:val="ListParagraph"/>
        <w:numPr>
          <w:ilvl w:val="1"/>
          <w:numId w:val="1"/>
        </w:numPr>
        <w:tabs>
          <w:tab w:val="left" w:pos="1483"/>
          <w:tab w:val="left" w:pos="1531"/>
        </w:tabs>
        <w:ind w:left="1483" w:right="378" w:hanging="540"/>
        <w:rPr>
          <w:sz w:val="24"/>
        </w:rPr>
      </w:pPr>
      <w:r>
        <w:rPr>
          <w:sz w:val="24"/>
        </w:rPr>
        <w:t>ATF</w:t>
      </w:r>
      <w:r>
        <w:rPr>
          <w:spacing w:val="40"/>
          <w:sz w:val="24"/>
        </w:rPr>
        <w:t xml:space="preserve"> </w:t>
      </w:r>
      <w:r>
        <w:rPr>
          <w:sz w:val="24"/>
        </w:rPr>
        <w:t>Form 2 (5320.2) is available on the ATF website and it is fillable. Additionally,</w:t>
      </w:r>
      <w:r>
        <w:rPr>
          <w:spacing w:val="-4"/>
          <w:sz w:val="24"/>
        </w:rPr>
        <w:t xml:space="preserve"> </w:t>
      </w:r>
      <w:r>
        <w:rPr>
          <w:sz w:val="24"/>
        </w:rPr>
        <w:t>ATF</w:t>
      </w:r>
      <w:r>
        <w:rPr>
          <w:spacing w:val="-6"/>
          <w:sz w:val="24"/>
        </w:rPr>
        <w:t xml:space="preserve"> </w:t>
      </w:r>
      <w:r>
        <w:rPr>
          <w:sz w:val="24"/>
        </w:rPr>
        <w:t>implemented</w:t>
      </w:r>
      <w:r>
        <w:rPr>
          <w:spacing w:val="-6"/>
          <w:sz w:val="24"/>
        </w:rPr>
        <w:t xml:space="preserve"> </w:t>
      </w:r>
      <w:r>
        <w:rPr>
          <w:sz w:val="24"/>
        </w:rPr>
        <w:t>an</w:t>
      </w:r>
      <w:r>
        <w:rPr>
          <w:spacing w:val="-6"/>
          <w:sz w:val="24"/>
        </w:rPr>
        <w:t xml:space="preserve"> </w:t>
      </w:r>
      <w:r>
        <w:rPr>
          <w:sz w:val="24"/>
        </w:rPr>
        <w:t>electronic</w:t>
      </w:r>
      <w:r>
        <w:rPr>
          <w:spacing w:val="-3"/>
          <w:sz w:val="24"/>
        </w:rPr>
        <w:t xml:space="preserve"> </w:t>
      </w:r>
      <w:r>
        <w:rPr>
          <w:sz w:val="24"/>
        </w:rPr>
        <w:t>submission</w:t>
      </w:r>
      <w:r>
        <w:rPr>
          <w:spacing w:val="-5"/>
          <w:sz w:val="24"/>
        </w:rPr>
        <w:t xml:space="preserve"> </w:t>
      </w:r>
      <w:r>
        <w:rPr>
          <w:sz w:val="24"/>
        </w:rPr>
        <w:t>option</w:t>
      </w:r>
      <w:r>
        <w:rPr>
          <w:spacing w:val="-5"/>
          <w:sz w:val="24"/>
        </w:rPr>
        <w:t xml:space="preserve"> </w:t>
      </w:r>
      <w:r>
        <w:rPr>
          <w:sz w:val="24"/>
        </w:rPr>
        <w:t>on</w:t>
      </w:r>
      <w:r>
        <w:rPr>
          <w:spacing w:val="-5"/>
          <w:sz w:val="24"/>
        </w:rPr>
        <w:t xml:space="preserve"> </w:t>
      </w:r>
      <w:r>
        <w:rPr>
          <w:sz w:val="24"/>
        </w:rPr>
        <w:t>August</w:t>
      </w:r>
      <w:r>
        <w:rPr>
          <w:spacing w:val="-2"/>
          <w:sz w:val="24"/>
        </w:rPr>
        <w:t xml:space="preserve"> </w:t>
      </w:r>
      <w:r>
        <w:rPr>
          <w:sz w:val="24"/>
        </w:rPr>
        <w:t xml:space="preserve">6, 2013, via ATF’s </w:t>
      </w:r>
      <w:r>
        <w:rPr>
          <w:sz w:val="24"/>
        </w:rPr>
        <w:t>eForms</w:t>
      </w:r>
      <w:r>
        <w:rPr>
          <w:sz w:val="24"/>
        </w:rPr>
        <w:t xml:space="preserve"> System (</w:t>
      </w:r>
      <w:hyperlink r:id="rId7">
        <w:r>
          <w:rPr>
            <w:color w:val="0000FF"/>
            <w:sz w:val="24"/>
            <w:u w:val="single" w:color="0000FF"/>
          </w:rPr>
          <w:t>www.atfonline.gov</w:t>
        </w:r>
        <w:r>
          <w:rPr>
            <w:sz w:val="24"/>
          </w:rPr>
          <w:t>)</w:t>
        </w:r>
      </w:hyperlink>
      <w:r>
        <w:rPr>
          <w:sz w:val="24"/>
        </w:rPr>
        <w:t xml:space="preserve"> for registered users. Unregistered users have the option of ordering a paper copy from the ATF Distribution Center or downloading the fillable form from ATF’s website (</w:t>
      </w:r>
      <w:hyperlink r:id="rId8">
        <w:r>
          <w:rPr>
            <w:color w:val="0000FF"/>
            <w:sz w:val="24"/>
            <w:u w:val="single" w:color="0000FF"/>
          </w:rPr>
          <w:t>www.atf.gov</w:t>
        </w:r>
        <w:r>
          <w:rPr>
            <w:sz w:val="24"/>
          </w:rPr>
          <w:t>)</w:t>
        </w:r>
      </w:hyperlink>
      <w:r>
        <w:rPr>
          <w:sz w:val="24"/>
        </w:rPr>
        <w:t xml:space="preserve"> and submitting it via mail.</w:t>
      </w:r>
    </w:p>
    <w:p w:rsidR="00D80021" w14:paraId="5753D0B2" w14:textId="77777777">
      <w:pPr>
        <w:pStyle w:val="BodyText"/>
      </w:pPr>
    </w:p>
    <w:p w:rsidR="00D80021" w14:paraId="457A33E0" w14:textId="77777777">
      <w:pPr>
        <w:pStyle w:val="ListParagraph"/>
        <w:numPr>
          <w:ilvl w:val="1"/>
          <w:numId w:val="1"/>
        </w:numPr>
        <w:tabs>
          <w:tab w:val="left" w:pos="1483"/>
          <w:tab w:val="left" w:pos="1531"/>
        </w:tabs>
        <w:ind w:left="1483" w:right="482" w:hanging="540"/>
        <w:rPr>
          <w:sz w:val="24"/>
        </w:rPr>
      </w:pPr>
      <w:r>
        <w:rPr>
          <w:sz w:val="24"/>
        </w:rPr>
        <w:t>ATF</w:t>
      </w:r>
      <w:r>
        <w:rPr>
          <w:spacing w:val="40"/>
          <w:sz w:val="24"/>
        </w:rPr>
        <w:t xml:space="preserve"> </w:t>
      </w:r>
      <w:r>
        <w:rPr>
          <w:sz w:val="24"/>
        </w:rPr>
        <w:t>uses a</w:t>
      </w:r>
      <w:r>
        <w:rPr>
          <w:spacing w:val="-2"/>
          <w:sz w:val="24"/>
        </w:rPr>
        <w:t xml:space="preserve"> </w:t>
      </w:r>
      <w:r>
        <w:rPr>
          <w:sz w:val="24"/>
        </w:rPr>
        <w:t>uniform</w:t>
      </w:r>
      <w:r>
        <w:rPr>
          <w:spacing w:val="-1"/>
          <w:sz w:val="24"/>
        </w:rPr>
        <w:t xml:space="preserve"> </w:t>
      </w:r>
      <w:r>
        <w:rPr>
          <w:sz w:val="24"/>
        </w:rPr>
        <w:t>subject</w:t>
      </w:r>
      <w:r>
        <w:rPr>
          <w:spacing w:val="-1"/>
          <w:sz w:val="24"/>
        </w:rPr>
        <w:t xml:space="preserve"> </w:t>
      </w:r>
      <w:r>
        <w:rPr>
          <w:sz w:val="24"/>
        </w:rPr>
        <w:t>classification</w:t>
      </w:r>
      <w:r>
        <w:rPr>
          <w:spacing w:val="-1"/>
          <w:sz w:val="24"/>
        </w:rPr>
        <w:t xml:space="preserve"> </w:t>
      </w:r>
      <w:r>
        <w:rPr>
          <w:sz w:val="24"/>
        </w:rPr>
        <w:t>system to</w:t>
      </w:r>
      <w:r>
        <w:rPr>
          <w:spacing w:val="-2"/>
          <w:sz w:val="24"/>
        </w:rPr>
        <w:t xml:space="preserve"> </w:t>
      </w:r>
      <w:r>
        <w:rPr>
          <w:sz w:val="24"/>
        </w:rPr>
        <w:t>identify</w:t>
      </w:r>
      <w:r>
        <w:rPr>
          <w:spacing w:val="-6"/>
          <w:sz w:val="24"/>
        </w:rPr>
        <w:t xml:space="preserve"> </w:t>
      </w:r>
      <w:r>
        <w:rPr>
          <w:sz w:val="24"/>
        </w:rPr>
        <w:t>duplication</w:t>
      </w:r>
      <w:r>
        <w:rPr>
          <w:spacing w:val="-1"/>
          <w:sz w:val="24"/>
        </w:rPr>
        <w:t xml:space="preserve"> </w:t>
      </w:r>
      <w:r>
        <w:rPr>
          <w:sz w:val="24"/>
        </w:rPr>
        <w:t>and to ensure that any similar information already available cannot be used or modified for use for the purpose of this information</w:t>
      </w:r>
      <w:r>
        <w:rPr>
          <w:spacing w:val="-2"/>
          <w:sz w:val="24"/>
        </w:rPr>
        <w:t xml:space="preserve"> </w:t>
      </w:r>
      <w:r>
        <w:rPr>
          <w:sz w:val="24"/>
        </w:rPr>
        <w:t>collection.</w:t>
      </w:r>
    </w:p>
    <w:p w:rsidR="00D80021" w14:paraId="7C24F1D6" w14:textId="77777777">
      <w:pPr>
        <w:pStyle w:val="BodyText"/>
      </w:pPr>
    </w:p>
    <w:p w:rsidR="00D80021" w14:paraId="305E9A4D" w14:textId="77777777">
      <w:pPr>
        <w:pStyle w:val="ListParagraph"/>
        <w:numPr>
          <w:ilvl w:val="1"/>
          <w:numId w:val="1"/>
        </w:numPr>
        <w:tabs>
          <w:tab w:val="left" w:pos="1483"/>
          <w:tab w:val="left" w:pos="1531"/>
        </w:tabs>
        <w:ind w:left="1483" w:right="531" w:hanging="540"/>
        <w:rPr>
          <w:sz w:val="24"/>
        </w:rPr>
      </w:pPr>
      <w:r>
        <w:rPr>
          <w:sz w:val="24"/>
        </w:rPr>
        <w:t>The</w:t>
      </w:r>
      <w:r>
        <w:rPr>
          <w:spacing w:val="40"/>
          <w:sz w:val="24"/>
        </w:rPr>
        <w:t xml:space="preserve"> </w:t>
      </w:r>
      <w:r>
        <w:rPr>
          <w:sz w:val="24"/>
        </w:rPr>
        <w:t>information</w:t>
      </w:r>
      <w:r>
        <w:rPr>
          <w:spacing w:val="-4"/>
          <w:sz w:val="24"/>
        </w:rPr>
        <w:t xml:space="preserve"> </w:t>
      </w:r>
      <w:r>
        <w:rPr>
          <w:sz w:val="24"/>
        </w:rPr>
        <w:t>on</w:t>
      </w:r>
      <w:r>
        <w:rPr>
          <w:spacing w:val="-4"/>
          <w:sz w:val="24"/>
        </w:rPr>
        <w:t xml:space="preserve"> </w:t>
      </w:r>
      <w:r>
        <w:rPr>
          <w:sz w:val="24"/>
        </w:rPr>
        <w:t>this</w:t>
      </w:r>
      <w:r>
        <w:rPr>
          <w:spacing w:val="-1"/>
          <w:sz w:val="24"/>
        </w:rPr>
        <w:t xml:space="preserve"> </w:t>
      </w:r>
      <w:r>
        <w:rPr>
          <w:sz w:val="24"/>
        </w:rPr>
        <w:t>form</w:t>
      </w:r>
      <w:r>
        <w:rPr>
          <w:spacing w:val="-3"/>
          <w:sz w:val="24"/>
        </w:rPr>
        <w:t xml:space="preserve"> </w:t>
      </w:r>
      <w:r>
        <w:rPr>
          <w:sz w:val="24"/>
        </w:rPr>
        <w:t>is</w:t>
      </w:r>
      <w:r>
        <w:rPr>
          <w:spacing w:val="-3"/>
          <w:sz w:val="24"/>
        </w:rPr>
        <w:t xml:space="preserve"> </w:t>
      </w:r>
      <w:r>
        <w:rPr>
          <w:sz w:val="24"/>
        </w:rPr>
        <w:t>unique</w:t>
      </w:r>
      <w:r>
        <w:rPr>
          <w:spacing w:val="-5"/>
          <w:sz w:val="24"/>
        </w:rPr>
        <w:t xml:space="preserve"> </w:t>
      </w:r>
      <w:r>
        <w:rPr>
          <w:sz w:val="24"/>
        </w:rPr>
        <w:t>to</w:t>
      </w:r>
      <w:r>
        <w:rPr>
          <w:spacing w:val="-4"/>
          <w:sz w:val="24"/>
        </w:rPr>
        <w:t xml:space="preserve"> </w:t>
      </w:r>
      <w:r>
        <w:rPr>
          <w:sz w:val="24"/>
        </w:rPr>
        <w:t>the</w:t>
      </w:r>
      <w:r>
        <w:rPr>
          <w:spacing w:val="-4"/>
          <w:sz w:val="24"/>
        </w:rPr>
        <w:t xml:space="preserve"> </w:t>
      </w:r>
      <w:r>
        <w:rPr>
          <w:sz w:val="24"/>
        </w:rPr>
        <w:t>person</w:t>
      </w:r>
      <w:r>
        <w:rPr>
          <w:spacing w:val="-4"/>
          <w:sz w:val="24"/>
        </w:rPr>
        <w:t xml:space="preserve"> </w:t>
      </w:r>
      <w:r>
        <w:rPr>
          <w:sz w:val="24"/>
        </w:rPr>
        <w:t>supplying</w:t>
      </w:r>
      <w:r>
        <w:rPr>
          <w:spacing w:val="-5"/>
          <w:sz w:val="24"/>
        </w:rPr>
        <w:t xml:space="preserve"> </w:t>
      </w:r>
      <w:r>
        <w:rPr>
          <w:sz w:val="24"/>
        </w:rPr>
        <w:t>it</w:t>
      </w:r>
      <w:r>
        <w:rPr>
          <w:spacing w:val="-3"/>
          <w:sz w:val="24"/>
        </w:rPr>
        <w:t xml:space="preserve"> </w:t>
      </w:r>
      <w:r>
        <w:rPr>
          <w:sz w:val="24"/>
        </w:rPr>
        <w:t>and</w:t>
      </w:r>
      <w:r>
        <w:rPr>
          <w:spacing w:val="-3"/>
          <w:sz w:val="24"/>
        </w:rPr>
        <w:t xml:space="preserve"> </w:t>
      </w:r>
      <w:r>
        <w:rPr>
          <w:sz w:val="24"/>
        </w:rPr>
        <w:t>would have minimal or no impact on small businesses or other small</w:t>
      </w:r>
      <w:r>
        <w:rPr>
          <w:spacing w:val="-7"/>
          <w:sz w:val="24"/>
        </w:rPr>
        <w:t xml:space="preserve"> </w:t>
      </w:r>
      <w:r>
        <w:rPr>
          <w:sz w:val="24"/>
        </w:rPr>
        <w:t>entities.</w:t>
      </w:r>
    </w:p>
    <w:p w:rsidR="00D80021" w14:paraId="385243AE" w14:textId="77777777">
      <w:pPr>
        <w:pStyle w:val="BodyText"/>
      </w:pPr>
    </w:p>
    <w:p w:rsidR="00D80021" w14:paraId="46FB3D88" w14:textId="77777777">
      <w:pPr>
        <w:pStyle w:val="ListParagraph"/>
        <w:numPr>
          <w:ilvl w:val="1"/>
          <w:numId w:val="1"/>
        </w:numPr>
        <w:tabs>
          <w:tab w:val="left" w:pos="1483"/>
          <w:tab w:val="left" w:pos="1531"/>
        </w:tabs>
        <w:ind w:left="1483" w:right="552" w:hanging="540"/>
        <w:rPr>
          <w:sz w:val="24"/>
        </w:rPr>
      </w:pPr>
      <w:r>
        <w:rPr>
          <w:sz w:val="24"/>
        </w:rPr>
        <w:t>The</w:t>
      </w:r>
      <w:r>
        <w:rPr>
          <w:spacing w:val="40"/>
          <w:sz w:val="24"/>
        </w:rPr>
        <w:t xml:space="preserve"> </w:t>
      </w:r>
      <w:r>
        <w:rPr>
          <w:sz w:val="24"/>
        </w:rPr>
        <w:t>consequence</w:t>
      </w:r>
      <w:r>
        <w:rPr>
          <w:spacing w:val="-5"/>
          <w:sz w:val="24"/>
        </w:rPr>
        <w:t xml:space="preserve"> </w:t>
      </w:r>
      <w:r>
        <w:rPr>
          <w:sz w:val="24"/>
        </w:rPr>
        <w:t>of</w:t>
      </w:r>
      <w:r>
        <w:rPr>
          <w:spacing w:val="-4"/>
          <w:sz w:val="24"/>
        </w:rPr>
        <w:t xml:space="preserve"> </w:t>
      </w:r>
      <w:r>
        <w:rPr>
          <w:sz w:val="24"/>
        </w:rPr>
        <w:t>not</w:t>
      </w:r>
      <w:r>
        <w:rPr>
          <w:spacing w:val="-3"/>
          <w:sz w:val="24"/>
        </w:rPr>
        <w:t xml:space="preserve"> </w:t>
      </w:r>
      <w:r>
        <w:rPr>
          <w:sz w:val="24"/>
        </w:rPr>
        <w:t>conducting</w:t>
      </w:r>
      <w:r>
        <w:rPr>
          <w:spacing w:val="-6"/>
          <w:sz w:val="24"/>
        </w:rPr>
        <w:t xml:space="preserve"> </w:t>
      </w:r>
      <w:r>
        <w:rPr>
          <w:sz w:val="24"/>
        </w:rPr>
        <w:t>this</w:t>
      </w:r>
      <w:r>
        <w:rPr>
          <w:spacing w:val="-3"/>
          <w:sz w:val="24"/>
        </w:rPr>
        <w:t xml:space="preserve"> </w:t>
      </w:r>
      <w:r>
        <w:rPr>
          <w:sz w:val="24"/>
        </w:rPr>
        <w:t>information</w:t>
      </w:r>
      <w:r>
        <w:rPr>
          <w:spacing w:val="-3"/>
          <w:sz w:val="24"/>
        </w:rPr>
        <w:t xml:space="preserve"> </w:t>
      </w:r>
      <w:r>
        <w:rPr>
          <w:sz w:val="24"/>
        </w:rPr>
        <w:t>collection</w:t>
      </w:r>
      <w:r>
        <w:rPr>
          <w:spacing w:val="-3"/>
          <w:sz w:val="24"/>
        </w:rPr>
        <w:t xml:space="preserve"> </w:t>
      </w:r>
      <w:r>
        <w:rPr>
          <w:sz w:val="24"/>
        </w:rPr>
        <w:t>would</w:t>
      </w:r>
      <w:r>
        <w:rPr>
          <w:spacing w:val="-3"/>
          <w:sz w:val="24"/>
        </w:rPr>
        <w:t xml:space="preserve"> </w:t>
      </w:r>
      <w:r>
        <w:rPr>
          <w:sz w:val="24"/>
        </w:rPr>
        <w:t>result in</w:t>
      </w:r>
      <w:r>
        <w:rPr>
          <w:spacing w:val="-7"/>
          <w:sz w:val="24"/>
        </w:rPr>
        <w:t xml:space="preserve"> </w:t>
      </w:r>
      <w:r>
        <w:rPr>
          <w:sz w:val="24"/>
        </w:rPr>
        <w:t>unregistered</w:t>
      </w:r>
      <w:r>
        <w:rPr>
          <w:spacing w:val="-7"/>
          <w:sz w:val="24"/>
        </w:rPr>
        <w:t xml:space="preserve"> </w:t>
      </w:r>
      <w:r>
        <w:rPr>
          <w:sz w:val="24"/>
        </w:rPr>
        <w:t>manufactured</w:t>
      </w:r>
      <w:r>
        <w:rPr>
          <w:spacing w:val="-7"/>
          <w:sz w:val="24"/>
        </w:rPr>
        <w:t xml:space="preserve"> </w:t>
      </w:r>
      <w:r>
        <w:rPr>
          <w:sz w:val="24"/>
        </w:rPr>
        <w:t>and</w:t>
      </w:r>
      <w:r>
        <w:rPr>
          <w:spacing w:val="-7"/>
          <w:sz w:val="24"/>
        </w:rPr>
        <w:t xml:space="preserve"> </w:t>
      </w:r>
      <w:r>
        <w:rPr>
          <w:sz w:val="24"/>
        </w:rPr>
        <w:t>imported</w:t>
      </w:r>
      <w:r>
        <w:rPr>
          <w:spacing w:val="-7"/>
          <w:sz w:val="24"/>
        </w:rPr>
        <w:t xml:space="preserve"> </w:t>
      </w:r>
      <w:r>
        <w:rPr>
          <w:sz w:val="24"/>
        </w:rPr>
        <w:t>firearms,</w:t>
      </w:r>
      <w:r>
        <w:rPr>
          <w:spacing w:val="-7"/>
          <w:sz w:val="24"/>
        </w:rPr>
        <w:t xml:space="preserve"> </w:t>
      </w:r>
      <w:r>
        <w:rPr>
          <w:sz w:val="24"/>
        </w:rPr>
        <w:t>which</w:t>
      </w:r>
      <w:r>
        <w:rPr>
          <w:spacing w:val="-7"/>
          <w:sz w:val="24"/>
        </w:rPr>
        <w:t xml:space="preserve"> </w:t>
      </w:r>
      <w:r>
        <w:rPr>
          <w:sz w:val="24"/>
        </w:rPr>
        <w:t>violates</w:t>
      </w:r>
      <w:r>
        <w:rPr>
          <w:spacing w:val="-8"/>
          <w:sz w:val="24"/>
        </w:rPr>
        <w:t xml:space="preserve"> </w:t>
      </w:r>
      <w:r>
        <w:rPr>
          <w:sz w:val="24"/>
        </w:rPr>
        <w:t>existing laws requiring manufactures and importers to register all firearms. Respondents submit the form only as often as is necessary, to comply with statutory and regulatory requirements.</w:t>
      </w:r>
    </w:p>
    <w:p w:rsidR="00D80021" w14:paraId="2F7463A6" w14:textId="77777777">
      <w:pPr>
        <w:pStyle w:val="BodyText"/>
        <w:spacing w:before="89"/>
      </w:pPr>
    </w:p>
    <w:p w:rsidR="00D80021" w14:paraId="1F1F9798" w14:textId="77777777">
      <w:pPr>
        <w:pStyle w:val="ListParagraph"/>
        <w:numPr>
          <w:ilvl w:val="1"/>
          <w:numId w:val="1"/>
        </w:numPr>
        <w:tabs>
          <w:tab w:val="left" w:pos="1483"/>
          <w:tab w:val="left" w:pos="1531"/>
        </w:tabs>
        <w:spacing w:line="242" w:lineRule="auto"/>
        <w:ind w:left="1483" w:right="449" w:hanging="540"/>
        <w:rPr>
          <w:sz w:val="24"/>
        </w:rPr>
      </w:pPr>
      <w:r>
        <w:rPr>
          <w:sz w:val="24"/>
        </w:rPr>
        <w:t>This</w:t>
      </w:r>
      <w:r>
        <w:rPr>
          <w:spacing w:val="40"/>
          <w:sz w:val="24"/>
        </w:rPr>
        <w:t xml:space="preserve"> </w:t>
      </w:r>
      <w:r>
        <w:rPr>
          <w:sz w:val="24"/>
        </w:rPr>
        <w:t>collection</w:t>
      </w:r>
      <w:r>
        <w:rPr>
          <w:spacing w:val="-3"/>
          <w:sz w:val="24"/>
        </w:rPr>
        <w:t xml:space="preserve"> </w:t>
      </w:r>
      <w:r>
        <w:rPr>
          <w:sz w:val="24"/>
        </w:rPr>
        <w:t>is</w:t>
      </w:r>
      <w:r>
        <w:rPr>
          <w:spacing w:val="-4"/>
          <w:sz w:val="24"/>
        </w:rPr>
        <w:t xml:space="preserve"> </w:t>
      </w:r>
      <w:r>
        <w:rPr>
          <w:sz w:val="24"/>
        </w:rPr>
        <w:t>conducted</w:t>
      </w:r>
      <w:r>
        <w:rPr>
          <w:spacing w:val="-3"/>
          <w:sz w:val="24"/>
        </w:rPr>
        <w:t xml:space="preserve"> </w:t>
      </w:r>
      <w:r>
        <w:rPr>
          <w:sz w:val="24"/>
        </w:rPr>
        <w:t>in</w:t>
      </w:r>
      <w:r>
        <w:rPr>
          <w:spacing w:val="-3"/>
          <w:sz w:val="24"/>
        </w:rPr>
        <w:t xml:space="preserve"> </w:t>
      </w:r>
      <w:r>
        <w:rPr>
          <w:sz w:val="24"/>
        </w:rPr>
        <w:t>a</w:t>
      </w:r>
      <w:r>
        <w:rPr>
          <w:spacing w:val="-5"/>
          <w:sz w:val="24"/>
        </w:rPr>
        <w:t xml:space="preserve"> </w:t>
      </w:r>
      <w:r>
        <w:rPr>
          <w:sz w:val="24"/>
        </w:rPr>
        <w:t>manner</w:t>
      </w:r>
      <w:r>
        <w:rPr>
          <w:spacing w:val="-2"/>
          <w:sz w:val="24"/>
        </w:rPr>
        <w:t xml:space="preserve"> </w:t>
      </w:r>
      <w:r>
        <w:rPr>
          <w:sz w:val="24"/>
        </w:rPr>
        <w:t>consistent</w:t>
      </w:r>
      <w:r>
        <w:rPr>
          <w:spacing w:val="-3"/>
          <w:sz w:val="24"/>
        </w:rPr>
        <w:t xml:space="preserve"> </w:t>
      </w:r>
      <w:r>
        <w:rPr>
          <w:sz w:val="24"/>
        </w:rPr>
        <w:t>with</w:t>
      </w:r>
      <w:r>
        <w:rPr>
          <w:spacing w:val="-3"/>
          <w:sz w:val="24"/>
        </w:rPr>
        <w:t xml:space="preserve"> </w:t>
      </w:r>
      <w:r>
        <w:rPr>
          <w:sz w:val="24"/>
        </w:rPr>
        <w:t>the</w:t>
      </w:r>
      <w:r>
        <w:rPr>
          <w:spacing w:val="-5"/>
          <w:sz w:val="24"/>
        </w:rPr>
        <w:t xml:space="preserve"> </w:t>
      </w:r>
      <w:r>
        <w:rPr>
          <w:sz w:val="24"/>
        </w:rPr>
        <w:t>requirement</w:t>
      </w:r>
      <w:r>
        <w:rPr>
          <w:spacing w:val="-3"/>
          <w:sz w:val="24"/>
        </w:rPr>
        <w:t xml:space="preserve"> </w:t>
      </w:r>
      <w:r>
        <w:rPr>
          <w:sz w:val="24"/>
        </w:rPr>
        <w:t>in</w:t>
      </w:r>
      <w:r>
        <w:rPr>
          <w:spacing w:val="-22"/>
          <w:sz w:val="24"/>
        </w:rPr>
        <w:t xml:space="preserve"> </w:t>
      </w:r>
      <w:r>
        <w:rPr>
          <w:sz w:val="24"/>
        </w:rPr>
        <w:t>5 CFR 1320.6. There are no special circumstances.</w:t>
      </w:r>
    </w:p>
    <w:p w:rsidR="00FC693A" w:rsidP="00FC693A" w14:paraId="20E97893" w14:textId="77777777">
      <w:pPr>
        <w:pStyle w:val="ListParagraph"/>
        <w:tabs>
          <w:tab w:val="left" w:pos="1483"/>
          <w:tab w:val="left" w:pos="1531"/>
        </w:tabs>
        <w:spacing w:line="242" w:lineRule="auto"/>
        <w:ind w:left="1483" w:right="449" w:firstLine="0"/>
        <w:rPr>
          <w:sz w:val="24"/>
        </w:rPr>
      </w:pPr>
    </w:p>
    <w:p w:rsidR="00FC693A" w:rsidRPr="00CD1EFC" w:rsidP="00FC693A" w14:paraId="2A529014" w14:textId="60ABA870">
      <w:pPr>
        <w:pStyle w:val="ListParagraph"/>
        <w:numPr>
          <w:ilvl w:val="1"/>
          <w:numId w:val="1"/>
        </w:numPr>
        <w:tabs>
          <w:tab w:val="left" w:pos="1483"/>
          <w:tab w:val="left" w:pos="1531"/>
        </w:tabs>
        <w:spacing w:line="242" w:lineRule="auto"/>
        <w:ind w:left="1483" w:right="449" w:hanging="540"/>
        <w:rPr>
          <w:sz w:val="24"/>
        </w:rPr>
      </w:pPr>
      <w:r w:rsidRPr="00FC693A">
        <w:rPr>
          <w:sz w:val="24"/>
          <w:szCs w:val="24"/>
        </w:rPr>
        <w:t xml:space="preserve">The 60-day notice was published </w:t>
      </w:r>
      <w:r w:rsidRPr="00CD1EFC">
        <w:rPr>
          <w:sz w:val="24"/>
          <w:szCs w:val="24"/>
        </w:rPr>
        <w:t xml:space="preserve">in the </w:t>
      </w:r>
      <w:r w:rsidRPr="00CD1EFC">
        <w:rPr>
          <w:i/>
          <w:iCs/>
          <w:sz w:val="24"/>
          <w:szCs w:val="24"/>
        </w:rPr>
        <w:t>Federal Register</w:t>
      </w:r>
      <w:r w:rsidRPr="00CD1EFC">
        <w:rPr>
          <w:sz w:val="24"/>
          <w:szCs w:val="24"/>
        </w:rPr>
        <w:t xml:space="preserve"> on </w:t>
      </w:r>
      <w:r w:rsidRPr="00CD1EFC" w:rsidR="00CD1EFC">
        <w:rPr>
          <w:sz w:val="24"/>
          <w:szCs w:val="24"/>
        </w:rPr>
        <w:t xml:space="preserve">10/13/2026 </w:t>
      </w:r>
      <w:r w:rsidR="00CD1EFC">
        <w:rPr>
          <w:sz w:val="24"/>
          <w:szCs w:val="24"/>
        </w:rPr>
        <w:t>(</w:t>
      </w:r>
      <w:r w:rsidRPr="007F6F94" w:rsidR="007F6F94">
        <w:rPr>
          <w:sz w:val="24"/>
          <w:szCs w:val="24"/>
        </w:rPr>
        <w:t>91 FR 64945</w:t>
      </w:r>
      <w:r w:rsidR="007F6F94">
        <w:rPr>
          <w:sz w:val="24"/>
          <w:szCs w:val="24"/>
        </w:rPr>
        <w:t xml:space="preserve">). </w:t>
      </w:r>
      <w:r w:rsidRPr="00CD1EFC">
        <w:rPr>
          <w:sz w:val="24"/>
          <w:szCs w:val="24"/>
        </w:rPr>
        <w:t xml:space="preserve">The comment period ended on </w:t>
      </w:r>
      <w:r w:rsidRPr="00CD1EFC" w:rsidR="00CD1EFC">
        <w:rPr>
          <w:sz w:val="24"/>
          <w:szCs w:val="24"/>
        </w:rPr>
        <w:t>12/14/2026</w:t>
      </w:r>
      <w:r w:rsidRPr="00CD1EFC">
        <w:rPr>
          <w:sz w:val="24"/>
          <w:szCs w:val="24"/>
        </w:rPr>
        <w:t xml:space="preserve">. ATF received </w:t>
      </w:r>
      <w:r w:rsidRPr="00CD1EFC" w:rsidR="00CD1EFC">
        <w:rPr>
          <w:sz w:val="24"/>
          <w:szCs w:val="24"/>
        </w:rPr>
        <w:t>________</w:t>
      </w:r>
      <w:r w:rsidRPr="00CD1EFC">
        <w:rPr>
          <w:sz w:val="24"/>
          <w:szCs w:val="24"/>
        </w:rPr>
        <w:t xml:space="preserve"> comments.</w:t>
      </w:r>
    </w:p>
    <w:p w:rsidR="000905B8" w:rsidP="000905B8" w14:paraId="39990D90" w14:textId="77777777">
      <w:pPr>
        <w:pStyle w:val="ListParagraph"/>
        <w:tabs>
          <w:tab w:val="left" w:pos="1483"/>
          <w:tab w:val="left" w:pos="1531"/>
        </w:tabs>
        <w:spacing w:before="120"/>
        <w:ind w:left="1483" w:right="446" w:firstLine="0"/>
      </w:pPr>
    </w:p>
    <w:p w:rsidR="00D80021" w14:paraId="0D08C42F" w14:textId="77777777">
      <w:pPr>
        <w:pStyle w:val="ListParagraph"/>
        <w:numPr>
          <w:ilvl w:val="1"/>
          <w:numId w:val="1"/>
        </w:numPr>
        <w:tabs>
          <w:tab w:val="left" w:pos="1531"/>
        </w:tabs>
        <w:rPr>
          <w:sz w:val="24"/>
        </w:rPr>
      </w:pPr>
      <w:r>
        <w:rPr>
          <w:sz w:val="24"/>
        </w:rPr>
        <w:t>No</w:t>
      </w:r>
      <w:r>
        <w:rPr>
          <w:spacing w:val="-2"/>
          <w:sz w:val="24"/>
        </w:rPr>
        <w:t xml:space="preserve"> </w:t>
      </w:r>
      <w:r>
        <w:rPr>
          <w:sz w:val="24"/>
        </w:rPr>
        <w:t>payment or</w:t>
      </w:r>
      <w:r>
        <w:rPr>
          <w:spacing w:val="1"/>
          <w:sz w:val="24"/>
        </w:rPr>
        <w:t xml:space="preserve"> </w:t>
      </w:r>
      <w:r>
        <w:rPr>
          <w:sz w:val="24"/>
        </w:rPr>
        <w:t>gift is associated with this</w:t>
      </w:r>
      <w:r>
        <w:rPr>
          <w:spacing w:val="-3"/>
          <w:sz w:val="24"/>
        </w:rPr>
        <w:t xml:space="preserve"> </w:t>
      </w:r>
      <w:r>
        <w:rPr>
          <w:spacing w:val="-2"/>
          <w:sz w:val="24"/>
        </w:rPr>
        <w:t>collection.</w:t>
      </w:r>
    </w:p>
    <w:p w:rsidR="00D80021" w14:paraId="245AF014" w14:textId="77777777">
      <w:pPr>
        <w:pStyle w:val="BodyText"/>
      </w:pPr>
    </w:p>
    <w:p w:rsidR="00D80021" w14:paraId="4FB90129" w14:textId="77777777">
      <w:pPr>
        <w:pStyle w:val="ListParagraph"/>
        <w:numPr>
          <w:ilvl w:val="1"/>
          <w:numId w:val="1"/>
        </w:numPr>
        <w:tabs>
          <w:tab w:val="left" w:pos="1483"/>
          <w:tab w:val="left" w:pos="1531"/>
        </w:tabs>
        <w:ind w:left="1483" w:right="441" w:hanging="540"/>
        <w:rPr>
          <w:sz w:val="24"/>
        </w:rPr>
      </w:pPr>
      <w:r>
        <w:rPr>
          <w:sz w:val="24"/>
        </w:rPr>
        <w:t>The</w:t>
      </w:r>
      <w:r>
        <w:rPr>
          <w:spacing w:val="40"/>
          <w:sz w:val="24"/>
        </w:rPr>
        <w:t xml:space="preserve"> </w:t>
      </w:r>
      <w:r>
        <w:rPr>
          <w:sz w:val="24"/>
        </w:rPr>
        <w:t>information collected is classified as “tax return” or “tax return information’ under 26 U.S.C. 6103 and its release is severely restricted. The information may be only disclosed to Federal authorities for the purposes of prosecution</w:t>
      </w:r>
      <w:r>
        <w:rPr>
          <w:spacing w:val="-3"/>
          <w:sz w:val="24"/>
        </w:rPr>
        <w:t xml:space="preserve"> </w:t>
      </w:r>
      <w:r>
        <w:rPr>
          <w:sz w:val="24"/>
        </w:rPr>
        <w:t>for</w:t>
      </w:r>
      <w:r>
        <w:rPr>
          <w:spacing w:val="-4"/>
          <w:sz w:val="24"/>
        </w:rPr>
        <w:t xml:space="preserve"> </w:t>
      </w:r>
      <w:r>
        <w:rPr>
          <w:sz w:val="24"/>
        </w:rPr>
        <w:t>violating</w:t>
      </w:r>
      <w:r>
        <w:rPr>
          <w:spacing w:val="-4"/>
          <w:sz w:val="24"/>
        </w:rPr>
        <w:t xml:space="preserve"> </w:t>
      </w:r>
      <w:r>
        <w:rPr>
          <w:sz w:val="24"/>
        </w:rPr>
        <w:t>the</w:t>
      </w:r>
      <w:r>
        <w:rPr>
          <w:spacing w:val="-4"/>
          <w:sz w:val="24"/>
        </w:rPr>
        <w:t xml:space="preserve"> </w:t>
      </w:r>
      <w:r>
        <w:rPr>
          <w:sz w:val="24"/>
        </w:rPr>
        <w:t>National</w:t>
      </w:r>
      <w:r>
        <w:rPr>
          <w:spacing w:val="-3"/>
          <w:sz w:val="24"/>
        </w:rPr>
        <w:t xml:space="preserve"> </w:t>
      </w:r>
      <w:r>
        <w:rPr>
          <w:sz w:val="24"/>
        </w:rPr>
        <w:t>Firearms</w:t>
      </w:r>
      <w:r>
        <w:rPr>
          <w:spacing w:val="-3"/>
          <w:sz w:val="24"/>
        </w:rPr>
        <w:t xml:space="preserve"> </w:t>
      </w:r>
      <w:r>
        <w:rPr>
          <w:sz w:val="24"/>
        </w:rPr>
        <w:t>Act</w:t>
      </w:r>
      <w:r>
        <w:rPr>
          <w:spacing w:val="-3"/>
          <w:sz w:val="24"/>
        </w:rPr>
        <w:t xml:space="preserve"> </w:t>
      </w:r>
      <w:r>
        <w:rPr>
          <w:sz w:val="24"/>
        </w:rPr>
        <w:t>(NFA).</w:t>
      </w:r>
      <w:r>
        <w:rPr>
          <w:spacing w:val="-3"/>
          <w:sz w:val="24"/>
        </w:rPr>
        <w:t xml:space="preserve"> </w:t>
      </w:r>
      <w:r>
        <w:rPr>
          <w:sz w:val="24"/>
        </w:rPr>
        <w:t>Confidentiality</w:t>
      </w:r>
      <w:r>
        <w:rPr>
          <w:spacing w:val="-3"/>
          <w:sz w:val="24"/>
        </w:rPr>
        <w:t xml:space="preserve"> </w:t>
      </w:r>
      <w:r>
        <w:rPr>
          <w:sz w:val="24"/>
        </w:rPr>
        <w:t>is not assured.</w:t>
      </w:r>
    </w:p>
    <w:p w:rsidR="00D80021" w14:paraId="076E7031" w14:textId="77777777">
      <w:pPr>
        <w:pStyle w:val="BodyText"/>
      </w:pPr>
    </w:p>
    <w:p w:rsidR="00D80021" w14:paraId="32D2C9AA" w14:textId="77777777">
      <w:pPr>
        <w:pStyle w:val="ListParagraph"/>
        <w:numPr>
          <w:ilvl w:val="1"/>
          <w:numId w:val="1"/>
        </w:numPr>
        <w:tabs>
          <w:tab w:val="left" w:pos="1531"/>
        </w:tabs>
        <w:spacing w:before="1"/>
        <w:rPr>
          <w:sz w:val="24"/>
        </w:rPr>
      </w:pPr>
      <w:r>
        <w:rPr>
          <w:sz w:val="24"/>
        </w:rPr>
        <w:t>No</w:t>
      </w:r>
      <w:r>
        <w:rPr>
          <w:spacing w:val="-2"/>
          <w:sz w:val="24"/>
        </w:rPr>
        <w:t xml:space="preserve"> </w:t>
      </w:r>
      <w:r>
        <w:rPr>
          <w:sz w:val="24"/>
        </w:rPr>
        <w:t>questions</w:t>
      </w:r>
      <w:r>
        <w:rPr>
          <w:spacing w:val="-1"/>
          <w:sz w:val="24"/>
        </w:rPr>
        <w:t xml:space="preserve"> </w:t>
      </w:r>
      <w:r>
        <w:rPr>
          <w:sz w:val="24"/>
        </w:rPr>
        <w:t>of</w:t>
      </w:r>
      <w:r>
        <w:rPr>
          <w:spacing w:val="-2"/>
          <w:sz w:val="24"/>
        </w:rPr>
        <w:t xml:space="preserve"> </w:t>
      </w:r>
      <w:r>
        <w:rPr>
          <w:sz w:val="24"/>
        </w:rPr>
        <w:t>a</w:t>
      </w:r>
      <w:r>
        <w:rPr>
          <w:spacing w:val="-2"/>
          <w:sz w:val="24"/>
        </w:rPr>
        <w:t xml:space="preserve"> </w:t>
      </w:r>
      <w:r>
        <w:rPr>
          <w:sz w:val="24"/>
        </w:rPr>
        <w:t>sensitive</w:t>
      </w:r>
      <w:r>
        <w:rPr>
          <w:spacing w:val="-3"/>
          <w:sz w:val="24"/>
        </w:rPr>
        <w:t xml:space="preserve"> </w:t>
      </w:r>
      <w:r>
        <w:rPr>
          <w:sz w:val="24"/>
        </w:rPr>
        <w:t>nature are associated</w:t>
      </w:r>
      <w:r>
        <w:rPr>
          <w:spacing w:val="1"/>
          <w:sz w:val="24"/>
        </w:rPr>
        <w:t xml:space="preserve"> </w:t>
      </w:r>
      <w:r>
        <w:rPr>
          <w:sz w:val="24"/>
        </w:rPr>
        <w:t>with</w:t>
      </w:r>
      <w:r>
        <w:rPr>
          <w:spacing w:val="-2"/>
          <w:sz w:val="24"/>
        </w:rPr>
        <w:t xml:space="preserve"> </w:t>
      </w:r>
      <w:r>
        <w:rPr>
          <w:sz w:val="24"/>
        </w:rPr>
        <w:t>this</w:t>
      </w:r>
      <w:r>
        <w:rPr>
          <w:spacing w:val="-7"/>
          <w:sz w:val="24"/>
        </w:rPr>
        <w:t xml:space="preserve"> </w:t>
      </w:r>
      <w:r>
        <w:rPr>
          <w:spacing w:val="-2"/>
          <w:sz w:val="24"/>
        </w:rPr>
        <w:t>collection.</w:t>
      </w:r>
    </w:p>
    <w:p w:rsidR="00D80021" w14:paraId="5B8F4BA2" w14:textId="77777777">
      <w:pPr>
        <w:spacing w:before="6"/>
        <w:ind w:left="4622"/>
      </w:pPr>
      <w:r>
        <w:rPr>
          <w:spacing w:val="-10"/>
        </w:rPr>
        <w:t>2</w:t>
      </w:r>
    </w:p>
    <w:p w:rsidR="00D80021" w14:paraId="23556DA1" w14:textId="77777777">
      <w:pPr>
        <w:sectPr>
          <w:pgSz w:w="12240" w:h="15840"/>
          <w:pgMar w:top="1340" w:right="1440" w:bottom="280" w:left="1440" w:header="720" w:footer="720" w:gutter="0"/>
          <w:cols w:space="720"/>
        </w:sectPr>
      </w:pPr>
    </w:p>
    <w:p w:rsidR="00D80021" w14:paraId="1F5B82EC" w14:textId="7D34E285">
      <w:pPr>
        <w:pStyle w:val="ListParagraph"/>
        <w:numPr>
          <w:ilvl w:val="1"/>
          <w:numId w:val="1"/>
        </w:numPr>
        <w:tabs>
          <w:tab w:val="left" w:pos="1531"/>
        </w:tabs>
        <w:spacing w:before="68"/>
        <w:ind w:right="605"/>
        <w:rPr>
          <w:sz w:val="24"/>
        </w:rPr>
      </w:pPr>
      <w:r>
        <w:rPr>
          <w:sz w:val="24"/>
        </w:rPr>
        <w:t xml:space="preserve">14,384 Form 2 notices were received. Of these responses, 83% were received electronically via ATF’s </w:t>
      </w:r>
      <w:r>
        <w:rPr>
          <w:sz w:val="24"/>
        </w:rPr>
        <w:t>eForms</w:t>
      </w:r>
      <w:r>
        <w:rPr>
          <w:sz w:val="24"/>
        </w:rPr>
        <w:t xml:space="preserve"> system. There are a total 4,212 respondents to this IC and each </w:t>
      </w:r>
      <w:r>
        <w:rPr>
          <w:sz w:val="24"/>
        </w:rPr>
        <w:t>respondents</w:t>
      </w:r>
      <w:r>
        <w:rPr>
          <w:sz w:val="24"/>
        </w:rPr>
        <w:t xml:space="preserve"> will respond approximately 3.415 times. Each respondent will take approximately 30 minutes to prepare his or her responses. Therefore, the total</w:t>
      </w:r>
      <w:r>
        <w:rPr>
          <w:spacing w:val="-7"/>
          <w:sz w:val="24"/>
        </w:rPr>
        <w:t xml:space="preserve"> </w:t>
      </w:r>
      <w:r>
        <w:rPr>
          <w:sz w:val="24"/>
        </w:rPr>
        <w:t>burden</w:t>
      </w:r>
      <w:r>
        <w:rPr>
          <w:spacing w:val="-7"/>
          <w:sz w:val="24"/>
        </w:rPr>
        <w:t xml:space="preserve"> </w:t>
      </w:r>
      <w:r>
        <w:rPr>
          <w:sz w:val="24"/>
        </w:rPr>
        <w:t>associated</w:t>
      </w:r>
      <w:r>
        <w:rPr>
          <w:spacing w:val="-5"/>
          <w:sz w:val="24"/>
        </w:rPr>
        <w:t xml:space="preserve"> </w:t>
      </w:r>
      <w:r>
        <w:rPr>
          <w:sz w:val="24"/>
        </w:rPr>
        <w:t>with</w:t>
      </w:r>
      <w:r>
        <w:rPr>
          <w:spacing w:val="-7"/>
          <w:sz w:val="24"/>
        </w:rPr>
        <w:t xml:space="preserve"> </w:t>
      </w:r>
      <w:r>
        <w:rPr>
          <w:sz w:val="24"/>
        </w:rPr>
        <w:t>this</w:t>
      </w:r>
      <w:r>
        <w:rPr>
          <w:spacing w:val="-7"/>
          <w:sz w:val="24"/>
        </w:rPr>
        <w:t xml:space="preserve"> </w:t>
      </w:r>
      <w:r>
        <w:rPr>
          <w:sz w:val="24"/>
        </w:rPr>
        <w:t>collection</w:t>
      </w:r>
      <w:r>
        <w:rPr>
          <w:spacing w:val="-15"/>
          <w:sz w:val="24"/>
        </w:rPr>
        <w:t xml:space="preserve"> </w:t>
      </w:r>
      <w:r>
        <w:rPr>
          <w:sz w:val="24"/>
        </w:rPr>
        <w:t>is</w:t>
      </w:r>
      <w:r>
        <w:rPr>
          <w:spacing w:val="-7"/>
          <w:sz w:val="24"/>
        </w:rPr>
        <w:t xml:space="preserve"> </w:t>
      </w:r>
      <w:r>
        <w:rPr>
          <w:sz w:val="24"/>
        </w:rPr>
        <w:t>7,192</w:t>
      </w:r>
      <w:r>
        <w:rPr>
          <w:spacing w:val="-5"/>
          <w:sz w:val="24"/>
        </w:rPr>
        <w:t xml:space="preserve"> </w:t>
      </w:r>
      <w:r>
        <w:rPr>
          <w:sz w:val="24"/>
        </w:rPr>
        <w:t>hours,</w:t>
      </w:r>
      <w:r>
        <w:rPr>
          <w:spacing w:val="-7"/>
          <w:sz w:val="24"/>
        </w:rPr>
        <w:t xml:space="preserve"> </w:t>
      </w:r>
      <w:r>
        <w:rPr>
          <w:sz w:val="24"/>
        </w:rPr>
        <w:t>which</w:t>
      </w:r>
      <w:r>
        <w:rPr>
          <w:spacing w:val="-7"/>
          <w:sz w:val="24"/>
        </w:rPr>
        <w:t xml:space="preserve"> </w:t>
      </w:r>
      <w:r>
        <w:rPr>
          <w:sz w:val="24"/>
        </w:rPr>
        <w:t>is</w:t>
      </w:r>
      <w:r>
        <w:rPr>
          <w:spacing w:val="-7"/>
          <w:sz w:val="24"/>
        </w:rPr>
        <w:t xml:space="preserve"> </w:t>
      </w:r>
      <w:r>
        <w:rPr>
          <w:sz w:val="24"/>
        </w:rPr>
        <w:t>equal</w:t>
      </w:r>
      <w:r>
        <w:rPr>
          <w:spacing w:val="-7"/>
          <w:sz w:val="24"/>
        </w:rPr>
        <w:t xml:space="preserve"> </w:t>
      </w:r>
      <w:r>
        <w:rPr>
          <w:sz w:val="24"/>
        </w:rPr>
        <w:t>to 14,384 (total responses) * .5 (30 minutes).</w:t>
      </w:r>
    </w:p>
    <w:p w:rsidR="00D80021" w14:paraId="14BA4B83" w14:textId="77777777">
      <w:pPr>
        <w:pStyle w:val="BodyText"/>
      </w:pPr>
    </w:p>
    <w:p w:rsidR="00D80021" w14:paraId="49EFA7C5" w14:textId="77777777">
      <w:pPr>
        <w:pStyle w:val="ListParagraph"/>
        <w:numPr>
          <w:ilvl w:val="1"/>
          <w:numId w:val="1"/>
        </w:numPr>
        <w:tabs>
          <w:tab w:val="left" w:pos="1531"/>
        </w:tabs>
        <w:ind w:right="422"/>
        <w:rPr>
          <w:sz w:val="24"/>
        </w:rPr>
      </w:pPr>
      <w:r>
        <w:rPr>
          <w:sz w:val="24"/>
        </w:rPr>
        <w:t xml:space="preserve">Most of the completed forms for this IC are either submitted by mail (including by facsimile transmission) or electronically through the </w:t>
      </w:r>
      <w:r>
        <w:rPr>
          <w:sz w:val="24"/>
        </w:rPr>
        <w:t>eForms</w:t>
      </w:r>
      <w:r>
        <w:rPr>
          <w:sz w:val="24"/>
        </w:rPr>
        <w:t xml:space="preserve"> system.</w:t>
      </w:r>
      <w:r>
        <w:rPr>
          <w:spacing w:val="-17"/>
          <w:sz w:val="24"/>
        </w:rPr>
        <w:t xml:space="preserve"> </w:t>
      </w:r>
      <w:r>
        <w:rPr>
          <w:sz w:val="24"/>
        </w:rPr>
        <w:t xml:space="preserve">As </w:t>
      </w:r>
      <w:r>
        <w:rPr>
          <w:sz w:val="24"/>
        </w:rPr>
        <w:t>such,we</w:t>
      </w:r>
      <w:r>
        <w:rPr>
          <w:sz w:val="24"/>
        </w:rPr>
        <w:t xml:space="preserve"> estimate the total mailing cost for this IC to be $.60 (postage</w:t>
      </w:r>
      <w:r>
        <w:rPr>
          <w:spacing w:val="-2"/>
          <w:sz w:val="24"/>
        </w:rPr>
        <w:t xml:space="preserve"> </w:t>
      </w:r>
      <w:r>
        <w:rPr>
          <w:sz w:val="24"/>
        </w:rPr>
        <w:t>and envelope)</w:t>
      </w:r>
      <w:r>
        <w:rPr>
          <w:spacing w:val="-2"/>
          <w:sz w:val="24"/>
        </w:rPr>
        <w:t xml:space="preserve"> </w:t>
      </w:r>
      <w:r>
        <w:rPr>
          <w:sz w:val="24"/>
        </w:rPr>
        <w:t>per</w:t>
      </w:r>
      <w:r>
        <w:rPr>
          <w:spacing w:val="-2"/>
          <w:sz w:val="24"/>
        </w:rPr>
        <w:t xml:space="preserve"> </w:t>
      </w:r>
      <w:r>
        <w:rPr>
          <w:sz w:val="24"/>
        </w:rPr>
        <w:t>submission.</w:t>
      </w:r>
      <w:r>
        <w:rPr>
          <w:spacing w:val="-1"/>
          <w:sz w:val="24"/>
        </w:rPr>
        <w:t xml:space="preserve"> </w:t>
      </w:r>
      <w:r>
        <w:rPr>
          <w:sz w:val="24"/>
        </w:rPr>
        <w:t>Therefore, the</w:t>
      </w:r>
      <w:r>
        <w:rPr>
          <w:spacing w:val="-2"/>
          <w:sz w:val="24"/>
        </w:rPr>
        <w:t xml:space="preserve"> </w:t>
      </w:r>
      <w:r>
        <w:rPr>
          <w:sz w:val="24"/>
        </w:rPr>
        <w:t>total</w:t>
      </w:r>
      <w:r>
        <w:rPr>
          <w:spacing w:val="-1"/>
          <w:sz w:val="24"/>
        </w:rPr>
        <w:t xml:space="preserve"> </w:t>
      </w:r>
      <w:r>
        <w:rPr>
          <w:sz w:val="24"/>
        </w:rPr>
        <w:t>mailing</w:t>
      </w:r>
      <w:r>
        <w:rPr>
          <w:spacing w:val="-4"/>
          <w:sz w:val="24"/>
        </w:rPr>
        <w:t xml:space="preserve"> </w:t>
      </w:r>
      <w:r>
        <w:rPr>
          <w:sz w:val="24"/>
        </w:rPr>
        <w:t>costs</w:t>
      </w:r>
      <w:r>
        <w:rPr>
          <w:spacing w:val="-1"/>
          <w:sz w:val="24"/>
        </w:rPr>
        <w:t xml:space="preserve"> </w:t>
      </w:r>
      <w:r>
        <w:rPr>
          <w:sz w:val="24"/>
        </w:rPr>
        <w:t>for this</w:t>
      </w:r>
      <w:r>
        <w:rPr>
          <w:spacing w:val="-2"/>
          <w:sz w:val="24"/>
        </w:rPr>
        <w:t xml:space="preserve"> </w:t>
      </w:r>
      <w:r>
        <w:rPr>
          <w:sz w:val="24"/>
        </w:rPr>
        <w:t>IC</w:t>
      </w:r>
      <w:r>
        <w:rPr>
          <w:spacing w:val="-4"/>
          <w:sz w:val="24"/>
        </w:rPr>
        <w:t xml:space="preserve"> </w:t>
      </w:r>
      <w:r>
        <w:rPr>
          <w:sz w:val="24"/>
        </w:rPr>
        <w:t>is</w:t>
      </w:r>
      <w:r>
        <w:rPr>
          <w:spacing w:val="-4"/>
          <w:sz w:val="24"/>
        </w:rPr>
        <w:t xml:space="preserve"> </w:t>
      </w:r>
      <w:r>
        <w:rPr>
          <w:sz w:val="24"/>
        </w:rPr>
        <w:t>$8,630,</w:t>
      </w:r>
      <w:r>
        <w:rPr>
          <w:spacing w:val="-4"/>
          <w:sz w:val="24"/>
        </w:rPr>
        <w:t xml:space="preserve"> </w:t>
      </w:r>
      <w:r>
        <w:rPr>
          <w:sz w:val="24"/>
        </w:rPr>
        <w:t>which</w:t>
      </w:r>
      <w:r>
        <w:rPr>
          <w:spacing w:val="-4"/>
          <w:sz w:val="24"/>
        </w:rPr>
        <w:t xml:space="preserve"> </w:t>
      </w:r>
      <w:r>
        <w:rPr>
          <w:sz w:val="24"/>
        </w:rPr>
        <w:t>is</w:t>
      </w:r>
      <w:r>
        <w:rPr>
          <w:spacing w:val="-4"/>
          <w:sz w:val="24"/>
        </w:rPr>
        <w:t xml:space="preserve"> </w:t>
      </w:r>
      <w:r>
        <w:rPr>
          <w:sz w:val="24"/>
        </w:rPr>
        <w:t>calculated</w:t>
      </w:r>
      <w:r>
        <w:rPr>
          <w:spacing w:val="-2"/>
          <w:sz w:val="24"/>
        </w:rPr>
        <w:t xml:space="preserve"> </w:t>
      </w:r>
      <w:r>
        <w:rPr>
          <w:sz w:val="24"/>
        </w:rPr>
        <w:t>as</w:t>
      </w:r>
      <w:r>
        <w:rPr>
          <w:spacing w:val="-4"/>
          <w:sz w:val="24"/>
        </w:rPr>
        <w:t xml:space="preserve"> </w:t>
      </w:r>
      <w:r>
        <w:rPr>
          <w:sz w:val="24"/>
        </w:rPr>
        <w:t>follows:</w:t>
      </w:r>
      <w:r>
        <w:rPr>
          <w:spacing w:val="-4"/>
          <w:sz w:val="24"/>
        </w:rPr>
        <w:t xml:space="preserve"> </w:t>
      </w:r>
      <w:r>
        <w:rPr>
          <w:sz w:val="24"/>
        </w:rPr>
        <w:t>14,384</w:t>
      </w:r>
      <w:r>
        <w:rPr>
          <w:spacing w:val="-4"/>
          <w:sz w:val="24"/>
        </w:rPr>
        <w:t xml:space="preserve"> </w:t>
      </w:r>
      <w:r>
        <w:rPr>
          <w:sz w:val="24"/>
        </w:rPr>
        <w:t>(total</w:t>
      </w:r>
      <w:r>
        <w:rPr>
          <w:spacing w:val="-4"/>
          <w:sz w:val="24"/>
        </w:rPr>
        <w:t xml:space="preserve"> </w:t>
      </w:r>
      <w:r>
        <w:rPr>
          <w:sz w:val="24"/>
        </w:rPr>
        <w:t>respondents)</w:t>
      </w:r>
      <w:r>
        <w:rPr>
          <w:spacing w:val="-3"/>
          <w:sz w:val="24"/>
        </w:rPr>
        <w:t xml:space="preserve"> </w:t>
      </w:r>
      <w:r>
        <w:rPr>
          <w:sz w:val="24"/>
        </w:rPr>
        <w:t>*</w:t>
      </w:r>
    </w:p>
    <w:p w:rsidR="00D80021" w14:paraId="0A041FD7" w14:textId="77777777">
      <w:pPr>
        <w:pStyle w:val="BodyText"/>
        <w:ind w:left="1531"/>
      </w:pPr>
      <w:r>
        <w:t>$.60</w:t>
      </w:r>
      <w:r>
        <w:rPr>
          <w:spacing w:val="-2"/>
        </w:rPr>
        <w:t xml:space="preserve"> </w:t>
      </w:r>
      <w:r>
        <w:t>(postage</w:t>
      </w:r>
      <w:r>
        <w:rPr>
          <w:spacing w:val="-2"/>
        </w:rPr>
        <w:t xml:space="preserve"> </w:t>
      </w:r>
      <w:r>
        <w:t>costs</w:t>
      </w:r>
      <w:r>
        <w:rPr>
          <w:spacing w:val="-1"/>
        </w:rPr>
        <w:t xml:space="preserve"> </w:t>
      </w:r>
      <w:r>
        <w:t>per</w:t>
      </w:r>
      <w:r>
        <w:rPr>
          <w:spacing w:val="-2"/>
        </w:rPr>
        <w:t xml:space="preserve"> </w:t>
      </w:r>
      <w:r>
        <w:rPr>
          <w:spacing w:val="-2"/>
        </w:rPr>
        <w:t>respondents</w:t>
      </w:r>
      <w:r>
        <w:rPr>
          <w:spacing w:val="-2"/>
        </w:rPr>
        <w:t>).</w:t>
      </w:r>
    </w:p>
    <w:p w:rsidR="00D80021" w14:paraId="5B462477" w14:textId="77777777">
      <w:pPr>
        <w:pStyle w:val="ListParagraph"/>
        <w:numPr>
          <w:ilvl w:val="1"/>
          <w:numId w:val="1"/>
        </w:numPr>
        <w:tabs>
          <w:tab w:val="left" w:pos="1531"/>
          <w:tab w:val="left" w:pos="2520"/>
          <w:tab w:val="left" w:pos="4677"/>
        </w:tabs>
        <w:spacing w:before="252" w:line="480" w:lineRule="auto"/>
        <w:ind w:left="2520" w:right="1169" w:hanging="1577"/>
        <w:rPr>
          <w:sz w:val="24"/>
        </w:rPr>
      </w:pPr>
      <w:r>
        <w:rPr>
          <w:sz w:val="24"/>
        </w:rPr>
        <w:t xml:space="preserve">The estimated annual cost to the Federal Government is as follows: </w:t>
      </w:r>
      <w:r>
        <w:rPr>
          <w:spacing w:val="-2"/>
          <w:sz w:val="24"/>
        </w:rPr>
        <w:t>Printing</w:t>
      </w:r>
      <w:r>
        <w:rPr>
          <w:sz w:val="24"/>
        </w:rPr>
        <w:tab/>
        <w:t>9,000</w:t>
      </w:r>
      <w:r>
        <w:rPr>
          <w:spacing w:val="-12"/>
          <w:sz w:val="24"/>
        </w:rPr>
        <w:t xml:space="preserve"> </w:t>
      </w:r>
      <w:r>
        <w:rPr>
          <w:sz w:val="24"/>
        </w:rPr>
        <w:t>forms</w:t>
      </w:r>
      <w:r>
        <w:rPr>
          <w:spacing w:val="-10"/>
          <w:sz w:val="24"/>
        </w:rPr>
        <w:t xml:space="preserve"> </w:t>
      </w:r>
      <w:r>
        <w:rPr>
          <w:sz w:val="24"/>
        </w:rPr>
        <w:t>@</w:t>
      </w:r>
      <w:r>
        <w:rPr>
          <w:spacing w:val="-11"/>
          <w:sz w:val="24"/>
        </w:rPr>
        <w:t xml:space="preserve"> </w:t>
      </w:r>
      <w:r>
        <w:rPr>
          <w:sz w:val="24"/>
        </w:rPr>
        <w:t>$.10</w:t>
      </w:r>
      <w:r>
        <w:rPr>
          <w:spacing w:val="-10"/>
          <w:sz w:val="24"/>
        </w:rPr>
        <w:t xml:space="preserve"> </w:t>
      </w:r>
      <w:r>
        <w:rPr>
          <w:sz w:val="24"/>
        </w:rPr>
        <w:t>per</w:t>
      </w:r>
      <w:r>
        <w:rPr>
          <w:spacing w:val="-11"/>
          <w:sz w:val="24"/>
        </w:rPr>
        <w:t xml:space="preserve"> </w:t>
      </w:r>
      <w:r>
        <w:rPr>
          <w:sz w:val="24"/>
        </w:rPr>
        <w:t>form</w:t>
      </w:r>
      <w:r>
        <w:rPr>
          <w:spacing w:val="-10"/>
          <w:sz w:val="24"/>
        </w:rPr>
        <w:t xml:space="preserve"> </w:t>
      </w:r>
      <w:r>
        <w:rPr>
          <w:sz w:val="24"/>
        </w:rPr>
        <w:t>=</w:t>
      </w:r>
      <w:r>
        <w:rPr>
          <w:spacing w:val="-15"/>
          <w:sz w:val="24"/>
        </w:rPr>
        <w:t xml:space="preserve"> </w:t>
      </w:r>
      <w:r>
        <w:rPr>
          <w:sz w:val="24"/>
        </w:rPr>
        <w:t>$900</w:t>
      </w:r>
    </w:p>
    <w:p w:rsidR="00D80021" w14:paraId="2CF1CD43" w14:textId="1BABE4E8">
      <w:pPr>
        <w:pStyle w:val="ListParagraph"/>
        <w:numPr>
          <w:ilvl w:val="1"/>
          <w:numId w:val="1"/>
        </w:numPr>
        <w:tabs>
          <w:tab w:val="left" w:pos="1531"/>
        </w:tabs>
        <w:ind w:right="301" w:hanging="578"/>
        <w:rPr>
          <w:sz w:val="24"/>
        </w:rPr>
      </w:pPr>
      <w:r>
        <w:rPr>
          <w:sz w:val="24"/>
        </w:rPr>
        <w:t>No adjustments being made during this renewal; extended without change.</w:t>
      </w:r>
    </w:p>
    <w:p w:rsidR="00D80021" w14:paraId="535C499F" w14:textId="77777777">
      <w:pPr>
        <w:pStyle w:val="BodyText"/>
      </w:pPr>
    </w:p>
    <w:p w:rsidR="00D80021" w14:paraId="16814124" w14:textId="77777777">
      <w:pPr>
        <w:pStyle w:val="ListParagraph"/>
        <w:numPr>
          <w:ilvl w:val="1"/>
          <w:numId w:val="1"/>
        </w:numPr>
        <w:tabs>
          <w:tab w:val="left" w:pos="1531"/>
        </w:tabs>
        <w:ind w:hanging="578"/>
        <w:rPr>
          <w:sz w:val="24"/>
        </w:rPr>
      </w:pPr>
      <w:r>
        <w:rPr>
          <w:sz w:val="24"/>
        </w:rPr>
        <w:t>The</w:t>
      </w:r>
      <w:r>
        <w:rPr>
          <w:spacing w:val="-1"/>
          <w:sz w:val="24"/>
        </w:rPr>
        <w:t xml:space="preserve"> </w:t>
      </w:r>
      <w:r>
        <w:rPr>
          <w:sz w:val="24"/>
        </w:rPr>
        <w:t>results of</w:t>
      </w:r>
      <w:r>
        <w:rPr>
          <w:spacing w:val="-1"/>
          <w:sz w:val="24"/>
        </w:rPr>
        <w:t xml:space="preserve"> </w:t>
      </w:r>
      <w:r>
        <w:rPr>
          <w:sz w:val="24"/>
        </w:rPr>
        <w:t>this collection will not be</w:t>
      </w:r>
      <w:r>
        <w:rPr>
          <w:spacing w:val="-11"/>
          <w:sz w:val="24"/>
        </w:rPr>
        <w:t xml:space="preserve"> </w:t>
      </w:r>
      <w:r>
        <w:rPr>
          <w:spacing w:val="-2"/>
          <w:sz w:val="24"/>
        </w:rPr>
        <w:t>published.</w:t>
      </w:r>
    </w:p>
    <w:p w:rsidR="00D80021" w14:paraId="77ACB686" w14:textId="77777777">
      <w:pPr>
        <w:pStyle w:val="BodyText"/>
        <w:spacing w:before="96"/>
      </w:pPr>
    </w:p>
    <w:p w:rsidR="00D80021" w14:paraId="37E33894" w14:textId="77777777">
      <w:pPr>
        <w:pStyle w:val="ListParagraph"/>
        <w:numPr>
          <w:ilvl w:val="1"/>
          <w:numId w:val="1"/>
        </w:numPr>
        <w:tabs>
          <w:tab w:val="left" w:pos="1531"/>
        </w:tabs>
        <w:ind w:right="460" w:hanging="578"/>
        <w:rPr>
          <w:sz w:val="24"/>
        </w:rPr>
      </w:pPr>
      <w:r>
        <w:rPr>
          <w:sz w:val="24"/>
        </w:rPr>
        <w:t>ATF</w:t>
      </w:r>
      <w:r>
        <w:rPr>
          <w:spacing w:val="-7"/>
          <w:sz w:val="24"/>
        </w:rPr>
        <w:t xml:space="preserve"> </w:t>
      </w:r>
      <w:r>
        <w:rPr>
          <w:sz w:val="24"/>
        </w:rPr>
        <w:t>does</w:t>
      </w:r>
      <w:r>
        <w:rPr>
          <w:spacing w:val="-3"/>
          <w:sz w:val="24"/>
        </w:rPr>
        <w:t xml:space="preserve"> </w:t>
      </w:r>
      <w:r>
        <w:rPr>
          <w:sz w:val="24"/>
        </w:rPr>
        <w:t>not</w:t>
      </w:r>
      <w:r>
        <w:rPr>
          <w:spacing w:val="-3"/>
          <w:sz w:val="24"/>
        </w:rPr>
        <w:t xml:space="preserve"> </w:t>
      </w:r>
      <w:r>
        <w:rPr>
          <w:sz w:val="24"/>
        </w:rPr>
        <w:t>request</w:t>
      </w:r>
      <w:r>
        <w:rPr>
          <w:spacing w:val="-3"/>
          <w:sz w:val="24"/>
        </w:rPr>
        <w:t xml:space="preserve"> </w:t>
      </w:r>
      <w:r>
        <w:rPr>
          <w:sz w:val="24"/>
        </w:rPr>
        <w:t>approval</w:t>
      </w:r>
      <w:r>
        <w:rPr>
          <w:spacing w:val="-3"/>
          <w:sz w:val="24"/>
        </w:rPr>
        <w:t xml:space="preserve"> </w:t>
      </w:r>
      <w:r>
        <w:rPr>
          <w:sz w:val="24"/>
        </w:rPr>
        <w:t>to</w:t>
      </w:r>
      <w:r>
        <w:rPr>
          <w:spacing w:val="-3"/>
          <w:sz w:val="24"/>
        </w:rPr>
        <w:t xml:space="preserve"> </w:t>
      </w:r>
      <w:r>
        <w:rPr>
          <w:sz w:val="24"/>
        </w:rPr>
        <w:t>not</w:t>
      </w:r>
      <w:r>
        <w:rPr>
          <w:spacing w:val="-4"/>
          <w:sz w:val="24"/>
        </w:rPr>
        <w:t xml:space="preserve"> </w:t>
      </w:r>
      <w:r>
        <w:rPr>
          <w:sz w:val="24"/>
        </w:rPr>
        <w:t>display</w:t>
      </w:r>
      <w:r>
        <w:rPr>
          <w:spacing w:val="-8"/>
          <w:sz w:val="24"/>
        </w:rPr>
        <w:t xml:space="preserve"> </w:t>
      </w:r>
      <w:r>
        <w:rPr>
          <w:sz w:val="24"/>
        </w:rPr>
        <w:t>the</w:t>
      </w:r>
      <w:r>
        <w:rPr>
          <w:spacing w:val="-2"/>
          <w:sz w:val="24"/>
        </w:rPr>
        <w:t xml:space="preserve"> </w:t>
      </w:r>
      <w:r>
        <w:rPr>
          <w:sz w:val="24"/>
        </w:rPr>
        <w:t>expiration</w:t>
      </w:r>
      <w:r>
        <w:rPr>
          <w:spacing w:val="-3"/>
          <w:sz w:val="24"/>
        </w:rPr>
        <w:t xml:space="preserve"> </w:t>
      </w:r>
      <w:r>
        <w:rPr>
          <w:sz w:val="24"/>
        </w:rPr>
        <w:t>date</w:t>
      </w:r>
      <w:r>
        <w:rPr>
          <w:spacing w:val="-5"/>
          <w:sz w:val="24"/>
        </w:rPr>
        <w:t xml:space="preserve"> </w:t>
      </w:r>
      <w:r>
        <w:rPr>
          <w:sz w:val="24"/>
        </w:rPr>
        <w:t>of</w:t>
      </w:r>
      <w:r>
        <w:rPr>
          <w:spacing w:val="-4"/>
          <w:sz w:val="24"/>
        </w:rPr>
        <w:t xml:space="preserve"> </w:t>
      </w:r>
      <w:r>
        <w:rPr>
          <w:sz w:val="24"/>
        </w:rPr>
        <w:t>the</w:t>
      </w:r>
      <w:r>
        <w:rPr>
          <w:spacing w:val="-30"/>
          <w:sz w:val="24"/>
        </w:rPr>
        <w:t xml:space="preserve"> </w:t>
      </w:r>
      <w:r>
        <w:rPr>
          <w:sz w:val="24"/>
        </w:rPr>
        <w:t>OMB approval for this collection.</w:t>
      </w:r>
    </w:p>
    <w:p w:rsidR="00D80021" w14:paraId="22FE5006" w14:textId="77777777">
      <w:pPr>
        <w:pStyle w:val="BodyText"/>
      </w:pPr>
    </w:p>
    <w:p w:rsidR="00D80021" w14:paraId="1150A9E2" w14:textId="77777777">
      <w:pPr>
        <w:pStyle w:val="ListParagraph"/>
        <w:numPr>
          <w:ilvl w:val="1"/>
          <w:numId w:val="1"/>
        </w:numPr>
        <w:tabs>
          <w:tab w:val="left" w:pos="1531"/>
        </w:tabs>
        <w:ind w:hanging="578"/>
        <w:rPr>
          <w:sz w:val="24"/>
        </w:rPr>
      </w:pPr>
      <w:r>
        <w:rPr>
          <w:sz w:val="24"/>
        </w:rPr>
        <w:t>There</w:t>
      </w:r>
      <w:r>
        <w:rPr>
          <w:spacing w:val="-4"/>
          <w:sz w:val="24"/>
        </w:rPr>
        <w:t xml:space="preserve"> </w:t>
      </w:r>
      <w:r>
        <w:rPr>
          <w:sz w:val="24"/>
        </w:rPr>
        <w:t>are</w:t>
      </w:r>
      <w:r>
        <w:rPr>
          <w:spacing w:val="-5"/>
          <w:sz w:val="24"/>
        </w:rPr>
        <w:t xml:space="preserve"> </w:t>
      </w:r>
      <w:r>
        <w:rPr>
          <w:sz w:val="24"/>
        </w:rPr>
        <w:t>no</w:t>
      </w:r>
      <w:r>
        <w:rPr>
          <w:spacing w:val="-3"/>
          <w:sz w:val="24"/>
        </w:rPr>
        <w:t xml:space="preserve"> </w:t>
      </w:r>
      <w:r>
        <w:rPr>
          <w:sz w:val="24"/>
        </w:rPr>
        <w:t>exceptions</w:t>
      </w:r>
      <w:r>
        <w:rPr>
          <w:spacing w:val="-5"/>
          <w:sz w:val="24"/>
        </w:rPr>
        <w:t xml:space="preserve"> </w:t>
      </w:r>
      <w:r>
        <w:rPr>
          <w:sz w:val="24"/>
        </w:rPr>
        <w:t>to</w:t>
      </w:r>
      <w:r>
        <w:rPr>
          <w:spacing w:val="-5"/>
          <w:sz w:val="24"/>
        </w:rPr>
        <w:t xml:space="preserve"> </w:t>
      </w:r>
      <w:r>
        <w:rPr>
          <w:sz w:val="24"/>
        </w:rPr>
        <w:t>the</w:t>
      </w:r>
      <w:r>
        <w:rPr>
          <w:spacing w:val="-5"/>
          <w:sz w:val="24"/>
        </w:rPr>
        <w:t xml:space="preserve"> </w:t>
      </w:r>
      <w:r>
        <w:rPr>
          <w:sz w:val="24"/>
        </w:rPr>
        <w:t>certification</w:t>
      </w:r>
      <w:r>
        <w:rPr>
          <w:spacing w:val="-7"/>
          <w:sz w:val="24"/>
        </w:rPr>
        <w:t xml:space="preserve"> </w:t>
      </w:r>
      <w:r>
        <w:rPr>
          <w:spacing w:val="-2"/>
          <w:sz w:val="24"/>
        </w:rPr>
        <w:t>statement.</w:t>
      </w:r>
    </w:p>
    <w:p w:rsidR="00D80021" w14:paraId="5E920350" w14:textId="77777777">
      <w:pPr>
        <w:pStyle w:val="BodyText"/>
        <w:spacing w:before="125"/>
      </w:pPr>
    </w:p>
    <w:p w:rsidR="00D80021" w14:paraId="22960774" w14:textId="77777777">
      <w:pPr>
        <w:pStyle w:val="Heading1"/>
        <w:numPr>
          <w:ilvl w:val="0"/>
          <w:numId w:val="1"/>
        </w:numPr>
        <w:tabs>
          <w:tab w:val="left" w:pos="641"/>
        </w:tabs>
        <w:ind w:left="641" w:right="0"/>
        <w:jc w:val="left"/>
      </w:pPr>
      <w:r>
        <w:rPr>
          <w:u w:val="single"/>
        </w:rPr>
        <w:t>COLLECTION</w:t>
      </w:r>
      <w:r>
        <w:rPr>
          <w:spacing w:val="-8"/>
          <w:u w:val="single"/>
        </w:rPr>
        <w:t xml:space="preserve"> </w:t>
      </w:r>
      <w:r>
        <w:rPr>
          <w:u w:val="single"/>
        </w:rPr>
        <w:t>OF</w:t>
      </w:r>
      <w:r>
        <w:rPr>
          <w:spacing w:val="-4"/>
          <w:u w:val="single"/>
        </w:rPr>
        <w:t xml:space="preserve"> </w:t>
      </w:r>
      <w:r>
        <w:rPr>
          <w:u w:val="single"/>
        </w:rPr>
        <w:t>INFORMATION</w:t>
      </w:r>
      <w:r>
        <w:rPr>
          <w:spacing w:val="-5"/>
          <w:u w:val="single"/>
        </w:rPr>
        <w:t xml:space="preserve"> </w:t>
      </w:r>
      <w:r>
        <w:rPr>
          <w:u w:val="single"/>
        </w:rPr>
        <w:t>EMPLOYING</w:t>
      </w:r>
      <w:r>
        <w:rPr>
          <w:spacing w:val="-5"/>
          <w:u w:val="single"/>
        </w:rPr>
        <w:t xml:space="preserve"> </w:t>
      </w:r>
      <w:r>
        <w:rPr>
          <w:u w:val="single"/>
        </w:rPr>
        <w:t>STATISTICAL</w:t>
      </w:r>
      <w:r>
        <w:rPr>
          <w:spacing w:val="-7"/>
          <w:u w:val="single"/>
        </w:rPr>
        <w:t xml:space="preserve"> </w:t>
      </w:r>
      <w:r>
        <w:rPr>
          <w:spacing w:val="-2"/>
          <w:u w:val="single"/>
        </w:rPr>
        <w:t>METHOD</w:t>
      </w:r>
    </w:p>
    <w:p w:rsidR="00D80021" w14:paraId="70A8BC7D" w14:textId="77777777">
      <w:pPr>
        <w:pStyle w:val="BodyText"/>
        <w:spacing w:before="189"/>
        <w:ind w:left="940"/>
      </w:pPr>
      <w:r>
        <w:rPr>
          <w:spacing w:val="-4"/>
        </w:rPr>
        <w:t>None</w:t>
      </w:r>
    </w:p>
    <w:p w:rsidR="00D80021" w14:paraId="1453EEF7" w14:textId="77777777">
      <w:pPr>
        <w:pStyle w:val="BodyText"/>
        <w:rPr>
          <w:sz w:val="22"/>
        </w:rPr>
      </w:pPr>
    </w:p>
    <w:p w:rsidR="00D80021" w14:paraId="73032E67" w14:textId="77777777">
      <w:pPr>
        <w:pStyle w:val="BodyText"/>
        <w:rPr>
          <w:sz w:val="22"/>
        </w:rPr>
      </w:pPr>
    </w:p>
    <w:p w:rsidR="00D80021" w14:paraId="5C1819DB" w14:textId="77777777">
      <w:pPr>
        <w:pStyle w:val="BodyText"/>
        <w:rPr>
          <w:sz w:val="22"/>
        </w:rPr>
      </w:pPr>
    </w:p>
    <w:p w:rsidR="00D80021" w14:paraId="23A4CAE4" w14:textId="77777777">
      <w:pPr>
        <w:pStyle w:val="BodyText"/>
        <w:rPr>
          <w:sz w:val="22"/>
        </w:rPr>
      </w:pPr>
    </w:p>
    <w:p w:rsidR="00D80021" w14:paraId="040848A0" w14:textId="77777777">
      <w:pPr>
        <w:pStyle w:val="BodyText"/>
        <w:rPr>
          <w:sz w:val="22"/>
        </w:rPr>
      </w:pPr>
    </w:p>
    <w:p w:rsidR="00D80021" w14:paraId="4CD6D3A7" w14:textId="77777777">
      <w:pPr>
        <w:pStyle w:val="BodyText"/>
        <w:rPr>
          <w:sz w:val="22"/>
        </w:rPr>
      </w:pPr>
    </w:p>
    <w:p w:rsidR="00D80021" w14:paraId="688289FA" w14:textId="77777777">
      <w:pPr>
        <w:pStyle w:val="BodyText"/>
        <w:rPr>
          <w:sz w:val="22"/>
        </w:rPr>
      </w:pPr>
    </w:p>
    <w:p w:rsidR="00D80021" w14:paraId="72F433A1" w14:textId="77777777">
      <w:pPr>
        <w:pStyle w:val="BodyText"/>
        <w:rPr>
          <w:sz w:val="22"/>
        </w:rPr>
      </w:pPr>
    </w:p>
    <w:p w:rsidR="00D80021" w14:paraId="1D6D9257" w14:textId="77777777">
      <w:pPr>
        <w:pStyle w:val="BodyText"/>
        <w:rPr>
          <w:sz w:val="22"/>
        </w:rPr>
      </w:pPr>
    </w:p>
    <w:p w:rsidR="00D80021" w14:paraId="0F93C7FC" w14:textId="77777777">
      <w:pPr>
        <w:pStyle w:val="BodyText"/>
        <w:rPr>
          <w:sz w:val="22"/>
        </w:rPr>
      </w:pPr>
    </w:p>
    <w:p w:rsidR="00D80021" w14:paraId="336BC0C0" w14:textId="77777777">
      <w:pPr>
        <w:pStyle w:val="BodyText"/>
        <w:rPr>
          <w:sz w:val="22"/>
        </w:rPr>
      </w:pPr>
    </w:p>
    <w:p w:rsidR="00D80021" w14:paraId="47CE540D" w14:textId="77777777">
      <w:pPr>
        <w:pStyle w:val="BodyText"/>
        <w:rPr>
          <w:sz w:val="22"/>
        </w:rPr>
      </w:pPr>
    </w:p>
    <w:p w:rsidR="00D80021" w14:paraId="517B4971" w14:textId="77777777">
      <w:pPr>
        <w:pStyle w:val="BodyText"/>
        <w:rPr>
          <w:sz w:val="22"/>
        </w:rPr>
      </w:pPr>
    </w:p>
    <w:p w:rsidR="00D80021" w14:paraId="01BD6246" w14:textId="77777777">
      <w:pPr>
        <w:pStyle w:val="BodyText"/>
        <w:rPr>
          <w:sz w:val="22"/>
        </w:rPr>
      </w:pPr>
    </w:p>
    <w:p w:rsidR="00D80021" w14:paraId="596FD252" w14:textId="77777777">
      <w:pPr>
        <w:pStyle w:val="BodyText"/>
        <w:spacing w:before="175"/>
        <w:rPr>
          <w:sz w:val="22"/>
        </w:rPr>
      </w:pPr>
    </w:p>
    <w:p w:rsidR="00D80021" w14:paraId="31E48B27" w14:textId="77777777">
      <w:pPr>
        <w:ind w:left="4" w:right="6"/>
        <w:jc w:val="center"/>
      </w:pPr>
      <w:r>
        <w:rPr>
          <w:spacing w:val="-10"/>
        </w:rPr>
        <w:t>3</w:t>
      </w:r>
    </w:p>
    <w:sectPr>
      <w:pgSz w:w="12240" w:h="15840"/>
      <w:pgMar w:top="1520" w:right="1440" w:bottom="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DAC3694"/>
    <w:multiLevelType w:val="hybridMultilevel"/>
    <w:tmpl w:val="31FCE804"/>
    <w:lvl w:ilvl="0">
      <w:start w:val="1"/>
      <w:numFmt w:val="upperLetter"/>
      <w:lvlText w:val="%1."/>
      <w:lvlJc w:val="left"/>
      <w:pPr>
        <w:ind w:left="943" w:hanging="586"/>
        <w:jc w:val="right"/>
      </w:pPr>
      <w:rPr>
        <w:rFonts w:ascii="Times New Roman" w:eastAsia="Times New Roman" w:hAnsi="Times New Roman" w:cs="Times New Roman" w:hint="default"/>
        <w:b w:val="0"/>
        <w:bCs w:val="0"/>
        <w:i w:val="0"/>
        <w:iCs w:val="0"/>
        <w:spacing w:val="-6"/>
        <w:w w:val="98"/>
        <w:sz w:val="24"/>
        <w:szCs w:val="24"/>
        <w:lang w:val="en-US" w:eastAsia="en-US" w:bidi="ar-SA"/>
      </w:rPr>
    </w:lvl>
    <w:lvl w:ilvl="1">
      <w:start w:val="1"/>
      <w:numFmt w:val="decimal"/>
      <w:lvlText w:val="%2."/>
      <w:lvlJc w:val="left"/>
      <w:pPr>
        <w:ind w:left="1531" w:hanging="588"/>
        <w:jc w:val="left"/>
      </w:pPr>
      <w:rPr>
        <w:rFonts w:ascii="Times New Roman" w:eastAsia="Times New Roman" w:hAnsi="Times New Roman" w:cs="Times New Roman" w:hint="default"/>
        <w:b w:val="0"/>
        <w:bCs w:val="0"/>
        <w:i w:val="0"/>
        <w:iCs w:val="0"/>
        <w:spacing w:val="-9"/>
        <w:w w:val="98"/>
        <w:sz w:val="24"/>
        <w:szCs w:val="24"/>
        <w:lang w:val="en-US" w:eastAsia="en-US" w:bidi="ar-SA"/>
      </w:rPr>
    </w:lvl>
    <w:lvl w:ilvl="2">
      <w:start w:val="0"/>
      <w:numFmt w:val="bullet"/>
      <w:lvlText w:val="•"/>
      <w:lvlJc w:val="left"/>
      <w:pPr>
        <w:ind w:left="2408" w:hanging="588"/>
      </w:pPr>
      <w:rPr>
        <w:rFonts w:hint="default"/>
        <w:lang w:val="en-US" w:eastAsia="en-US" w:bidi="ar-SA"/>
      </w:rPr>
    </w:lvl>
    <w:lvl w:ilvl="3">
      <w:start w:val="0"/>
      <w:numFmt w:val="bullet"/>
      <w:lvlText w:val="•"/>
      <w:lvlJc w:val="left"/>
      <w:pPr>
        <w:ind w:left="3277" w:hanging="588"/>
      </w:pPr>
      <w:rPr>
        <w:rFonts w:hint="default"/>
        <w:lang w:val="en-US" w:eastAsia="en-US" w:bidi="ar-SA"/>
      </w:rPr>
    </w:lvl>
    <w:lvl w:ilvl="4">
      <w:start w:val="0"/>
      <w:numFmt w:val="bullet"/>
      <w:lvlText w:val="•"/>
      <w:lvlJc w:val="left"/>
      <w:pPr>
        <w:ind w:left="4146" w:hanging="588"/>
      </w:pPr>
      <w:rPr>
        <w:rFonts w:hint="default"/>
        <w:lang w:val="en-US" w:eastAsia="en-US" w:bidi="ar-SA"/>
      </w:rPr>
    </w:lvl>
    <w:lvl w:ilvl="5">
      <w:start w:val="0"/>
      <w:numFmt w:val="bullet"/>
      <w:lvlText w:val="•"/>
      <w:lvlJc w:val="left"/>
      <w:pPr>
        <w:ind w:left="5015" w:hanging="588"/>
      </w:pPr>
      <w:rPr>
        <w:rFonts w:hint="default"/>
        <w:lang w:val="en-US" w:eastAsia="en-US" w:bidi="ar-SA"/>
      </w:rPr>
    </w:lvl>
    <w:lvl w:ilvl="6">
      <w:start w:val="0"/>
      <w:numFmt w:val="bullet"/>
      <w:lvlText w:val="•"/>
      <w:lvlJc w:val="left"/>
      <w:pPr>
        <w:ind w:left="5884" w:hanging="588"/>
      </w:pPr>
      <w:rPr>
        <w:rFonts w:hint="default"/>
        <w:lang w:val="en-US" w:eastAsia="en-US" w:bidi="ar-SA"/>
      </w:rPr>
    </w:lvl>
    <w:lvl w:ilvl="7">
      <w:start w:val="0"/>
      <w:numFmt w:val="bullet"/>
      <w:lvlText w:val="•"/>
      <w:lvlJc w:val="left"/>
      <w:pPr>
        <w:ind w:left="6753" w:hanging="588"/>
      </w:pPr>
      <w:rPr>
        <w:rFonts w:hint="default"/>
        <w:lang w:val="en-US" w:eastAsia="en-US" w:bidi="ar-SA"/>
      </w:rPr>
    </w:lvl>
    <w:lvl w:ilvl="8">
      <w:start w:val="0"/>
      <w:numFmt w:val="bullet"/>
      <w:lvlText w:val="•"/>
      <w:lvlJc w:val="left"/>
      <w:pPr>
        <w:ind w:left="7622" w:hanging="588"/>
      </w:pPr>
      <w:rPr>
        <w:rFonts w:hint="default"/>
        <w:lang w:val="en-US" w:eastAsia="en-US" w:bidi="ar-SA"/>
      </w:rPr>
    </w:lvl>
  </w:abstractNum>
  <w:num w:numId="1" w16cid:durableId="1350712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2"/>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0021"/>
    <w:rsid w:val="00002321"/>
    <w:rsid w:val="000905B8"/>
    <w:rsid w:val="00154D92"/>
    <w:rsid w:val="005E5356"/>
    <w:rsid w:val="0078243E"/>
    <w:rsid w:val="007F6F94"/>
    <w:rsid w:val="00B02F76"/>
    <w:rsid w:val="00C84BBF"/>
    <w:rsid w:val="00CD1EFC"/>
    <w:rsid w:val="00D80021"/>
    <w:rsid w:val="00FC693A"/>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089D3BC7"/>
  <w15:docId w15:val="{27EAC37B-D402-41C5-831E-BB9DC5520D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1" w:right="6"/>
      <w:jc w:val="center"/>
      <w:outlineLv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1531" w:hanging="54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yperlink" Target="http://www.atfonline.gov/" TargetMode="External" /><Relationship Id="rId8" Type="http://schemas.openxmlformats.org/officeDocument/2006/relationships/hyperlink" Target="http://www.atf.gov/" TargetMode="Externa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C9874730AEFF94BB2177E6D1D27E709" ma:contentTypeVersion="16" ma:contentTypeDescription="Create a new document." ma:contentTypeScope="" ma:versionID="7157cd8497abad4e0829396253a07b5b">
  <xsd:schema xmlns:xsd="http://www.w3.org/2001/XMLSchema" xmlns:xs="http://www.w3.org/2001/XMLSchema" xmlns:p="http://schemas.microsoft.com/office/2006/metadata/properties" xmlns:ns2="2c8a7d0f-5415-41e0-b546-94eb434f95de" xmlns:ns3="9736e30f-79ed-47d3-a340-de1c64cb87ef" targetNamespace="http://schemas.microsoft.com/office/2006/metadata/properties" ma:root="true" ma:fieldsID="3dbd207383490268eaeccaa4f755a4cd" ns2:_="" ns3:_="">
    <xsd:import namespace="2c8a7d0f-5415-41e0-b546-94eb434f95de"/>
    <xsd:import namespace="9736e30f-79ed-47d3-a340-de1c64cb87e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OCR" minOccurs="0"/>
                <xsd:element ref="ns2:MediaServiceSearchProperties" minOccurs="0"/>
                <xsd:element ref="ns2:MediaServiceDateTaken" minOccurs="0"/>
                <xsd:element ref="ns2:Statu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8a7d0f-5415-41e0-b546-94eb434f95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b88edfbe-2eab-456a-af99-6bea05d804c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Status" ma:index="22" nillable="true" ma:displayName="Status" ma:format="Dropdown" ma:internalName="Status">
      <xsd:simpleType>
        <xsd:restriction base="dms:Text">
          <xsd:maxLength value="255"/>
        </xsd:restriction>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736e30f-79ed-47d3-a340-de1c64cb87ef"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df50f4f7-81e5-4207-b147-47eee8b86108}" ma:internalName="TaxCatchAll" ma:showField="CatchAllData" ma:web="9736e30f-79ed-47d3-a340-de1c64cb87e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c8a7d0f-5415-41e0-b546-94eb434f95de">
      <Terms xmlns="http://schemas.microsoft.com/office/infopath/2007/PartnerControls"/>
    </lcf76f155ced4ddcb4097134ff3c332f>
    <Status xmlns="2c8a7d0f-5415-41e0-b546-94eb434f95de" xsi:nil="true"/>
    <TaxCatchAll xmlns="9736e30f-79ed-47d3-a340-de1c64cb87ef" xsi:nil="true"/>
  </documentManagement>
</p:properties>
</file>

<file path=customXml/itemProps1.xml><?xml version="1.0" encoding="utf-8"?>
<ds:datastoreItem xmlns:ds="http://schemas.openxmlformats.org/officeDocument/2006/customXml" ds:itemID="{F06CCADF-C29F-4247-800A-AA54D00273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c8a7d0f-5415-41e0-b546-94eb434f95de"/>
    <ds:schemaRef ds:uri="9736e30f-79ed-47d3-a340-de1c64cb87e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7FED66D-0760-4667-A941-3412D1CF6D23}">
  <ds:schemaRefs>
    <ds:schemaRef ds:uri="http://schemas.microsoft.com/sharepoint/v3/contenttype/forms"/>
  </ds:schemaRefs>
</ds:datastoreItem>
</file>

<file path=customXml/itemProps3.xml><?xml version="1.0" encoding="utf-8"?>
<ds:datastoreItem xmlns:ds="http://schemas.openxmlformats.org/officeDocument/2006/customXml" ds:itemID="{9DA6D34A-E741-4675-8642-547A4E63409E}">
  <ds:schemaRefs>
    <ds:schemaRef ds:uri="http://schemas.microsoft.com/office/2006/metadata/properties"/>
    <ds:schemaRef ds:uri="http://schemas.microsoft.com/office/infopath/2007/PartnerControls"/>
    <ds:schemaRef ds:uri="2c8a7d0f-5415-41e0-b546-94eb434f95de"/>
    <ds:schemaRef ds:uri="9736e30f-79ed-47d3-a340-de1c64cb87ef"/>
  </ds:schemaRefs>
</ds:datastoreItem>
</file>

<file path=docMetadata/LabelInfo.xml><?xml version="1.0" encoding="utf-8"?>
<clbl:labelList xmlns:clbl="http://schemas.microsoft.com/office/2020/mipLabelMetadata">
  <clbl:label id="{15ef12a1-af58-44c4-b029-712fc0605570}" enabled="0" method="" siteId="{15ef12a1-af58-44c4-b029-712fc0605570}" removed="1"/>
</clbl:labelList>
</file>

<file path=docProps/app.xml><?xml version="1.0" encoding="utf-8"?>
<Properties xmlns="http://schemas.openxmlformats.org/officeDocument/2006/extended-properties" xmlns:vt="http://schemas.openxmlformats.org/officeDocument/2006/docPropsVTypes">
  <Template>Normal</Template>
  <TotalTime>0</TotalTime>
  <Pages>3</Pages>
  <Words>952</Words>
  <Characters>5431</Characters>
  <Application>Microsoft Office Word</Application>
  <DocSecurity>0</DocSecurity>
  <Lines>45</Lines>
  <Paragraphs>12</Paragraphs>
  <ScaleCrop>false</ScaleCrop>
  <Company>Bureau of Alcohol, Tobacco, Firearms and Explosives</Company>
  <LinksUpToDate>false</LinksUpToDate>
  <CharactersWithSpaces>6371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OMB 1140-0012 ATF Form 2 (5320.2) Notice of Firearms Manufactured or Imported</dc:title>
  <dc:subject>OMB 1140-0012 ATF Form 2 (5320.2) Notice of Firearms Manufactured or Imported</dc:subject>
  <dc:creator>ATF</dc:creator>
  <cp:keywords>OMB 1140-0012 ATF Form 2 (5320.2) Notice of Firearms Manufactured or Imported</cp:keywords>
  <cp:lastModifiedBy>Holmes-Brooks, Colette N. (ATF) (CTR)</cp:lastModifiedBy>
  <cp:revision>2</cp:revision>
  <dcterms:created xsi:type="dcterms:W3CDTF">2026-10-26T18:50:00Z</dcterms:created>
  <dcterms:modified xsi:type="dcterms:W3CDTF">2026-10-26T18:50:00Z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0x0101002C9874730AEFF94BB2177E6D1D27E709</vt:lpwstr>
  </property>
  <property fmtid="{D5CDD505-2E9C-101B-9397-08002B2CF9AE}" pid="3" name="Created">
    <vt:filetime>2020-02-25T00:00:00Z</vt:filetime>
  </property>
  <property fmtid="{D5CDD505-2E9C-101B-9397-08002B2CF9AE}" pid="4" name="Creator">
    <vt:lpwstr>Acrobat PDFMaker 20 for Word</vt:lpwstr>
  </property>
  <property fmtid="{D5CDD505-2E9C-101B-9397-08002B2CF9AE}" pid="5" name="LastSaved">
    <vt:filetime>2026-09-04T00:00:00Z</vt:filetime>
  </property>
  <property fmtid="{D5CDD505-2E9C-101B-9397-08002B2CF9AE}" pid="6" name="Producer">
    <vt:lpwstr>Adobe PDF Library 20.6.66</vt:lpwstr>
  </property>
  <property fmtid="{D5CDD505-2E9C-101B-9397-08002B2CF9AE}" pid="7" name="SourceModified">
    <vt:lpwstr>D:20200225194015</vt:lpwstr>
  </property>
</Properties>
</file>