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776E2" w14:paraId="47D02589" w14:textId="77777777">
      <w:pPr>
        <w:pStyle w:val="BodyText"/>
        <w:spacing w:before="74"/>
        <w:ind w:left="3" w:right="3"/>
        <w:jc w:val="center"/>
      </w:pPr>
      <w:r>
        <w:t>DEPARTMENT</w:t>
      </w:r>
      <w:r>
        <w:rPr>
          <w:spacing w:val="-10"/>
        </w:rPr>
        <w:t xml:space="preserve"> </w:t>
      </w:r>
      <w:r>
        <w:t>OF</w:t>
      </w:r>
      <w:r>
        <w:rPr>
          <w:spacing w:val="-10"/>
        </w:rPr>
        <w:t xml:space="preserve"> </w:t>
      </w:r>
      <w:r>
        <w:rPr>
          <w:spacing w:val="-2"/>
        </w:rPr>
        <w:t>JUSTICE</w:t>
      </w:r>
    </w:p>
    <w:p w:rsidR="003776E2" w14:paraId="173CD05D" w14:textId="77777777">
      <w:pPr>
        <w:pStyle w:val="BodyText"/>
        <w:ind w:left="2" w:right="3"/>
        <w:jc w:val="center"/>
      </w:pPr>
      <w:r>
        <w:t>BUREAU</w:t>
      </w:r>
      <w:r>
        <w:rPr>
          <w:spacing w:val="-6"/>
        </w:rPr>
        <w:t xml:space="preserve"> </w:t>
      </w:r>
      <w:r>
        <w:t>OF</w:t>
      </w:r>
      <w:r>
        <w:rPr>
          <w:spacing w:val="-10"/>
        </w:rPr>
        <w:t xml:space="preserve"> </w:t>
      </w:r>
      <w:r>
        <w:t>ALCOHOL,</w:t>
      </w:r>
      <w:r>
        <w:rPr>
          <w:spacing w:val="-8"/>
        </w:rPr>
        <w:t xml:space="preserve"> </w:t>
      </w:r>
      <w:r>
        <w:t>TOBACCO,</w:t>
      </w:r>
      <w:r>
        <w:rPr>
          <w:spacing w:val="-8"/>
        </w:rPr>
        <w:t xml:space="preserve"> </w:t>
      </w:r>
      <w:r>
        <w:t>FIREARMS</w:t>
      </w:r>
      <w:r>
        <w:rPr>
          <w:spacing w:val="-7"/>
        </w:rPr>
        <w:t xml:space="preserve"> </w:t>
      </w:r>
      <w:r>
        <w:t>AND</w:t>
      </w:r>
      <w:r>
        <w:rPr>
          <w:spacing w:val="-5"/>
        </w:rPr>
        <w:t xml:space="preserve"> </w:t>
      </w:r>
      <w:r>
        <w:rPr>
          <w:spacing w:val="-2"/>
        </w:rPr>
        <w:t>EXPLOSIVES</w:t>
      </w:r>
    </w:p>
    <w:p w:rsidR="003776E2" w14:paraId="1312403A" w14:textId="77777777">
      <w:pPr>
        <w:pStyle w:val="BodyText"/>
      </w:pPr>
    </w:p>
    <w:p w:rsidR="003776E2" w14:paraId="3E36ACA4" w14:textId="77777777">
      <w:pPr>
        <w:pStyle w:val="BodyText"/>
        <w:spacing w:line="242" w:lineRule="auto"/>
        <w:ind w:left="2681" w:right="2679"/>
        <w:jc w:val="center"/>
      </w:pPr>
      <w:r>
        <w:rPr>
          <w:spacing w:val="-2"/>
        </w:rPr>
        <w:t>Information</w:t>
      </w:r>
      <w:r>
        <w:rPr>
          <w:spacing w:val="-6"/>
        </w:rPr>
        <w:t xml:space="preserve"> </w:t>
      </w:r>
      <w:r>
        <w:rPr>
          <w:spacing w:val="-2"/>
        </w:rPr>
        <w:t>Collection</w:t>
      </w:r>
      <w:r>
        <w:rPr>
          <w:spacing w:val="-6"/>
        </w:rPr>
        <w:t xml:space="preserve"> </w:t>
      </w:r>
      <w:r>
        <w:rPr>
          <w:spacing w:val="-2"/>
        </w:rPr>
        <w:t xml:space="preserve">Request </w:t>
      </w:r>
      <w:r>
        <w:t>Supporting Statement</w:t>
      </w:r>
    </w:p>
    <w:p w:rsidR="003776E2" w14:paraId="5289D290" w14:textId="77777777">
      <w:pPr>
        <w:pStyle w:val="BodyText"/>
        <w:spacing w:before="271"/>
        <w:ind w:left="3" w:right="3"/>
        <w:jc w:val="center"/>
      </w:pPr>
      <w:r>
        <w:t>OMB</w:t>
      </w:r>
      <w:r>
        <w:rPr>
          <w:spacing w:val="-2"/>
        </w:rPr>
        <w:t xml:space="preserve"> </w:t>
      </w:r>
      <w:r>
        <w:t>1140-</w:t>
      </w:r>
      <w:r>
        <w:rPr>
          <w:spacing w:val="-4"/>
        </w:rPr>
        <w:t>0013</w:t>
      </w:r>
    </w:p>
    <w:p w:rsidR="003776E2" w14:paraId="0C5FC6FE" w14:textId="77777777">
      <w:pPr>
        <w:pStyle w:val="BodyText"/>
        <w:ind w:right="3"/>
        <w:jc w:val="center"/>
      </w:pPr>
      <w:r>
        <w:t>Application</w:t>
      </w:r>
      <w:r>
        <w:rPr>
          <w:spacing w:val="-5"/>
        </w:rPr>
        <w:t xml:space="preserve"> </w:t>
      </w:r>
      <w:r>
        <w:t>for</w:t>
      </w:r>
      <w:r>
        <w:rPr>
          <w:spacing w:val="-6"/>
        </w:rPr>
        <w:t xml:space="preserve"> </w:t>
      </w:r>
      <w:r>
        <w:t>Tax-Exempt</w:t>
      </w:r>
      <w:r>
        <w:rPr>
          <w:spacing w:val="-4"/>
        </w:rPr>
        <w:t xml:space="preserve"> </w:t>
      </w:r>
      <w:r>
        <w:t>Transfer</w:t>
      </w:r>
      <w:r>
        <w:rPr>
          <w:spacing w:val="-3"/>
        </w:rPr>
        <w:t xml:space="preserve"> </w:t>
      </w:r>
      <w:r>
        <w:t>of</w:t>
      </w:r>
      <w:r>
        <w:rPr>
          <w:spacing w:val="-2"/>
        </w:rPr>
        <w:t xml:space="preserve"> Firearm</w:t>
      </w:r>
    </w:p>
    <w:p w:rsidR="003776E2" w14:paraId="5161A83C" w14:textId="77777777">
      <w:pPr>
        <w:pStyle w:val="BodyText"/>
        <w:ind w:left="1" w:right="3"/>
        <w:jc w:val="center"/>
      </w:pPr>
      <w:r>
        <w:t>and</w:t>
      </w:r>
      <w:r>
        <w:rPr>
          <w:spacing w:val="-9"/>
        </w:rPr>
        <w:t xml:space="preserve"> </w:t>
      </w:r>
      <w:r>
        <w:t>Registration</w:t>
      </w:r>
      <w:r>
        <w:rPr>
          <w:spacing w:val="-5"/>
        </w:rPr>
        <w:t xml:space="preserve"> </w:t>
      </w:r>
      <w:r>
        <w:t>to</w:t>
      </w:r>
      <w:r>
        <w:rPr>
          <w:spacing w:val="-5"/>
        </w:rPr>
        <w:t xml:space="preserve"> </w:t>
      </w:r>
      <w:r>
        <w:t>Special</w:t>
      </w:r>
      <w:r>
        <w:rPr>
          <w:spacing w:val="-3"/>
        </w:rPr>
        <w:t xml:space="preserve"> </w:t>
      </w:r>
      <w:r>
        <w:t>Occupational</w:t>
      </w:r>
      <w:r>
        <w:rPr>
          <w:spacing w:val="-4"/>
        </w:rPr>
        <w:t xml:space="preserve"> </w:t>
      </w:r>
      <w:r>
        <w:t>Taxpayer</w:t>
      </w:r>
      <w:r>
        <w:rPr>
          <w:spacing w:val="-6"/>
        </w:rPr>
        <w:t xml:space="preserve"> </w:t>
      </w:r>
      <w:r>
        <w:t>-</w:t>
      </w:r>
      <w:r>
        <w:rPr>
          <w:spacing w:val="-5"/>
        </w:rPr>
        <w:t xml:space="preserve"> </w:t>
      </w:r>
      <w:r>
        <w:t>ATF</w:t>
      </w:r>
      <w:r>
        <w:rPr>
          <w:spacing w:val="-4"/>
        </w:rPr>
        <w:t xml:space="preserve"> </w:t>
      </w:r>
      <w:r>
        <w:t>Form</w:t>
      </w:r>
      <w:r>
        <w:rPr>
          <w:spacing w:val="-4"/>
        </w:rPr>
        <w:t xml:space="preserve"> </w:t>
      </w:r>
      <w:r>
        <w:t>3</w:t>
      </w:r>
      <w:r>
        <w:rPr>
          <w:spacing w:val="-4"/>
        </w:rPr>
        <w:t xml:space="preserve"> </w:t>
      </w:r>
      <w:r>
        <w:rPr>
          <w:spacing w:val="-2"/>
        </w:rPr>
        <w:t>(5320.3)</w:t>
      </w:r>
    </w:p>
    <w:p w:rsidR="003776E2" w14:paraId="2A7FD4D9" w14:textId="77777777">
      <w:pPr>
        <w:pStyle w:val="BodyText"/>
      </w:pPr>
    </w:p>
    <w:p w:rsidR="003776E2" w14:paraId="05155483" w14:textId="77777777">
      <w:pPr>
        <w:pStyle w:val="ListParagraph"/>
        <w:numPr>
          <w:ilvl w:val="0"/>
          <w:numId w:val="1"/>
        </w:numPr>
        <w:tabs>
          <w:tab w:val="left" w:pos="945"/>
        </w:tabs>
        <w:ind w:hanging="585"/>
        <w:jc w:val="left"/>
        <w:rPr>
          <w:sz w:val="24"/>
        </w:rPr>
      </w:pPr>
      <w:r>
        <w:rPr>
          <w:spacing w:val="-2"/>
          <w:sz w:val="24"/>
          <w:u w:val="single"/>
        </w:rPr>
        <w:t>JUSTIFICATION</w:t>
      </w:r>
    </w:p>
    <w:p w:rsidR="003776E2" w14:paraId="1E57EA9A" w14:textId="77777777">
      <w:pPr>
        <w:pStyle w:val="BodyText"/>
      </w:pPr>
    </w:p>
    <w:p w:rsidR="003776E2" w14:paraId="2DCFD496" w14:textId="77777777">
      <w:pPr>
        <w:pStyle w:val="ListParagraph"/>
        <w:numPr>
          <w:ilvl w:val="1"/>
          <w:numId w:val="1"/>
        </w:numPr>
        <w:tabs>
          <w:tab w:val="left" w:pos="1528"/>
        </w:tabs>
        <w:spacing w:line="259" w:lineRule="auto"/>
        <w:ind w:right="352"/>
        <w:rPr>
          <w:sz w:val="24"/>
        </w:rPr>
      </w:pPr>
      <w:r>
        <w:rPr>
          <w:sz w:val="24"/>
        </w:rPr>
        <w:t>The Application for Tax-Exempt Transfer of Firearm and Registration to Special Occupational Taxpayer - ATF Form 3 (5320.3), is required to apply for the transfer and registration of a National Firearms Act (NFA) firearm subject to the exemption from the transfer tax provided by 26 U.S.C. § 5852(d). Under the provisions of 26 U.S.C. § 5812, an NFA firearm shall not be transferred, until the transferor has applied for and received approval from the</w:t>
      </w:r>
      <w:r>
        <w:rPr>
          <w:spacing w:val="-4"/>
          <w:sz w:val="24"/>
        </w:rPr>
        <w:t xml:space="preserve"> </w:t>
      </w:r>
      <w:r>
        <w:rPr>
          <w:sz w:val="24"/>
        </w:rPr>
        <w:t>Attorney</w:t>
      </w:r>
      <w:r>
        <w:rPr>
          <w:spacing w:val="-3"/>
          <w:sz w:val="24"/>
        </w:rPr>
        <w:t xml:space="preserve"> </w:t>
      </w:r>
      <w:r>
        <w:rPr>
          <w:sz w:val="24"/>
        </w:rPr>
        <w:t>General</w:t>
      </w:r>
      <w:r>
        <w:rPr>
          <w:spacing w:val="-3"/>
          <w:sz w:val="24"/>
        </w:rPr>
        <w:t xml:space="preserve"> </w:t>
      </w:r>
      <w:r>
        <w:rPr>
          <w:sz w:val="24"/>
        </w:rPr>
        <w:t>(delegated</w:t>
      </w:r>
      <w:r>
        <w:rPr>
          <w:spacing w:val="-3"/>
          <w:sz w:val="24"/>
        </w:rPr>
        <w:t xml:space="preserve"> </w:t>
      </w:r>
      <w:r>
        <w:rPr>
          <w:sz w:val="24"/>
        </w:rPr>
        <w:t>to</w:t>
      </w:r>
      <w:r>
        <w:rPr>
          <w:spacing w:val="-3"/>
          <w:sz w:val="24"/>
        </w:rPr>
        <w:t xml:space="preserve"> </w:t>
      </w:r>
      <w:r>
        <w:rPr>
          <w:sz w:val="24"/>
        </w:rPr>
        <w:t>ATF),</w:t>
      </w:r>
      <w:r>
        <w:rPr>
          <w:spacing w:val="-3"/>
          <w:sz w:val="24"/>
        </w:rPr>
        <w:t xml:space="preserve"> </w:t>
      </w:r>
      <w:r>
        <w:rPr>
          <w:sz w:val="24"/>
        </w:rPr>
        <w:t>and</w:t>
      </w:r>
      <w:r>
        <w:rPr>
          <w:spacing w:val="-3"/>
          <w:sz w:val="24"/>
        </w:rPr>
        <w:t xml:space="preserve"> </w:t>
      </w:r>
      <w:r>
        <w:rPr>
          <w:sz w:val="24"/>
        </w:rPr>
        <w:t>paid</w:t>
      </w:r>
      <w:r>
        <w:rPr>
          <w:spacing w:val="-3"/>
          <w:sz w:val="24"/>
        </w:rPr>
        <w:t xml:space="preserve"> </w:t>
      </w:r>
      <w:r>
        <w:rPr>
          <w:sz w:val="24"/>
        </w:rPr>
        <w:t>the</w:t>
      </w:r>
      <w:r>
        <w:rPr>
          <w:spacing w:val="-4"/>
          <w:sz w:val="24"/>
        </w:rPr>
        <w:t xml:space="preserve"> </w:t>
      </w:r>
      <w:r>
        <w:rPr>
          <w:sz w:val="24"/>
        </w:rPr>
        <w:t>applicable</w:t>
      </w:r>
      <w:r>
        <w:rPr>
          <w:spacing w:val="-4"/>
          <w:sz w:val="24"/>
        </w:rPr>
        <w:t xml:space="preserve"> </w:t>
      </w:r>
      <w:r>
        <w:rPr>
          <w:sz w:val="24"/>
        </w:rPr>
        <w:t>transfer</w:t>
      </w:r>
      <w:r>
        <w:rPr>
          <w:spacing w:val="-4"/>
          <w:sz w:val="24"/>
        </w:rPr>
        <w:t xml:space="preserve"> </w:t>
      </w:r>
      <w:r>
        <w:rPr>
          <w:sz w:val="24"/>
        </w:rPr>
        <w:t>tax. The</w:t>
      </w:r>
      <w:r>
        <w:rPr>
          <w:spacing w:val="-2"/>
          <w:sz w:val="24"/>
        </w:rPr>
        <w:t xml:space="preserve"> </w:t>
      </w:r>
      <w:r>
        <w:rPr>
          <w:sz w:val="24"/>
        </w:rPr>
        <w:t>transfer</w:t>
      </w:r>
      <w:r>
        <w:rPr>
          <w:spacing w:val="-2"/>
          <w:sz w:val="24"/>
        </w:rPr>
        <w:t xml:space="preserve"> </w:t>
      </w:r>
      <w:r>
        <w:rPr>
          <w:sz w:val="24"/>
        </w:rPr>
        <w:t>of an</w:t>
      </w:r>
      <w:r>
        <w:rPr>
          <w:spacing w:val="-1"/>
          <w:sz w:val="24"/>
        </w:rPr>
        <w:t xml:space="preserve"> </w:t>
      </w:r>
      <w:r>
        <w:rPr>
          <w:sz w:val="24"/>
        </w:rPr>
        <w:t>NFA</w:t>
      </w:r>
      <w:r>
        <w:rPr>
          <w:spacing w:val="-2"/>
          <w:sz w:val="24"/>
        </w:rPr>
        <w:t xml:space="preserve"> </w:t>
      </w:r>
      <w:r>
        <w:rPr>
          <w:sz w:val="24"/>
        </w:rPr>
        <w:t>firearm</w:t>
      </w:r>
      <w:r>
        <w:rPr>
          <w:spacing w:val="-1"/>
          <w:sz w:val="24"/>
        </w:rPr>
        <w:t xml:space="preserve"> </w:t>
      </w:r>
      <w:r>
        <w:rPr>
          <w:sz w:val="24"/>
        </w:rPr>
        <w:t>is</w:t>
      </w:r>
      <w:r>
        <w:rPr>
          <w:spacing w:val="-1"/>
          <w:sz w:val="24"/>
        </w:rPr>
        <w:t xml:space="preserve"> </w:t>
      </w:r>
      <w:r>
        <w:rPr>
          <w:sz w:val="24"/>
        </w:rPr>
        <w:t>subject</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tax of</w:t>
      </w:r>
      <w:r>
        <w:rPr>
          <w:spacing w:val="-2"/>
          <w:sz w:val="24"/>
        </w:rPr>
        <w:t xml:space="preserve"> </w:t>
      </w:r>
      <w:r>
        <w:rPr>
          <w:sz w:val="24"/>
        </w:rPr>
        <w:t>$200</w:t>
      </w:r>
      <w:r>
        <w:rPr>
          <w:spacing w:val="-1"/>
          <w:sz w:val="24"/>
        </w:rPr>
        <w:t xml:space="preserve"> </w:t>
      </w:r>
      <w:r>
        <w:rPr>
          <w:sz w:val="24"/>
        </w:rPr>
        <w:t>or</w:t>
      </w:r>
      <w:r>
        <w:rPr>
          <w:spacing w:val="-2"/>
          <w:sz w:val="24"/>
        </w:rPr>
        <w:t xml:space="preserve"> </w:t>
      </w:r>
      <w:r>
        <w:rPr>
          <w:sz w:val="24"/>
        </w:rPr>
        <w:t>$5</w:t>
      </w:r>
      <w:r>
        <w:rPr>
          <w:spacing w:val="-1"/>
          <w:sz w:val="24"/>
        </w:rPr>
        <w:t xml:space="preserve"> </w:t>
      </w:r>
      <w:r>
        <w:rPr>
          <w:sz w:val="24"/>
        </w:rPr>
        <w:t>(for</w:t>
      </w:r>
      <w:r>
        <w:rPr>
          <w:spacing w:val="-2"/>
          <w:sz w:val="24"/>
        </w:rPr>
        <w:t xml:space="preserve"> </w:t>
      </w:r>
      <w:r>
        <w:rPr>
          <w:sz w:val="24"/>
        </w:rPr>
        <w:t>a</w:t>
      </w:r>
      <w:r>
        <w:rPr>
          <w:spacing w:val="-2"/>
          <w:sz w:val="24"/>
        </w:rPr>
        <w:t xml:space="preserve"> </w:t>
      </w:r>
      <w:r>
        <w:rPr>
          <w:sz w:val="24"/>
        </w:rPr>
        <w:t>firearm classified as an “any other weapon”), except for specific exempted transactions. The statutory requirements are implemented in § 479.88, Title 27, Code of Federal Regulations. ATF Form 3 (5320.3) is filed by Federal firearms licensees who have paid the special (occupational) tax to import, manufacture</w:t>
      </w:r>
      <w:r>
        <w:rPr>
          <w:spacing w:val="-9"/>
          <w:sz w:val="24"/>
        </w:rPr>
        <w:t xml:space="preserve"> </w:t>
      </w:r>
      <w:r>
        <w:rPr>
          <w:sz w:val="24"/>
        </w:rPr>
        <w:t>or</w:t>
      </w:r>
      <w:r>
        <w:rPr>
          <w:spacing w:val="-7"/>
          <w:sz w:val="24"/>
        </w:rPr>
        <w:t xml:space="preserve"> </w:t>
      </w:r>
      <w:r>
        <w:rPr>
          <w:sz w:val="24"/>
        </w:rPr>
        <w:t>deal</w:t>
      </w:r>
      <w:r>
        <w:rPr>
          <w:spacing w:val="-8"/>
          <w:sz w:val="24"/>
        </w:rPr>
        <w:t xml:space="preserve"> </w:t>
      </w:r>
      <w:r>
        <w:rPr>
          <w:sz w:val="24"/>
        </w:rPr>
        <w:t>in</w:t>
      </w:r>
      <w:r>
        <w:rPr>
          <w:spacing w:val="-8"/>
          <w:sz w:val="24"/>
        </w:rPr>
        <w:t xml:space="preserve"> </w:t>
      </w:r>
      <w:r>
        <w:rPr>
          <w:sz w:val="24"/>
        </w:rPr>
        <w:t>NFA</w:t>
      </w:r>
      <w:r>
        <w:rPr>
          <w:spacing w:val="-9"/>
          <w:sz w:val="24"/>
        </w:rPr>
        <w:t xml:space="preserve"> </w:t>
      </w:r>
      <w:r>
        <w:rPr>
          <w:sz w:val="24"/>
        </w:rPr>
        <w:t>firearms</w:t>
      </w:r>
      <w:r>
        <w:rPr>
          <w:spacing w:val="-6"/>
          <w:sz w:val="24"/>
        </w:rPr>
        <w:t xml:space="preserve"> </w:t>
      </w:r>
      <w:r>
        <w:rPr>
          <w:sz w:val="24"/>
        </w:rPr>
        <w:t>to</w:t>
      </w:r>
      <w:r>
        <w:rPr>
          <w:spacing w:val="-6"/>
          <w:sz w:val="24"/>
        </w:rPr>
        <w:t xml:space="preserve"> </w:t>
      </w:r>
      <w:r>
        <w:rPr>
          <w:sz w:val="24"/>
        </w:rPr>
        <w:t>transfer</w:t>
      </w:r>
      <w:r>
        <w:rPr>
          <w:spacing w:val="-7"/>
          <w:sz w:val="24"/>
        </w:rPr>
        <w:t xml:space="preserve"> </w:t>
      </w:r>
      <w:r>
        <w:rPr>
          <w:sz w:val="24"/>
        </w:rPr>
        <w:t>an</w:t>
      </w:r>
      <w:r>
        <w:rPr>
          <w:spacing w:val="-8"/>
          <w:sz w:val="24"/>
        </w:rPr>
        <w:t xml:space="preserve"> </w:t>
      </w:r>
      <w:r>
        <w:rPr>
          <w:sz w:val="24"/>
        </w:rPr>
        <w:t>NFA</w:t>
      </w:r>
      <w:r>
        <w:rPr>
          <w:spacing w:val="-6"/>
          <w:sz w:val="24"/>
        </w:rPr>
        <w:t xml:space="preserve"> </w:t>
      </w:r>
      <w:r>
        <w:rPr>
          <w:sz w:val="24"/>
        </w:rPr>
        <w:t>firearm</w:t>
      </w:r>
      <w:r>
        <w:rPr>
          <w:spacing w:val="-8"/>
          <w:sz w:val="24"/>
        </w:rPr>
        <w:t xml:space="preserve"> </w:t>
      </w:r>
      <w:r>
        <w:rPr>
          <w:sz w:val="24"/>
        </w:rPr>
        <w:t>to</w:t>
      </w:r>
      <w:r>
        <w:rPr>
          <w:spacing w:val="-6"/>
          <w:sz w:val="24"/>
        </w:rPr>
        <w:t xml:space="preserve"> </w:t>
      </w:r>
      <w:r>
        <w:rPr>
          <w:sz w:val="24"/>
        </w:rPr>
        <w:t>a</w:t>
      </w:r>
      <w:r>
        <w:rPr>
          <w:spacing w:val="-7"/>
          <w:sz w:val="24"/>
        </w:rPr>
        <w:t xml:space="preserve"> </w:t>
      </w:r>
      <w:r>
        <w:rPr>
          <w:sz w:val="24"/>
        </w:rPr>
        <w:t>similarly qualified licensee.</w:t>
      </w:r>
    </w:p>
    <w:p w:rsidR="003776E2" w14:paraId="191B52A4" w14:textId="77777777">
      <w:pPr>
        <w:pStyle w:val="BodyText"/>
        <w:spacing w:before="262"/>
      </w:pPr>
    </w:p>
    <w:p w:rsidR="003776E2" w14:paraId="483E1061" w14:textId="77777777">
      <w:pPr>
        <w:pStyle w:val="ListParagraph"/>
        <w:numPr>
          <w:ilvl w:val="1"/>
          <w:numId w:val="1"/>
        </w:numPr>
        <w:tabs>
          <w:tab w:val="left" w:pos="1528"/>
        </w:tabs>
        <w:spacing w:line="254" w:lineRule="auto"/>
        <w:ind w:right="347"/>
        <w:rPr>
          <w:sz w:val="24"/>
        </w:rPr>
      </w:pPr>
      <w:r>
        <w:rPr>
          <w:sz w:val="24"/>
        </w:rPr>
        <w:t xml:space="preserve">ATF Form 3 (5320.3) must be submitted and approved by ATF, prior to the transfer of a National Firearms Act weapon from one Special Occupational Tax paying Federal firearms </w:t>
      </w:r>
      <w:r>
        <w:rPr>
          <w:sz w:val="24"/>
        </w:rPr>
        <w:t>licensee</w:t>
      </w:r>
      <w:r>
        <w:rPr>
          <w:sz w:val="24"/>
        </w:rPr>
        <w:t xml:space="preserve"> to another.</w:t>
      </w:r>
      <w:r>
        <w:rPr>
          <w:spacing w:val="40"/>
          <w:sz w:val="24"/>
        </w:rPr>
        <w:t xml:space="preserve"> </w:t>
      </w:r>
      <w:r>
        <w:rPr>
          <w:sz w:val="24"/>
        </w:rPr>
        <w:t>The form is required whenever such a transfer is to be made.</w:t>
      </w:r>
      <w:r>
        <w:rPr>
          <w:spacing w:val="40"/>
          <w:sz w:val="24"/>
        </w:rPr>
        <w:t xml:space="preserve"> </w:t>
      </w:r>
      <w:r>
        <w:rPr>
          <w:sz w:val="24"/>
        </w:rPr>
        <w:t xml:space="preserve">The information on this form is used by NFA Division personnel to determine the legality of the application under Federal, State and local law. Section 5822 provides that an application shall not be approved, if the making or possession would place the person making the firearm in violation of law. The application is submitted in duplicate. The approval of the </w:t>
      </w:r>
      <w:r>
        <w:rPr>
          <w:sz w:val="24"/>
        </w:rPr>
        <w:t>application effectuates</w:t>
      </w:r>
      <w:r>
        <w:rPr>
          <w:sz w:val="24"/>
        </w:rPr>
        <w:t xml:space="preserve"> the registration of the firearm to the transferee.</w:t>
      </w:r>
      <w:r>
        <w:rPr>
          <w:spacing w:val="40"/>
          <w:sz w:val="24"/>
        </w:rPr>
        <w:t xml:space="preserve"> </w:t>
      </w:r>
      <w:r>
        <w:rPr>
          <w:sz w:val="24"/>
        </w:rPr>
        <w:t>Both copies of the application are noted to reflect the approval. However, one copy is returned to the applicant for transmission to the transferee as proof of registration, while the other is retained by ATF as part of the National Firearms Registration and Transfer Record.</w:t>
      </w:r>
      <w:r>
        <w:rPr>
          <w:spacing w:val="40"/>
          <w:sz w:val="24"/>
        </w:rPr>
        <w:t xml:space="preserve"> </w:t>
      </w:r>
      <w:r>
        <w:rPr>
          <w:sz w:val="24"/>
        </w:rPr>
        <w:t>The registration information is also used to verify any subsequent transfer and registration of the</w:t>
      </w:r>
      <w:r>
        <w:rPr>
          <w:spacing w:val="-7"/>
          <w:sz w:val="24"/>
        </w:rPr>
        <w:t xml:space="preserve"> </w:t>
      </w:r>
      <w:r>
        <w:rPr>
          <w:sz w:val="24"/>
        </w:rPr>
        <w:t>firearm.</w:t>
      </w:r>
      <w:r>
        <w:rPr>
          <w:spacing w:val="37"/>
          <w:sz w:val="24"/>
        </w:rPr>
        <w:t xml:space="preserve"> </w:t>
      </w:r>
      <w:r>
        <w:rPr>
          <w:sz w:val="24"/>
        </w:rPr>
        <w:t>In</w:t>
      </w:r>
      <w:r>
        <w:rPr>
          <w:spacing w:val="-6"/>
          <w:sz w:val="24"/>
        </w:rPr>
        <w:t xml:space="preserve"> </w:t>
      </w:r>
      <w:r>
        <w:rPr>
          <w:sz w:val="24"/>
        </w:rPr>
        <w:t>addition,</w:t>
      </w:r>
      <w:r>
        <w:rPr>
          <w:spacing w:val="-8"/>
          <w:sz w:val="24"/>
        </w:rPr>
        <w:t xml:space="preserve"> </w:t>
      </w:r>
      <w:r>
        <w:rPr>
          <w:sz w:val="24"/>
        </w:rPr>
        <w:t>registration</w:t>
      </w:r>
      <w:r>
        <w:rPr>
          <w:spacing w:val="-6"/>
          <w:sz w:val="24"/>
        </w:rPr>
        <w:t xml:space="preserve"> </w:t>
      </w:r>
      <w:r>
        <w:rPr>
          <w:sz w:val="24"/>
        </w:rPr>
        <w:t>information</w:t>
      </w:r>
      <w:r>
        <w:rPr>
          <w:spacing w:val="-6"/>
          <w:sz w:val="24"/>
        </w:rPr>
        <w:t xml:space="preserve"> </w:t>
      </w:r>
      <w:r>
        <w:rPr>
          <w:sz w:val="24"/>
        </w:rPr>
        <w:t>is</w:t>
      </w:r>
      <w:r>
        <w:rPr>
          <w:spacing w:val="-6"/>
          <w:sz w:val="24"/>
        </w:rPr>
        <w:t xml:space="preserve"> </w:t>
      </w:r>
      <w:r>
        <w:rPr>
          <w:sz w:val="24"/>
        </w:rPr>
        <w:t>used</w:t>
      </w:r>
      <w:r>
        <w:rPr>
          <w:spacing w:val="-6"/>
          <w:sz w:val="24"/>
        </w:rPr>
        <w:t xml:space="preserve"> </w:t>
      </w:r>
      <w:r>
        <w:rPr>
          <w:sz w:val="24"/>
        </w:rPr>
        <w:t>to</w:t>
      </w:r>
      <w:r>
        <w:rPr>
          <w:spacing w:val="-6"/>
          <w:sz w:val="24"/>
        </w:rPr>
        <w:t xml:space="preserve"> </w:t>
      </w:r>
      <w:r>
        <w:rPr>
          <w:sz w:val="24"/>
        </w:rPr>
        <w:t>determine</w:t>
      </w:r>
      <w:r>
        <w:rPr>
          <w:spacing w:val="-7"/>
          <w:sz w:val="24"/>
        </w:rPr>
        <w:t xml:space="preserve"> </w:t>
      </w:r>
      <w:r>
        <w:rPr>
          <w:sz w:val="24"/>
        </w:rPr>
        <w:t>the</w:t>
      </w:r>
      <w:r>
        <w:rPr>
          <w:spacing w:val="-7"/>
          <w:sz w:val="24"/>
        </w:rPr>
        <w:t xml:space="preserve"> </w:t>
      </w:r>
      <w:r>
        <w:rPr>
          <w:sz w:val="24"/>
        </w:rPr>
        <w:t>non-registration of a firearm, a violation as specified in § 5861.</w:t>
      </w:r>
    </w:p>
    <w:p w:rsidR="003776E2" w14:paraId="100738ED" w14:textId="77777777">
      <w:pPr>
        <w:pStyle w:val="ListParagraph"/>
        <w:spacing w:line="254" w:lineRule="auto"/>
        <w:rPr>
          <w:sz w:val="24"/>
        </w:rPr>
        <w:sectPr>
          <w:type w:val="continuous"/>
          <w:pgSz w:w="12240" w:h="15840"/>
          <w:pgMar w:top="1360" w:right="1440" w:bottom="280" w:left="1440" w:header="720" w:footer="720" w:gutter="0"/>
          <w:cols w:space="720"/>
        </w:sectPr>
      </w:pPr>
    </w:p>
    <w:p w:rsidR="003776E2" w14:paraId="001F8DDB" w14:textId="77777777">
      <w:pPr>
        <w:pStyle w:val="ListParagraph"/>
        <w:numPr>
          <w:ilvl w:val="1"/>
          <w:numId w:val="1"/>
        </w:numPr>
        <w:tabs>
          <w:tab w:val="left" w:pos="1528"/>
        </w:tabs>
        <w:spacing w:before="226"/>
        <w:ind w:right="257"/>
        <w:rPr>
          <w:sz w:val="24"/>
        </w:rPr>
      </w:pPr>
      <w:r>
        <w:rPr>
          <w:sz w:val="24"/>
        </w:rPr>
        <w:t>ATF F 3 (5320.3) is available on the ATF website to download and print. The form can also be faxed to ATF, provided the transferor filed an affidavit with the NFA Division, in accordance with ATF Industry Circular 89-6. As of August</w:t>
      </w:r>
      <w:r>
        <w:rPr>
          <w:spacing w:val="-8"/>
          <w:sz w:val="24"/>
        </w:rPr>
        <w:t xml:space="preserve"> </w:t>
      </w:r>
      <w:r>
        <w:rPr>
          <w:sz w:val="24"/>
        </w:rPr>
        <w:t>2013,</w:t>
      </w:r>
      <w:r>
        <w:rPr>
          <w:spacing w:val="-6"/>
          <w:sz w:val="24"/>
        </w:rPr>
        <w:t xml:space="preserve"> </w:t>
      </w:r>
      <w:r>
        <w:rPr>
          <w:sz w:val="24"/>
        </w:rPr>
        <w:t>the</w:t>
      </w:r>
      <w:r>
        <w:rPr>
          <w:spacing w:val="-7"/>
          <w:sz w:val="24"/>
        </w:rPr>
        <w:t xml:space="preserve"> </w:t>
      </w:r>
      <w:r>
        <w:rPr>
          <w:sz w:val="24"/>
        </w:rPr>
        <w:t>e-fillable</w:t>
      </w:r>
      <w:r>
        <w:rPr>
          <w:spacing w:val="-7"/>
          <w:sz w:val="24"/>
        </w:rPr>
        <w:t xml:space="preserve"> </w:t>
      </w:r>
      <w:r>
        <w:rPr>
          <w:sz w:val="24"/>
        </w:rPr>
        <w:t>ATF</w:t>
      </w:r>
      <w:r>
        <w:rPr>
          <w:spacing w:val="-7"/>
          <w:sz w:val="24"/>
        </w:rPr>
        <w:t xml:space="preserve"> </w:t>
      </w:r>
      <w:r>
        <w:rPr>
          <w:sz w:val="24"/>
        </w:rPr>
        <w:t>F</w:t>
      </w:r>
      <w:r>
        <w:rPr>
          <w:spacing w:val="-12"/>
          <w:sz w:val="24"/>
        </w:rPr>
        <w:t xml:space="preserve"> </w:t>
      </w:r>
      <w:r>
        <w:rPr>
          <w:sz w:val="24"/>
        </w:rPr>
        <w:t>3</w:t>
      </w:r>
      <w:r>
        <w:rPr>
          <w:spacing w:val="-6"/>
          <w:sz w:val="24"/>
        </w:rPr>
        <w:t xml:space="preserve"> </w:t>
      </w:r>
      <w:r>
        <w:rPr>
          <w:sz w:val="24"/>
        </w:rPr>
        <w:t>(5320.3)</w:t>
      </w:r>
      <w:r>
        <w:rPr>
          <w:spacing w:val="-7"/>
          <w:sz w:val="24"/>
        </w:rPr>
        <w:t xml:space="preserve"> </w:t>
      </w:r>
      <w:r>
        <w:rPr>
          <w:sz w:val="24"/>
        </w:rPr>
        <w:t>can</w:t>
      </w:r>
      <w:r>
        <w:rPr>
          <w:spacing w:val="-3"/>
          <w:sz w:val="24"/>
        </w:rPr>
        <w:t xml:space="preserve"> </w:t>
      </w:r>
      <w:r>
        <w:rPr>
          <w:sz w:val="24"/>
        </w:rPr>
        <w:t>be</w:t>
      </w:r>
      <w:r>
        <w:rPr>
          <w:spacing w:val="-7"/>
          <w:sz w:val="24"/>
        </w:rPr>
        <w:t xml:space="preserve"> </w:t>
      </w:r>
      <w:r>
        <w:rPr>
          <w:sz w:val="24"/>
        </w:rPr>
        <w:t>completed,</w:t>
      </w:r>
      <w:r>
        <w:rPr>
          <w:spacing w:val="-6"/>
          <w:sz w:val="24"/>
        </w:rPr>
        <w:t xml:space="preserve"> </w:t>
      </w:r>
      <w:r>
        <w:rPr>
          <w:sz w:val="24"/>
        </w:rPr>
        <w:t>submitted,</w:t>
      </w:r>
      <w:r>
        <w:rPr>
          <w:spacing w:val="-6"/>
          <w:sz w:val="24"/>
        </w:rPr>
        <w:t xml:space="preserve"> </w:t>
      </w:r>
      <w:r>
        <w:rPr>
          <w:sz w:val="24"/>
        </w:rPr>
        <w:t xml:space="preserve">and filed electronically via ATF’s </w:t>
      </w:r>
      <w:r>
        <w:rPr>
          <w:sz w:val="24"/>
        </w:rPr>
        <w:t>eForms</w:t>
      </w:r>
      <w:r>
        <w:rPr>
          <w:sz w:val="24"/>
        </w:rPr>
        <w:t xml:space="preserve"> platform: </w:t>
      </w:r>
      <w:hyperlink r:id="rId7">
        <w:r>
          <w:rPr>
            <w:sz w:val="24"/>
          </w:rPr>
          <w:t>www.atfonline.gov.</w:t>
        </w:r>
      </w:hyperlink>
    </w:p>
    <w:p w:rsidR="003776E2" w14:paraId="5591AF0C" w14:textId="77777777">
      <w:pPr>
        <w:pStyle w:val="BodyText"/>
      </w:pPr>
    </w:p>
    <w:p w:rsidR="003776E2" w14:paraId="50F54ACF" w14:textId="77777777">
      <w:pPr>
        <w:pStyle w:val="ListParagraph"/>
        <w:numPr>
          <w:ilvl w:val="1"/>
          <w:numId w:val="1"/>
        </w:numPr>
        <w:tabs>
          <w:tab w:val="left" w:pos="1528"/>
        </w:tabs>
        <w:ind w:right="405"/>
        <w:jc w:val="both"/>
        <w:rPr>
          <w:sz w:val="24"/>
        </w:rPr>
      </w:pPr>
      <w:r>
        <w:rPr>
          <w:sz w:val="24"/>
        </w:rPr>
        <w:t>ATF</w:t>
      </w:r>
      <w:r>
        <w:rPr>
          <w:spacing w:val="-6"/>
          <w:sz w:val="24"/>
        </w:rPr>
        <w:t xml:space="preserve"> </w:t>
      </w:r>
      <w:r>
        <w:rPr>
          <w:sz w:val="24"/>
        </w:rPr>
        <w:t>uses</w:t>
      </w:r>
      <w:r>
        <w:rPr>
          <w:spacing w:val="-2"/>
          <w:sz w:val="24"/>
        </w:rPr>
        <w:t xml:space="preserve"> </w:t>
      </w:r>
      <w:r>
        <w:rPr>
          <w:sz w:val="24"/>
        </w:rPr>
        <w:t>a</w:t>
      </w:r>
      <w:r>
        <w:rPr>
          <w:spacing w:val="-3"/>
          <w:sz w:val="24"/>
        </w:rPr>
        <w:t xml:space="preserve"> </w:t>
      </w:r>
      <w:r>
        <w:rPr>
          <w:sz w:val="24"/>
        </w:rPr>
        <w:t>subject</w:t>
      </w:r>
      <w:r>
        <w:rPr>
          <w:spacing w:val="-4"/>
          <w:sz w:val="24"/>
        </w:rPr>
        <w:t xml:space="preserve"> </w:t>
      </w:r>
      <w:r>
        <w:rPr>
          <w:sz w:val="24"/>
        </w:rPr>
        <w:t>classification</w:t>
      </w:r>
      <w:r>
        <w:rPr>
          <w:spacing w:val="-2"/>
          <w:sz w:val="24"/>
        </w:rPr>
        <w:t xml:space="preserve"> </w:t>
      </w:r>
      <w:r>
        <w:rPr>
          <w:sz w:val="24"/>
        </w:rPr>
        <w:t>system</w:t>
      </w:r>
      <w:r>
        <w:rPr>
          <w:spacing w:val="-6"/>
          <w:sz w:val="24"/>
        </w:rPr>
        <w:t xml:space="preserve"> </w:t>
      </w:r>
      <w:r>
        <w:rPr>
          <w:sz w:val="24"/>
        </w:rPr>
        <w:t>to</w:t>
      </w:r>
      <w:r>
        <w:rPr>
          <w:spacing w:val="-2"/>
          <w:sz w:val="24"/>
        </w:rPr>
        <w:t xml:space="preserve"> </w:t>
      </w:r>
      <w:r>
        <w:rPr>
          <w:sz w:val="24"/>
        </w:rPr>
        <w:t>identify</w:t>
      </w:r>
      <w:r>
        <w:rPr>
          <w:spacing w:val="-2"/>
          <w:sz w:val="24"/>
        </w:rPr>
        <w:t xml:space="preserve"> </w:t>
      </w:r>
      <w:r>
        <w:rPr>
          <w:sz w:val="24"/>
        </w:rPr>
        <w:t>duplication</w:t>
      </w:r>
      <w:r>
        <w:rPr>
          <w:spacing w:val="-2"/>
          <w:sz w:val="24"/>
        </w:rPr>
        <w:t xml:space="preserve"> </w:t>
      </w:r>
      <w:r>
        <w:rPr>
          <w:sz w:val="24"/>
        </w:rPr>
        <w:t>and</w:t>
      </w:r>
      <w:r>
        <w:rPr>
          <w:spacing w:val="-4"/>
          <w:sz w:val="24"/>
        </w:rPr>
        <w:t xml:space="preserve"> </w:t>
      </w:r>
      <w:r>
        <w:rPr>
          <w:sz w:val="24"/>
        </w:rPr>
        <w:t>to</w:t>
      </w:r>
      <w:r>
        <w:rPr>
          <w:spacing w:val="-2"/>
          <w:sz w:val="24"/>
        </w:rPr>
        <w:t xml:space="preserve"> </w:t>
      </w:r>
      <w:r>
        <w:rPr>
          <w:sz w:val="24"/>
        </w:rPr>
        <w:t>ensure that any similar information already available</w:t>
      </w:r>
      <w:r>
        <w:rPr>
          <w:spacing w:val="-5"/>
          <w:sz w:val="24"/>
        </w:rPr>
        <w:t xml:space="preserve"> </w:t>
      </w:r>
      <w:r>
        <w:rPr>
          <w:sz w:val="24"/>
        </w:rPr>
        <w:t>cannot be</w:t>
      </w:r>
      <w:r>
        <w:rPr>
          <w:spacing w:val="-1"/>
          <w:sz w:val="24"/>
        </w:rPr>
        <w:t xml:space="preserve"> </w:t>
      </w:r>
      <w:r>
        <w:rPr>
          <w:sz w:val="24"/>
        </w:rPr>
        <w:t>used</w:t>
      </w:r>
      <w:r>
        <w:rPr>
          <w:spacing w:val="-2"/>
          <w:sz w:val="24"/>
        </w:rPr>
        <w:t xml:space="preserve"> </w:t>
      </w:r>
      <w:r>
        <w:rPr>
          <w:sz w:val="24"/>
        </w:rPr>
        <w:t>or modified for use for the purpose of this information collection.</w:t>
      </w:r>
    </w:p>
    <w:p w:rsidR="003776E2" w14:paraId="6D43BB31" w14:textId="77777777">
      <w:pPr>
        <w:pStyle w:val="BodyText"/>
      </w:pPr>
    </w:p>
    <w:p w:rsidR="003776E2" w14:paraId="5A713864" w14:textId="77777777">
      <w:pPr>
        <w:pStyle w:val="ListParagraph"/>
        <w:numPr>
          <w:ilvl w:val="1"/>
          <w:numId w:val="1"/>
        </w:numPr>
        <w:tabs>
          <w:tab w:val="left" w:pos="1528"/>
        </w:tabs>
        <w:ind w:right="509"/>
        <w:rPr>
          <w:sz w:val="24"/>
        </w:rPr>
      </w:pPr>
      <w:r>
        <w:rPr>
          <w:sz w:val="24"/>
        </w:rPr>
        <w:t>The</w:t>
      </w:r>
      <w:r>
        <w:rPr>
          <w:spacing w:val="-3"/>
          <w:sz w:val="24"/>
        </w:rPr>
        <w:t xml:space="preserve"> </w:t>
      </w:r>
      <w:r>
        <w:rPr>
          <w:sz w:val="24"/>
        </w:rPr>
        <w:t>information</w:t>
      </w:r>
      <w:r>
        <w:rPr>
          <w:spacing w:val="-2"/>
          <w:sz w:val="24"/>
        </w:rPr>
        <w:t xml:space="preserve"> </w:t>
      </w:r>
      <w:r>
        <w:rPr>
          <w:sz w:val="24"/>
        </w:rPr>
        <w:t>on</w:t>
      </w:r>
      <w:r>
        <w:rPr>
          <w:spacing w:val="-3"/>
          <w:sz w:val="24"/>
        </w:rPr>
        <w:t xml:space="preserve"> </w:t>
      </w:r>
      <w:r>
        <w:rPr>
          <w:sz w:val="24"/>
        </w:rPr>
        <w:t>this</w:t>
      </w:r>
      <w:r>
        <w:rPr>
          <w:spacing w:val="-3"/>
          <w:sz w:val="24"/>
        </w:rPr>
        <w:t xml:space="preserve"> </w:t>
      </w:r>
      <w:r>
        <w:rPr>
          <w:sz w:val="24"/>
        </w:rPr>
        <w:t>form</w:t>
      </w:r>
      <w:r>
        <w:rPr>
          <w:spacing w:val="-3"/>
          <w:sz w:val="24"/>
        </w:rPr>
        <w:t xml:space="preserve"> </w:t>
      </w:r>
      <w:r>
        <w:rPr>
          <w:sz w:val="24"/>
        </w:rPr>
        <w:t>is</w:t>
      </w:r>
      <w:r>
        <w:rPr>
          <w:spacing w:val="-3"/>
          <w:sz w:val="24"/>
        </w:rPr>
        <w:t xml:space="preserve"> </w:t>
      </w:r>
      <w:r>
        <w:rPr>
          <w:sz w:val="24"/>
        </w:rPr>
        <w:t>unique</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person</w:t>
      </w:r>
      <w:r>
        <w:rPr>
          <w:spacing w:val="-2"/>
          <w:sz w:val="24"/>
        </w:rPr>
        <w:t xml:space="preserve"> </w:t>
      </w:r>
      <w:r>
        <w:rPr>
          <w:sz w:val="24"/>
        </w:rPr>
        <w:t>supplying</w:t>
      </w:r>
      <w:r>
        <w:rPr>
          <w:spacing w:val="-6"/>
          <w:sz w:val="24"/>
        </w:rPr>
        <w:t xml:space="preserve"> </w:t>
      </w:r>
      <w:r>
        <w:rPr>
          <w:sz w:val="24"/>
        </w:rPr>
        <w:t>it</w:t>
      </w:r>
      <w:r>
        <w:rPr>
          <w:spacing w:val="-2"/>
          <w:sz w:val="24"/>
        </w:rPr>
        <w:t xml:space="preserve"> </w:t>
      </w:r>
      <w:r>
        <w:rPr>
          <w:sz w:val="24"/>
        </w:rPr>
        <w:t>and</w:t>
      </w:r>
      <w:r>
        <w:rPr>
          <w:spacing w:val="-3"/>
          <w:sz w:val="24"/>
        </w:rPr>
        <w:t xml:space="preserve"> </w:t>
      </w:r>
      <w:r>
        <w:rPr>
          <w:sz w:val="24"/>
        </w:rPr>
        <w:t>has</w:t>
      </w:r>
      <w:r>
        <w:rPr>
          <w:spacing w:val="-2"/>
          <w:sz w:val="24"/>
        </w:rPr>
        <w:t xml:space="preserve"> </w:t>
      </w:r>
      <w:r>
        <w:rPr>
          <w:sz w:val="24"/>
        </w:rPr>
        <w:t>no impact on small businesses or other small entities.</w:t>
      </w:r>
    </w:p>
    <w:p w:rsidR="003776E2" w14:paraId="448D3C41" w14:textId="77777777">
      <w:pPr>
        <w:pStyle w:val="BodyText"/>
      </w:pPr>
    </w:p>
    <w:p w:rsidR="003776E2" w14:paraId="794D60FA" w14:textId="77777777">
      <w:pPr>
        <w:pStyle w:val="ListParagraph"/>
        <w:numPr>
          <w:ilvl w:val="1"/>
          <w:numId w:val="1"/>
        </w:numPr>
        <w:tabs>
          <w:tab w:val="left" w:pos="1528"/>
        </w:tabs>
        <w:ind w:right="273"/>
        <w:rPr>
          <w:sz w:val="24"/>
        </w:rPr>
      </w:pPr>
      <w:r>
        <w:rPr>
          <w:sz w:val="24"/>
        </w:rPr>
        <w:t>The consequence of not conducting this collection of information would be a violation</w:t>
      </w:r>
      <w:r>
        <w:rPr>
          <w:spacing w:val="-6"/>
          <w:sz w:val="24"/>
        </w:rPr>
        <w:t xml:space="preserve"> </w:t>
      </w:r>
      <w:r>
        <w:rPr>
          <w:sz w:val="24"/>
        </w:rPr>
        <w:t>of</w:t>
      </w:r>
      <w:r>
        <w:rPr>
          <w:spacing w:val="-7"/>
          <w:sz w:val="24"/>
        </w:rPr>
        <w:t xml:space="preserve"> </w:t>
      </w:r>
      <w:r>
        <w:rPr>
          <w:sz w:val="24"/>
        </w:rPr>
        <w:t>the</w:t>
      </w:r>
      <w:r>
        <w:rPr>
          <w:spacing w:val="-8"/>
          <w:sz w:val="24"/>
        </w:rPr>
        <w:t xml:space="preserve"> </w:t>
      </w:r>
      <w:r>
        <w:rPr>
          <w:sz w:val="24"/>
        </w:rPr>
        <w:t>Gun</w:t>
      </w:r>
      <w:r>
        <w:rPr>
          <w:spacing w:val="-7"/>
          <w:sz w:val="24"/>
        </w:rPr>
        <w:t xml:space="preserve"> </w:t>
      </w:r>
      <w:r>
        <w:rPr>
          <w:sz w:val="24"/>
        </w:rPr>
        <w:t>Control</w:t>
      </w:r>
      <w:r>
        <w:rPr>
          <w:spacing w:val="-5"/>
          <w:sz w:val="24"/>
        </w:rPr>
        <w:t xml:space="preserve"> </w:t>
      </w:r>
      <w:r>
        <w:rPr>
          <w:sz w:val="24"/>
        </w:rPr>
        <w:t>Act.</w:t>
      </w:r>
      <w:r>
        <w:rPr>
          <w:spacing w:val="-7"/>
          <w:sz w:val="24"/>
        </w:rPr>
        <w:t xml:space="preserve"> </w:t>
      </w:r>
      <w:r>
        <w:rPr>
          <w:sz w:val="24"/>
        </w:rPr>
        <w:t>ATF</w:t>
      </w:r>
      <w:r>
        <w:rPr>
          <w:spacing w:val="-9"/>
          <w:sz w:val="24"/>
        </w:rPr>
        <w:t xml:space="preserve"> </w:t>
      </w:r>
      <w:r>
        <w:rPr>
          <w:sz w:val="24"/>
        </w:rPr>
        <w:t>has</w:t>
      </w:r>
      <w:r>
        <w:rPr>
          <w:spacing w:val="-6"/>
          <w:sz w:val="24"/>
        </w:rPr>
        <w:t xml:space="preserve"> </w:t>
      </w:r>
      <w:r>
        <w:rPr>
          <w:sz w:val="24"/>
        </w:rPr>
        <w:t>no</w:t>
      </w:r>
      <w:r>
        <w:rPr>
          <w:spacing w:val="-6"/>
          <w:sz w:val="24"/>
        </w:rPr>
        <w:t xml:space="preserve"> </w:t>
      </w:r>
      <w:r>
        <w:rPr>
          <w:sz w:val="24"/>
        </w:rPr>
        <w:t>control</w:t>
      </w:r>
      <w:r>
        <w:rPr>
          <w:spacing w:val="-5"/>
          <w:sz w:val="24"/>
        </w:rPr>
        <w:t xml:space="preserve"> </w:t>
      </w:r>
      <w:r>
        <w:rPr>
          <w:sz w:val="24"/>
        </w:rPr>
        <w:t>over</w:t>
      </w:r>
      <w:r>
        <w:rPr>
          <w:spacing w:val="-8"/>
          <w:sz w:val="24"/>
        </w:rPr>
        <w:t xml:space="preserve"> </w:t>
      </w:r>
      <w:r>
        <w:rPr>
          <w:sz w:val="24"/>
        </w:rPr>
        <w:t>the</w:t>
      </w:r>
      <w:r>
        <w:rPr>
          <w:spacing w:val="-8"/>
          <w:sz w:val="24"/>
        </w:rPr>
        <w:t xml:space="preserve"> </w:t>
      </w:r>
      <w:r>
        <w:rPr>
          <w:sz w:val="24"/>
        </w:rPr>
        <w:t>frequency</w:t>
      </w:r>
      <w:r>
        <w:rPr>
          <w:spacing w:val="-7"/>
          <w:sz w:val="24"/>
        </w:rPr>
        <w:t xml:space="preserve"> </w:t>
      </w:r>
      <w:r>
        <w:rPr>
          <w:sz w:val="24"/>
        </w:rPr>
        <w:t>of</w:t>
      </w:r>
      <w:r>
        <w:rPr>
          <w:spacing w:val="-4"/>
          <w:sz w:val="24"/>
        </w:rPr>
        <w:t xml:space="preserve"> </w:t>
      </w:r>
      <w:r>
        <w:rPr>
          <w:sz w:val="24"/>
        </w:rPr>
        <w:t>the submissions. Respondents submit the form as often as is necessary to comply with statutory and regulatory requirements.</w:t>
      </w:r>
    </w:p>
    <w:p w:rsidR="003776E2" w14:paraId="288E4F15" w14:textId="77777777">
      <w:pPr>
        <w:pStyle w:val="BodyText"/>
      </w:pPr>
    </w:p>
    <w:p w:rsidR="003776E2" w:rsidRPr="006C06A3" w:rsidP="006C06A3" w14:paraId="262B560C" w14:textId="0CA6CD08">
      <w:pPr>
        <w:pStyle w:val="ListParagraph"/>
        <w:numPr>
          <w:ilvl w:val="1"/>
          <w:numId w:val="1"/>
        </w:numPr>
        <w:tabs>
          <w:tab w:val="left" w:pos="1528"/>
        </w:tabs>
        <w:ind w:right="427"/>
        <w:rPr>
          <w:sz w:val="24"/>
        </w:rPr>
      </w:pPr>
      <w:r>
        <w:rPr>
          <w:sz w:val="24"/>
        </w:rPr>
        <w:t>This</w:t>
      </w:r>
      <w:r>
        <w:rPr>
          <w:spacing w:val="-2"/>
          <w:sz w:val="24"/>
        </w:rPr>
        <w:t xml:space="preserve"> </w:t>
      </w:r>
      <w:r>
        <w:rPr>
          <w:sz w:val="24"/>
        </w:rPr>
        <w:t>collection</w:t>
      </w:r>
      <w:r>
        <w:rPr>
          <w:spacing w:val="-2"/>
          <w:sz w:val="24"/>
        </w:rPr>
        <w:t xml:space="preserve"> </w:t>
      </w:r>
      <w:r>
        <w:rPr>
          <w:sz w:val="24"/>
        </w:rPr>
        <w:t>is</w:t>
      </w:r>
      <w:r>
        <w:rPr>
          <w:spacing w:val="-3"/>
          <w:sz w:val="24"/>
        </w:rPr>
        <w:t xml:space="preserve"> </w:t>
      </w:r>
      <w:r>
        <w:rPr>
          <w:sz w:val="24"/>
        </w:rPr>
        <w:t>conducted</w:t>
      </w:r>
      <w:r>
        <w:rPr>
          <w:spacing w:val="-2"/>
          <w:sz w:val="24"/>
        </w:rPr>
        <w:t xml:space="preserve"> </w:t>
      </w:r>
      <w:r>
        <w:rPr>
          <w:sz w:val="24"/>
        </w:rPr>
        <w:t>in</w:t>
      </w:r>
      <w:r>
        <w:rPr>
          <w:spacing w:val="-2"/>
          <w:sz w:val="24"/>
        </w:rPr>
        <w:t xml:space="preserve"> </w:t>
      </w:r>
      <w:r>
        <w:rPr>
          <w:sz w:val="24"/>
        </w:rPr>
        <w:t>a</w:t>
      </w:r>
      <w:r>
        <w:rPr>
          <w:spacing w:val="-4"/>
          <w:sz w:val="24"/>
        </w:rPr>
        <w:t xml:space="preserve"> </w:t>
      </w:r>
      <w:r>
        <w:rPr>
          <w:sz w:val="24"/>
        </w:rPr>
        <w:t>manner</w:t>
      </w:r>
      <w:r>
        <w:rPr>
          <w:spacing w:val="-3"/>
          <w:sz w:val="24"/>
        </w:rPr>
        <w:t xml:space="preserve"> </w:t>
      </w:r>
      <w:r>
        <w:rPr>
          <w:sz w:val="24"/>
        </w:rPr>
        <w:t>consistent</w:t>
      </w:r>
      <w:r>
        <w:rPr>
          <w:spacing w:val="-2"/>
          <w:sz w:val="24"/>
        </w:rPr>
        <w:t xml:space="preserve"> </w:t>
      </w:r>
      <w:r>
        <w:rPr>
          <w:sz w:val="24"/>
        </w:rPr>
        <w:t>with</w:t>
      </w:r>
      <w:r>
        <w:rPr>
          <w:spacing w:val="-3"/>
          <w:sz w:val="24"/>
        </w:rPr>
        <w:t xml:space="preserve"> </w:t>
      </w:r>
      <w:r>
        <w:rPr>
          <w:sz w:val="24"/>
        </w:rPr>
        <w:t>the</w:t>
      </w:r>
      <w:r>
        <w:rPr>
          <w:spacing w:val="-3"/>
          <w:sz w:val="24"/>
        </w:rPr>
        <w:t xml:space="preserve"> </w:t>
      </w:r>
      <w:r>
        <w:rPr>
          <w:sz w:val="24"/>
        </w:rPr>
        <w:t>requirement</w:t>
      </w:r>
      <w:r>
        <w:rPr>
          <w:spacing w:val="-13"/>
          <w:sz w:val="24"/>
        </w:rPr>
        <w:t xml:space="preserve"> </w:t>
      </w:r>
      <w:r>
        <w:rPr>
          <w:sz w:val="24"/>
        </w:rPr>
        <w:t>in</w:t>
      </w:r>
      <w:r>
        <w:rPr>
          <w:spacing w:val="-2"/>
          <w:sz w:val="24"/>
        </w:rPr>
        <w:t xml:space="preserve"> </w:t>
      </w:r>
      <w:r>
        <w:rPr>
          <w:sz w:val="24"/>
        </w:rPr>
        <w:t>5 CFR 1320.6.</w:t>
      </w:r>
    </w:p>
    <w:p w:rsidR="006C06A3" w:rsidP="006C06A3" w14:paraId="70D4767B" w14:textId="77777777">
      <w:pPr>
        <w:pStyle w:val="ListParagraph"/>
        <w:tabs>
          <w:tab w:val="left" w:pos="1483"/>
          <w:tab w:val="left" w:pos="1531"/>
        </w:tabs>
        <w:spacing w:line="242" w:lineRule="auto"/>
        <w:ind w:left="1483" w:right="449" w:firstLine="0"/>
        <w:rPr>
          <w:sz w:val="24"/>
        </w:rPr>
      </w:pPr>
    </w:p>
    <w:p w:rsidR="006C06A3" w:rsidRPr="00FC693A" w:rsidP="006C06A3" w14:paraId="21D24ACA" w14:textId="7B3DF713">
      <w:pPr>
        <w:pStyle w:val="ListParagraph"/>
        <w:numPr>
          <w:ilvl w:val="1"/>
          <w:numId w:val="1"/>
        </w:numPr>
        <w:tabs>
          <w:tab w:val="left" w:pos="1483"/>
          <w:tab w:val="left" w:pos="1531"/>
        </w:tabs>
        <w:spacing w:line="242" w:lineRule="auto"/>
        <w:ind w:right="449"/>
        <w:rPr>
          <w:sz w:val="24"/>
        </w:rPr>
      </w:pPr>
      <w:r w:rsidRPr="00FC693A">
        <w:rPr>
          <w:sz w:val="24"/>
          <w:szCs w:val="24"/>
        </w:rPr>
        <w:t xml:space="preserve">The </w:t>
      </w:r>
      <w:r w:rsidRPr="00AF1DE7">
        <w:rPr>
          <w:sz w:val="24"/>
          <w:szCs w:val="24"/>
        </w:rPr>
        <w:t xml:space="preserve">60-day notice was published in the </w:t>
      </w:r>
      <w:r w:rsidRPr="00AF1DE7">
        <w:rPr>
          <w:i/>
          <w:iCs/>
          <w:sz w:val="24"/>
          <w:szCs w:val="24"/>
        </w:rPr>
        <w:t>Federal Register</w:t>
      </w:r>
      <w:r w:rsidRPr="00AF1DE7">
        <w:rPr>
          <w:sz w:val="24"/>
          <w:szCs w:val="24"/>
        </w:rPr>
        <w:t xml:space="preserve"> on </w:t>
      </w:r>
      <w:r w:rsidRPr="00AF1DE7" w:rsidR="00AF1DE7">
        <w:rPr>
          <w:sz w:val="24"/>
          <w:szCs w:val="24"/>
        </w:rPr>
        <w:t>10/13/2026</w:t>
      </w:r>
      <w:r w:rsidRPr="00AF1DE7">
        <w:rPr>
          <w:sz w:val="24"/>
          <w:szCs w:val="24"/>
        </w:rPr>
        <w:t xml:space="preserve"> (</w:t>
      </w:r>
      <w:r w:rsidR="00061230">
        <w:rPr>
          <w:sz w:val="24"/>
          <w:szCs w:val="24"/>
        </w:rPr>
        <w:t>91</w:t>
      </w:r>
      <w:r w:rsidRPr="00AF1DE7" w:rsidR="00AF1DE7">
        <w:rPr>
          <w:sz w:val="24"/>
          <w:szCs w:val="24"/>
        </w:rPr>
        <w:t xml:space="preserve"> FR </w:t>
      </w:r>
      <w:r w:rsidR="00061230">
        <w:rPr>
          <w:sz w:val="24"/>
          <w:szCs w:val="24"/>
        </w:rPr>
        <w:t>64946</w:t>
      </w:r>
      <w:r w:rsidRPr="00AF1DE7">
        <w:rPr>
          <w:sz w:val="24"/>
          <w:szCs w:val="24"/>
        </w:rPr>
        <w:t>). The comment period ended on</w:t>
      </w:r>
      <w:r w:rsidRPr="00AF1DE7" w:rsidR="00AF1DE7">
        <w:rPr>
          <w:sz w:val="24"/>
          <w:szCs w:val="24"/>
        </w:rPr>
        <w:t xml:space="preserve"> 12/14/2026</w:t>
      </w:r>
      <w:r w:rsidRPr="00AF1DE7">
        <w:rPr>
          <w:sz w:val="24"/>
          <w:szCs w:val="24"/>
        </w:rPr>
        <w:t>. ATF</w:t>
      </w:r>
      <w:r w:rsidRPr="00FC693A">
        <w:rPr>
          <w:sz w:val="24"/>
          <w:szCs w:val="24"/>
        </w:rPr>
        <w:t xml:space="preserve"> received </w:t>
      </w:r>
      <w:r w:rsidR="00AF1DE7">
        <w:rPr>
          <w:sz w:val="24"/>
          <w:szCs w:val="24"/>
        </w:rPr>
        <w:t>___</w:t>
      </w:r>
      <w:r w:rsidRPr="00FC693A">
        <w:rPr>
          <w:sz w:val="24"/>
          <w:szCs w:val="24"/>
        </w:rPr>
        <w:t xml:space="preserve"> comments.</w:t>
      </w:r>
    </w:p>
    <w:p w:rsidR="003776E2" w14:paraId="39FFE7B0" w14:textId="77777777">
      <w:pPr>
        <w:pStyle w:val="ListParagraph"/>
        <w:numPr>
          <w:ilvl w:val="1"/>
          <w:numId w:val="1"/>
        </w:numPr>
        <w:tabs>
          <w:tab w:val="left" w:pos="1528"/>
        </w:tabs>
        <w:spacing w:before="264"/>
        <w:ind w:hanging="583"/>
        <w:rPr>
          <w:sz w:val="24"/>
        </w:rPr>
      </w:pPr>
      <w:r>
        <w:rPr>
          <w:sz w:val="24"/>
        </w:rPr>
        <w:t>No</w:t>
      </w:r>
      <w:r>
        <w:rPr>
          <w:spacing w:val="-5"/>
          <w:sz w:val="24"/>
        </w:rPr>
        <w:t xml:space="preserve"> </w:t>
      </w:r>
      <w:r>
        <w:rPr>
          <w:sz w:val="24"/>
        </w:rPr>
        <w:t>payment</w:t>
      </w:r>
      <w:r>
        <w:rPr>
          <w:spacing w:val="-1"/>
          <w:sz w:val="24"/>
        </w:rPr>
        <w:t xml:space="preserve"> </w:t>
      </w:r>
      <w:r>
        <w:rPr>
          <w:sz w:val="24"/>
        </w:rPr>
        <w:t>or</w:t>
      </w:r>
      <w:r>
        <w:rPr>
          <w:spacing w:val="-2"/>
          <w:sz w:val="24"/>
        </w:rPr>
        <w:t xml:space="preserve"> </w:t>
      </w:r>
      <w:r>
        <w:rPr>
          <w:sz w:val="24"/>
        </w:rPr>
        <w:t>gift</w:t>
      </w:r>
      <w:r>
        <w:rPr>
          <w:spacing w:val="-1"/>
          <w:sz w:val="24"/>
        </w:rPr>
        <w:t xml:space="preserve"> </w:t>
      </w:r>
      <w:r>
        <w:rPr>
          <w:sz w:val="24"/>
        </w:rPr>
        <w:t>is</w:t>
      </w:r>
      <w:r>
        <w:rPr>
          <w:spacing w:val="-1"/>
          <w:sz w:val="24"/>
        </w:rPr>
        <w:t xml:space="preserve"> </w:t>
      </w:r>
      <w:r>
        <w:rPr>
          <w:sz w:val="24"/>
        </w:rPr>
        <w:t>associated</w:t>
      </w:r>
      <w:r>
        <w:rPr>
          <w:spacing w:val="-1"/>
          <w:sz w:val="24"/>
        </w:rPr>
        <w:t xml:space="preserve"> </w:t>
      </w:r>
      <w:r>
        <w:rPr>
          <w:sz w:val="24"/>
        </w:rPr>
        <w:t>with</w:t>
      </w:r>
      <w:r>
        <w:rPr>
          <w:spacing w:val="-4"/>
          <w:sz w:val="24"/>
        </w:rPr>
        <w:t xml:space="preserve"> </w:t>
      </w:r>
      <w:r>
        <w:rPr>
          <w:sz w:val="24"/>
        </w:rPr>
        <w:t>this</w:t>
      </w:r>
      <w:r>
        <w:rPr>
          <w:spacing w:val="-1"/>
          <w:sz w:val="24"/>
        </w:rPr>
        <w:t xml:space="preserve"> </w:t>
      </w:r>
      <w:r>
        <w:rPr>
          <w:spacing w:val="-2"/>
          <w:sz w:val="24"/>
        </w:rPr>
        <w:t>collection.</w:t>
      </w:r>
    </w:p>
    <w:p w:rsidR="003776E2" w14:paraId="296810D9" w14:textId="77777777">
      <w:pPr>
        <w:pStyle w:val="BodyText"/>
      </w:pPr>
    </w:p>
    <w:p w:rsidR="003776E2" w14:paraId="185B1A5E" w14:textId="77777777">
      <w:pPr>
        <w:pStyle w:val="ListParagraph"/>
        <w:numPr>
          <w:ilvl w:val="1"/>
          <w:numId w:val="1"/>
        </w:numPr>
        <w:tabs>
          <w:tab w:val="left" w:pos="1528"/>
        </w:tabs>
        <w:ind w:hanging="583"/>
        <w:rPr>
          <w:sz w:val="24"/>
        </w:rPr>
      </w:pPr>
      <w:r>
        <w:rPr>
          <w:sz w:val="24"/>
        </w:rPr>
        <w:t>Respondents’</w:t>
      </w:r>
      <w:r>
        <w:rPr>
          <w:spacing w:val="-2"/>
          <w:sz w:val="24"/>
        </w:rPr>
        <w:t xml:space="preserve"> </w:t>
      </w:r>
      <w:r>
        <w:rPr>
          <w:sz w:val="24"/>
        </w:rPr>
        <w:t>confidentiality</w:t>
      </w:r>
      <w:r>
        <w:rPr>
          <w:spacing w:val="-6"/>
          <w:sz w:val="24"/>
        </w:rPr>
        <w:t xml:space="preserve"> </w:t>
      </w:r>
      <w:r>
        <w:rPr>
          <w:sz w:val="24"/>
        </w:rPr>
        <w:t>is</w:t>
      </w:r>
      <w:r>
        <w:rPr>
          <w:spacing w:val="-1"/>
          <w:sz w:val="24"/>
        </w:rPr>
        <w:t xml:space="preserve"> </w:t>
      </w:r>
      <w:r>
        <w:rPr>
          <w:sz w:val="24"/>
        </w:rPr>
        <w:t>assured</w:t>
      </w:r>
      <w:r>
        <w:rPr>
          <w:spacing w:val="-1"/>
          <w:sz w:val="24"/>
        </w:rPr>
        <w:t xml:space="preserve"> </w:t>
      </w:r>
      <w:r>
        <w:rPr>
          <w:sz w:val="24"/>
        </w:rPr>
        <w:t>by</w:t>
      </w:r>
      <w:r>
        <w:rPr>
          <w:spacing w:val="-1"/>
          <w:sz w:val="24"/>
        </w:rPr>
        <w:t xml:space="preserve"> </w:t>
      </w:r>
      <w:r>
        <w:rPr>
          <w:sz w:val="24"/>
        </w:rPr>
        <w:t>26</w:t>
      </w:r>
      <w:r>
        <w:rPr>
          <w:spacing w:val="-1"/>
          <w:sz w:val="24"/>
        </w:rPr>
        <w:t xml:space="preserve"> </w:t>
      </w:r>
      <w:r>
        <w:rPr>
          <w:sz w:val="24"/>
        </w:rPr>
        <w:t>U.S.C.</w:t>
      </w:r>
      <w:r>
        <w:rPr>
          <w:spacing w:val="-1"/>
          <w:sz w:val="24"/>
        </w:rPr>
        <w:t xml:space="preserve"> </w:t>
      </w:r>
      <w:r>
        <w:rPr>
          <w:sz w:val="24"/>
        </w:rPr>
        <w:t>§§</w:t>
      </w:r>
      <w:r>
        <w:rPr>
          <w:spacing w:val="-1"/>
          <w:sz w:val="24"/>
        </w:rPr>
        <w:t xml:space="preserve"> </w:t>
      </w:r>
      <w:r>
        <w:rPr>
          <w:sz w:val="24"/>
        </w:rPr>
        <w:t>5848</w:t>
      </w:r>
      <w:r>
        <w:rPr>
          <w:spacing w:val="-1"/>
          <w:sz w:val="24"/>
        </w:rPr>
        <w:t xml:space="preserve"> </w:t>
      </w:r>
      <w:r>
        <w:rPr>
          <w:sz w:val="24"/>
        </w:rPr>
        <w:t>and</w:t>
      </w:r>
      <w:r>
        <w:rPr>
          <w:spacing w:val="-1"/>
          <w:sz w:val="24"/>
        </w:rPr>
        <w:t xml:space="preserve"> </w:t>
      </w:r>
      <w:r>
        <w:rPr>
          <w:sz w:val="24"/>
        </w:rPr>
        <w:t>6103</w:t>
      </w:r>
      <w:r>
        <w:rPr>
          <w:spacing w:val="-1"/>
          <w:sz w:val="24"/>
        </w:rPr>
        <w:t xml:space="preserve"> </w:t>
      </w:r>
      <w:r>
        <w:rPr>
          <w:sz w:val="24"/>
        </w:rPr>
        <w:t xml:space="preserve">and </w:t>
      </w:r>
      <w:r>
        <w:rPr>
          <w:spacing w:val="-10"/>
          <w:sz w:val="24"/>
        </w:rPr>
        <w:t>5</w:t>
      </w:r>
    </w:p>
    <w:p w:rsidR="003776E2" w14:paraId="7A0F5133" w14:textId="77777777">
      <w:pPr>
        <w:pStyle w:val="BodyText"/>
        <w:ind w:left="1528" w:right="191"/>
      </w:pPr>
      <w:r>
        <w:t>U.S.C.</w:t>
      </w:r>
      <w:r>
        <w:rPr>
          <w:spacing w:val="-8"/>
        </w:rPr>
        <w:t xml:space="preserve"> </w:t>
      </w:r>
      <w:r>
        <w:t>§§</w:t>
      </w:r>
      <w:r>
        <w:rPr>
          <w:spacing w:val="-6"/>
        </w:rPr>
        <w:t xml:space="preserve"> </w:t>
      </w:r>
      <w:r>
        <w:t>552</w:t>
      </w:r>
      <w:r>
        <w:rPr>
          <w:spacing w:val="-6"/>
        </w:rPr>
        <w:t xml:space="preserve"> </w:t>
      </w:r>
      <w:r>
        <w:t>and</w:t>
      </w:r>
      <w:r>
        <w:rPr>
          <w:spacing w:val="-6"/>
        </w:rPr>
        <w:t xml:space="preserve"> </w:t>
      </w:r>
      <w:r>
        <w:t>552a,</w:t>
      </w:r>
      <w:r>
        <w:rPr>
          <w:spacing w:val="-6"/>
        </w:rPr>
        <w:t xml:space="preserve"> </w:t>
      </w:r>
      <w:r>
        <w:t>and</w:t>
      </w:r>
      <w:r>
        <w:rPr>
          <w:spacing w:val="-6"/>
        </w:rPr>
        <w:t xml:space="preserve"> </w:t>
      </w:r>
      <w:r>
        <w:t>as</w:t>
      </w:r>
      <w:r>
        <w:rPr>
          <w:spacing w:val="-6"/>
        </w:rPr>
        <w:t xml:space="preserve"> </w:t>
      </w:r>
      <w:r>
        <w:t>indicated</w:t>
      </w:r>
      <w:r>
        <w:rPr>
          <w:spacing w:val="-6"/>
        </w:rPr>
        <w:t xml:space="preserve"> </w:t>
      </w:r>
      <w:r>
        <w:t>by</w:t>
      </w:r>
      <w:r>
        <w:rPr>
          <w:spacing w:val="-6"/>
        </w:rPr>
        <w:t xml:space="preserve"> </w:t>
      </w:r>
      <w:r>
        <w:t>the</w:t>
      </w:r>
      <w:r>
        <w:rPr>
          <w:spacing w:val="-7"/>
        </w:rPr>
        <w:t xml:space="preserve"> </w:t>
      </w:r>
      <w:r>
        <w:t>Privacy</w:t>
      </w:r>
      <w:r>
        <w:rPr>
          <w:spacing w:val="-8"/>
        </w:rPr>
        <w:t xml:space="preserve"> </w:t>
      </w:r>
      <w:r>
        <w:t>Act</w:t>
      </w:r>
      <w:r>
        <w:rPr>
          <w:spacing w:val="-8"/>
        </w:rPr>
        <w:t xml:space="preserve"> </w:t>
      </w:r>
      <w:r>
        <w:t>Notice</w:t>
      </w:r>
      <w:r>
        <w:rPr>
          <w:spacing w:val="-12"/>
        </w:rPr>
        <w:t xml:space="preserve"> </w:t>
      </w:r>
      <w:r>
        <w:t>contained on the form. No other means of confidentiality is available.</w:t>
      </w:r>
    </w:p>
    <w:p w:rsidR="003776E2" w14:paraId="38AB158D" w14:textId="77777777">
      <w:pPr>
        <w:pStyle w:val="BodyText"/>
      </w:pPr>
    </w:p>
    <w:p w:rsidR="003776E2" w14:paraId="16669E2A" w14:textId="77777777">
      <w:pPr>
        <w:pStyle w:val="ListParagraph"/>
        <w:numPr>
          <w:ilvl w:val="1"/>
          <w:numId w:val="1"/>
        </w:numPr>
        <w:tabs>
          <w:tab w:val="left" w:pos="1528"/>
        </w:tabs>
        <w:ind w:hanging="583"/>
        <w:rPr>
          <w:sz w:val="24"/>
        </w:rPr>
      </w:pPr>
      <w:r>
        <w:rPr>
          <w:sz w:val="24"/>
        </w:rPr>
        <w:t>No</w:t>
      </w:r>
      <w:r>
        <w:rPr>
          <w:spacing w:val="-5"/>
          <w:sz w:val="24"/>
        </w:rPr>
        <w:t xml:space="preserve"> </w:t>
      </w:r>
      <w:r>
        <w:rPr>
          <w:sz w:val="24"/>
        </w:rPr>
        <w:t>questions</w:t>
      </w:r>
      <w:r>
        <w:rPr>
          <w:spacing w:val="-1"/>
          <w:sz w:val="24"/>
        </w:rPr>
        <w:t xml:space="preserve"> </w:t>
      </w:r>
      <w:r>
        <w:rPr>
          <w:sz w:val="24"/>
        </w:rPr>
        <w:t>of</w:t>
      </w:r>
      <w:r>
        <w:rPr>
          <w:spacing w:val="-3"/>
          <w:sz w:val="24"/>
        </w:rPr>
        <w:t xml:space="preserve"> </w:t>
      </w:r>
      <w:r>
        <w:rPr>
          <w:sz w:val="24"/>
        </w:rPr>
        <w:t>a</w:t>
      </w:r>
      <w:r>
        <w:rPr>
          <w:spacing w:val="-5"/>
          <w:sz w:val="24"/>
        </w:rPr>
        <w:t xml:space="preserve"> </w:t>
      </w:r>
      <w:r>
        <w:rPr>
          <w:sz w:val="24"/>
        </w:rPr>
        <w:t>sensitive</w:t>
      </w:r>
      <w:r>
        <w:rPr>
          <w:spacing w:val="-6"/>
          <w:sz w:val="24"/>
        </w:rPr>
        <w:t xml:space="preserve"> </w:t>
      </w:r>
      <w:r>
        <w:rPr>
          <w:sz w:val="24"/>
        </w:rPr>
        <w:t>nature</w:t>
      </w:r>
      <w:r>
        <w:rPr>
          <w:spacing w:val="-2"/>
          <w:sz w:val="24"/>
        </w:rPr>
        <w:t xml:space="preserve"> </w:t>
      </w:r>
      <w:r>
        <w:rPr>
          <w:sz w:val="24"/>
        </w:rPr>
        <w:t>are</w:t>
      </w:r>
      <w:r>
        <w:rPr>
          <w:spacing w:val="-2"/>
          <w:sz w:val="24"/>
        </w:rPr>
        <w:t xml:space="preserve"> asked.</w:t>
      </w:r>
    </w:p>
    <w:p w:rsidR="003776E2" w14:paraId="79CE5FDC" w14:textId="77777777">
      <w:pPr>
        <w:pStyle w:val="BodyText"/>
      </w:pPr>
    </w:p>
    <w:p w:rsidR="003776E2" w14:paraId="7D407A5F" w14:textId="77777777">
      <w:pPr>
        <w:pStyle w:val="ListParagraph"/>
        <w:numPr>
          <w:ilvl w:val="1"/>
          <w:numId w:val="1"/>
        </w:numPr>
        <w:tabs>
          <w:tab w:val="left" w:pos="1528"/>
        </w:tabs>
        <w:ind w:right="271"/>
        <w:rPr>
          <w:sz w:val="24"/>
        </w:rPr>
      </w:pPr>
      <w:r>
        <w:rPr>
          <w:sz w:val="24"/>
        </w:rPr>
        <w:t>The</w:t>
      </w:r>
      <w:r>
        <w:rPr>
          <w:spacing w:val="-9"/>
          <w:sz w:val="24"/>
        </w:rPr>
        <w:t xml:space="preserve"> </w:t>
      </w:r>
      <w:r>
        <w:rPr>
          <w:sz w:val="24"/>
        </w:rPr>
        <w:t>total</w:t>
      </w:r>
      <w:r>
        <w:rPr>
          <w:spacing w:val="-7"/>
          <w:sz w:val="24"/>
        </w:rPr>
        <w:t xml:space="preserve"> </w:t>
      </w:r>
      <w:r>
        <w:rPr>
          <w:sz w:val="24"/>
        </w:rPr>
        <w:t>number</w:t>
      </w:r>
      <w:r>
        <w:rPr>
          <w:spacing w:val="-9"/>
          <w:sz w:val="24"/>
        </w:rPr>
        <w:t xml:space="preserve"> </w:t>
      </w:r>
      <w:r>
        <w:rPr>
          <w:sz w:val="24"/>
        </w:rPr>
        <w:t>of</w:t>
      </w:r>
      <w:r>
        <w:rPr>
          <w:spacing w:val="-9"/>
          <w:sz w:val="24"/>
        </w:rPr>
        <w:t xml:space="preserve"> </w:t>
      </w:r>
      <w:r>
        <w:rPr>
          <w:sz w:val="24"/>
        </w:rPr>
        <w:t>annual</w:t>
      </w:r>
      <w:r>
        <w:rPr>
          <w:spacing w:val="-10"/>
          <w:sz w:val="24"/>
        </w:rPr>
        <w:t xml:space="preserve"> </w:t>
      </w:r>
      <w:r>
        <w:rPr>
          <w:sz w:val="24"/>
        </w:rPr>
        <w:t>responses</w:t>
      </w:r>
      <w:r>
        <w:rPr>
          <w:spacing w:val="-8"/>
          <w:sz w:val="24"/>
        </w:rPr>
        <w:t xml:space="preserve"> </w:t>
      </w:r>
      <w:r>
        <w:rPr>
          <w:sz w:val="24"/>
        </w:rPr>
        <w:t>for</w:t>
      </w:r>
      <w:r>
        <w:rPr>
          <w:spacing w:val="-9"/>
          <w:sz w:val="24"/>
        </w:rPr>
        <w:t xml:space="preserve"> </w:t>
      </w:r>
      <w:r>
        <w:rPr>
          <w:sz w:val="24"/>
        </w:rPr>
        <w:t>this</w:t>
      </w:r>
      <w:r>
        <w:rPr>
          <w:spacing w:val="-8"/>
          <w:sz w:val="24"/>
        </w:rPr>
        <w:t xml:space="preserve"> </w:t>
      </w:r>
      <w:r>
        <w:rPr>
          <w:sz w:val="24"/>
        </w:rPr>
        <w:t>information</w:t>
      </w:r>
      <w:r>
        <w:rPr>
          <w:spacing w:val="-8"/>
          <w:sz w:val="24"/>
        </w:rPr>
        <w:t xml:space="preserve"> </w:t>
      </w:r>
      <w:r>
        <w:rPr>
          <w:sz w:val="24"/>
        </w:rPr>
        <w:t>collection</w:t>
      </w:r>
      <w:r>
        <w:rPr>
          <w:spacing w:val="-8"/>
          <w:sz w:val="24"/>
        </w:rPr>
        <w:t xml:space="preserve"> </w:t>
      </w:r>
      <w:r>
        <w:rPr>
          <w:sz w:val="24"/>
        </w:rPr>
        <w:t>is</w:t>
      </w:r>
      <w:r>
        <w:rPr>
          <w:spacing w:val="-8"/>
          <w:sz w:val="24"/>
        </w:rPr>
        <w:t xml:space="preserve"> </w:t>
      </w:r>
      <w:r>
        <w:rPr>
          <w:sz w:val="24"/>
        </w:rPr>
        <w:t>255,888 of</w:t>
      </w:r>
      <w:r>
        <w:rPr>
          <w:spacing w:val="40"/>
          <w:sz w:val="24"/>
        </w:rPr>
        <w:t xml:space="preserve"> </w:t>
      </w:r>
      <w:r>
        <w:rPr>
          <w:sz w:val="24"/>
        </w:rPr>
        <w:t>which 251,094</w:t>
      </w:r>
      <w:r>
        <w:rPr>
          <w:spacing w:val="40"/>
          <w:sz w:val="24"/>
        </w:rPr>
        <w:t xml:space="preserve"> </w:t>
      </w:r>
      <w:r>
        <w:rPr>
          <w:sz w:val="24"/>
        </w:rPr>
        <w:t>are</w:t>
      </w:r>
      <w:r>
        <w:rPr>
          <w:spacing w:val="40"/>
          <w:sz w:val="24"/>
        </w:rPr>
        <w:t xml:space="preserve"> </w:t>
      </w:r>
      <w:r>
        <w:rPr>
          <w:sz w:val="24"/>
        </w:rPr>
        <w:t>submitted</w:t>
      </w:r>
      <w:r>
        <w:rPr>
          <w:spacing w:val="40"/>
          <w:sz w:val="24"/>
        </w:rPr>
        <w:t xml:space="preserve"> </w:t>
      </w:r>
      <w:r>
        <w:rPr>
          <w:sz w:val="24"/>
        </w:rPr>
        <w:t>via</w:t>
      </w:r>
      <w:r>
        <w:rPr>
          <w:spacing w:val="40"/>
          <w:sz w:val="24"/>
        </w:rPr>
        <w:t xml:space="preserve"> </w:t>
      </w:r>
      <w:r>
        <w:rPr>
          <w:sz w:val="24"/>
        </w:rPr>
        <w:t>the</w:t>
      </w:r>
      <w:r>
        <w:rPr>
          <w:spacing w:val="40"/>
          <w:sz w:val="24"/>
        </w:rPr>
        <w:t xml:space="preserve"> </w:t>
      </w:r>
      <w:r>
        <w:rPr>
          <w:sz w:val="24"/>
        </w:rPr>
        <w:t>eForms</w:t>
      </w:r>
      <w:r>
        <w:rPr>
          <w:spacing w:val="40"/>
          <w:sz w:val="24"/>
        </w:rPr>
        <w:t xml:space="preserve"> </w:t>
      </w:r>
      <w:r>
        <w:rPr>
          <w:sz w:val="24"/>
        </w:rPr>
        <w:t>platform.</w:t>
      </w:r>
      <w:r>
        <w:rPr>
          <w:spacing w:val="40"/>
          <w:sz w:val="24"/>
        </w:rPr>
        <w:t xml:space="preserve"> </w:t>
      </w:r>
      <w:r>
        <w:rPr>
          <w:sz w:val="24"/>
        </w:rPr>
        <w:t>It takes 30 minutes to complete the form.</w:t>
      </w:r>
      <w:r>
        <w:rPr>
          <w:spacing w:val="40"/>
          <w:sz w:val="24"/>
        </w:rPr>
        <w:t xml:space="preserve"> </w:t>
      </w:r>
      <w:r>
        <w:rPr>
          <w:sz w:val="24"/>
        </w:rPr>
        <w:t>The total number of burden hours is 127,944.</w:t>
      </w:r>
    </w:p>
    <w:p w:rsidR="003776E2" w14:paraId="2DA38DAB" w14:textId="77777777">
      <w:pPr>
        <w:pStyle w:val="BodyText"/>
      </w:pPr>
    </w:p>
    <w:p w:rsidR="003776E2" w14:paraId="767E9609" w14:textId="77777777">
      <w:pPr>
        <w:pStyle w:val="ListParagraph"/>
        <w:numPr>
          <w:ilvl w:val="1"/>
          <w:numId w:val="1"/>
        </w:numPr>
        <w:tabs>
          <w:tab w:val="left" w:pos="1528"/>
        </w:tabs>
        <w:ind w:right="458"/>
        <w:rPr>
          <w:sz w:val="24"/>
        </w:rPr>
      </w:pPr>
      <w:r>
        <w:rPr>
          <w:sz w:val="24"/>
        </w:rPr>
        <w:t xml:space="preserve">The cost </w:t>
      </w:r>
      <w:r>
        <w:rPr>
          <w:sz w:val="24"/>
        </w:rPr>
        <w:t>to</w:t>
      </w:r>
      <w:r>
        <w:rPr>
          <w:sz w:val="24"/>
        </w:rPr>
        <w:t xml:space="preserve"> the respondent is postage.</w:t>
      </w:r>
      <w:r>
        <w:rPr>
          <w:spacing w:val="40"/>
          <w:sz w:val="24"/>
        </w:rPr>
        <w:t xml:space="preserve"> </w:t>
      </w:r>
      <w:r>
        <w:rPr>
          <w:sz w:val="24"/>
        </w:rPr>
        <w:t>In FY 2022 98% of the respondents submitted</w:t>
      </w:r>
      <w:r>
        <w:rPr>
          <w:spacing w:val="-7"/>
          <w:sz w:val="24"/>
        </w:rPr>
        <w:t xml:space="preserve"> </w:t>
      </w:r>
      <w:r>
        <w:rPr>
          <w:sz w:val="24"/>
        </w:rPr>
        <w:t>via</w:t>
      </w:r>
      <w:r>
        <w:rPr>
          <w:spacing w:val="-8"/>
          <w:sz w:val="24"/>
        </w:rPr>
        <w:t xml:space="preserve"> </w:t>
      </w:r>
      <w:r>
        <w:rPr>
          <w:sz w:val="24"/>
        </w:rPr>
        <w:t>eForms</w:t>
      </w:r>
      <w:r>
        <w:rPr>
          <w:sz w:val="24"/>
        </w:rPr>
        <w:t>.</w:t>
      </w:r>
      <w:r>
        <w:rPr>
          <w:spacing w:val="-7"/>
          <w:sz w:val="24"/>
        </w:rPr>
        <w:t xml:space="preserve"> </w:t>
      </w:r>
      <w:r>
        <w:rPr>
          <w:sz w:val="24"/>
        </w:rPr>
        <w:t>The</w:t>
      </w:r>
      <w:r>
        <w:rPr>
          <w:spacing w:val="-8"/>
          <w:sz w:val="24"/>
        </w:rPr>
        <w:t xml:space="preserve"> </w:t>
      </w:r>
      <w:r>
        <w:rPr>
          <w:sz w:val="24"/>
        </w:rPr>
        <w:t>balance</w:t>
      </w:r>
      <w:r>
        <w:rPr>
          <w:spacing w:val="-8"/>
          <w:sz w:val="24"/>
        </w:rPr>
        <w:t xml:space="preserve"> </w:t>
      </w:r>
      <w:r>
        <w:rPr>
          <w:sz w:val="24"/>
        </w:rPr>
        <w:t>of</w:t>
      </w:r>
      <w:r>
        <w:rPr>
          <w:spacing w:val="-8"/>
          <w:sz w:val="24"/>
        </w:rPr>
        <w:t xml:space="preserve"> </w:t>
      </w:r>
      <w:r>
        <w:rPr>
          <w:sz w:val="24"/>
        </w:rPr>
        <w:t>submitted</w:t>
      </w:r>
      <w:r>
        <w:rPr>
          <w:spacing w:val="-7"/>
          <w:sz w:val="24"/>
        </w:rPr>
        <w:t xml:space="preserve"> </w:t>
      </w:r>
      <w:r>
        <w:rPr>
          <w:sz w:val="24"/>
        </w:rPr>
        <w:t>forms</w:t>
      </w:r>
      <w:r>
        <w:rPr>
          <w:spacing w:val="-12"/>
          <w:sz w:val="24"/>
        </w:rPr>
        <w:t xml:space="preserve"> </w:t>
      </w:r>
      <w:r>
        <w:rPr>
          <w:sz w:val="24"/>
        </w:rPr>
        <w:t>via</w:t>
      </w:r>
      <w:r>
        <w:rPr>
          <w:spacing w:val="-8"/>
          <w:sz w:val="24"/>
        </w:rPr>
        <w:t xml:space="preserve"> </w:t>
      </w:r>
      <w:r>
        <w:rPr>
          <w:sz w:val="24"/>
        </w:rPr>
        <w:t>paper</w:t>
      </w:r>
      <w:r>
        <w:rPr>
          <w:spacing w:val="-8"/>
          <w:sz w:val="24"/>
        </w:rPr>
        <w:t xml:space="preserve"> </w:t>
      </w:r>
      <w:r>
        <w:rPr>
          <w:sz w:val="24"/>
        </w:rPr>
        <w:t>is</w:t>
      </w:r>
      <w:r>
        <w:rPr>
          <w:spacing w:val="-7"/>
          <w:sz w:val="24"/>
        </w:rPr>
        <w:t xml:space="preserve"> </w:t>
      </w:r>
      <w:r>
        <w:rPr>
          <w:sz w:val="24"/>
        </w:rPr>
        <w:t>4,794</w:t>
      </w:r>
      <w:r>
        <w:rPr>
          <w:spacing w:val="-9"/>
          <w:sz w:val="24"/>
        </w:rPr>
        <w:t xml:space="preserve"> </w:t>
      </w:r>
      <w:r>
        <w:rPr>
          <w:sz w:val="24"/>
        </w:rPr>
        <w:t>and will be mailed for a total burden of $3,020. (If used full universe of 255,888 X $.63 = $161,209.</w:t>
      </w:r>
    </w:p>
    <w:p w:rsidR="003776E2" w14:paraId="714ECAF5" w14:textId="77777777">
      <w:pPr>
        <w:pStyle w:val="ListParagraph"/>
        <w:numPr>
          <w:ilvl w:val="1"/>
          <w:numId w:val="1"/>
        </w:numPr>
        <w:tabs>
          <w:tab w:val="left" w:pos="1528"/>
        </w:tabs>
        <w:spacing w:before="250" w:line="247" w:lineRule="auto"/>
        <w:ind w:right="412"/>
        <w:rPr>
          <w:sz w:val="24"/>
        </w:rPr>
      </w:pPr>
      <w:r>
        <w:rPr>
          <w:sz w:val="24"/>
        </w:rPr>
        <w:t>The</w:t>
      </w:r>
      <w:r>
        <w:rPr>
          <w:spacing w:val="-7"/>
          <w:sz w:val="24"/>
        </w:rPr>
        <w:t xml:space="preserve"> </w:t>
      </w:r>
      <w:r>
        <w:rPr>
          <w:sz w:val="24"/>
        </w:rPr>
        <w:t>estimate</w:t>
      </w:r>
      <w:r>
        <w:rPr>
          <w:spacing w:val="-7"/>
          <w:sz w:val="24"/>
        </w:rPr>
        <w:t xml:space="preserve"> </w:t>
      </w:r>
      <w:r>
        <w:rPr>
          <w:sz w:val="24"/>
        </w:rPr>
        <w:t>of</w:t>
      </w:r>
      <w:r>
        <w:rPr>
          <w:spacing w:val="-4"/>
          <w:sz w:val="24"/>
        </w:rPr>
        <w:t xml:space="preserve"> </w:t>
      </w:r>
      <w:r>
        <w:rPr>
          <w:sz w:val="24"/>
        </w:rPr>
        <w:t>annual</w:t>
      </w:r>
      <w:r>
        <w:rPr>
          <w:spacing w:val="-8"/>
          <w:sz w:val="24"/>
        </w:rPr>
        <w:t xml:space="preserve"> </w:t>
      </w:r>
      <w:r>
        <w:rPr>
          <w:sz w:val="24"/>
        </w:rPr>
        <w:t>cost</w:t>
      </w:r>
      <w:r>
        <w:rPr>
          <w:spacing w:val="-5"/>
          <w:sz w:val="24"/>
        </w:rPr>
        <w:t xml:space="preserve"> </w:t>
      </w:r>
      <w:r>
        <w:rPr>
          <w:sz w:val="24"/>
        </w:rPr>
        <w:t>to</w:t>
      </w:r>
      <w:r>
        <w:rPr>
          <w:spacing w:val="-6"/>
          <w:sz w:val="24"/>
        </w:rPr>
        <w:t xml:space="preserve"> </w:t>
      </w:r>
      <w:r>
        <w:rPr>
          <w:sz w:val="24"/>
        </w:rPr>
        <w:t>the</w:t>
      </w:r>
      <w:r>
        <w:rPr>
          <w:spacing w:val="-9"/>
          <w:sz w:val="24"/>
        </w:rPr>
        <w:t xml:space="preserve"> </w:t>
      </w:r>
      <w:r>
        <w:rPr>
          <w:sz w:val="24"/>
        </w:rPr>
        <w:t>Federal</w:t>
      </w:r>
      <w:r>
        <w:rPr>
          <w:spacing w:val="-5"/>
          <w:sz w:val="24"/>
        </w:rPr>
        <w:t xml:space="preserve"> </w:t>
      </w:r>
      <w:r>
        <w:rPr>
          <w:sz w:val="24"/>
        </w:rPr>
        <w:t>Government</w:t>
      </w:r>
      <w:r>
        <w:rPr>
          <w:spacing w:val="-5"/>
          <w:sz w:val="24"/>
        </w:rPr>
        <w:t xml:space="preserve"> </w:t>
      </w:r>
      <w:r>
        <w:rPr>
          <w:sz w:val="24"/>
        </w:rPr>
        <w:t>is</w:t>
      </w:r>
      <w:r>
        <w:rPr>
          <w:spacing w:val="-6"/>
          <w:sz w:val="24"/>
        </w:rPr>
        <w:t xml:space="preserve"> </w:t>
      </w:r>
      <w:r>
        <w:rPr>
          <w:sz w:val="24"/>
        </w:rPr>
        <w:t>$958.80</w:t>
      </w:r>
      <w:r>
        <w:rPr>
          <w:spacing w:val="-3"/>
          <w:sz w:val="24"/>
        </w:rPr>
        <w:t xml:space="preserve"> </w:t>
      </w:r>
      <w:r>
        <w:rPr>
          <w:sz w:val="24"/>
        </w:rPr>
        <w:t>to</w:t>
      </w:r>
      <w:r>
        <w:rPr>
          <w:spacing w:val="-6"/>
          <w:sz w:val="24"/>
        </w:rPr>
        <w:t xml:space="preserve"> </w:t>
      </w:r>
      <w:r>
        <w:rPr>
          <w:sz w:val="24"/>
        </w:rPr>
        <w:t>print</w:t>
      </w:r>
      <w:r>
        <w:rPr>
          <w:spacing w:val="-5"/>
          <w:sz w:val="24"/>
        </w:rPr>
        <w:t xml:space="preserve"> </w:t>
      </w:r>
      <w:r>
        <w:rPr>
          <w:sz w:val="24"/>
        </w:rPr>
        <w:t>the 4,794 paper forms.</w:t>
      </w:r>
    </w:p>
    <w:p w:rsidR="003776E2" w14:paraId="76CD0439" w14:textId="77777777">
      <w:pPr>
        <w:pStyle w:val="BodyText"/>
        <w:spacing w:before="5"/>
        <w:ind w:left="2" w:right="3"/>
        <w:jc w:val="center"/>
        <w:rPr>
          <w:rFonts w:ascii="Courier New"/>
        </w:rPr>
      </w:pPr>
      <w:r>
        <w:rPr>
          <w:rFonts w:ascii="Courier New"/>
          <w:spacing w:val="-10"/>
        </w:rPr>
        <w:t>2</w:t>
      </w:r>
    </w:p>
    <w:p w:rsidR="003776E2" w14:paraId="3227FC37" w14:textId="77777777">
      <w:pPr>
        <w:pStyle w:val="BodyText"/>
        <w:jc w:val="center"/>
        <w:rPr>
          <w:rFonts w:ascii="Courier New"/>
        </w:rPr>
        <w:sectPr>
          <w:pgSz w:w="12240" w:h="15840"/>
          <w:pgMar w:top="1820" w:right="1440" w:bottom="280" w:left="1440" w:header="720" w:footer="720" w:gutter="0"/>
          <w:cols w:space="720"/>
        </w:sectPr>
      </w:pPr>
    </w:p>
    <w:p w:rsidR="003776E2" w14:paraId="4303870C" w14:textId="77777777">
      <w:pPr>
        <w:pStyle w:val="BodyText"/>
        <w:spacing w:before="88"/>
        <w:rPr>
          <w:rFonts w:ascii="Courier New"/>
        </w:rPr>
      </w:pPr>
    </w:p>
    <w:p w:rsidR="003776E2" w14:paraId="7960B29E" w14:textId="294BD1B1">
      <w:pPr>
        <w:pStyle w:val="ListParagraph"/>
        <w:numPr>
          <w:ilvl w:val="1"/>
          <w:numId w:val="1"/>
        </w:numPr>
        <w:tabs>
          <w:tab w:val="left" w:pos="1528"/>
        </w:tabs>
        <w:spacing w:before="1"/>
        <w:ind w:right="446"/>
        <w:rPr>
          <w:sz w:val="24"/>
        </w:rPr>
      </w:pPr>
      <w:r>
        <w:rPr>
          <w:sz w:val="24"/>
        </w:rPr>
        <w:t>No adjustments are being made; extending this ICR without change.</w:t>
      </w:r>
    </w:p>
    <w:p w:rsidR="003776E2" w14:paraId="0DB160BF" w14:textId="77777777">
      <w:pPr>
        <w:pStyle w:val="BodyText"/>
      </w:pPr>
    </w:p>
    <w:p w:rsidR="003776E2" w14:paraId="68D930EA" w14:textId="77777777">
      <w:pPr>
        <w:pStyle w:val="ListParagraph"/>
        <w:numPr>
          <w:ilvl w:val="1"/>
          <w:numId w:val="1"/>
        </w:numPr>
        <w:tabs>
          <w:tab w:val="left" w:pos="1528"/>
        </w:tabs>
        <w:ind w:hanging="585"/>
        <w:rPr>
          <w:sz w:val="24"/>
        </w:rPr>
      </w:pPr>
      <w:r>
        <w:rPr>
          <w:sz w:val="24"/>
        </w:rPr>
        <w:t>The</w:t>
      </w:r>
      <w:r>
        <w:rPr>
          <w:spacing w:val="-7"/>
          <w:sz w:val="24"/>
        </w:rPr>
        <w:t xml:space="preserve"> </w:t>
      </w:r>
      <w:r>
        <w:rPr>
          <w:sz w:val="24"/>
        </w:rPr>
        <w:t>results</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collection</w:t>
      </w:r>
      <w:r>
        <w:rPr>
          <w:spacing w:val="-1"/>
          <w:sz w:val="24"/>
        </w:rPr>
        <w:t xml:space="preserve"> </w:t>
      </w:r>
      <w:r>
        <w:rPr>
          <w:sz w:val="24"/>
        </w:rPr>
        <w:t>will</w:t>
      </w:r>
      <w:r>
        <w:rPr>
          <w:spacing w:val="-2"/>
          <w:sz w:val="24"/>
        </w:rPr>
        <w:t xml:space="preserve"> </w:t>
      </w:r>
      <w:r>
        <w:rPr>
          <w:sz w:val="24"/>
        </w:rPr>
        <w:t>not</w:t>
      </w:r>
      <w:r>
        <w:rPr>
          <w:spacing w:val="-7"/>
          <w:sz w:val="24"/>
        </w:rPr>
        <w:t xml:space="preserve"> </w:t>
      </w:r>
      <w:r>
        <w:rPr>
          <w:sz w:val="24"/>
        </w:rPr>
        <w:t>be</w:t>
      </w:r>
      <w:r>
        <w:rPr>
          <w:spacing w:val="-4"/>
          <w:sz w:val="24"/>
        </w:rPr>
        <w:t xml:space="preserve"> </w:t>
      </w:r>
      <w:r>
        <w:rPr>
          <w:spacing w:val="-2"/>
          <w:sz w:val="24"/>
        </w:rPr>
        <w:t>published.</w:t>
      </w:r>
    </w:p>
    <w:p w:rsidR="003776E2" w14:paraId="6F365D51" w14:textId="77777777">
      <w:pPr>
        <w:pStyle w:val="BodyText"/>
      </w:pPr>
    </w:p>
    <w:p w:rsidR="003776E2" w14:paraId="13A6E43D" w14:textId="77777777">
      <w:pPr>
        <w:pStyle w:val="ListParagraph"/>
        <w:numPr>
          <w:ilvl w:val="1"/>
          <w:numId w:val="1"/>
        </w:numPr>
        <w:tabs>
          <w:tab w:val="left" w:pos="1528"/>
        </w:tabs>
        <w:ind w:right="471"/>
        <w:rPr>
          <w:sz w:val="24"/>
        </w:rPr>
      </w:pPr>
      <w:r>
        <w:rPr>
          <w:sz w:val="24"/>
        </w:rPr>
        <w:t>ATF</w:t>
      </w:r>
      <w:r>
        <w:rPr>
          <w:spacing w:val="-7"/>
          <w:sz w:val="24"/>
        </w:rPr>
        <w:t xml:space="preserve"> </w:t>
      </w:r>
      <w:r>
        <w:rPr>
          <w:sz w:val="24"/>
        </w:rPr>
        <w:t>does</w:t>
      </w:r>
      <w:r>
        <w:rPr>
          <w:spacing w:val="-6"/>
          <w:sz w:val="24"/>
        </w:rPr>
        <w:t xml:space="preserve"> </w:t>
      </w:r>
      <w:r>
        <w:rPr>
          <w:sz w:val="24"/>
        </w:rPr>
        <w:t>not</w:t>
      </w:r>
      <w:r>
        <w:rPr>
          <w:spacing w:val="-6"/>
          <w:sz w:val="24"/>
        </w:rPr>
        <w:t xml:space="preserve"> </w:t>
      </w:r>
      <w:r>
        <w:rPr>
          <w:sz w:val="24"/>
        </w:rPr>
        <w:t>request</w:t>
      </w:r>
      <w:r>
        <w:rPr>
          <w:spacing w:val="-6"/>
          <w:sz w:val="24"/>
        </w:rPr>
        <w:t xml:space="preserve"> </w:t>
      </w:r>
      <w:r>
        <w:rPr>
          <w:sz w:val="24"/>
        </w:rPr>
        <w:t>approval</w:t>
      </w:r>
      <w:r>
        <w:rPr>
          <w:spacing w:val="-11"/>
          <w:sz w:val="24"/>
        </w:rPr>
        <w:t xml:space="preserve"> </w:t>
      </w:r>
      <w:r>
        <w:rPr>
          <w:sz w:val="24"/>
        </w:rPr>
        <w:t>to</w:t>
      </w:r>
      <w:r>
        <w:rPr>
          <w:spacing w:val="-6"/>
          <w:sz w:val="24"/>
        </w:rPr>
        <w:t xml:space="preserve"> </w:t>
      </w:r>
      <w:r>
        <w:rPr>
          <w:sz w:val="24"/>
        </w:rPr>
        <w:t>not</w:t>
      </w:r>
      <w:r>
        <w:rPr>
          <w:spacing w:val="-6"/>
          <w:sz w:val="24"/>
        </w:rPr>
        <w:t xml:space="preserve"> </w:t>
      </w:r>
      <w:r>
        <w:rPr>
          <w:sz w:val="24"/>
        </w:rPr>
        <w:t>display</w:t>
      </w:r>
      <w:r>
        <w:rPr>
          <w:spacing w:val="-6"/>
          <w:sz w:val="24"/>
        </w:rPr>
        <w:t xml:space="preserve"> </w:t>
      </w:r>
      <w:r>
        <w:rPr>
          <w:sz w:val="24"/>
        </w:rPr>
        <w:t>the</w:t>
      </w:r>
      <w:r>
        <w:rPr>
          <w:spacing w:val="-7"/>
          <w:sz w:val="24"/>
        </w:rPr>
        <w:t xml:space="preserve"> </w:t>
      </w:r>
      <w:r>
        <w:rPr>
          <w:sz w:val="24"/>
        </w:rPr>
        <w:t>expiration</w:t>
      </w:r>
      <w:r>
        <w:rPr>
          <w:spacing w:val="-6"/>
          <w:sz w:val="24"/>
        </w:rPr>
        <w:t xml:space="preserve"> </w:t>
      </w:r>
      <w:r>
        <w:rPr>
          <w:sz w:val="24"/>
        </w:rPr>
        <w:t>date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OMB approval for this collection.</w:t>
      </w:r>
    </w:p>
    <w:p w:rsidR="003776E2" w14:paraId="048EBCB9" w14:textId="77777777">
      <w:pPr>
        <w:pStyle w:val="BodyText"/>
      </w:pPr>
    </w:p>
    <w:p w:rsidR="003776E2" w14:paraId="72EAC066" w14:textId="77777777">
      <w:pPr>
        <w:pStyle w:val="ListParagraph"/>
        <w:numPr>
          <w:ilvl w:val="1"/>
          <w:numId w:val="1"/>
        </w:numPr>
        <w:tabs>
          <w:tab w:val="left" w:pos="1528"/>
        </w:tabs>
        <w:ind w:hanging="585"/>
        <w:rPr>
          <w:sz w:val="24"/>
        </w:rPr>
      </w:pPr>
      <w:r>
        <w:rPr>
          <w:sz w:val="24"/>
        </w:rPr>
        <w:t>There</w:t>
      </w:r>
      <w:r>
        <w:rPr>
          <w:spacing w:val="-1"/>
          <w:sz w:val="24"/>
        </w:rPr>
        <w:t xml:space="preserve"> </w:t>
      </w:r>
      <w:r>
        <w:rPr>
          <w:sz w:val="24"/>
        </w:rPr>
        <w:t>are</w:t>
      </w:r>
      <w:r>
        <w:rPr>
          <w:spacing w:val="-3"/>
          <w:sz w:val="24"/>
        </w:rPr>
        <w:t xml:space="preserve"> </w:t>
      </w:r>
      <w:r>
        <w:rPr>
          <w:sz w:val="24"/>
        </w:rPr>
        <w:t>no</w:t>
      </w:r>
      <w:r>
        <w:rPr>
          <w:spacing w:val="1"/>
          <w:sz w:val="24"/>
        </w:rPr>
        <w:t xml:space="preserve"> </w:t>
      </w:r>
      <w:r>
        <w:rPr>
          <w:sz w:val="24"/>
        </w:rPr>
        <w:t>exceptions</w:t>
      </w:r>
      <w:r>
        <w:rPr>
          <w:spacing w:val="-3"/>
          <w:sz w:val="24"/>
        </w:rPr>
        <w:t xml:space="preserve"> </w:t>
      </w:r>
      <w:r>
        <w:rPr>
          <w:sz w:val="24"/>
        </w:rPr>
        <w:t>to</w:t>
      </w:r>
      <w:r>
        <w:rPr>
          <w:spacing w:val="-1"/>
          <w:sz w:val="24"/>
        </w:rPr>
        <w:t xml:space="preserve"> </w:t>
      </w:r>
      <w:r>
        <w:rPr>
          <w:sz w:val="24"/>
        </w:rPr>
        <w:t>the</w:t>
      </w:r>
      <w:r>
        <w:rPr>
          <w:spacing w:val="-7"/>
          <w:sz w:val="24"/>
        </w:rPr>
        <w:t xml:space="preserve"> </w:t>
      </w:r>
      <w:r>
        <w:rPr>
          <w:sz w:val="24"/>
        </w:rPr>
        <w:t>certification</w:t>
      </w:r>
      <w:r>
        <w:rPr>
          <w:spacing w:val="-4"/>
          <w:sz w:val="24"/>
        </w:rPr>
        <w:t xml:space="preserve"> </w:t>
      </w:r>
      <w:r>
        <w:rPr>
          <w:spacing w:val="-2"/>
          <w:sz w:val="24"/>
        </w:rPr>
        <w:t>statement.</w:t>
      </w:r>
    </w:p>
    <w:p w:rsidR="003776E2" w14:paraId="32E3F5ED" w14:textId="77777777">
      <w:pPr>
        <w:pStyle w:val="BodyText"/>
        <w:spacing w:before="67"/>
      </w:pPr>
    </w:p>
    <w:p w:rsidR="003776E2" w14:paraId="6E5E5C16" w14:textId="77777777">
      <w:pPr>
        <w:pStyle w:val="ListParagraph"/>
        <w:numPr>
          <w:ilvl w:val="0"/>
          <w:numId w:val="1"/>
        </w:numPr>
        <w:tabs>
          <w:tab w:val="left" w:pos="640"/>
        </w:tabs>
        <w:ind w:left="640" w:hanging="588"/>
        <w:jc w:val="left"/>
        <w:rPr>
          <w:sz w:val="24"/>
        </w:rPr>
      </w:pPr>
      <w:r>
        <w:rPr>
          <w:sz w:val="24"/>
        </w:rPr>
        <w:t>Collections</w:t>
      </w:r>
      <w:r>
        <w:rPr>
          <w:spacing w:val="-6"/>
          <w:sz w:val="24"/>
        </w:rPr>
        <w:t xml:space="preserve"> </w:t>
      </w:r>
      <w:r>
        <w:rPr>
          <w:sz w:val="24"/>
        </w:rPr>
        <w:t>of</w:t>
      </w:r>
      <w:r>
        <w:rPr>
          <w:spacing w:val="-7"/>
          <w:sz w:val="24"/>
        </w:rPr>
        <w:t xml:space="preserve"> </w:t>
      </w:r>
      <w:r>
        <w:rPr>
          <w:sz w:val="24"/>
        </w:rPr>
        <w:t>Information</w:t>
      </w:r>
      <w:r>
        <w:rPr>
          <w:spacing w:val="-6"/>
          <w:sz w:val="24"/>
        </w:rPr>
        <w:t xml:space="preserve"> </w:t>
      </w:r>
      <w:r>
        <w:rPr>
          <w:sz w:val="24"/>
        </w:rPr>
        <w:t>Employing</w:t>
      </w:r>
      <w:r>
        <w:rPr>
          <w:spacing w:val="-6"/>
          <w:sz w:val="24"/>
        </w:rPr>
        <w:t xml:space="preserve"> </w:t>
      </w:r>
      <w:r>
        <w:rPr>
          <w:sz w:val="24"/>
        </w:rPr>
        <w:t>Statistical</w:t>
      </w:r>
      <w:r>
        <w:rPr>
          <w:spacing w:val="-4"/>
          <w:sz w:val="24"/>
        </w:rPr>
        <w:t xml:space="preserve"> </w:t>
      </w:r>
      <w:r>
        <w:rPr>
          <w:spacing w:val="-2"/>
          <w:sz w:val="24"/>
        </w:rPr>
        <w:t>Methods.</w:t>
      </w:r>
    </w:p>
    <w:p w:rsidR="003776E2" w14:paraId="34FFB3C6" w14:textId="77777777">
      <w:pPr>
        <w:pStyle w:val="BodyText"/>
      </w:pPr>
    </w:p>
    <w:p w:rsidR="003776E2" w14:paraId="50A08F77" w14:textId="77777777">
      <w:pPr>
        <w:pStyle w:val="BodyText"/>
        <w:ind w:left="55"/>
      </w:pPr>
      <w:r>
        <w:rPr>
          <w:spacing w:val="-2"/>
        </w:rPr>
        <w:t>None.</w:t>
      </w:r>
    </w:p>
    <w:p w:rsidR="003776E2" w14:paraId="3AACAE95" w14:textId="77777777">
      <w:pPr>
        <w:pStyle w:val="BodyText"/>
      </w:pPr>
    </w:p>
    <w:p w:rsidR="003776E2" w14:paraId="0DB2689E" w14:textId="77777777">
      <w:pPr>
        <w:pStyle w:val="BodyText"/>
      </w:pPr>
    </w:p>
    <w:p w:rsidR="003776E2" w14:paraId="10642AC0" w14:textId="77777777">
      <w:pPr>
        <w:pStyle w:val="BodyText"/>
      </w:pPr>
    </w:p>
    <w:p w:rsidR="003776E2" w14:paraId="6DC8C7D0" w14:textId="77777777">
      <w:pPr>
        <w:pStyle w:val="BodyText"/>
      </w:pPr>
    </w:p>
    <w:p w:rsidR="003776E2" w14:paraId="4AA65C04" w14:textId="77777777">
      <w:pPr>
        <w:pStyle w:val="BodyText"/>
      </w:pPr>
    </w:p>
    <w:p w:rsidR="003776E2" w14:paraId="6B24DD31" w14:textId="77777777">
      <w:pPr>
        <w:pStyle w:val="BodyText"/>
      </w:pPr>
    </w:p>
    <w:p w:rsidR="003776E2" w14:paraId="0046958B" w14:textId="77777777">
      <w:pPr>
        <w:pStyle w:val="BodyText"/>
      </w:pPr>
    </w:p>
    <w:p w:rsidR="003776E2" w14:paraId="2EE3A8F9" w14:textId="77777777">
      <w:pPr>
        <w:pStyle w:val="BodyText"/>
      </w:pPr>
    </w:p>
    <w:p w:rsidR="003776E2" w14:paraId="6ED62A21" w14:textId="77777777">
      <w:pPr>
        <w:pStyle w:val="BodyText"/>
      </w:pPr>
    </w:p>
    <w:p w:rsidR="003776E2" w14:paraId="291B1BC4" w14:textId="77777777">
      <w:pPr>
        <w:pStyle w:val="BodyText"/>
      </w:pPr>
    </w:p>
    <w:p w:rsidR="003776E2" w14:paraId="1004F7B6" w14:textId="77777777">
      <w:pPr>
        <w:pStyle w:val="BodyText"/>
      </w:pPr>
    </w:p>
    <w:p w:rsidR="003776E2" w14:paraId="299FBBDD" w14:textId="77777777">
      <w:pPr>
        <w:pStyle w:val="BodyText"/>
      </w:pPr>
    </w:p>
    <w:p w:rsidR="003776E2" w14:paraId="6FF6D058" w14:textId="77777777">
      <w:pPr>
        <w:pStyle w:val="BodyText"/>
      </w:pPr>
    </w:p>
    <w:p w:rsidR="003776E2" w14:paraId="6AA3AF9C" w14:textId="77777777">
      <w:pPr>
        <w:pStyle w:val="BodyText"/>
      </w:pPr>
    </w:p>
    <w:p w:rsidR="003776E2" w14:paraId="2494E664" w14:textId="77777777">
      <w:pPr>
        <w:pStyle w:val="BodyText"/>
      </w:pPr>
    </w:p>
    <w:p w:rsidR="003776E2" w14:paraId="7F574152" w14:textId="77777777">
      <w:pPr>
        <w:pStyle w:val="BodyText"/>
      </w:pPr>
    </w:p>
    <w:p w:rsidR="003776E2" w14:paraId="5171F36E" w14:textId="77777777">
      <w:pPr>
        <w:pStyle w:val="BodyText"/>
      </w:pPr>
    </w:p>
    <w:p w:rsidR="003776E2" w14:paraId="1B949A8E" w14:textId="77777777">
      <w:pPr>
        <w:pStyle w:val="BodyText"/>
      </w:pPr>
    </w:p>
    <w:p w:rsidR="003776E2" w14:paraId="2EF9FA07" w14:textId="77777777">
      <w:pPr>
        <w:pStyle w:val="BodyText"/>
      </w:pPr>
    </w:p>
    <w:p w:rsidR="003776E2" w14:paraId="46F99A1C" w14:textId="77777777">
      <w:pPr>
        <w:pStyle w:val="BodyText"/>
      </w:pPr>
    </w:p>
    <w:p w:rsidR="003776E2" w14:paraId="709A0D85" w14:textId="77777777">
      <w:pPr>
        <w:pStyle w:val="BodyText"/>
      </w:pPr>
    </w:p>
    <w:p w:rsidR="003776E2" w14:paraId="61058FFD" w14:textId="77777777">
      <w:pPr>
        <w:pStyle w:val="BodyText"/>
      </w:pPr>
    </w:p>
    <w:p w:rsidR="003776E2" w14:paraId="2D71D3AC" w14:textId="77777777">
      <w:pPr>
        <w:pStyle w:val="BodyText"/>
      </w:pPr>
    </w:p>
    <w:p w:rsidR="003776E2" w14:paraId="02D24382" w14:textId="77777777">
      <w:pPr>
        <w:pStyle w:val="BodyText"/>
      </w:pPr>
    </w:p>
    <w:p w:rsidR="003776E2" w14:paraId="5774736B" w14:textId="77777777">
      <w:pPr>
        <w:pStyle w:val="BodyText"/>
      </w:pPr>
    </w:p>
    <w:p w:rsidR="003776E2" w14:paraId="297CBB9F" w14:textId="77777777">
      <w:pPr>
        <w:pStyle w:val="BodyText"/>
      </w:pPr>
    </w:p>
    <w:p w:rsidR="003776E2" w14:paraId="313694E2" w14:textId="77777777">
      <w:pPr>
        <w:pStyle w:val="BodyText"/>
      </w:pPr>
    </w:p>
    <w:p w:rsidR="003776E2" w14:paraId="15FA7EF1" w14:textId="77777777">
      <w:pPr>
        <w:pStyle w:val="BodyText"/>
        <w:spacing w:before="200"/>
      </w:pPr>
    </w:p>
    <w:p w:rsidR="003776E2" w14:paraId="45E4990D" w14:textId="77777777">
      <w:pPr>
        <w:pStyle w:val="BodyText"/>
        <w:ind w:right="239"/>
        <w:jc w:val="center"/>
        <w:rPr>
          <w:rFonts w:ascii="Courier New"/>
        </w:rPr>
      </w:pPr>
      <w:r>
        <w:rPr>
          <w:rFonts w:ascii="Courier New"/>
          <w:spacing w:val="-10"/>
        </w:rPr>
        <w:t>3</w:t>
      </w:r>
    </w:p>
    <w:sectPr>
      <w:pgSz w:w="12240" w:h="15840"/>
      <w:pgMar w:top="182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abstractNum w:abstractNumId="1">
    <w:nsid w:val="73387CCF"/>
    <w:multiLevelType w:val="hybridMultilevel"/>
    <w:tmpl w:val="C9AC4AA8"/>
    <w:lvl w:ilvl="0">
      <w:start w:val="1"/>
      <w:numFmt w:val="upperLetter"/>
      <w:lvlText w:val="%1."/>
      <w:lvlJc w:val="left"/>
      <w:pPr>
        <w:ind w:left="945" w:hanging="586"/>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1"/>
      <w:numFmt w:val="decimal"/>
      <w:lvlText w:val="%2."/>
      <w:lvlJc w:val="left"/>
      <w:pPr>
        <w:ind w:left="1528" w:hanging="58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0"/>
      <w:numFmt w:val="bullet"/>
      <w:lvlText w:val="•"/>
      <w:lvlJc w:val="left"/>
      <w:pPr>
        <w:ind w:left="2391" w:hanging="586"/>
      </w:pPr>
      <w:rPr>
        <w:rFonts w:hint="default"/>
        <w:lang w:val="en-US" w:eastAsia="en-US" w:bidi="ar-SA"/>
      </w:rPr>
    </w:lvl>
    <w:lvl w:ilvl="3">
      <w:start w:val="0"/>
      <w:numFmt w:val="bullet"/>
      <w:lvlText w:val="•"/>
      <w:lvlJc w:val="left"/>
      <w:pPr>
        <w:ind w:left="3262" w:hanging="586"/>
      </w:pPr>
      <w:rPr>
        <w:rFonts w:hint="default"/>
        <w:lang w:val="en-US" w:eastAsia="en-US" w:bidi="ar-SA"/>
      </w:rPr>
    </w:lvl>
    <w:lvl w:ilvl="4">
      <w:start w:val="0"/>
      <w:numFmt w:val="bullet"/>
      <w:lvlText w:val="•"/>
      <w:lvlJc w:val="left"/>
      <w:pPr>
        <w:ind w:left="4133" w:hanging="586"/>
      </w:pPr>
      <w:rPr>
        <w:rFonts w:hint="default"/>
        <w:lang w:val="en-US" w:eastAsia="en-US" w:bidi="ar-SA"/>
      </w:rPr>
    </w:lvl>
    <w:lvl w:ilvl="5">
      <w:start w:val="0"/>
      <w:numFmt w:val="bullet"/>
      <w:lvlText w:val="•"/>
      <w:lvlJc w:val="left"/>
      <w:pPr>
        <w:ind w:left="5004" w:hanging="586"/>
      </w:pPr>
      <w:rPr>
        <w:rFonts w:hint="default"/>
        <w:lang w:val="en-US" w:eastAsia="en-US" w:bidi="ar-SA"/>
      </w:rPr>
    </w:lvl>
    <w:lvl w:ilvl="6">
      <w:start w:val="0"/>
      <w:numFmt w:val="bullet"/>
      <w:lvlText w:val="•"/>
      <w:lvlJc w:val="left"/>
      <w:pPr>
        <w:ind w:left="5875" w:hanging="586"/>
      </w:pPr>
      <w:rPr>
        <w:rFonts w:hint="default"/>
        <w:lang w:val="en-US" w:eastAsia="en-US" w:bidi="ar-SA"/>
      </w:rPr>
    </w:lvl>
    <w:lvl w:ilvl="7">
      <w:start w:val="0"/>
      <w:numFmt w:val="bullet"/>
      <w:lvlText w:val="•"/>
      <w:lvlJc w:val="left"/>
      <w:pPr>
        <w:ind w:left="6746" w:hanging="586"/>
      </w:pPr>
      <w:rPr>
        <w:rFonts w:hint="default"/>
        <w:lang w:val="en-US" w:eastAsia="en-US" w:bidi="ar-SA"/>
      </w:rPr>
    </w:lvl>
    <w:lvl w:ilvl="8">
      <w:start w:val="0"/>
      <w:numFmt w:val="bullet"/>
      <w:lvlText w:val="•"/>
      <w:lvlJc w:val="left"/>
      <w:pPr>
        <w:ind w:left="7617" w:hanging="586"/>
      </w:pPr>
      <w:rPr>
        <w:rFonts w:hint="default"/>
        <w:lang w:val="en-US" w:eastAsia="en-US" w:bidi="ar-SA"/>
      </w:rPr>
    </w:lvl>
  </w:abstractNum>
  <w:num w:numId="1" w16cid:durableId="1271162848">
    <w:abstractNumId w:val="1"/>
  </w:num>
  <w:num w:numId="2" w16cid:durableId="13507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6E2"/>
    <w:rsid w:val="00061230"/>
    <w:rsid w:val="003776E2"/>
    <w:rsid w:val="006C06A3"/>
    <w:rsid w:val="0078243E"/>
    <w:rsid w:val="00AF1DE7"/>
    <w:rsid w:val="00B02F76"/>
    <w:rsid w:val="00B262BE"/>
    <w:rsid w:val="00FC69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0E2373"/>
  <w15:docId w15:val="{27EAC37B-D402-41C5-831E-BB9DC55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28" w:hanging="58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atfonline.gov/"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2255EE-81B0-4AF2-A8FD-8601392151D0}">
  <ds:schemaRefs>
    <ds:schemaRef ds:uri="http://schemas.microsoft.com/sharepoint/v3/contenttype/forms"/>
  </ds:schemaRefs>
</ds:datastoreItem>
</file>

<file path=customXml/itemProps2.xml><?xml version="1.0" encoding="utf-8"?>
<ds:datastoreItem xmlns:ds="http://schemas.openxmlformats.org/officeDocument/2006/customXml" ds:itemID="{73D43C20-2564-49E4-82F9-823BC1510844}">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3.xml><?xml version="1.0" encoding="utf-8"?>
<ds:datastoreItem xmlns:ds="http://schemas.openxmlformats.org/officeDocument/2006/customXml" ds:itemID="{EEC606FA-5EFC-42E3-9ADB-00505D905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4277</Characters>
  <Application>Microsoft Office Word</Application>
  <DocSecurity>0</DocSecurity>
  <Lines>35</Lines>
  <Paragraphs>10</Paragraphs>
  <ScaleCrop>false</ScaleCrop>
  <Company>ATF</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Collection Request OMB 1140-0013 ATF Form 3 (5320.3)</dc:title>
  <dc:subject>Information Collection Request OMB 1140-0013 ATF Form 3 (5320.3)</dc:subject>
  <dc:creator>ATF</dc:creator>
  <cp:keywords>Information Collection Request OMB 1140-0013 ATF Form 3 (5320.3)</cp:keywords>
  <cp:lastModifiedBy>Holmes-Brooks, Colette N. (ATF) (CTR)</cp:lastModifiedBy>
  <cp:revision>2</cp:revision>
  <dcterms:created xsi:type="dcterms:W3CDTF">2026-10-26T19:04:00Z</dcterms:created>
  <dcterms:modified xsi:type="dcterms:W3CDTF">2026-10-26T19:04:00Z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2023-05-31T00:00:00Z</vt:filetime>
  </property>
  <property fmtid="{D5CDD505-2E9C-101B-9397-08002B2CF9AE}" pid="4" name="Creator">
    <vt:lpwstr>Acrobat PDFMaker 23 for Word</vt:lpwstr>
  </property>
  <property fmtid="{D5CDD505-2E9C-101B-9397-08002B2CF9AE}" pid="5" name="LastSaved">
    <vt:filetime>2026-09-04T00:00:00Z</vt:filetime>
  </property>
  <property fmtid="{D5CDD505-2E9C-101B-9397-08002B2CF9AE}" pid="6" name="Producer">
    <vt:lpwstr>Adobe PDF Library 23.1.206</vt:lpwstr>
  </property>
  <property fmtid="{D5CDD505-2E9C-101B-9397-08002B2CF9AE}" pid="7" name="SourceModified">
    <vt:lpwstr>D:20230531172535</vt:lpwstr>
  </property>
</Properties>
</file>