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925F9" w14:paraId="41AF84A1" w14:textId="77777777">
      <w:pPr>
        <w:spacing w:before="76"/>
        <w:ind w:left="2698" w:right="1718"/>
        <w:jc w:val="center"/>
        <w:rPr>
          <w:b/>
          <w:sz w:val="24"/>
        </w:rPr>
      </w:pPr>
      <w:r>
        <w:rPr>
          <w:b/>
          <w:sz w:val="24"/>
        </w:rPr>
        <w:t>Department</w:t>
      </w:r>
      <w:r>
        <w:rPr>
          <w:b/>
          <w:spacing w:val="-13"/>
          <w:sz w:val="24"/>
        </w:rPr>
        <w:t xml:space="preserve"> </w:t>
      </w:r>
      <w:r>
        <w:rPr>
          <w:b/>
          <w:sz w:val="24"/>
        </w:rPr>
        <w:t>of</w:t>
      </w:r>
      <w:r>
        <w:rPr>
          <w:b/>
          <w:spacing w:val="-8"/>
          <w:sz w:val="24"/>
        </w:rPr>
        <w:t xml:space="preserve"> </w:t>
      </w:r>
      <w:r>
        <w:rPr>
          <w:b/>
          <w:spacing w:val="-2"/>
          <w:sz w:val="24"/>
        </w:rPr>
        <w:t>Justice</w:t>
      </w:r>
    </w:p>
    <w:p w:rsidR="008925F9" w14:paraId="057FF35A" w14:textId="77777777">
      <w:pPr>
        <w:spacing w:before="2" w:line="242" w:lineRule="auto"/>
        <w:ind w:left="2698" w:right="1710"/>
        <w:jc w:val="center"/>
        <w:rPr>
          <w:b/>
          <w:sz w:val="24"/>
        </w:rPr>
      </w:pPr>
      <w:r>
        <w:rPr>
          <w:b/>
          <w:sz w:val="24"/>
        </w:rPr>
        <w:t>Bureau</w:t>
      </w:r>
      <w:r>
        <w:rPr>
          <w:b/>
          <w:spacing w:val="-15"/>
          <w:sz w:val="24"/>
        </w:rPr>
        <w:t xml:space="preserve"> </w:t>
      </w:r>
      <w:r>
        <w:rPr>
          <w:b/>
          <w:sz w:val="24"/>
        </w:rPr>
        <w:t>of</w:t>
      </w:r>
      <w:r>
        <w:rPr>
          <w:b/>
          <w:spacing w:val="-15"/>
          <w:sz w:val="24"/>
        </w:rPr>
        <w:t xml:space="preserve"> </w:t>
      </w:r>
      <w:r>
        <w:rPr>
          <w:b/>
          <w:sz w:val="24"/>
        </w:rPr>
        <w:t>Alcohol,</w:t>
      </w:r>
      <w:r>
        <w:rPr>
          <w:b/>
          <w:spacing w:val="-15"/>
          <w:sz w:val="24"/>
        </w:rPr>
        <w:t xml:space="preserve"> </w:t>
      </w:r>
      <w:r>
        <w:rPr>
          <w:b/>
          <w:sz w:val="24"/>
        </w:rPr>
        <w:t>Tobacco,</w:t>
      </w:r>
      <w:r>
        <w:rPr>
          <w:b/>
          <w:spacing w:val="-15"/>
          <w:sz w:val="24"/>
        </w:rPr>
        <w:t xml:space="preserve"> </w:t>
      </w:r>
      <w:r>
        <w:rPr>
          <w:b/>
          <w:sz w:val="24"/>
        </w:rPr>
        <w:t>Firearms</w:t>
      </w:r>
      <w:r>
        <w:rPr>
          <w:b/>
          <w:spacing w:val="-15"/>
          <w:sz w:val="24"/>
        </w:rPr>
        <w:t xml:space="preserve"> </w:t>
      </w:r>
      <w:r>
        <w:rPr>
          <w:b/>
          <w:sz w:val="24"/>
        </w:rPr>
        <w:t xml:space="preserve">and </w:t>
      </w:r>
      <w:r>
        <w:rPr>
          <w:b/>
          <w:spacing w:val="-2"/>
          <w:sz w:val="24"/>
        </w:rPr>
        <w:t>Explosives</w:t>
      </w:r>
    </w:p>
    <w:p w:rsidR="008925F9" w14:paraId="18A77586" w14:textId="77777777">
      <w:pPr>
        <w:ind w:left="3748" w:right="2761" w:firstLine="2"/>
        <w:jc w:val="center"/>
        <w:rPr>
          <w:b/>
          <w:sz w:val="24"/>
        </w:rPr>
      </w:pPr>
      <w:r>
        <w:rPr>
          <w:b/>
          <w:sz w:val="24"/>
        </w:rPr>
        <w:t xml:space="preserve">Supporting Statement </w:t>
      </w:r>
      <w:r>
        <w:rPr>
          <w:b/>
          <w:spacing w:val="-2"/>
          <w:sz w:val="24"/>
        </w:rPr>
        <w:t>Information</w:t>
      </w:r>
      <w:r>
        <w:rPr>
          <w:b/>
          <w:spacing w:val="-6"/>
          <w:sz w:val="24"/>
        </w:rPr>
        <w:t xml:space="preserve"> </w:t>
      </w:r>
      <w:r>
        <w:rPr>
          <w:b/>
          <w:spacing w:val="-2"/>
          <w:sz w:val="24"/>
        </w:rPr>
        <w:t>Collection</w:t>
      </w:r>
      <w:r>
        <w:rPr>
          <w:b/>
          <w:spacing w:val="-8"/>
          <w:sz w:val="24"/>
        </w:rPr>
        <w:t xml:space="preserve"> </w:t>
      </w:r>
      <w:r>
        <w:rPr>
          <w:b/>
          <w:spacing w:val="-2"/>
          <w:sz w:val="24"/>
        </w:rPr>
        <w:t xml:space="preserve">Request </w:t>
      </w:r>
      <w:r>
        <w:rPr>
          <w:b/>
          <w:sz w:val="24"/>
        </w:rPr>
        <w:t>OMB 1140-0090</w:t>
      </w:r>
    </w:p>
    <w:p w:rsidR="008925F9" w14:paraId="6B546780" w14:textId="77777777">
      <w:pPr>
        <w:pStyle w:val="BodyText"/>
        <w:rPr>
          <w:b/>
        </w:rPr>
      </w:pPr>
    </w:p>
    <w:p w:rsidR="008925F9" w14:paraId="201380D4" w14:textId="77777777">
      <w:pPr>
        <w:pStyle w:val="BodyText"/>
        <w:spacing w:before="188"/>
        <w:rPr>
          <w:b/>
        </w:rPr>
      </w:pPr>
    </w:p>
    <w:p w:rsidR="008925F9" w14:paraId="27420B13" w14:textId="77777777">
      <w:pPr>
        <w:pStyle w:val="BodyText"/>
        <w:ind w:left="1095"/>
      </w:pPr>
      <w:r>
        <w:t>National</w:t>
      </w:r>
      <w:r>
        <w:rPr>
          <w:spacing w:val="-14"/>
        </w:rPr>
        <w:t xml:space="preserve"> </w:t>
      </w:r>
      <w:r>
        <w:t>Firearms</w:t>
      </w:r>
      <w:r>
        <w:rPr>
          <w:spacing w:val="-11"/>
        </w:rPr>
        <w:t xml:space="preserve"> </w:t>
      </w:r>
      <w:r>
        <w:t>Act</w:t>
      </w:r>
      <w:r>
        <w:rPr>
          <w:spacing w:val="-6"/>
        </w:rPr>
        <w:t xml:space="preserve"> </w:t>
      </w:r>
      <w:r>
        <w:t>(NFA)</w:t>
      </w:r>
      <w:r>
        <w:rPr>
          <w:spacing w:val="-11"/>
        </w:rPr>
        <w:t xml:space="preserve"> </w:t>
      </w:r>
      <w:r>
        <w:t>-</w:t>
      </w:r>
      <w:r>
        <w:rPr>
          <w:spacing w:val="-13"/>
        </w:rPr>
        <w:t xml:space="preserve"> </w:t>
      </w:r>
      <w:r>
        <w:t>Special</w:t>
      </w:r>
      <w:r>
        <w:rPr>
          <w:spacing w:val="-9"/>
        </w:rPr>
        <w:t xml:space="preserve"> </w:t>
      </w:r>
      <w:r>
        <w:t>Occupational</w:t>
      </w:r>
      <w:r>
        <w:rPr>
          <w:spacing w:val="-11"/>
        </w:rPr>
        <w:t xml:space="preserve"> </w:t>
      </w:r>
      <w:r>
        <w:t>Taxes</w:t>
      </w:r>
      <w:r>
        <w:rPr>
          <w:spacing w:val="-11"/>
        </w:rPr>
        <w:t xml:space="preserve"> </w:t>
      </w:r>
      <w:r>
        <w:t>(SOT)</w:t>
      </w:r>
      <w:r>
        <w:rPr>
          <w:spacing w:val="-13"/>
        </w:rPr>
        <w:t xml:space="preserve"> </w:t>
      </w:r>
      <w:r>
        <w:t>-</w:t>
      </w:r>
      <w:r>
        <w:rPr>
          <w:spacing w:val="-5"/>
        </w:rPr>
        <w:t xml:space="preserve"> </w:t>
      </w:r>
      <w:r>
        <w:t>ATF</w:t>
      </w:r>
      <w:r>
        <w:rPr>
          <w:spacing w:val="-6"/>
        </w:rPr>
        <w:t xml:space="preserve"> </w:t>
      </w:r>
      <w:r>
        <w:t>Form</w:t>
      </w:r>
      <w:r>
        <w:rPr>
          <w:spacing w:val="-5"/>
        </w:rPr>
        <w:t xml:space="preserve"> </w:t>
      </w:r>
      <w:r>
        <w:rPr>
          <w:spacing w:val="-2"/>
        </w:rPr>
        <w:t>5630.7</w:t>
      </w:r>
    </w:p>
    <w:p w:rsidR="008925F9" w14:paraId="2BAFAB60" w14:textId="77777777">
      <w:pPr>
        <w:pStyle w:val="BodyText"/>
      </w:pPr>
    </w:p>
    <w:p w:rsidR="008925F9" w14:paraId="0D4E42B1" w14:textId="77777777">
      <w:pPr>
        <w:pStyle w:val="BodyText"/>
        <w:spacing w:before="83"/>
      </w:pPr>
    </w:p>
    <w:p w:rsidR="008925F9" w14:paraId="0E61385A" w14:textId="77777777">
      <w:pPr>
        <w:pStyle w:val="ListParagraph"/>
        <w:numPr>
          <w:ilvl w:val="0"/>
          <w:numId w:val="1"/>
        </w:numPr>
        <w:tabs>
          <w:tab w:val="left" w:pos="538"/>
        </w:tabs>
        <w:ind w:left="538" w:hanging="358"/>
        <w:jc w:val="left"/>
        <w:rPr>
          <w:b/>
          <w:sz w:val="24"/>
        </w:rPr>
      </w:pPr>
      <w:r>
        <w:rPr>
          <w:b/>
          <w:spacing w:val="-2"/>
          <w:sz w:val="24"/>
        </w:rPr>
        <w:t>Justification</w:t>
      </w:r>
    </w:p>
    <w:p w:rsidR="008925F9" w14:paraId="42BB8313" w14:textId="77777777">
      <w:pPr>
        <w:pStyle w:val="ListParagraph"/>
        <w:numPr>
          <w:ilvl w:val="1"/>
          <w:numId w:val="1"/>
        </w:numPr>
        <w:tabs>
          <w:tab w:val="left" w:pos="991"/>
        </w:tabs>
        <w:spacing w:before="218"/>
        <w:ind w:right="511"/>
        <w:rPr>
          <w:sz w:val="24"/>
        </w:rPr>
      </w:pPr>
      <w:r>
        <w:rPr>
          <w:sz w:val="24"/>
        </w:rPr>
        <w:t>When initiating a business and thereafter on or before July 1 of each year, every importer, manufacturer, and dealer in firearms shall pay a special (occupational) tax for each place of business (26 USC 5801). Since 1972, ATF has been collecting Special Occupational Taxes (SOT)</w:t>
      </w:r>
      <w:r>
        <w:rPr>
          <w:spacing w:val="-1"/>
          <w:sz w:val="24"/>
        </w:rPr>
        <w:t xml:space="preserve"> </w:t>
      </w:r>
      <w:r>
        <w:rPr>
          <w:sz w:val="24"/>
        </w:rPr>
        <w:t>under</w:t>
      </w:r>
      <w:r>
        <w:rPr>
          <w:spacing w:val="-1"/>
          <w:sz w:val="24"/>
        </w:rPr>
        <w:t xml:space="preserve"> </w:t>
      </w:r>
      <w:r>
        <w:rPr>
          <w:sz w:val="24"/>
        </w:rPr>
        <w:t>the</w:t>
      </w:r>
      <w:r>
        <w:rPr>
          <w:spacing w:val="-1"/>
          <w:sz w:val="24"/>
        </w:rPr>
        <w:t xml:space="preserve"> </w:t>
      </w:r>
      <w:r>
        <w:rPr>
          <w:sz w:val="24"/>
        </w:rPr>
        <w:t>National Firearms Act (NFA) (Title</w:t>
      </w:r>
      <w:r>
        <w:rPr>
          <w:spacing w:val="-1"/>
          <w:sz w:val="24"/>
        </w:rPr>
        <w:t xml:space="preserve"> </w:t>
      </w:r>
      <w:r>
        <w:rPr>
          <w:sz w:val="24"/>
        </w:rPr>
        <w:t>26, USC</w:t>
      </w:r>
      <w:r>
        <w:rPr>
          <w:spacing w:val="-8"/>
          <w:sz w:val="24"/>
        </w:rPr>
        <w:t xml:space="preserve"> </w:t>
      </w:r>
      <w:r>
        <w:rPr>
          <w:sz w:val="24"/>
        </w:rPr>
        <w:t>Chapter</w:t>
      </w:r>
      <w:r>
        <w:rPr>
          <w:spacing w:val="-8"/>
          <w:sz w:val="24"/>
        </w:rPr>
        <w:t xml:space="preserve"> </w:t>
      </w:r>
      <w:r>
        <w:rPr>
          <w:sz w:val="24"/>
        </w:rPr>
        <w:t>53).</w:t>
      </w:r>
      <w:r>
        <w:rPr>
          <w:spacing w:val="-6"/>
          <w:sz w:val="24"/>
        </w:rPr>
        <w:t xml:space="preserve"> </w:t>
      </w:r>
      <w:r>
        <w:rPr>
          <w:sz w:val="24"/>
        </w:rPr>
        <w:t>Firearms</w:t>
      </w:r>
      <w:r>
        <w:rPr>
          <w:spacing w:val="-8"/>
          <w:sz w:val="24"/>
        </w:rPr>
        <w:t xml:space="preserve"> </w:t>
      </w:r>
      <w:r>
        <w:rPr>
          <w:sz w:val="24"/>
        </w:rPr>
        <w:t>dealers,</w:t>
      </w:r>
      <w:r>
        <w:rPr>
          <w:spacing w:val="-6"/>
          <w:sz w:val="24"/>
        </w:rPr>
        <w:t xml:space="preserve"> </w:t>
      </w:r>
      <w:r>
        <w:rPr>
          <w:sz w:val="24"/>
        </w:rPr>
        <w:t>manufacturers,</w:t>
      </w:r>
      <w:r>
        <w:rPr>
          <w:spacing w:val="-8"/>
          <w:sz w:val="24"/>
        </w:rPr>
        <w:t xml:space="preserve"> </w:t>
      </w:r>
      <w:r>
        <w:rPr>
          <w:sz w:val="24"/>
        </w:rPr>
        <w:t>and</w:t>
      </w:r>
      <w:r>
        <w:rPr>
          <w:spacing w:val="-8"/>
          <w:sz w:val="24"/>
        </w:rPr>
        <w:t xml:space="preserve"> </w:t>
      </w:r>
      <w:r>
        <w:rPr>
          <w:sz w:val="24"/>
        </w:rPr>
        <w:t>importers</w:t>
      </w:r>
      <w:r>
        <w:rPr>
          <w:spacing w:val="-6"/>
          <w:sz w:val="24"/>
        </w:rPr>
        <w:t xml:space="preserve"> </w:t>
      </w:r>
      <w:r>
        <w:rPr>
          <w:sz w:val="24"/>
        </w:rPr>
        <w:t>must</w:t>
      </w:r>
      <w:r>
        <w:rPr>
          <w:spacing w:val="-8"/>
          <w:sz w:val="24"/>
        </w:rPr>
        <w:t xml:space="preserve"> </w:t>
      </w:r>
      <w:r>
        <w:rPr>
          <w:sz w:val="24"/>
        </w:rPr>
        <w:t>pay</w:t>
      </w:r>
      <w:r>
        <w:rPr>
          <w:spacing w:val="-10"/>
          <w:sz w:val="24"/>
        </w:rPr>
        <w:t xml:space="preserve"> </w:t>
      </w:r>
      <w:r>
        <w:rPr>
          <w:sz w:val="24"/>
        </w:rPr>
        <w:t>this</w:t>
      </w:r>
      <w:r>
        <w:rPr>
          <w:spacing w:val="-8"/>
          <w:sz w:val="24"/>
        </w:rPr>
        <w:t xml:space="preserve"> </w:t>
      </w:r>
      <w:r>
        <w:rPr>
          <w:sz w:val="24"/>
        </w:rPr>
        <w:t>tax</w:t>
      </w:r>
      <w:r>
        <w:rPr>
          <w:spacing w:val="-6"/>
          <w:sz w:val="24"/>
        </w:rPr>
        <w:t xml:space="preserve"> </w:t>
      </w:r>
      <w:r>
        <w:rPr>
          <w:sz w:val="24"/>
        </w:rPr>
        <w:t>in order to</w:t>
      </w:r>
      <w:r>
        <w:rPr>
          <w:sz w:val="24"/>
        </w:rPr>
        <w:t xml:space="preserve"> conduct multiple transfers of specified weapons (such as machine guns) within</w:t>
      </w:r>
      <w:r>
        <w:rPr>
          <w:spacing w:val="-6"/>
          <w:sz w:val="24"/>
        </w:rPr>
        <w:t xml:space="preserve"> </w:t>
      </w:r>
      <w:r>
        <w:rPr>
          <w:sz w:val="24"/>
        </w:rPr>
        <w:t>the</w:t>
      </w:r>
      <w:r>
        <w:rPr>
          <w:spacing w:val="-9"/>
          <w:sz w:val="24"/>
        </w:rPr>
        <w:t xml:space="preserve"> </w:t>
      </w:r>
      <w:r>
        <w:rPr>
          <w:sz w:val="24"/>
        </w:rPr>
        <w:t>tax</w:t>
      </w:r>
      <w:r>
        <w:rPr>
          <w:spacing w:val="-3"/>
          <w:sz w:val="24"/>
        </w:rPr>
        <w:t xml:space="preserve"> </w:t>
      </w:r>
      <w:r>
        <w:rPr>
          <w:sz w:val="24"/>
        </w:rPr>
        <w:t>year.</w:t>
      </w:r>
      <w:r>
        <w:rPr>
          <w:spacing w:val="-6"/>
          <w:sz w:val="24"/>
        </w:rPr>
        <w:t xml:space="preserve"> </w:t>
      </w:r>
      <w:r>
        <w:rPr>
          <w:sz w:val="24"/>
        </w:rPr>
        <w:t>ATF</w:t>
      </w:r>
      <w:r>
        <w:rPr>
          <w:spacing w:val="-5"/>
          <w:sz w:val="24"/>
        </w:rPr>
        <w:t xml:space="preserve"> </w:t>
      </w:r>
      <w:r>
        <w:rPr>
          <w:sz w:val="24"/>
        </w:rPr>
        <w:t>also</w:t>
      </w:r>
      <w:r>
        <w:rPr>
          <w:spacing w:val="-6"/>
          <w:sz w:val="24"/>
        </w:rPr>
        <w:t xml:space="preserve"> </w:t>
      </w:r>
      <w:r>
        <w:rPr>
          <w:sz w:val="24"/>
        </w:rPr>
        <w:t>has</w:t>
      </w:r>
      <w:r>
        <w:rPr>
          <w:spacing w:val="-8"/>
          <w:sz w:val="24"/>
        </w:rPr>
        <w:t xml:space="preserve"> </w:t>
      </w:r>
      <w:r>
        <w:rPr>
          <w:sz w:val="24"/>
        </w:rPr>
        <w:t>collection</w:t>
      </w:r>
      <w:r>
        <w:rPr>
          <w:spacing w:val="-6"/>
          <w:sz w:val="24"/>
        </w:rPr>
        <w:t xml:space="preserve"> </w:t>
      </w:r>
      <w:r>
        <w:rPr>
          <w:sz w:val="24"/>
        </w:rPr>
        <w:t>and</w:t>
      </w:r>
      <w:r>
        <w:rPr>
          <w:spacing w:val="-6"/>
          <w:sz w:val="24"/>
        </w:rPr>
        <w:t xml:space="preserve"> </w:t>
      </w:r>
      <w:r>
        <w:rPr>
          <w:sz w:val="24"/>
        </w:rPr>
        <w:t>programmatic</w:t>
      </w:r>
      <w:r>
        <w:rPr>
          <w:spacing w:val="-9"/>
          <w:sz w:val="24"/>
        </w:rPr>
        <w:t xml:space="preserve"> </w:t>
      </w:r>
      <w:r>
        <w:rPr>
          <w:sz w:val="24"/>
        </w:rPr>
        <w:t>responsibility</w:t>
      </w:r>
      <w:r>
        <w:rPr>
          <w:spacing w:val="-11"/>
          <w:sz w:val="24"/>
        </w:rPr>
        <w:t xml:space="preserve"> </w:t>
      </w:r>
      <w:r>
        <w:rPr>
          <w:sz w:val="24"/>
        </w:rPr>
        <w:t>for</w:t>
      </w:r>
      <w:r>
        <w:rPr>
          <w:spacing w:val="-9"/>
          <w:sz w:val="24"/>
        </w:rPr>
        <w:t xml:space="preserve"> </w:t>
      </w:r>
      <w:r>
        <w:rPr>
          <w:sz w:val="24"/>
        </w:rPr>
        <w:t>three</w:t>
      </w:r>
    </w:p>
    <w:p w:rsidR="008925F9" w14:paraId="2EA05A74" w14:textId="77777777">
      <w:pPr>
        <w:pStyle w:val="BodyText"/>
        <w:spacing w:before="3"/>
        <w:ind w:left="991" w:right="475"/>
      </w:pPr>
      <w:r>
        <w:t>(3) other revenue programs: Federal firearms and explosives licensing; imports; and NFA making and transfer taxes. The NFA making and transfer taxes are assessed under the same statutory authority as the NFA-SOT. The difference is in scope. For instance, under NFA-SOT, firearms dealers, manufacturers, and importers pay an annual tax of $1000 or $500 (depending upon business size) for unlimited weapons transfers. However, under NFA making and transfer, the fee is $200 per weapons transfer. Transferring entit</w:t>
      </w:r>
      <w:r>
        <w:t>ies, regardless of the amount paid, must register weapons transfers with ATF. June 2021 ATF deployed the ability to submit and pay on the pay.gov</w:t>
      </w:r>
      <w:r>
        <w:rPr>
          <w:spacing w:val="-3"/>
        </w:rPr>
        <w:t xml:space="preserve"> </w:t>
      </w:r>
      <w:r>
        <w:t>website.</w:t>
      </w:r>
      <w:r>
        <w:rPr>
          <w:spacing w:val="40"/>
        </w:rPr>
        <w:t xml:space="preserve"> </w:t>
      </w:r>
      <w:r>
        <w:t>January</w:t>
      </w:r>
      <w:r>
        <w:rPr>
          <w:spacing w:val="-3"/>
        </w:rPr>
        <w:t xml:space="preserve"> </w:t>
      </w:r>
      <w:r>
        <w:t>2022</w:t>
      </w:r>
      <w:r>
        <w:rPr>
          <w:spacing w:val="-3"/>
        </w:rPr>
        <w:t xml:space="preserve"> </w:t>
      </w:r>
      <w:r>
        <w:t>ATF</w:t>
      </w:r>
      <w:r>
        <w:rPr>
          <w:spacing w:val="-5"/>
        </w:rPr>
        <w:t xml:space="preserve"> </w:t>
      </w:r>
      <w:r>
        <w:t>discontinued</w:t>
      </w:r>
      <w:r>
        <w:rPr>
          <w:spacing w:val="-3"/>
        </w:rPr>
        <w:t xml:space="preserve"> </w:t>
      </w:r>
      <w:r>
        <w:t>the</w:t>
      </w:r>
      <w:r>
        <w:rPr>
          <w:spacing w:val="-4"/>
        </w:rPr>
        <w:t xml:space="preserve"> </w:t>
      </w:r>
      <w:r>
        <w:t>use</w:t>
      </w:r>
      <w:r>
        <w:rPr>
          <w:spacing w:val="-4"/>
        </w:rPr>
        <w:t xml:space="preserve"> </w:t>
      </w:r>
      <w:r>
        <w:t>of</w:t>
      </w:r>
      <w:r>
        <w:rPr>
          <w:spacing w:val="-4"/>
        </w:rPr>
        <w:t xml:space="preserve"> </w:t>
      </w:r>
      <w:r>
        <w:t>ATF</w:t>
      </w:r>
      <w:r>
        <w:rPr>
          <w:spacing w:val="-5"/>
        </w:rPr>
        <w:t xml:space="preserve"> </w:t>
      </w:r>
      <w:r>
        <w:t>F</w:t>
      </w:r>
      <w:r>
        <w:rPr>
          <w:spacing w:val="-5"/>
        </w:rPr>
        <w:t xml:space="preserve"> </w:t>
      </w:r>
      <w:r>
        <w:t>5630.5R</w:t>
      </w:r>
      <w:r>
        <w:rPr>
          <w:spacing w:val="-3"/>
        </w:rPr>
        <w:t xml:space="preserve"> </w:t>
      </w:r>
      <w:r>
        <w:t>as</w:t>
      </w:r>
      <w:r>
        <w:rPr>
          <w:spacing w:val="-3"/>
        </w:rPr>
        <w:t xml:space="preserve"> </w:t>
      </w:r>
      <w:r>
        <w:t>well as the ATF F 5630.RC.</w:t>
      </w:r>
    </w:p>
    <w:p w:rsidR="008925F9" w14:paraId="58BAD2DB" w14:textId="77777777">
      <w:pPr>
        <w:pStyle w:val="ListParagraph"/>
        <w:numPr>
          <w:ilvl w:val="1"/>
          <w:numId w:val="1"/>
        </w:numPr>
        <w:tabs>
          <w:tab w:val="left" w:pos="991"/>
        </w:tabs>
        <w:spacing w:before="274"/>
        <w:ind w:right="463"/>
        <w:rPr>
          <w:sz w:val="24"/>
        </w:rPr>
      </w:pPr>
      <w:r>
        <w:rPr>
          <w:sz w:val="24"/>
        </w:rPr>
        <w:t>In order to meet the statutory requirements and ensure that payees receive credit for their payments, ATF must have correct information about the taxpayer, including name, mailing address, employee identification number (EIN), business telephone number, and information on the tax class for which payment is being made</w:t>
      </w:r>
      <w:r>
        <w:rPr>
          <w:sz w:val="24"/>
        </w:rPr>
        <w:t>. All taxpayers must complete the registration and return the Special Tax Registration and Return National Firearms Act (NFA) - ATF Form 5630.7. The tax years extend from July</w:t>
      </w:r>
      <w:r>
        <w:rPr>
          <w:spacing w:val="-13"/>
          <w:sz w:val="24"/>
        </w:rPr>
        <w:t xml:space="preserve"> </w:t>
      </w:r>
      <w:r>
        <w:rPr>
          <w:sz w:val="24"/>
        </w:rPr>
        <w:t>1,</w:t>
      </w:r>
      <w:r>
        <w:rPr>
          <w:spacing w:val="-3"/>
          <w:sz w:val="24"/>
        </w:rPr>
        <w:t xml:space="preserve"> </w:t>
      </w:r>
      <w:r>
        <w:rPr>
          <w:sz w:val="24"/>
        </w:rPr>
        <w:t>20XX</w:t>
      </w:r>
      <w:r>
        <w:rPr>
          <w:spacing w:val="-4"/>
          <w:sz w:val="24"/>
        </w:rPr>
        <w:t xml:space="preserve"> </w:t>
      </w:r>
      <w:r>
        <w:rPr>
          <w:sz w:val="24"/>
        </w:rPr>
        <w:t>through</w:t>
      </w:r>
      <w:r>
        <w:rPr>
          <w:spacing w:val="-3"/>
          <w:sz w:val="24"/>
        </w:rPr>
        <w:t xml:space="preserve"> </w:t>
      </w:r>
      <w:r>
        <w:rPr>
          <w:sz w:val="24"/>
        </w:rPr>
        <w:t>June</w:t>
      </w:r>
      <w:r>
        <w:rPr>
          <w:spacing w:val="-4"/>
          <w:sz w:val="24"/>
        </w:rPr>
        <w:t xml:space="preserve"> </w:t>
      </w:r>
      <w:r>
        <w:rPr>
          <w:sz w:val="24"/>
        </w:rPr>
        <w:t>30,</w:t>
      </w:r>
      <w:r>
        <w:rPr>
          <w:spacing w:val="-3"/>
          <w:sz w:val="24"/>
        </w:rPr>
        <w:t xml:space="preserve"> </w:t>
      </w:r>
      <w:r>
        <w:rPr>
          <w:sz w:val="24"/>
        </w:rPr>
        <w:t>20XX</w:t>
      </w:r>
      <w:r>
        <w:rPr>
          <w:spacing w:val="-4"/>
          <w:sz w:val="24"/>
        </w:rPr>
        <w:t xml:space="preserve"> </w:t>
      </w:r>
      <w:r>
        <w:rPr>
          <w:sz w:val="24"/>
        </w:rPr>
        <w:t>+</w:t>
      </w:r>
      <w:r>
        <w:rPr>
          <w:spacing w:val="-4"/>
          <w:sz w:val="24"/>
        </w:rPr>
        <w:t xml:space="preserve"> </w:t>
      </w:r>
      <w:r>
        <w:rPr>
          <w:sz w:val="24"/>
        </w:rPr>
        <w:t>1.</w:t>
      </w:r>
      <w:r>
        <w:rPr>
          <w:spacing w:val="-3"/>
          <w:sz w:val="24"/>
        </w:rPr>
        <w:t xml:space="preserve"> </w:t>
      </w:r>
      <w:r>
        <w:rPr>
          <w:sz w:val="24"/>
        </w:rPr>
        <w:t>All</w:t>
      </w:r>
      <w:r>
        <w:rPr>
          <w:spacing w:val="-3"/>
          <w:sz w:val="24"/>
        </w:rPr>
        <w:t xml:space="preserve"> </w:t>
      </w:r>
      <w:r>
        <w:rPr>
          <w:sz w:val="24"/>
        </w:rPr>
        <w:t>taxpayers</w:t>
      </w:r>
      <w:r>
        <w:rPr>
          <w:spacing w:val="-3"/>
          <w:sz w:val="24"/>
        </w:rPr>
        <w:t xml:space="preserve"> </w:t>
      </w:r>
      <w:r>
        <w:rPr>
          <w:sz w:val="24"/>
        </w:rPr>
        <w:t>must</w:t>
      </w:r>
      <w:r>
        <w:rPr>
          <w:spacing w:val="-3"/>
          <w:sz w:val="24"/>
        </w:rPr>
        <w:t xml:space="preserve"> </w:t>
      </w:r>
      <w:r>
        <w:rPr>
          <w:sz w:val="24"/>
        </w:rPr>
        <w:t>complete</w:t>
      </w:r>
      <w:r>
        <w:rPr>
          <w:spacing w:val="-4"/>
          <w:sz w:val="24"/>
        </w:rPr>
        <w:t xml:space="preserve"> </w:t>
      </w:r>
      <w:r>
        <w:rPr>
          <w:sz w:val="24"/>
        </w:rPr>
        <w:t>the</w:t>
      </w:r>
      <w:r>
        <w:rPr>
          <w:spacing w:val="-2"/>
          <w:sz w:val="24"/>
        </w:rPr>
        <w:t xml:space="preserve"> </w:t>
      </w:r>
      <w:r>
        <w:rPr>
          <w:sz w:val="24"/>
        </w:rPr>
        <w:t>registaiton</w:t>
      </w:r>
      <w:r>
        <w:rPr>
          <w:sz w:val="24"/>
        </w:rPr>
        <w:t xml:space="preserve"> and return </w:t>
      </w:r>
      <w:r>
        <w:rPr>
          <w:sz w:val="24"/>
        </w:rPr>
        <w:t>form )ATF</w:t>
      </w:r>
      <w:r>
        <w:rPr>
          <w:sz w:val="24"/>
        </w:rPr>
        <w:t xml:space="preserve"> F 5630.7).</w:t>
      </w:r>
    </w:p>
    <w:p w:rsidR="008925F9" w14:paraId="1237F6AD" w14:textId="77777777">
      <w:pPr>
        <w:pStyle w:val="BodyText"/>
        <w:spacing w:before="4"/>
      </w:pPr>
    </w:p>
    <w:p w:rsidR="008925F9" w14:paraId="07FEF988" w14:textId="77777777">
      <w:pPr>
        <w:pStyle w:val="ListParagraph"/>
        <w:numPr>
          <w:ilvl w:val="1"/>
          <w:numId w:val="1"/>
        </w:numPr>
        <w:tabs>
          <w:tab w:val="left" w:pos="991"/>
        </w:tabs>
        <w:spacing w:before="1"/>
        <w:ind w:right="520"/>
        <w:rPr>
          <w:sz w:val="24"/>
        </w:rPr>
      </w:pPr>
      <w:r>
        <w:rPr>
          <w:sz w:val="24"/>
        </w:rPr>
        <w:t xml:space="preserve">ATF F 5630.7 is available via </w:t>
      </w:r>
      <w:hyperlink r:id="rId7">
        <w:r>
          <w:rPr>
            <w:color w:val="0000FF"/>
            <w:sz w:val="24"/>
            <w:u w:val="single" w:color="0000FF"/>
          </w:rPr>
          <w:t>WWW.pay.gov</w:t>
        </w:r>
      </w:hyperlink>
      <w:r>
        <w:rPr>
          <w:color w:val="0000FF"/>
          <w:sz w:val="24"/>
        </w:rPr>
        <w:t xml:space="preserve"> </w:t>
      </w:r>
      <w:r>
        <w:rPr>
          <w:sz w:val="24"/>
        </w:rPr>
        <w:t>where the customer may complete the form online and make the payment electronically.</w:t>
      </w:r>
      <w:r>
        <w:rPr>
          <w:spacing w:val="40"/>
          <w:sz w:val="24"/>
        </w:rPr>
        <w:t xml:space="preserve"> </w:t>
      </w:r>
      <w:r>
        <w:rPr>
          <w:sz w:val="24"/>
        </w:rPr>
        <w:t>If the taxpayer does not use pay.gov; the ATF F 5630.7 is available in a fillable format on the ATF internet site where taxpayers may download and manually complete the form.</w:t>
      </w:r>
      <w:r>
        <w:rPr>
          <w:spacing w:val="40"/>
          <w:sz w:val="24"/>
        </w:rPr>
        <w:t xml:space="preserve"> </w:t>
      </w:r>
      <w:r>
        <w:rPr>
          <w:sz w:val="24"/>
        </w:rPr>
        <w:t>When the form is manually completed it must be submitted to a lockbox where the payment is processed</w:t>
      </w:r>
      <w:r>
        <w:rPr>
          <w:spacing w:val="-1"/>
          <w:sz w:val="24"/>
        </w:rPr>
        <w:t xml:space="preserve"> </w:t>
      </w:r>
      <w:r>
        <w:rPr>
          <w:sz w:val="24"/>
        </w:rPr>
        <w:t>(</w:t>
      </w:r>
      <w:r>
        <w:rPr>
          <w:i/>
          <w:sz w:val="24"/>
        </w:rPr>
        <w:t>The</w:t>
      </w:r>
      <w:r>
        <w:rPr>
          <w:i/>
          <w:spacing w:val="-4"/>
          <w:sz w:val="24"/>
        </w:rPr>
        <w:t xml:space="preserve"> </w:t>
      </w:r>
      <w:r>
        <w:rPr>
          <w:i/>
          <w:sz w:val="24"/>
        </w:rPr>
        <w:t>form</w:t>
      </w:r>
      <w:r>
        <w:rPr>
          <w:i/>
          <w:spacing w:val="-4"/>
          <w:sz w:val="24"/>
        </w:rPr>
        <w:t xml:space="preserve"> </w:t>
      </w:r>
      <w:r>
        <w:rPr>
          <w:i/>
          <w:sz w:val="24"/>
        </w:rPr>
        <w:t>must</w:t>
      </w:r>
      <w:r>
        <w:rPr>
          <w:i/>
          <w:spacing w:val="-3"/>
          <w:sz w:val="24"/>
        </w:rPr>
        <w:t xml:space="preserve"> </w:t>
      </w:r>
      <w:r>
        <w:rPr>
          <w:i/>
          <w:sz w:val="24"/>
        </w:rPr>
        <w:t>be</w:t>
      </w:r>
      <w:r>
        <w:rPr>
          <w:i/>
          <w:spacing w:val="-4"/>
          <w:sz w:val="24"/>
        </w:rPr>
        <w:t xml:space="preserve"> </w:t>
      </w:r>
      <w:r>
        <w:rPr>
          <w:i/>
          <w:sz w:val="24"/>
        </w:rPr>
        <w:t>mailed</w:t>
      </w:r>
      <w:r>
        <w:rPr>
          <w:i/>
          <w:spacing w:val="-3"/>
          <w:sz w:val="24"/>
        </w:rPr>
        <w:t xml:space="preserve"> </w:t>
      </w:r>
      <w:r>
        <w:rPr>
          <w:i/>
          <w:sz w:val="24"/>
        </w:rPr>
        <w:t>to:</w:t>
      </w:r>
      <w:r>
        <w:rPr>
          <w:i/>
          <w:spacing w:val="-4"/>
          <w:sz w:val="24"/>
        </w:rPr>
        <w:t xml:space="preserve"> </w:t>
      </w:r>
      <w:r>
        <w:rPr>
          <w:i/>
          <w:sz w:val="24"/>
        </w:rPr>
        <w:t>Special</w:t>
      </w:r>
      <w:r>
        <w:rPr>
          <w:i/>
          <w:spacing w:val="-3"/>
          <w:sz w:val="24"/>
        </w:rPr>
        <w:t xml:space="preserve"> </w:t>
      </w:r>
      <w:r>
        <w:rPr>
          <w:i/>
          <w:sz w:val="24"/>
        </w:rPr>
        <w:t>Occupational</w:t>
      </w:r>
      <w:r>
        <w:rPr>
          <w:i/>
          <w:spacing w:val="-3"/>
          <w:sz w:val="24"/>
        </w:rPr>
        <w:t xml:space="preserve"> </w:t>
      </w:r>
      <w:r>
        <w:rPr>
          <w:i/>
          <w:sz w:val="24"/>
        </w:rPr>
        <w:t>Tax</w:t>
      </w:r>
      <w:r>
        <w:rPr>
          <w:i/>
          <w:spacing w:val="-4"/>
          <w:sz w:val="24"/>
        </w:rPr>
        <w:t xml:space="preserve"> </w:t>
      </w:r>
      <w:r>
        <w:rPr>
          <w:i/>
          <w:sz w:val="24"/>
        </w:rPr>
        <w:t>P.O.</w:t>
      </w:r>
      <w:r>
        <w:rPr>
          <w:i/>
          <w:spacing w:val="-3"/>
          <w:sz w:val="24"/>
        </w:rPr>
        <w:t xml:space="preserve"> </w:t>
      </w:r>
      <w:r>
        <w:rPr>
          <w:i/>
          <w:sz w:val="24"/>
        </w:rPr>
        <w:t>Box</w:t>
      </w:r>
      <w:r>
        <w:rPr>
          <w:i/>
          <w:spacing w:val="-4"/>
          <w:sz w:val="24"/>
        </w:rPr>
        <w:t xml:space="preserve"> </w:t>
      </w:r>
      <w:r>
        <w:rPr>
          <w:i/>
          <w:sz w:val="24"/>
        </w:rPr>
        <w:t>6200-13, Portland, OR 97228.)</w:t>
      </w:r>
      <w:r>
        <w:rPr>
          <w:sz w:val="24"/>
        </w:rPr>
        <w:t>. Taxpayers cannot fax the forms to ATF since they must remit their tax payments with the forms to receive proper credit.</w:t>
      </w:r>
    </w:p>
    <w:p w:rsidR="008925F9" w14:paraId="5BB7901A" w14:textId="77777777">
      <w:pPr>
        <w:pStyle w:val="ListParagraph"/>
        <w:rPr>
          <w:sz w:val="24"/>
        </w:rPr>
        <w:sectPr>
          <w:footerReference w:type="default" r:id="rId8"/>
          <w:type w:val="continuous"/>
          <w:pgSz w:w="12240" w:h="15840"/>
          <w:pgMar w:top="840" w:right="1440" w:bottom="940" w:left="1080" w:header="0" w:footer="748" w:gutter="0"/>
          <w:pgNumType w:start="1"/>
          <w:cols w:space="720"/>
        </w:sectPr>
      </w:pPr>
    </w:p>
    <w:p w:rsidR="008925F9" w14:paraId="2C200A0A" w14:textId="77777777">
      <w:pPr>
        <w:pStyle w:val="ListParagraph"/>
        <w:numPr>
          <w:ilvl w:val="1"/>
          <w:numId w:val="1"/>
        </w:numPr>
        <w:tabs>
          <w:tab w:val="left" w:pos="1007"/>
        </w:tabs>
        <w:spacing w:before="78"/>
        <w:ind w:left="1007" w:right="345" w:hanging="509"/>
        <w:rPr>
          <w:sz w:val="24"/>
        </w:rPr>
      </w:pPr>
      <w:r>
        <w:rPr>
          <w:sz w:val="24"/>
        </w:rPr>
        <w:t xml:space="preserve">The Alcohol and Tobacco Tax and Trade Bureau (TTB) SOT forms collect similar information as this collection. However, </w:t>
      </w:r>
      <w:r>
        <w:rPr>
          <w:sz w:val="24"/>
        </w:rPr>
        <w:t>the TTB’s</w:t>
      </w:r>
      <w:r>
        <w:rPr>
          <w:sz w:val="24"/>
        </w:rPr>
        <w:t xml:space="preserve"> target population is alcohol and tobacco</w:t>
      </w:r>
      <w:r>
        <w:rPr>
          <w:spacing w:val="-15"/>
          <w:sz w:val="24"/>
        </w:rPr>
        <w:t xml:space="preserve"> </w:t>
      </w:r>
      <w:r>
        <w:rPr>
          <w:sz w:val="24"/>
        </w:rPr>
        <w:t>producers,</w:t>
      </w:r>
      <w:r>
        <w:rPr>
          <w:spacing w:val="-15"/>
          <w:sz w:val="24"/>
        </w:rPr>
        <w:t xml:space="preserve"> </w:t>
      </w:r>
      <w:r>
        <w:rPr>
          <w:sz w:val="24"/>
        </w:rPr>
        <w:t>while</w:t>
      </w:r>
      <w:r>
        <w:rPr>
          <w:spacing w:val="-15"/>
          <w:sz w:val="24"/>
        </w:rPr>
        <w:t xml:space="preserve"> </w:t>
      </w:r>
      <w:r>
        <w:rPr>
          <w:sz w:val="24"/>
        </w:rPr>
        <w:t>ATF’s</w:t>
      </w:r>
      <w:r>
        <w:rPr>
          <w:spacing w:val="-15"/>
          <w:sz w:val="24"/>
        </w:rPr>
        <w:t xml:space="preserve"> </w:t>
      </w:r>
      <w:r>
        <w:rPr>
          <w:sz w:val="24"/>
        </w:rPr>
        <w:t>target</w:t>
      </w:r>
      <w:r>
        <w:rPr>
          <w:spacing w:val="-15"/>
          <w:sz w:val="24"/>
        </w:rPr>
        <w:t xml:space="preserve"> </w:t>
      </w:r>
      <w:r>
        <w:rPr>
          <w:sz w:val="24"/>
        </w:rPr>
        <w:t>population</w:t>
      </w:r>
      <w:r>
        <w:rPr>
          <w:spacing w:val="-15"/>
          <w:sz w:val="24"/>
        </w:rPr>
        <w:t xml:space="preserve"> </w:t>
      </w:r>
      <w:r>
        <w:rPr>
          <w:sz w:val="24"/>
        </w:rPr>
        <w:t>is</w:t>
      </w:r>
      <w:r>
        <w:rPr>
          <w:spacing w:val="-15"/>
          <w:sz w:val="24"/>
        </w:rPr>
        <w:t xml:space="preserve"> </w:t>
      </w:r>
      <w:r>
        <w:rPr>
          <w:sz w:val="24"/>
        </w:rPr>
        <w:t>firearms</w:t>
      </w:r>
      <w:r>
        <w:rPr>
          <w:spacing w:val="-15"/>
          <w:sz w:val="24"/>
        </w:rPr>
        <w:t xml:space="preserve"> </w:t>
      </w:r>
      <w:r>
        <w:rPr>
          <w:sz w:val="24"/>
        </w:rPr>
        <w:t>dealers,</w:t>
      </w:r>
      <w:r>
        <w:rPr>
          <w:spacing w:val="-15"/>
          <w:sz w:val="24"/>
        </w:rPr>
        <w:t xml:space="preserve"> </w:t>
      </w:r>
      <w:r>
        <w:rPr>
          <w:sz w:val="24"/>
        </w:rPr>
        <w:t>manufacturers</w:t>
      </w:r>
      <w:r>
        <w:rPr>
          <w:spacing w:val="-15"/>
          <w:sz w:val="24"/>
        </w:rPr>
        <w:t xml:space="preserve"> </w:t>
      </w:r>
      <w:r>
        <w:rPr>
          <w:sz w:val="24"/>
        </w:rPr>
        <w:t>and importers. ATF uses a subject classification code to ensure that there is no duplication within ATF.</w:t>
      </w:r>
    </w:p>
    <w:p w:rsidR="008925F9" w14:paraId="642DFE3E" w14:textId="77777777">
      <w:pPr>
        <w:pStyle w:val="BodyText"/>
      </w:pPr>
    </w:p>
    <w:p w:rsidR="008925F9" w14:paraId="537F7DD8" w14:textId="77777777">
      <w:pPr>
        <w:pStyle w:val="ListParagraph"/>
        <w:numPr>
          <w:ilvl w:val="1"/>
          <w:numId w:val="1"/>
        </w:numPr>
        <w:tabs>
          <w:tab w:val="left" w:pos="1007"/>
        </w:tabs>
        <w:ind w:left="1007" w:right="162" w:hanging="509"/>
        <w:rPr>
          <w:sz w:val="24"/>
        </w:rPr>
      </w:pPr>
      <w:r>
        <w:rPr>
          <w:sz w:val="24"/>
        </w:rPr>
        <w:t>The</w:t>
      </w:r>
      <w:r>
        <w:rPr>
          <w:spacing w:val="-15"/>
          <w:sz w:val="24"/>
        </w:rPr>
        <w:t xml:space="preserve"> </w:t>
      </w:r>
      <w:r>
        <w:rPr>
          <w:sz w:val="24"/>
        </w:rPr>
        <w:t>collection</w:t>
      </w:r>
      <w:r>
        <w:rPr>
          <w:spacing w:val="-11"/>
          <w:sz w:val="24"/>
        </w:rPr>
        <w:t xml:space="preserve"> </w:t>
      </w:r>
      <w:r>
        <w:rPr>
          <w:sz w:val="24"/>
        </w:rPr>
        <w:t>does</w:t>
      </w:r>
      <w:r>
        <w:rPr>
          <w:spacing w:val="-11"/>
          <w:sz w:val="24"/>
        </w:rPr>
        <w:t xml:space="preserve"> </w:t>
      </w:r>
      <w:r>
        <w:rPr>
          <w:sz w:val="24"/>
        </w:rPr>
        <w:t>not</w:t>
      </w:r>
      <w:r>
        <w:rPr>
          <w:spacing w:val="-11"/>
          <w:sz w:val="24"/>
        </w:rPr>
        <w:t xml:space="preserve"> </w:t>
      </w:r>
      <w:r>
        <w:rPr>
          <w:sz w:val="24"/>
        </w:rPr>
        <w:t>impact</w:t>
      </w:r>
      <w:r>
        <w:rPr>
          <w:spacing w:val="-11"/>
          <w:sz w:val="24"/>
        </w:rPr>
        <w:t xml:space="preserve"> </w:t>
      </w:r>
      <w:r>
        <w:rPr>
          <w:sz w:val="24"/>
        </w:rPr>
        <w:t>small</w:t>
      </w:r>
      <w:r>
        <w:rPr>
          <w:spacing w:val="-11"/>
          <w:sz w:val="24"/>
        </w:rPr>
        <w:t xml:space="preserve"> </w:t>
      </w:r>
      <w:r>
        <w:rPr>
          <w:sz w:val="24"/>
        </w:rPr>
        <w:t>businesses</w:t>
      </w:r>
      <w:r>
        <w:rPr>
          <w:spacing w:val="-15"/>
          <w:sz w:val="24"/>
        </w:rPr>
        <w:t xml:space="preserve"> </w:t>
      </w:r>
      <w:r>
        <w:rPr>
          <w:sz w:val="24"/>
        </w:rPr>
        <w:t>since</w:t>
      </w:r>
      <w:r>
        <w:rPr>
          <w:spacing w:val="-14"/>
          <w:sz w:val="24"/>
        </w:rPr>
        <w:t xml:space="preserve"> </w:t>
      </w:r>
      <w:r>
        <w:rPr>
          <w:sz w:val="24"/>
        </w:rPr>
        <w:t>all</w:t>
      </w:r>
      <w:r>
        <w:rPr>
          <w:spacing w:val="-15"/>
          <w:sz w:val="24"/>
        </w:rPr>
        <w:t xml:space="preserve"> </w:t>
      </w:r>
      <w:r>
        <w:rPr>
          <w:sz w:val="24"/>
        </w:rPr>
        <w:t>organizations,</w:t>
      </w:r>
      <w:r>
        <w:rPr>
          <w:spacing w:val="-14"/>
          <w:sz w:val="24"/>
        </w:rPr>
        <w:t xml:space="preserve"> </w:t>
      </w:r>
      <w:r>
        <w:rPr>
          <w:sz w:val="24"/>
        </w:rPr>
        <w:t>regardless</w:t>
      </w:r>
      <w:r>
        <w:rPr>
          <w:spacing w:val="-15"/>
          <w:sz w:val="24"/>
        </w:rPr>
        <w:t xml:space="preserve"> </w:t>
      </w:r>
      <w:r>
        <w:rPr>
          <w:sz w:val="24"/>
        </w:rPr>
        <w:t>of</w:t>
      </w:r>
      <w:r>
        <w:rPr>
          <w:spacing w:val="-15"/>
          <w:sz w:val="24"/>
        </w:rPr>
        <w:t xml:space="preserve"> </w:t>
      </w:r>
      <w:r>
        <w:rPr>
          <w:sz w:val="24"/>
        </w:rPr>
        <w:t>size, must pay the required tax to transfer</w:t>
      </w:r>
      <w:r>
        <w:rPr>
          <w:spacing w:val="-1"/>
          <w:sz w:val="24"/>
        </w:rPr>
        <w:t xml:space="preserve"> </w:t>
      </w:r>
      <w:r>
        <w:rPr>
          <w:sz w:val="24"/>
        </w:rPr>
        <w:t>selected weapons.</w:t>
      </w:r>
    </w:p>
    <w:p w:rsidR="008925F9" w14:paraId="5D0BA1D5" w14:textId="77777777">
      <w:pPr>
        <w:pStyle w:val="BodyText"/>
      </w:pPr>
    </w:p>
    <w:p w:rsidR="008925F9" w14:paraId="224C4478" w14:textId="77777777">
      <w:pPr>
        <w:pStyle w:val="ListParagraph"/>
        <w:numPr>
          <w:ilvl w:val="1"/>
          <w:numId w:val="1"/>
        </w:numPr>
        <w:tabs>
          <w:tab w:val="left" w:pos="1007"/>
        </w:tabs>
        <w:ind w:left="1007" w:right="93" w:hanging="509"/>
        <w:rPr>
          <w:sz w:val="24"/>
        </w:rPr>
      </w:pPr>
      <w:r>
        <w:rPr>
          <w:sz w:val="24"/>
        </w:rPr>
        <w:t>Without</w:t>
      </w:r>
      <w:r>
        <w:rPr>
          <w:spacing w:val="-9"/>
          <w:sz w:val="24"/>
        </w:rPr>
        <w:t xml:space="preserve"> </w:t>
      </w:r>
      <w:r>
        <w:rPr>
          <w:sz w:val="24"/>
        </w:rPr>
        <w:t>this</w:t>
      </w:r>
      <w:r>
        <w:rPr>
          <w:spacing w:val="-8"/>
          <w:sz w:val="24"/>
        </w:rPr>
        <w:t xml:space="preserve"> </w:t>
      </w:r>
      <w:r>
        <w:rPr>
          <w:sz w:val="24"/>
        </w:rPr>
        <w:t>information</w:t>
      </w:r>
      <w:r>
        <w:rPr>
          <w:spacing w:val="-8"/>
          <w:sz w:val="24"/>
        </w:rPr>
        <w:t xml:space="preserve"> </w:t>
      </w:r>
      <w:r>
        <w:rPr>
          <w:sz w:val="24"/>
        </w:rPr>
        <w:t>collection,</w:t>
      </w:r>
      <w:r>
        <w:rPr>
          <w:spacing w:val="-8"/>
          <w:sz w:val="24"/>
        </w:rPr>
        <w:t xml:space="preserve"> </w:t>
      </w:r>
      <w:r>
        <w:rPr>
          <w:sz w:val="24"/>
        </w:rPr>
        <w:t>ATF</w:t>
      </w:r>
      <w:r>
        <w:rPr>
          <w:spacing w:val="-10"/>
          <w:sz w:val="24"/>
        </w:rPr>
        <w:t xml:space="preserve"> </w:t>
      </w:r>
      <w:r>
        <w:rPr>
          <w:sz w:val="24"/>
        </w:rPr>
        <w:t>would</w:t>
      </w:r>
      <w:r>
        <w:rPr>
          <w:spacing w:val="-8"/>
          <w:sz w:val="24"/>
        </w:rPr>
        <w:t xml:space="preserve"> </w:t>
      </w:r>
      <w:r>
        <w:rPr>
          <w:sz w:val="24"/>
        </w:rPr>
        <w:t>be</w:t>
      </w:r>
      <w:r>
        <w:rPr>
          <w:spacing w:val="-2"/>
          <w:sz w:val="24"/>
        </w:rPr>
        <w:t xml:space="preserve"> </w:t>
      </w:r>
      <w:r>
        <w:rPr>
          <w:sz w:val="24"/>
        </w:rPr>
        <w:t>unable</w:t>
      </w:r>
      <w:r>
        <w:rPr>
          <w:spacing w:val="-9"/>
          <w:sz w:val="24"/>
        </w:rPr>
        <w:t xml:space="preserve"> </w:t>
      </w:r>
      <w:r>
        <w:rPr>
          <w:sz w:val="24"/>
        </w:rPr>
        <w:t>to</w:t>
      </w:r>
      <w:r>
        <w:rPr>
          <w:spacing w:val="-8"/>
          <w:sz w:val="24"/>
        </w:rPr>
        <w:t xml:space="preserve"> </w:t>
      </w:r>
      <w:r>
        <w:rPr>
          <w:sz w:val="24"/>
        </w:rPr>
        <w:t>validate</w:t>
      </w:r>
      <w:r>
        <w:rPr>
          <w:spacing w:val="-11"/>
          <w:sz w:val="24"/>
        </w:rPr>
        <w:t xml:space="preserve"> </w:t>
      </w:r>
      <w:r>
        <w:rPr>
          <w:sz w:val="24"/>
        </w:rPr>
        <w:t>or</w:t>
      </w:r>
      <w:r>
        <w:rPr>
          <w:spacing w:val="-7"/>
          <w:sz w:val="24"/>
        </w:rPr>
        <w:t xml:space="preserve"> </w:t>
      </w:r>
      <w:r>
        <w:rPr>
          <w:sz w:val="24"/>
        </w:rPr>
        <w:t>allow</w:t>
      </w:r>
      <w:r>
        <w:rPr>
          <w:spacing w:val="-9"/>
          <w:sz w:val="24"/>
        </w:rPr>
        <w:t xml:space="preserve"> </w:t>
      </w:r>
      <w:r>
        <w:rPr>
          <w:sz w:val="24"/>
        </w:rPr>
        <w:t>the</w:t>
      </w:r>
      <w:r>
        <w:rPr>
          <w:spacing w:val="-5"/>
          <w:sz w:val="24"/>
        </w:rPr>
        <w:t xml:space="preserve"> </w:t>
      </w:r>
      <w:r>
        <w:rPr>
          <w:sz w:val="24"/>
        </w:rPr>
        <w:t>transfer</w:t>
      </w:r>
      <w:r>
        <w:rPr>
          <w:sz w:val="24"/>
        </w:rPr>
        <w:t xml:space="preserve"> selected weapons between organizations.</w:t>
      </w:r>
    </w:p>
    <w:p w:rsidR="00D32D7D" w:rsidP="00D32D7D" w14:paraId="707E60D7" w14:textId="77777777">
      <w:pPr>
        <w:pStyle w:val="ListParagraph"/>
        <w:numPr>
          <w:ilvl w:val="1"/>
          <w:numId w:val="1"/>
        </w:numPr>
        <w:tabs>
          <w:tab w:val="left" w:pos="1007"/>
        </w:tabs>
        <w:spacing w:before="274"/>
        <w:ind w:left="1007" w:right="251" w:hanging="509"/>
        <w:rPr>
          <w:sz w:val="24"/>
        </w:rPr>
      </w:pPr>
      <w:r>
        <w:rPr>
          <w:sz w:val="24"/>
        </w:rPr>
        <w:t>This</w:t>
      </w:r>
      <w:r>
        <w:rPr>
          <w:spacing w:val="-7"/>
          <w:sz w:val="24"/>
        </w:rPr>
        <w:t xml:space="preserve"> </w:t>
      </w:r>
      <w:r>
        <w:rPr>
          <w:sz w:val="24"/>
        </w:rPr>
        <w:t>information</w:t>
      </w:r>
      <w:r>
        <w:rPr>
          <w:spacing w:val="-7"/>
          <w:sz w:val="24"/>
        </w:rPr>
        <w:t xml:space="preserve"> </w:t>
      </w:r>
      <w:r>
        <w:rPr>
          <w:sz w:val="24"/>
        </w:rPr>
        <w:t>collection</w:t>
      </w:r>
      <w:r>
        <w:rPr>
          <w:spacing w:val="-7"/>
          <w:sz w:val="24"/>
        </w:rPr>
        <w:t xml:space="preserve"> </w:t>
      </w:r>
      <w:r>
        <w:rPr>
          <w:sz w:val="24"/>
        </w:rPr>
        <w:t>requirement</w:t>
      </w:r>
      <w:r>
        <w:rPr>
          <w:spacing w:val="-9"/>
          <w:sz w:val="24"/>
        </w:rPr>
        <w:t xml:space="preserve"> </w:t>
      </w:r>
      <w:r>
        <w:rPr>
          <w:sz w:val="24"/>
        </w:rPr>
        <w:t>is</w:t>
      </w:r>
      <w:r>
        <w:rPr>
          <w:spacing w:val="-7"/>
          <w:sz w:val="24"/>
        </w:rPr>
        <w:t xml:space="preserve"> </w:t>
      </w:r>
      <w:r>
        <w:rPr>
          <w:sz w:val="24"/>
        </w:rPr>
        <w:t>conducted</w:t>
      </w:r>
      <w:r>
        <w:rPr>
          <w:spacing w:val="-10"/>
          <w:sz w:val="24"/>
        </w:rPr>
        <w:t xml:space="preserve"> </w:t>
      </w:r>
      <w:r>
        <w:rPr>
          <w:sz w:val="24"/>
        </w:rPr>
        <w:t>in</w:t>
      </w:r>
      <w:r>
        <w:rPr>
          <w:spacing w:val="-7"/>
          <w:sz w:val="24"/>
        </w:rPr>
        <w:t xml:space="preserve"> </w:t>
      </w:r>
      <w:r>
        <w:rPr>
          <w:sz w:val="24"/>
        </w:rPr>
        <w:t>a</w:t>
      </w:r>
      <w:r>
        <w:rPr>
          <w:spacing w:val="-10"/>
          <w:sz w:val="24"/>
        </w:rPr>
        <w:t xml:space="preserve"> </w:t>
      </w:r>
      <w:r>
        <w:rPr>
          <w:sz w:val="24"/>
        </w:rPr>
        <w:t>manner</w:t>
      </w:r>
      <w:r>
        <w:rPr>
          <w:spacing w:val="-8"/>
          <w:sz w:val="24"/>
        </w:rPr>
        <w:t xml:space="preserve"> </w:t>
      </w:r>
      <w:r>
        <w:rPr>
          <w:sz w:val="24"/>
        </w:rPr>
        <w:t>consistent</w:t>
      </w:r>
      <w:r>
        <w:rPr>
          <w:spacing w:val="-6"/>
          <w:sz w:val="24"/>
        </w:rPr>
        <w:t xml:space="preserve"> </w:t>
      </w:r>
      <w:r>
        <w:rPr>
          <w:sz w:val="24"/>
        </w:rPr>
        <w:t>with</w:t>
      </w:r>
      <w:r>
        <w:rPr>
          <w:spacing w:val="-7"/>
          <w:sz w:val="24"/>
        </w:rPr>
        <w:t xml:space="preserve"> </w:t>
      </w:r>
      <w:r>
        <w:rPr>
          <w:sz w:val="24"/>
        </w:rPr>
        <w:t>5</w:t>
      </w:r>
      <w:r>
        <w:rPr>
          <w:spacing w:val="-4"/>
          <w:sz w:val="24"/>
        </w:rPr>
        <w:t xml:space="preserve"> </w:t>
      </w:r>
      <w:r>
        <w:rPr>
          <w:sz w:val="24"/>
        </w:rPr>
        <w:t xml:space="preserve">CFR </w:t>
      </w:r>
      <w:r>
        <w:rPr>
          <w:spacing w:val="-2"/>
          <w:sz w:val="24"/>
        </w:rPr>
        <w:t>1320.6.</w:t>
      </w:r>
    </w:p>
    <w:p w:rsidR="00D32D7D" w:rsidRPr="00D32D7D" w:rsidP="00D32D7D" w14:paraId="4CD76ACB" w14:textId="0F0CF491">
      <w:pPr>
        <w:pStyle w:val="ListParagraph"/>
        <w:numPr>
          <w:ilvl w:val="1"/>
          <w:numId w:val="1"/>
        </w:numPr>
        <w:tabs>
          <w:tab w:val="left" w:pos="1007"/>
        </w:tabs>
        <w:spacing w:before="274"/>
        <w:ind w:left="1007" w:right="251" w:hanging="509"/>
        <w:rPr>
          <w:sz w:val="24"/>
        </w:rPr>
      </w:pPr>
      <w:r w:rsidRPr="00D32D7D">
        <w:rPr>
          <w:sz w:val="24"/>
          <w:szCs w:val="24"/>
        </w:rPr>
        <w:t xml:space="preserve">The 60-day notice was published in the </w:t>
      </w:r>
      <w:r w:rsidRPr="00D32D7D">
        <w:rPr>
          <w:i/>
          <w:iCs/>
          <w:sz w:val="24"/>
          <w:szCs w:val="24"/>
        </w:rPr>
        <w:t>Federal Register</w:t>
      </w:r>
      <w:r w:rsidRPr="00D32D7D">
        <w:rPr>
          <w:sz w:val="24"/>
          <w:szCs w:val="24"/>
        </w:rPr>
        <w:t xml:space="preserve"> </w:t>
      </w:r>
      <w:r w:rsidR="008D226D">
        <w:rPr>
          <w:sz w:val="24"/>
          <w:szCs w:val="24"/>
        </w:rPr>
        <w:t>10/13/2026 (91 FR 64950).</w:t>
      </w:r>
      <w:r w:rsidRPr="00D32D7D">
        <w:rPr>
          <w:sz w:val="24"/>
          <w:szCs w:val="24"/>
        </w:rPr>
        <w:t xml:space="preserve"> The comment period ended on </w:t>
      </w:r>
      <w:r w:rsidR="008D226D">
        <w:rPr>
          <w:sz w:val="24"/>
          <w:szCs w:val="24"/>
        </w:rPr>
        <w:t>12/14/2026</w:t>
      </w:r>
      <w:r w:rsidRPr="00D32D7D">
        <w:rPr>
          <w:sz w:val="24"/>
          <w:szCs w:val="24"/>
        </w:rPr>
        <w:t xml:space="preserve">. ATF received </w:t>
      </w:r>
      <w:r w:rsidR="008D226D">
        <w:rPr>
          <w:sz w:val="24"/>
          <w:szCs w:val="24"/>
        </w:rPr>
        <w:t>____</w:t>
      </w:r>
      <w:r w:rsidRPr="00D32D7D">
        <w:rPr>
          <w:sz w:val="24"/>
          <w:szCs w:val="24"/>
        </w:rPr>
        <w:t xml:space="preserve"> comments.</w:t>
      </w:r>
    </w:p>
    <w:p w:rsidR="008925F9" w14:paraId="391423A3" w14:textId="77777777">
      <w:pPr>
        <w:pStyle w:val="BodyText"/>
      </w:pPr>
    </w:p>
    <w:p w:rsidR="008925F9" w14:paraId="54A7F9C8" w14:textId="77777777">
      <w:pPr>
        <w:pStyle w:val="ListParagraph"/>
        <w:numPr>
          <w:ilvl w:val="1"/>
          <w:numId w:val="1"/>
        </w:numPr>
        <w:tabs>
          <w:tab w:val="left" w:pos="1007"/>
        </w:tabs>
        <w:ind w:left="1007" w:hanging="508"/>
        <w:rPr>
          <w:sz w:val="24"/>
        </w:rPr>
      </w:pPr>
      <w:r>
        <w:rPr>
          <w:sz w:val="24"/>
        </w:rPr>
        <w:t>No</w:t>
      </w:r>
      <w:r>
        <w:rPr>
          <w:spacing w:val="-2"/>
          <w:sz w:val="24"/>
        </w:rPr>
        <w:t xml:space="preserve"> </w:t>
      </w:r>
      <w:r>
        <w:rPr>
          <w:sz w:val="24"/>
        </w:rPr>
        <w:t>payment</w:t>
      </w:r>
      <w:r>
        <w:rPr>
          <w:spacing w:val="-2"/>
          <w:sz w:val="24"/>
        </w:rPr>
        <w:t xml:space="preserve"> </w:t>
      </w:r>
      <w:r>
        <w:rPr>
          <w:sz w:val="24"/>
        </w:rPr>
        <w:t>or</w:t>
      </w:r>
      <w:r>
        <w:rPr>
          <w:spacing w:val="-3"/>
          <w:sz w:val="24"/>
        </w:rPr>
        <w:t xml:space="preserve"> </w:t>
      </w:r>
      <w:r>
        <w:rPr>
          <w:sz w:val="24"/>
        </w:rPr>
        <w:t>gift</w:t>
      </w:r>
      <w:r>
        <w:rPr>
          <w:spacing w:val="-2"/>
          <w:sz w:val="24"/>
        </w:rPr>
        <w:t xml:space="preserve"> </w:t>
      </w:r>
      <w:r>
        <w:rPr>
          <w:sz w:val="24"/>
        </w:rPr>
        <w:t>is</w:t>
      </w:r>
      <w:r>
        <w:rPr>
          <w:spacing w:val="-1"/>
          <w:sz w:val="24"/>
        </w:rPr>
        <w:t xml:space="preserve"> </w:t>
      </w:r>
      <w:r>
        <w:rPr>
          <w:sz w:val="24"/>
        </w:rPr>
        <w:t>associated</w:t>
      </w:r>
      <w:r>
        <w:rPr>
          <w:spacing w:val="-3"/>
          <w:sz w:val="24"/>
        </w:rPr>
        <w:t xml:space="preserve"> </w:t>
      </w:r>
      <w:r>
        <w:rPr>
          <w:sz w:val="24"/>
        </w:rPr>
        <w:t>with</w:t>
      </w:r>
      <w:r>
        <w:rPr>
          <w:spacing w:val="-3"/>
          <w:sz w:val="24"/>
        </w:rPr>
        <w:t xml:space="preserve"> </w:t>
      </w:r>
      <w:r>
        <w:rPr>
          <w:sz w:val="24"/>
        </w:rPr>
        <w:t>this</w:t>
      </w:r>
      <w:r>
        <w:rPr>
          <w:spacing w:val="-1"/>
          <w:sz w:val="24"/>
        </w:rPr>
        <w:t xml:space="preserve"> </w:t>
      </w:r>
      <w:r>
        <w:rPr>
          <w:spacing w:val="-2"/>
          <w:sz w:val="24"/>
        </w:rPr>
        <w:t>collection.</w:t>
      </w:r>
    </w:p>
    <w:p w:rsidR="008925F9" w14:paraId="4B265821" w14:textId="77777777">
      <w:pPr>
        <w:pStyle w:val="BodyText"/>
      </w:pPr>
    </w:p>
    <w:p w:rsidR="008925F9" w14:paraId="190FC81A" w14:textId="77777777">
      <w:pPr>
        <w:pStyle w:val="ListParagraph"/>
        <w:numPr>
          <w:ilvl w:val="1"/>
          <w:numId w:val="1"/>
        </w:numPr>
        <w:tabs>
          <w:tab w:val="left" w:pos="1007"/>
        </w:tabs>
        <w:ind w:left="1007" w:right="583" w:hanging="509"/>
        <w:rPr>
          <w:sz w:val="24"/>
        </w:rPr>
      </w:pPr>
      <w:r>
        <w:rPr>
          <w:sz w:val="24"/>
        </w:rPr>
        <w:t>Confidentiality</w:t>
      </w:r>
      <w:r>
        <w:rPr>
          <w:spacing w:val="-13"/>
          <w:sz w:val="24"/>
        </w:rPr>
        <w:t xml:space="preserve"> </w:t>
      </w:r>
      <w:r>
        <w:rPr>
          <w:sz w:val="24"/>
        </w:rPr>
        <w:t>is</w:t>
      </w:r>
      <w:r>
        <w:rPr>
          <w:spacing w:val="-8"/>
          <w:sz w:val="24"/>
        </w:rPr>
        <w:t xml:space="preserve"> </w:t>
      </w:r>
      <w:r>
        <w:rPr>
          <w:sz w:val="24"/>
        </w:rPr>
        <w:t>not</w:t>
      </w:r>
      <w:r>
        <w:rPr>
          <w:spacing w:val="-8"/>
          <w:sz w:val="24"/>
        </w:rPr>
        <w:t xml:space="preserve"> </w:t>
      </w:r>
      <w:r>
        <w:rPr>
          <w:sz w:val="24"/>
        </w:rPr>
        <w:t>assured.</w:t>
      </w:r>
      <w:r>
        <w:rPr>
          <w:spacing w:val="-9"/>
          <w:sz w:val="24"/>
        </w:rPr>
        <w:t xml:space="preserve"> </w:t>
      </w:r>
      <w:r>
        <w:rPr>
          <w:sz w:val="24"/>
        </w:rPr>
        <w:t>The</w:t>
      </w:r>
      <w:r>
        <w:rPr>
          <w:spacing w:val="-12"/>
          <w:sz w:val="24"/>
        </w:rPr>
        <w:t xml:space="preserve"> </w:t>
      </w:r>
      <w:r>
        <w:rPr>
          <w:sz w:val="24"/>
        </w:rPr>
        <w:t>respondents’</w:t>
      </w:r>
      <w:r>
        <w:rPr>
          <w:spacing w:val="-9"/>
          <w:sz w:val="24"/>
        </w:rPr>
        <w:t xml:space="preserve"> </w:t>
      </w:r>
      <w:r>
        <w:rPr>
          <w:sz w:val="24"/>
        </w:rPr>
        <w:t>information</w:t>
      </w:r>
      <w:r>
        <w:rPr>
          <w:spacing w:val="-8"/>
          <w:sz w:val="24"/>
        </w:rPr>
        <w:t xml:space="preserve"> </w:t>
      </w:r>
      <w:r>
        <w:rPr>
          <w:sz w:val="24"/>
        </w:rPr>
        <w:t>is</w:t>
      </w:r>
      <w:r>
        <w:rPr>
          <w:spacing w:val="-8"/>
          <w:sz w:val="24"/>
        </w:rPr>
        <w:t xml:space="preserve"> </w:t>
      </w:r>
      <w:r>
        <w:rPr>
          <w:sz w:val="24"/>
        </w:rPr>
        <w:t>maintained</w:t>
      </w:r>
      <w:r>
        <w:rPr>
          <w:spacing w:val="-8"/>
          <w:sz w:val="24"/>
        </w:rPr>
        <w:t xml:space="preserve"> </w:t>
      </w:r>
      <w:r>
        <w:rPr>
          <w:sz w:val="24"/>
        </w:rPr>
        <w:t>in</w:t>
      </w:r>
      <w:r>
        <w:rPr>
          <w:spacing w:val="-8"/>
          <w:sz w:val="24"/>
        </w:rPr>
        <w:t xml:space="preserve"> </w:t>
      </w:r>
      <w:r>
        <w:rPr>
          <w:sz w:val="24"/>
        </w:rPr>
        <w:t xml:space="preserve">secured </w:t>
      </w:r>
      <w:r>
        <w:rPr>
          <w:spacing w:val="-2"/>
          <w:sz w:val="24"/>
        </w:rPr>
        <w:t>location.</w:t>
      </w:r>
    </w:p>
    <w:p w:rsidR="008925F9" w14:paraId="0D7C4652" w14:textId="77777777">
      <w:pPr>
        <w:pStyle w:val="BodyText"/>
        <w:spacing w:before="74"/>
      </w:pPr>
    </w:p>
    <w:p w:rsidR="008925F9" w14:paraId="73A26618" w14:textId="77777777">
      <w:pPr>
        <w:pStyle w:val="ListParagraph"/>
        <w:numPr>
          <w:ilvl w:val="1"/>
          <w:numId w:val="1"/>
        </w:numPr>
        <w:tabs>
          <w:tab w:val="left" w:pos="1007"/>
        </w:tabs>
        <w:spacing w:before="1"/>
        <w:ind w:left="1007" w:right="229" w:hanging="509"/>
        <w:rPr>
          <w:sz w:val="24"/>
        </w:rPr>
      </w:pPr>
      <w:r>
        <w:rPr>
          <w:sz w:val="24"/>
        </w:rPr>
        <w:t>No questions of a sensitive nature are asked. ATF requests that taxpayers correct the employer</w:t>
      </w:r>
      <w:r>
        <w:rPr>
          <w:spacing w:val="-5"/>
          <w:sz w:val="24"/>
        </w:rPr>
        <w:t xml:space="preserve"> </w:t>
      </w:r>
      <w:r>
        <w:rPr>
          <w:sz w:val="24"/>
        </w:rPr>
        <w:t>identification</w:t>
      </w:r>
      <w:r>
        <w:rPr>
          <w:spacing w:val="-3"/>
          <w:sz w:val="24"/>
        </w:rPr>
        <w:t xml:space="preserve"> </w:t>
      </w:r>
      <w:r>
        <w:rPr>
          <w:sz w:val="24"/>
        </w:rPr>
        <w:t>number</w:t>
      </w:r>
      <w:r>
        <w:rPr>
          <w:spacing w:val="-5"/>
          <w:sz w:val="24"/>
        </w:rPr>
        <w:t xml:space="preserve"> </w:t>
      </w:r>
      <w:r>
        <w:rPr>
          <w:sz w:val="24"/>
        </w:rPr>
        <w:t>(EIN)</w:t>
      </w:r>
      <w:r>
        <w:rPr>
          <w:spacing w:val="-2"/>
          <w:sz w:val="24"/>
        </w:rPr>
        <w:t xml:space="preserve"> </w:t>
      </w:r>
      <w:r>
        <w:rPr>
          <w:sz w:val="24"/>
        </w:rPr>
        <w:t>for</w:t>
      </w:r>
      <w:r>
        <w:rPr>
          <w:spacing w:val="-4"/>
          <w:sz w:val="24"/>
        </w:rPr>
        <w:t xml:space="preserve"> </w:t>
      </w:r>
      <w:r>
        <w:rPr>
          <w:sz w:val="24"/>
        </w:rPr>
        <w:t>their</w:t>
      </w:r>
      <w:r>
        <w:rPr>
          <w:spacing w:val="-5"/>
          <w:sz w:val="24"/>
        </w:rPr>
        <w:t xml:space="preserve"> </w:t>
      </w:r>
      <w:r>
        <w:rPr>
          <w:sz w:val="24"/>
        </w:rPr>
        <w:t>businesses,</w:t>
      </w:r>
      <w:r>
        <w:rPr>
          <w:spacing w:val="-4"/>
          <w:sz w:val="24"/>
        </w:rPr>
        <w:t xml:space="preserve"> </w:t>
      </w:r>
      <w:r>
        <w:rPr>
          <w:sz w:val="24"/>
        </w:rPr>
        <w:t>to</w:t>
      </w:r>
      <w:r>
        <w:rPr>
          <w:spacing w:val="-4"/>
          <w:sz w:val="24"/>
        </w:rPr>
        <w:t xml:space="preserve"> </w:t>
      </w:r>
      <w:r>
        <w:rPr>
          <w:sz w:val="24"/>
        </w:rPr>
        <w:t>ensure</w:t>
      </w:r>
      <w:r>
        <w:rPr>
          <w:spacing w:val="-3"/>
          <w:sz w:val="24"/>
        </w:rPr>
        <w:t xml:space="preserve"> </w:t>
      </w:r>
      <w:r>
        <w:rPr>
          <w:sz w:val="24"/>
        </w:rPr>
        <w:t>that</w:t>
      </w:r>
      <w:r>
        <w:rPr>
          <w:spacing w:val="-4"/>
          <w:sz w:val="24"/>
        </w:rPr>
        <w:t xml:space="preserve"> </w:t>
      </w:r>
      <w:r>
        <w:rPr>
          <w:sz w:val="24"/>
        </w:rPr>
        <w:t>the</w:t>
      </w:r>
      <w:r>
        <w:rPr>
          <w:spacing w:val="-4"/>
          <w:sz w:val="24"/>
        </w:rPr>
        <w:t xml:space="preserve"> </w:t>
      </w:r>
      <w:r>
        <w:rPr>
          <w:sz w:val="24"/>
        </w:rPr>
        <w:t>trade</w:t>
      </w:r>
      <w:r>
        <w:rPr>
          <w:spacing w:val="-4"/>
          <w:sz w:val="24"/>
        </w:rPr>
        <w:t xml:space="preserve"> </w:t>
      </w:r>
      <w:r>
        <w:rPr>
          <w:sz w:val="24"/>
        </w:rPr>
        <w:t>entity is properly identified and credited for all tax payments made.</w:t>
      </w:r>
    </w:p>
    <w:p w:rsidR="008925F9" w14:paraId="38338A4D" w14:textId="77777777">
      <w:pPr>
        <w:pStyle w:val="BodyText"/>
        <w:spacing w:before="74"/>
      </w:pPr>
    </w:p>
    <w:p w:rsidR="008925F9" w14:paraId="2C4D6EE3" w14:textId="1CDDF35F">
      <w:pPr>
        <w:pStyle w:val="ListParagraph"/>
        <w:numPr>
          <w:ilvl w:val="1"/>
          <w:numId w:val="1"/>
        </w:numPr>
        <w:tabs>
          <w:tab w:val="left" w:pos="1007"/>
        </w:tabs>
        <w:ind w:left="1007" w:right="555" w:hanging="509"/>
      </w:pPr>
      <w:r>
        <w:rPr>
          <w:sz w:val="24"/>
        </w:rPr>
        <w:t>ATF</w:t>
      </w:r>
      <w:r>
        <w:rPr>
          <w:spacing w:val="-12"/>
          <w:sz w:val="24"/>
        </w:rPr>
        <w:t xml:space="preserve"> </w:t>
      </w:r>
      <w:r>
        <w:rPr>
          <w:sz w:val="24"/>
        </w:rPr>
        <w:t>Form</w:t>
      </w:r>
      <w:r>
        <w:rPr>
          <w:spacing w:val="-10"/>
          <w:sz w:val="24"/>
        </w:rPr>
        <w:t xml:space="preserve"> </w:t>
      </w:r>
      <w:r>
        <w:rPr>
          <w:sz w:val="24"/>
        </w:rPr>
        <w:t>5630.7</w:t>
      </w:r>
      <w:r>
        <w:rPr>
          <w:spacing w:val="-11"/>
          <w:sz w:val="24"/>
        </w:rPr>
        <w:t xml:space="preserve"> </w:t>
      </w:r>
      <w:r>
        <w:rPr>
          <w:sz w:val="24"/>
        </w:rPr>
        <w:t>must</w:t>
      </w:r>
      <w:r>
        <w:rPr>
          <w:spacing w:val="-10"/>
          <w:sz w:val="24"/>
        </w:rPr>
        <w:t xml:space="preserve"> </w:t>
      </w:r>
      <w:r>
        <w:rPr>
          <w:sz w:val="24"/>
        </w:rPr>
        <w:t>be</w:t>
      </w:r>
      <w:r>
        <w:rPr>
          <w:spacing w:val="-13"/>
          <w:sz w:val="24"/>
        </w:rPr>
        <w:t xml:space="preserve"> </w:t>
      </w:r>
      <w:r>
        <w:rPr>
          <w:sz w:val="24"/>
        </w:rPr>
        <w:t>completed</w:t>
      </w:r>
      <w:r>
        <w:rPr>
          <w:spacing w:val="-11"/>
          <w:sz w:val="24"/>
        </w:rPr>
        <w:t xml:space="preserve"> </w:t>
      </w:r>
      <w:r>
        <w:rPr>
          <w:sz w:val="24"/>
        </w:rPr>
        <w:t>in</w:t>
      </w:r>
      <w:r>
        <w:rPr>
          <w:spacing w:val="-11"/>
          <w:sz w:val="24"/>
        </w:rPr>
        <w:t xml:space="preserve"> </w:t>
      </w:r>
      <w:r>
        <w:rPr>
          <w:sz w:val="24"/>
        </w:rPr>
        <w:t>its</w:t>
      </w:r>
      <w:r>
        <w:rPr>
          <w:spacing w:val="-11"/>
          <w:sz w:val="24"/>
        </w:rPr>
        <w:t xml:space="preserve"> </w:t>
      </w:r>
      <w:r>
        <w:rPr>
          <w:sz w:val="24"/>
        </w:rPr>
        <w:t>entirety</w:t>
      </w:r>
      <w:r>
        <w:rPr>
          <w:spacing w:val="-15"/>
          <w:sz w:val="24"/>
        </w:rPr>
        <w:t xml:space="preserve"> </w:t>
      </w:r>
      <w:r>
        <w:rPr>
          <w:sz w:val="24"/>
        </w:rPr>
        <w:t>by</w:t>
      </w:r>
      <w:r>
        <w:rPr>
          <w:spacing w:val="-15"/>
          <w:sz w:val="24"/>
        </w:rPr>
        <w:t xml:space="preserve"> </w:t>
      </w:r>
      <w:r>
        <w:rPr>
          <w:sz w:val="24"/>
        </w:rPr>
        <w:t>the</w:t>
      </w:r>
      <w:r>
        <w:rPr>
          <w:spacing w:val="-14"/>
          <w:sz w:val="24"/>
        </w:rPr>
        <w:t xml:space="preserve"> </w:t>
      </w:r>
      <w:r>
        <w:rPr>
          <w:sz w:val="24"/>
        </w:rPr>
        <w:t>taxpayer.</w:t>
      </w:r>
      <w:r>
        <w:rPr>
          <w:spacing w:val="-9"/>
          <w:sz w:val="24"/>
        </w:rPr>
        <w:t xml:space="preserve"> </w:t>
      </w:r>
      <w:r>
        <w:rPr>
          <w:sz w:val="24"/>
        </w:rPr>
        <w:t>In</w:t>
      </w:r>
      <w:r>
        <w:rPr>
          <w:spacing w:val="-12"/>
          <w:sz w:val="24"/>
        </w:rPr>
        <w:t xml:space="preserve"> </w:t>
      </w:r>
      <w:r>
        <w:rPr>
          <w:sz w:val="24"/>
        </w:rPr>
        <w:t>SOT</w:t>
      </w:r>
      <w:r>
        <w:rPr>
          <w:spacing w:val="-11"/>
          <w:sz w:val="24"/>
        </w:rPr>
        <w:t xml:space="preserve"> </w:t>
      </w:r>
      <w:r>
        <w:rPr>
          <w:sz w:val="24"/>
        </w:rPr>
        <w:t>Tax</w:t>
      </w:r>
      <w:r>
        <w:rPr>
          <w:spacing w:val="-11"/>
          <w:sz w:val="24"/>
        </w:rPr>
        <w:t xml:space="preserve"> </w:t>
      </w:r>
      <w:r>
        <w:rPr>
          <w:sz w:val="24"/>
        </w:rPr>
        <w:t>Year</w:t>
      </w:r>
      <w:r w:rsidR="00D32D7D">
        <w:rPr>
          <w:sz w:val="24"/>
        </w:rPr>
        <w:t>s</w:t>
      </w:r>
      <w:r>
        <w:rPr>
          <w:sz w:val="24"/>
        </w:rPr>
        <w:t xml:space="preserve"> t</w:t>
      </w:r>
      <w:r>
        <w:t>here were approximately</w:t>
      </w:r>
      <w:r>
        <w:rPr>
          <w:spacing w:val="-2"/>
        </w:rPr>
        <w:t xml:space="preserve"> </w:t>
      </w:r>
      <w:r>
        <w:t xml:space="preserve">16,659 taxpayers annually, and it will take each of them 15 minutes to complete their responses. Therefore, the total burden associated with this form is 4,164 hours, which is equal to .25 (15 </w:t>
      </w:r>
      <w:r>
        <w:t>minutes)*</w:t>
      </w:r>
      <w:r>
        <w:t xml:space="preserve"> </w:t>
      </w:r>
      <w:r>
        <w:t xml:space="preserve">16,659 (# </w:t>
      </w:r>
      <w:r>
        <w:t>taxpayers).</w:t>
      </w:r>
    </w:p>
    <w:p w:rsidR="008925F9" w14:paraId="31A3B5CF" w14:textId="77777777">
      <w:pPr>
        <w:pStyle w:val="BodyText"/>
        <w:spacing w:before="99"/>
        <w:rPr>
          <w:sz w:val="22"/>
        </w:rPr>
      </w:pPr>
    </w:p>
    <w:p w:rsidR="008925F9" w14:paraId="70829AA4" w14:textId="77777777">
      <w:pPr>
        <w:pStyle w:val="ListParagraph"/>
        <w:numPr>
          <w:ilvl w:val="1"/>
          <w:numId w:val="1"/>
        </w:numPr>
        <w:tabs>
          <w:tab w:val="left" w:pos="1007"/>
        </w:tabs>
        <w:spacing w:line="235" w:lineRule="auto"/>
        <w:ind w:left="1007" w:right="1211" w:hanging="509"/>
      </w:pPr>
      <w:r>
        <w:rPr>
          <w:sz w:val="24"/>
        </w:rPr>
        <w:t>The estimated cost for all 16,659 respondents to mail the SOT form (ATF Form</w:t>
      </w:r>
      <w:r>
        <w:rPr>
          <w:spacing w:val="-7"/>
          <w:sz w:val="24"/>
        </w:rPr>
        <w:t xml:space="preserve"> </w:t>
      </w:r>
      <w:r>
        <w:rPr>
          <w:sz w:val="24"/>
        </w:rPr>
        <w:t>5630.7)</w:t>
      </w:r>
      <w:r>
        <w:rPr>
          <w:spacing w:val="-7"/>
          <w:sz w:val="24"/>
        </w:rPr>
        <w:t xml:space="preserve"> </w:t>
      </w:r>
      <w:r>
        <w:rPr>
          <w:sz w:val="24"/>
        </w:rPr>
        <w:t>is</w:t>
      </w:r>
      <w:r>
        <w:rPr>
          <w:spacing w:val="-2"/>
          <w:sz w:val="24"/>
        </w:rPr>
        <w:t xml:space="preserve"> </w:t>
      </w:r>
      <w:r>
        <w:t>$.63</w:t>
      </w:r>
      <w:r>
        <w:rPr>
          <w:spacing w:val="-5"/>
        </w:rPr>
        <w:t xml:space="preserve"> </w:t>
      </w:r>
      <w:r>
        <w:t>per</w:t>
      </w:r>
      <w:r>
        <w:rPr>
          <w:spacing w:val="-4"/>
        </w:rPr>
        <w:t xml:space="preserve"> </w:t>
      </w:r>
      <w:r>
        <w:t>person.</w:t>
      </w:r>
      <w:r>
        <w:rPr>
          <w:spacing w:val="-5"/>
        </w:rPr>
        <w:t xml:space="preserve"> </w:t>
      </w:r>
      <w:r>
        <w:t>Therefore</w:t>
      </w:r>
      <w:r>
        <w:rPr>
          <w:spacing w:val="-7"/>
        </w:rPr>
        <w:t xml:space="preserve"> </w:t>
      </w:r>
      <w:r>
        <w:t>the</w:t>
      </w:r>
      <w:r>
        <w:rPr>
          <w:spacing w:val="-7"/>
        </w:rPr>
        <w:t xml:space="preserve"> </w:t>
      </w:r>
      <w:r>
        <w:t>public</w:t>
      </w:r>
      <w:r>
        <w:rPr>
          <w:spacing w:val="-8"/>
        </w:rPr>
        <w:t xml:space="preserve"> </w:t>
      </w:r>
      <w:r>
        <w:t>cost</w:t>
      </w:r>
      <w:r>
        <w:rPr>
          <w:spacing w:val="-6"/>
        </w:rPr>
        <w:t xml:space="preserve"> </w:t>
      </w:r>
      <w:r>
        <w:t>associated</w:t>
      </w:r>
      <w:r>
        <w:rPr>
          <w:spacing w:val="-5"/>
        </w:rPr>
        <w:t xml:space="preserve"> </w:t>
      </w:r>
      <w:r>
        <w:t>with</w:t>
      </w:r>
      <w:r>
        <w:rPr>
          <w:spacing w:val="-7"/>
        </w:rPr>
        <w:t xml:space="preserve"> </w:t>
      </w:r>
      <w:r>
        <w:t>this</w:t>
      </w:r>
      <w:r>
        <w:rPr>
          <w:spacing w:val="-2"/>
        </w:rPr>
        <w:t xml:space="preserve"> </w:t>
      </w:r>
      <w:r>
        <w:t>IC</w:t>
      </w:r>
      <w:r>
        <w:rPr>
          <w:spacing w:val="-6"/>
        </w:rPr>
        <w:t xml:space="preserve"> </w:t>
      </w:r>
      <w:r>
        <w:t>is</w:t>
      </w:r>
    </w:p>
    <w:p w:rsidR="008925F9" w14:paraId="5D737A9D" w14:textId="77777777">
      <w:pPr>
        <w:spacing w:line="252" w:lineRule="exact"/>
        <w:ind w:left="1007"/>
      </w:pPr>
      <w:r>
        <w:rPr>
          <w:spacing w:val="-2"/>
        </w:rPr>
        <w:t>$10,495.</w:t>
      </w:r>
    </w:p>
    <w:p w:rsidR="008925F9" w14:paraId="3233CEC0" w14:textId="77777777">
      <w:pPr>
        <w:pStyle w:val="BodyText"/>
        <w:spacing w:before="24"/>
        <w:rPr>
          <w:sz w:val="22"/>
        </w:rPr>
      </w:pPr>
    </w:p>
    <w:p w:rsidR="008925F9" w14:paraId="088F5CF1" w14:textId="77777777">
      <w:pPr>
        <w:pStyle w:val="ListParagraph"/>
        <w:numPr>
          <w:ilvl w:val="1"/>
          <w:numId w:val="1"/>
        </w:numPr>
        <w:tabs>
          <w:tab w:val="left" w:pos="1007"/>
        </w:tabs>
        <w:spacing w:before="1"/>
        <w:ind w:left="1007" w:right="171" w:hanging="509"/>
        <w:rPr>
          <w:sz w:val="24"/>
        </w:rPr>
      </w:pPr>
      <w:r>
        <w:rPr>
          <w:sz w:val="24"/>
        </w:rPr>
        <w:t>It</w:t>
      </w:r>
      <w:r>
        <w:rPr>
          <w:spacing w:val="-5"/>
          <w:sz w:val="24"/>
        </w:rPr>
        <w:t xml:space="preserve"> </w:t>
      </w:r>
      <w:r>
        <w:rPr>
          <w:sz w:val="24"/>
        </w:rPr>
        <w:t>is</w:t>
      </w:r>
      <w:r>
        <w:rPr>
          <w:spacing w:val="-6"/>
          <w:sz w:val="24"/>
        </w:rPr>
        <w:t xml:space="preserve"> </w:t>
      </w:r>
      <w:r>
        <w:rPr>
          <w:sz w:val="24"/>
        </w:rPr>
        <w:t>estimated</w:t>
      </w:r>
      <w:r>
        <w:rPr>
          <w:spacing w:val="-6"/>
          <w:sz w:val="24"/>
        </w:rPr>
        <w:t xml:space="preserve"> </w:t>
      </w:r>
      <w:r>
        <w:rPr>
          <w:sz w:val="24"/>
        </w:rPr>
        <w:t>that</w:t>
      </w:r>
      <w:r>
        <w:rPr>
          <w:spacing w:val="-5"/>
          <w:sz w:val="24"/>
        </w:rPr>
        <w:t xml:space="preserve"> </w:t>
      </w:r>
      <w:r>
        <w:rPr>
          <w:sz w:val="24"/>
        </w:rPr>
        <w:t>it</w:t>
      </w:r>
      <w:r>
        <w:rPr>
          <w:spacing w:val="-5"/>
          <w:sz w:val="24"/>
        </w:rPr>
        <w:t xml:space="preserve"> </w:t>
      </w:r>
      <w:r>
        <w:rPr>
          <w:sz w:val="24"/>
        </w:rPr>
        <w:t>will</w:t>
      </w:r>
      <w:r>
        <w:rPr>
          <w:spacing w:val="-8"/>
          <w:sz w:val="24"/>
        </w:rPr>
        <w:t xml:space="preserve"> </w:t>
      </w:r>
      <w:r>
        <w:rPr>
          <w:sz w:val="24"/>
        </w:rPr>
        <w:t>cost</w:t>
      </w:r>
      <w:r>
        <w:rPr>
          <w:spacing w:val="-5"/>
          <w:sz w:val="24"/>
        </w:rPr>
        <w:t xml:space="preserve"> </w:t>
      </w:r>
      <w:r>
        <w:rPr>
          <w:sz w:val="24"/>
        </w:rPr>
        <w:t>$3,331</w:t>
      </w:r>
      <w:r>
        <w:rPr>
          <w:spacing w:val="-6"/>
          <w:sz w:val="24"/>
        </w:rPr>
        <w:t xml:space="preserve"> </w:t>
      </w:r>
      <w:r>
        <w:rPr>
          <w:sz w:val="24"/>
        </w:rPr>
        <w:t>to</w:t>
      </w:r>
      <w:r>
        <w:rPr>
          <w:spacing w:val="-6"/>
          <w:sz w:val="24"/>
        </w:rPr>
        <w:t xml:space="preserve"> </w:t>
      </w:r>
      <w:r>
        <w:rPr>
          <w:sz w:val="24"/>
        </w:rPr>
        <w:t>the</w:t>
      </w:r>
      <w:r>
        <w:rPr>
          <w:spacing w:val="-9"/>
          <w:sz w:val="24"/>
        </w:rPr>
        <w:t xml:space="preserve"> </w:t>
      </w:r>
      <w:r>
        <w:rPr>
          <w:sz w:val="24"/>
        </w:rPr>
        <w:t>Federal</w:t>
      </w:r>
      <w:r>
        <w:rPr>
          <w:spacing w:val="-5"/>
          <w:sz w:val="24"/>
        </w:rPr>
        <w:t xml:space="preserve"> </w:t>
      </w:r>
      <w:r>
        <w:rPr>
          <w:sz w:val="24"/>
        </w:rPr>
        <w:t>Government</w:t>
      </w:r>
      <w:r>
        <w:rPr>
          <w:spacing w:val="-8"/>
          <w:sz w:val="24"/>
        </w:rPr>
        <w:t xml:space="preserve"> </w:t>
      </w:r>
      <w:r>
        <w:rPr>
          <w:sz w:val="24"/>
        </w:rPr>
        <w:t>to</w:t>
      </w:r>
      <w:r>
        <w:rPr>
          <w:spacing w:val="-6"/>
          <w:sz w:val="24"/>
        </w:rPr>
        <w:t xml:space="preserve"> </w:t>
      </w:r>
      <w:r>
        <w:rPr>
          <w:sz w:val="24"/>
        </w:rPr>
        <w:t>print</w:t>
      </w:r>
      <w:r>
        <w:rPr>
          <w:spacing w:val="-5"/>
          <w:sz w:val="24"/>
        </w:rPr>
        <w:t xml:space="preserve"> </w:t>
      </w:r>
      <w:r>
        <w:rPr>
          <w:sz w:val="24"/>
        </w:rPr>
        <w:t>a</w:t>
      </w:r>
      <w:r>
        <w:rPr>
          <w:spacing w:val="-9"/>
          <w:sz w:val="24"/>
        </w:rPr>
        <w:t xml:space="preserve"> </w:t>
      </w:r>
      <w:r>
        <w:rPr>
          <w:sz w:val="24"/>
        </w:rPr>
        <w:t>total</w:t>
      </w:r>
      <w:r>
        <w:rPr>
          <w:spacing w:val="-5"/>
          <w:sz w:val="24"/>
        </w:rPr>
        <w:t xml:space="preserve"> </w:t>
      </w:r>
      <w:r>
        <w:rPr>
          <w:sz w:val="24"/>
        </w:rPr>
        <w:t>of</w:t>
      </w:r>
      <w:r>
        <w:rPr>
          <w:spacing w:val="-5"/>
          <w:sz w:val="24"/>
        </w:rPr>
        <w:t xml:space="preserve"> </w:t>
      </w:r>
      <w:r>
        <w:rPr>
          <w:sz w:val="24"/>
        </w:rPr>
        <w:t>16,659 copies of the forms.</w:t>
      </w:r>
    </w:p>
    <w:p w:rsidR="00D32D7D" w:rsidP="00D32D7D" w14:paraId="540D420B" w14:textId="77777777">
      <w:pPr>
        <w:pStyle w:val="ListParagraph"/>
        <w:tabs>
          <w:tab w:val="left" w:pos="1007"/>
        </w:tabs>
        <w:spacing w:before="1"/>
        <w:ind w:right="171" w:firstLine="0"/>
        <w:rPr>
          <w:sz w:val="24"/>
        </w:rPr>
      </w:pPr>
    </w:p>
    <w:p w:rsidR="00D32D7D" w:rsidP="00D32D7D" w14:paraId="660F100A" w14:textId="77777777">
      <w:pPr>
        <w:pStyle w:val="ListParagraph"/>
        <w:numPr>
          <w:ilvl w:val="1"/>
          <w:numId w:val="1"/>
        </w:numPr>
        <w:tabs>
          <w:tab w:val="left" w:pos="1531"/>
        </w:tabs>
        <w:ind w:right="301"/>
        <w:rPr>
          <w:sz w:val="24"/>
        </w:rPr>
      </w:pPr>
      <w:r>
        <w:rPr>
          <w:sz w:val="24"/>
        </w:rPr>
        <w:t>No adjustments being made during this renewal; extended without change.</w:t>
      </w:r>
    </w:p>
    <w:p w:rsidR="00D32D7D" w:rsidP="00D32D7D" w14:paraId="6AE73010" w14:textId="77777777">
      <w:pPr>
        <w:pStyle w:val="BodyText"/>
      </w:pPr>
    </w:p>
    <w:p w:rsidR="008925F9" w14:paraId="573A6CD7" w14:textId="77777777">
      <w:pPr>
        <w:pStyle w:val="ListParagraph"/>
        <w:numPr>
          <w:ilvl w:val="1"/>
          <w:numId w:val="1"/>
        </w:numPr>
        <w:tabs>
          <w:tab w:val="left" w:pos="1007"/>
        </w:tabs>
        <w:ind w:left="1007" w:hanging="508"/>
        <w:rPr>
          <w:sz w:val="24"/>
        </w:rPr>
      </w:pPr>
      <w:r>
        <w:rPr>
          <w:sz w:val="24"/>
        </w:rPr>
        <w:t>The</w:t>
      </w:r>
      <w:r>
        <w:rPr>
          <w:spacing w:val="-5"/>
          <w:sz w:val="24"/>
        </w:rPr>
        <w:t xml:space="preserve"> </w:t>
      </w:r>
      <w:r>
        <w:rPr>
          <w:sz w:val="24"/>
        </w:rPr>
        <w:t>results of</w:t>
      </w:r>
      <w:r>
        <w:rPr>
          <w:spacing w:val="-4"/>
          <w:sz w:val="24"/>
        </w:rPr>
        <w:t xml:space="preserve"> </w:t>
      </w:r>
      <w:r>
        <w:rPr>
          <w:sz w:val="24"/>
        </w:rPr>
        <w:t>this</w:t>
      </w:r>
      <w:r>
        <w:rPr>
          <w:spacing w:val="-1"/>
          <w:sz w:val="24"/>
        </w:rPr>
        <w:t xml:space="preserve"> </w:t>
      </w:r>
      <w:r>
        <w:rPr>
          <w:sz w:val="24"/>
        </w:rPr>
        <w:t>collection</w:t>
      </w:r>
      <w:r>
        <w:rPr>
          <w:spacing w:val="-3"/>
          <w:sz w:val="24"/>
        </w:rPr>
        <w:t xml:space="preserve"> </w:t>
      </w:r>
      <w:r>
        <w:rPr>
          <w:sz w:val="24"/>
        </w:rPr>
        <w:t>will not</w:t>
      </w:r>
      <w:r>
        <w:rPr>
          <w:spacing w:val="-4"/>
          <w:sz w:val="24"/>
        </w:rPr>
        <w:t xml:space="preserve"> </w:t>
      </w:r>
      <w:r>
        <w:rPr>
          <w:sz w:val="24"/>
        </w:rPr>
        <w:t>be</w:t>
      </w:r>
      <w:r>
        <w:rPr>
          <w:spacing w:val="-11"/>
          <w:sz w:val="24"/>
        </w:rPr>
        <w:t xml:space="preserve"> </w:t>
      </w:r>
      <w:r>
        <w:rPr>
          <w:spacing w:val="-2"/>
          <w:sz w:val="24"/>
        </w:rPr>
        <w:t>published.</w:t>
      </w:r>
    </w:p>
    <w:p w:rsidR="008925F9" w14:paraId="776E47A6" w14:textId="77777777">
      <w:pPr>
        <w:pStyle w:val="BodyText"/>
      </w:pPr>
    </w:p>
    <w:p w:rsidR="008925F9" w14:paraId="5CBF9973" w14:textId="77777777">
      <w:pPr>
        <w:pStyle w:val="ListParagraph"/>
        <w:numPr>
          <w:ilvl w:val="1"/>
          <w:numId w:val="1"/>
        </w:numPr>
        <w:tabs>
          <w:tab w:val="left" w:pos="1007"/>
        </w:tabs>
        <w:ind w:left="1007" w:right="841" w:hanging="509"/>
        <w:rPr>
          <w:sz w:val="24"/>
        </w:rPr>
      </w:pPr>
      <w:r>
        <w:rPr>
          <w:sz w:val="24"/>
        </w:rPr>
        <w:t>ATF</w:t>
      </w:r>
      <w:r>
        <w:rPr>
          <w:spacing w:val="-15"/>
          <w:sz w:val="24"/>
        </w:rPr>
        <w:t xml:space="preserve"> </w:t>
      </w:r>
      <w:r>
        <w:rPr>
          <w:sz w:val="24"/>
        </w:rPr>
        <w:t>does</w:t>
      </w:r>
      <w:r>
        <w:rPr>
          <w:spacing w:val="-7"/>
          <w:sz w:val="24"/>
        </w:rPr>
        <w:t xml:space="preserve"> </w:t>
      </w:r>
      <w:r>
        <w:rPr>
          <w:sz w:val="24"/>
        </w:rPr>
        <w:t>not</w:t>
      </w:r>
      <w:r>
        <w:rPr>
          <w:spacing w:val="-6"/>
          <w:sz w:val="24"/>
        </w:rPr>
        <w:t xml:space="preserve"> </w:t>
      </w:r>
      <w:r>
        <w:rPr>
          <w:sz w:val="24"/>
        </w:rPr>
        <w:t>request</w:t>
      </w:r>
      <w:r>
        <w:rPr>
          <w:spacing w:val="-6"/>
          <w:sz w:val="24"/>
        </w:rPr>
        <w:t xml:space="preserve"> </w:t>
      </w:r>
      <w:r>
        <w:rPr>
          <w:sz w:val="24"/>
        </w:rPr>
        <w:t>approval</w:t>
      </w:r>
      <w:r>
        <w:rPr>
          <w:spacing w:val="-7"/>
          <w:sz w:val="24"/>
        </w:rPr>
        <w:t xml:space="preserve"> </w:t>
      </w:r>
      <w:r>
        <w:rPr>
          <w:sz w:val="24"/>
        </w:rPr>
        <w:t>to</w:t>
      </w:r>
      <w:r>
        <w:rPr>
          <w:spacing w:val="-7"/>
          <w:sz w:val="24"/>
        </w:rPr>
        <w:t xml:space="preserve"> </w:t>
      </w:r>
      <w:r>
        <w:rPr>
          <w:sz w:val="24"/>
        </w:rPr>
        <w:t>not</w:t>
      </w:r>
      <w:r>
        <w:rPr>
          <w:spacing w:val="-6"/>
          <w:sz w:val="24"/>
        </w:rPr>
        <w:t xml:space="preserve"> </w:t>
      </w:r>
      <w:r>
        <w:rPr>
          <w:sz w:val="24"/>
        </w:rPr>
        <w:t>display</w:t>
      </w:r>
      <w:r>
        <w:rPr>
          <w:spacing w:val="-12"/>
          <w:sz w:val="24"/>
        </w:rPr>
        <w:t xml:space="preserve"> </w:t>
      </w:r>
      <w:r>
        <w:rPr>
          <w:sz w:val="24"/>
        </w:rPr>
        <w:t>the</w:t>
      </w:r>
      <w:r>
        <w:rPr>
          <w:spacing w:val="-10"/>
          <w:sz w:val="24"/>
        </w:rPr>
        <w:t xml:space="preserve"> </w:t>
      </w:r>
      <w:r>
        <w:rPr>
          <w:sz w:val="24"/>
        </w:rPr>
        <w:t>expiration</w:t>
      </w:r>
      <w:r>
        <w:rPr>
          <w:spacing w:val="-8"/>
          <w:sz w:val="24"/>
        </w:rPr>
        <w:t xml:space="preserve"> </w:t>
      </w:r>
      <w:r>
        <w:rPr>
          <w:sz w:val="24"/>
        </w:rPr>
        <w:t>date</w:t>
      </w:r>
      <w:r>
        <w:rPr>
          <w:spacing w:val="-10"/>
          <w:sz w:val="24"/>
        </w:rPr>
        <w:t xml:space="preserve"> </w:t>
      </w:r>
      <w:r>
        <w:rPr>
          <w:sz w:val="24"/>
        </w:rPr>
        <w:t>of</w:t>
      </w:r>
      <w:r>
        <w:rPr>
          <w:spacing w:val="-8"/>
          <w:sz w:val="24"/>
        </w:rPr>
        <w:t xml:space="preserve"> </w:t>
      </w:r>
      <w:r>
        <w:rPr>
          <w:sz w:val="24"/>
        </w:rPr>
        <w:t>OMB</w:t>
      </w:r>
      <w:r>
        <w:rPr>
          <w:spacing w:val="-24"/>
          <w:sz w:val="24"/>
        </w:rPr>
        <w:t xml:space="preserve"> </w:t>
      </w:r>
      <w:r>
        <w:rPr>
          <w:sz w:val="24"/>
        </w:rPr>
        <w:t>approval for this collection.</w:t>
      </w:r>
    </w:p>
    <w:p w:rsidR="008925F9" w14:paraId="3D6EAB37" w14:textId="77777777">
      <w:pPr>
        <w:pStyle w:val="ListParagraph"/>
        <w:rPr>
          <w:sz w:val="24"/>
        </w:rPr>
        <w:sectPr>
          <w:pgSz w:w="12240" w:h="15840"/>
          <w:pgMar w:top="1200" w:right="1440" w:bottom="940" w:left="1080" w:header="0" w:footer="748" w:gutter="0"/>
          <w:cols w:space="720"/>
        </w:sectPr>
      </w:pPr>
    </w:p>
    <w:p w:rsidR="008925F9" w14:paraId="59AB4009" w14:textId="77777777">
      <w:pPr>
        <w:pStyle w:val="ListParagraph"/>
        <w:numPr>
          <w:ilvl w:val="1"/>
          <w:numId w:val="1"/>
        </w:numPr>
        <w:tabs>
          <w:tab w:val="left" w:pos="542"/>
        </w:tabs>
        <w:spacing w:before="74"/>
        <w:ind w:left="542" w:right="3542" w:hanging="542"/>
        <w:jc w:val="right"/>
        <w:rPr>
          <w:sz w:val="24"/>
        </w:rPr>
      </w:pPr>
      <w:r>
        <w:rPr>
          <w:sz w:val="24"/>
        </w:rPr>
        <w:t>There</w:t>
      </w:r>
      <w:r>
        <w:rPr>
          <w:spacing w:val="-3"/>
          <w:sz w:val="24"/>
        </w:rPr>
        <w:t xml:space="preserve"> </w:t>
      </w:r>
      <w:r>
        <w:rPr>
          <w:sz w:val="24"/>
        </w:rPr>
        <w:t>are</w:t>
      </w:r>
      <w:r>
        <w:rPr>
          <w:spacing w:val="-5"/>
          <w:sz w:val="24"/>
        </w:rPr>
        <w:t xml:space="preserve"> </w:t>
      </w:r>
      <w:r>
        <w:rPr>
          <w:sz w:val="24"/>
        </w:rPr>
        <w:t>no</w:t>
      </w:r>
      <w:r>
        <w:rPr>
          <w:spacing w:val="-1"/>
          <w:sz w:val="24"/>
        </w:rPr>
        <w:t xml:space="preserve"> </w:t>
      </w:r>
      <w:r>
        <w:rPr>
          <w:sz w:val="24"/>
        </w:rPr>
        <w:t>exceptions</w:t>
      </w:r>
      <w:r>
        <w:rPr>
          <w:spacing w:val="-4"/>
          <w:sz w:val="24"/>
        </w:rPr>
        <w:t xml:space="preserve"> </w:t>
      </w:r>
      <w:r>
        <w:rPr>
          <w:sz w:val="24"/>
        </w:rPr>
        <w:t>to</w:t>
      </w:r>
      <w:r>
        <w:rPr>
          <w:spacing w:val="-1"/>
          <w:sz w:val="24"/>
        </w:rPr>
        <w:t xml:space="preserve"> </w:t>
      </w:r>
      <w:r>
        <w:rPr>
          <w:sz w:val="24"/>
        </w:rPr>
        <w:t>the</w:t>
      </w:r>
      <w:r>
        <w:rPr>
          <w:spacing w:val="-5"/>
          <w:sz w:val="24"/>
        </w:rPr>
        <w:t xml:space="preserve"> </w:t>
      </w:r>
      <w:r>
        <w:rPr>
          <w:sz w:val="24"/>
        </w:rPr>
        <w:t>certification</w:t>
      </w:r>
      <w:r>
        <w:rPr>
          <w:spacing w:val="-9"/>
          <w:sz w:val="24"/>
        </w:rPr>
        <w:t xml:space="preserve"> </w:t>
      </w:r>
      <w:r>
        <w:rPr>
          <w:spacing w:val="-2"/>
          <w:sz w:val="24"/>
        </w:rPr>
        <w:t>statement.</w:t>
      </w:r>
    </w:p>
    <w:p w:rsidR="008925F9" w14:paraId="19C4780E" w14:textId="77777777">
      <w:pPr>
        <w:pStyle w:val="BodyText"/>
        <w:spacing w:before="237"/>
      </w:pPr>
    </w:p>
    <w:p w:rsidR="008925F9" w14:paraId="213E824F" w14:textId="77777777">
      <w:pPr>
        <w:pStyle w:val="ListParagraph"/>
        <w:numPr>
          <w:ilvl w:val="0"/>
          <w:numId w:val="1"/>
        </w:numPr>
        <w:tabs>
          <w:tab w:val="left" w:pos="453"/>
        </w:tabs>
        <w:spacing w:before="1"/>
        <w:ind w:left="453" w:right="3447" w:hanging="453"/>
        <w:rPr>
          <w:b/>
          <w:sz w:val="24"/>
        </w:rPr>
      </w:pPr>
      <w:r>
        <w:rPr>
          <w:b/>
          <w:sz w:val="24"/>
        </w:rPr>
        <w:t>Collection</w:t>
      </w:r>
      <w:r>
        <w:rPr>
          <w:b/>
          <w:spacing w:val="-14"/>
          <w:sz w:val="24"/>
        </w:rPr>
        <w:t xml:space="preserve"> </w:t>
      </w:r>
      <w:r>
        <w:rPr>
          <w:b/>
          <w:sz w:val="24"/>
        </w:rPr>
        <w:t>of</w:t>
      </w:r>
      <w:r>
        <w:rPr>
          <w:b/>
          <w:spacing w:val="-11"/>
          <w:sz w:val="24"/>
        </w:rPr>
        <w:t xml:space="preserve"> </w:t>
      </w:r>
      <w:r>
        <w:rPr>
          <w:b/>
          <w:sz w:val="24"/>
        </w:rPr>
        <w:t>Information</w:t>
      </w:r>
      <w:r>
        <w:rPr>
          <w:b/>
          <w:spacing w:val="-12"/>
          <w:sz w:val="24"/>
        </w:rPr>
        <w:t xml:space="preserve"> </w:t>
      </w:r>
      <w:r>
        <w:rPr>
          <w:b/>
          <w:sz w:val="24"/>
        </w:rPr>
        <w:t>Employing</w:t>
      </w:r>
      <w:r>
        <w:rPr>
          <w:b/>
          <w:spacing w:val="-13"/>
          <w:sz w:val="24"/>
        </w:rPr>
        <w:t xml:space="preserve"> </w:t>
      </w:r>
      <w:r>
        <w:rPr>
          <w:b/>
          <w:sz w:val="24"/>
        </w:rPr>
        <w:t>Statistical</w:t>
      </w:r>
      <w:r>
        <w:rPr>
          <w:b/>
          <w:spacing w:val="-12"/>
          <w:sz w:val="24"/>
        </w:rPr>
        <w:t xml:space="preserve"> </w:t>
      </w:r>
      <w:r>
        <w:rPr>
          <w:b/>
          <w:spacing w:val="-2"/>
          <w:sz w:val="24"/>
        </w:rPr>
        <w:t>Methods</w:t>
      </w:r>
    </w:p>
    <w:p w:rsidR="008925F9" w14:paraId="7619E6A4" w14:textId="77777777">
      <w:pPr>
        <w:pStyle w:val="BodyText"/>
        <w:spacing w:before="269"/>
        <w:ind w:left="511"/>
      </w:pPr>
      <w:r>
        <w:rPr>
          <w:spacing w:val="-2"/>
        </w:rPr>
        <w:t>None.</w:t>
      </w:r>
    </w:p>
    <w:sectPr>
      <w:pgSz w:w="12240" w:h="15840"/>
      <w:pgMar w:top="1480" w:right="1440" w:bottom="940" w:left="1080" w:header="0" w:footer="74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25F9" w14:paraId="3051D04B"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3810000</wp:posOffset>
              </wp:positionH>
              <wp:positionV relativeFrom="page">
                <wp:posOffset>9443719</wp:posOffset>
              </wp:positionV>
              <wp:extent cx="160020" cy="165735"/>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735"/>
                      </a:xfrm>
                      <a:prstGeom prst="rect">
                        <a:avLst/>
                      </a:prstGeom>
                    </wps:spPr>
                    <wps:txbx>
                      <w:txbxContent>
                        <w:p w:rsidR="008925F9" w14:textId="7777777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12.6pt;height:13.05pt;margin-top:743.6pt;margin-left:300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8925F9" w14:paraId="49D6E581" w14:textId="7777777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abstractNum w:abstractNumId="1">
    <w:nsid w:val="3B725285"/>
    <w:multiLevelType w:val="hybridMultilevel"/>
    <w:tmpl w:val="F01E414E"/>
    <w:lvl w:ilvl="0">
      <w:start w:val="1"/>
      <w:numFmt w:val="upperLetter"/>
      <w:lvlText w:val="%1."/>
      <w:lvlJc w:val="left"/>
      <w:pPr>
        <w:ind w:left="540" w:hanging="360"/>
        <w:jc w:val="right"/>
      </w:pPr>
      <w:rPr>
        <w:rFonts w:ascii="Times New Roman" w:eastAsia="Times New Roman" w:hAnsi="Times New Roman" w:cs="Times New Roman" w:hint="default"/>
        <w:b/>
        <w:bCs/>
        <w:i w:val="0"/>
        <w:iCs w:val="0"/>
        <w:spacing w:val="-4"/>
        <w:w w:val="98"/>
        <w:sz w:val="24"/>
        <w:szCs w:val="24"/>
        <w:lang w:val="en-US" w:eastAsia="en-US" w:bidi="ar-SA"/>
      </w:rPr>
    </w:lvl>
    <w:lvl w:ilvl="1">
      <w:start w:val="1"/>
      <w:numFmt w:val="decimal"/>
      <w:lvlText w:val="%2."/>
      <w:lvlJc w:val="left"/>
      <w:pPr>
        <w:ind w:left="991" w:hanging="45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1968" w:hanging="454"/>
      </w:pPr>
      <w:rPr>
        <w:rFonts w:hint="default"/>
        <w:lang w:val="en-US" w:eastAsia="en-US" w:bidi="ar-SA"/>
      </w:rPr>
    </w:lvl>
    <w:lvl w:ilvl="3">
      <w:start w:val="0"/>
      <w:numFmt w:val="bullet"/>
      <w:lvlText w:val="•"/>
      <w:lvlJc w:val="left"/>
      <w:pPr>
        <w:ind w:left="2937" w:hanging="454"/>
      </w:pPr>
      <w:rPr>
        <w:rFonts w:hint="default"/>
        <w:lang w:val="en-US" w:eastAsia="en-US" w:bidi="ar-SA"/>
      </w:rPr>
    </w:lvl>
    <w:lvl w:ilvl="4">
      <w:start w:val="0"/>
      <w:numFmt w:val="bullet"/>
      <w:lvlText w:val="•"/>
      <w:lvlJc w:val="left"/>
      <w:pPr>
        <w:ind w:left="3906" w:hanging="454"/>
      </w:pPr>
      <w:rPr>
        <w:rFonts w:hint="default"/>
        <w:lang w:val="en-US" w:eastAsia="en-US" w:bidi="ar-SA"/>
      </w:rPr>
    </w:lvl>
    <w:lvl w:ilvl="5">
      <w:start w:val="0"/>
      <w:numFmt w:val="bullet"/>
      <w:lvlText w:val="•"/>
      <w:lvlJc w:val="left"/>
      <w:pPr>
        <w:ind w:left="4875" w:hanging="454"/>
      </w:pPr>
      <w:rPr>
        <w:rFonts w:hint="default"/>
        <w:lang w:val="en-US" w:eastAsia="en-US" w:bidi="ar-SA"/>
      </w:rPr>
    </w:lvl>
    <w:lvl w:ilvl="6">
      <w:start w:val="0"/>
      <w:numFmt w:val="bullet"/>
      <w:lvlText w:val="•"/>
      <w:lvlJc w:val="left"/>
      <w:pPr>
        <w:ind w:left="5844" w:hanging="454"/>
      </w:pPr>
      <w:rPr>
        <w:rFonts w:hint="default"/>
        <w:lang w:val="en-US" w:eastAsia="en-US" w:bidi="ar-SA"/>
      </w:rPr>
    </w:lvl>
    <w:lvl w:ilvl="7">
      <w:start w:val="0"/>
      <w:numFmt w:val="bullet"/>
      <w:lvlText w:val="•"/>
      <w:lvlJc w:val="left"/>
      <w:pPr>
        <w:ind w:left="6813" w:hanging="454"/>
      </w:pPr>
      <w:rPr>
        <w:rFonts w:hint="default"/>
        <w:lang w:val="en-US" w:eastAsia="en-US" w:bidi="ar-SA"/>
      </w:rPr>
    </w:lvl>
    <w:lvl w:ilvl="8">
      <w:start w:val="0"/>
      <w:numFmt w:val="bullet"/>
      <w:lvlText w:val="•"/>
      <w:lvlJc w:val="left"/>
      <w:pPr>
        <w:ind w:left="7782" w:hanging="454"/>
      </w:pPr>
      <w:rPr>
        <w:rFonts w:hint="default"/>
        <w:lang w:val="en-US" w:eastAsia="en-US" w:bidi="ar-SA"/>
      </w:rPr>
    </w:lvl>
  </w:abstractNum>
  <w:num w:numId="1" w16cid:durableId="51587285">
    <w:abstractNumId w:val="1"/>
  </w:num>
  <w:num w:numId="2" w16cid:durableId="13507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F9"/>
    <w:rsid w:val="00663EF9"/>
    <w:rsid w:val="0078243E"/>
    <w:rsid w:val="008925F9"/>
    <w:rsid w:val="008D226D"/>
    <w:rsid w:val="00B02F76"/>
    <w:rsid w:val="00D32D7D"/>
    <w:rsid w:val="00DF21A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E76780"/>
  <w15:docId w15:val="{27EAC37B-D402-41C5-831E-BB9DC55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07" w:hanging="50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pay.gov/"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994030-3462-459B-8C87-8EE32E5CA327}">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261831AB-F937-4D44-B429-DD49568A6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83C39B-31DC-43BC-AAD5-F82EB84151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757</Words>
  <Characters>4317</Characters>
  <Application>Microsoft Office Word</Application>
  <DocSecurity>0</DocSecurity>
  <Lines>35</Lines>
  <Paragraphs>10</Paragraphs>
  <ScaleCrop>false</ScaleCrop>
  <Company>Bureau of Alcohol, Tobacco, Firearms and Explosives</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ATF Form 5630.7</dc:title>
  <dc:creator>Bolton, Tamelia A.</dc:creator>
  <cp:lastModifiedBy>Holmes-Brooks, Colette N. (ATF) (CTR)</cp:lastModifiedBy>
  <cp:revision>2</cp:revision>
  <dcterms:created xsi:type="dcterms:W3CDTF">2026-10-26T19:08:00Z</dcterms:created>
  <dcterms:modified xsi:type="dcterms:W3CDTF">2026-10-26T19:08:00Z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2023-06-01T00:00:00Z</vt:filetime>
  </property>
  <property fmtid="{D5CDD505-2E9C-101B-9397-08002B2CF9AE}" pid="4" name="Creator">
    <vt:lpwstr>Acrobat PDFMaker 23 for Word</vt:lpwstr>
  </property>
  <property fmtid="{D5CDD505-2E9C-101B-9397-08002B2CF9AE}" pid="5" name="LastSaved">
    <vt:filetime>2026-03-24T00:00:00Z</vt:filetime>
  </property>
  <property fmtid="{D5CDD505-2E9C-101B-9397-08002B2CF9AE}" pid="6" name="Producer">
    <vt:lpwstr>Adobe PDF Library 23.1.206</vt:lpwstr>
  </property>
  <property fmtid="{D5CDD505-2E9C-101B-9397-08002B2CF9AE}" pid="7" name="SourceModified">
    <vt:lpwstr>D:20200511183005</vt:lpwstr>
  </property>
</Properties>
</file>