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93CB8" w:rsidP="00DB3C07" w14:paraId="24182408" w14:textId="77777777"/>
    <w:p w:rsidR="002A2F64" w:rsidP="00DB3C07" w14:paraId="06BFDD2A" w14:textId="77777777">
      <w:pPr>
        <w:jc w:val="center"/>
      </w:pPr>
      <w:r>
        <w:t>Department of Justice</w:t>
      </w:r>
    </w:p>
    <w:p w:rsidR="002A2F64" w:rsidP="00DB3C07" w14:paraId="09943920" w14:textId="38A76A31">
      <w:pPr>
        <w:jc w:val="center"/>
      </w:pPr>
      <w:r>
        <w:t>Bureau of Alcohol, Tobacco, Firearms</w:t>
      </w:r>
      <w:r w:rsidR="002F6B85">
        <w:t>,</w:t>
      </w:r>
      <w:r>
        <w:t xml:space="preserve"> and Explosives</w:t>
      </w:r>
      <w:r w:rsidR="008903C1">
        <w:t xml:space="preserve"> (ATF)</w:t>
      </w:r>
    </w:p>
    <w:p w:rsidR="002A2F64" w:rsidRPr="00A426BD" w:rsidP="00DB3C07" w14:paraId="16604231" w14:textId="516C8D4E">
      <w:pPr>
        <w:jc w:val="center"/>
      </w:pPr>
      <w:r w:rsidRPr="00A426BD">
        <w:t>Information Collection Request</w:t>
      </w:r>
      <w:r w:rsidR="008903C1">
        <w:t xml:space="preserve"> (ICR)</w:t>
      </w:r>
    </w:p>
    <w:p w:rsidR="002A2F64" w:rsidP="00DB3C07" w14:paraId="4AF06ABB" w14:textId="4532E62F">
      <w:pPr>
        <w:jc w:val="center"/>
      </w:pPr>
      <w:r>
        <w:t xml:space="preserve">OMB </w:t>
      </w:r>
      <w:r w:rsidR="007A2129">
        <w:t>1140-0049</w:t>
      </w:r>
    </w:p>
    <w:p w:rsidR="00604468" w:rsidP="00DB3C07" w14:paraId="51C86A14" w14:textId="77777777">
      <w:pPr>
        <w:jc w:val="center"/>
      </w:pPr>
      <w:r>
        <w:t>Application for National Firearms Examiner Academy</w:t>
      </w:r>
    </w:p>
    <w:p w:rsidR="00F40C60" w:rsidP="00DB3C07" w14:paraId="043B763B" w14:textId="3785F646">
      <w:pPr>
        <w:jc w:val="center"/>
      </w:pPr>
      <w:r>
        <w:t>(</w:t>
      </w:r>
      <w:r w:rsidRPr="00A426BD" w:rsidR="007A2129">
        <w:t>ATF F</w:t>
      </w:r>
      <w:r w:rsidR="00D66035">
        <w:t>orm</w:t>
      </w:r>
      <w:r w:rsidRPr="00A426BD" w:rsidR="007A2129">
        <w:t xml:space="preserve"> 6330.1</w:t>
      </w:r>
      <w:r>
        <w:t>)</w:t>
      </w:r>
    </w:p>
    <w:p w:rsidR="00BA3A8C" w:rsidP="00DB3C07" w14:paraId="4A702E28" w14:textId="77777777">
      <w:pPr>
        <w:jc w:val="center"/>
      </w:pPr>
    </w:p>
    <w:p w:rsidR="00BA3A8C" w:rsidRPr="00A426BD" w:rsidP="00DB3C07" w14:paraId="729F6BB9" w14:textId="38CABE2E">
      <w:pPr>
        <w:jc w:val="center"/>
      </w:pPr>
      <w:r>
        <w:t>SUPPORTING STATEMENT</w:t>
      </w:r>
    </w:p>
    <w:p w:rsidR="00F40C60" w:rsidP="00DB3C07" w14:paraId="7833774B" w14:textId="77777777"/>
    <w:p w:rsidR="00F40C60" w:rsidP="00DB3C07" w14:paraId="69746B7C" w14:textId="77777777"/>
    <w:p w:rsidR="00F40C60" w:rsidRPr="0001245E" w:rsidP="00DB3C07" w14:paraId="324C5BF9" w14:textId="643B8FC0">
      <w:pPr>
        <w:numPr>
          <w:ilvl w:val="0"/>
          <w:numId w:val="1"/>
        </w:numPr>
        <w:ind w:left="0" w:firstLine="0"/>
        <w:rPr>
          <w:b/>
        </w:rPr>
      </w:pPr>
      <w:r>
        <w:rPr>
          <w:b/>
        </w:rPr>
        <w:t>JUSTIFICATION</w:t>
      </w:r>
    </w:p>
    <w:p w:rsidR="00F40C60" w:rsidP="00DB3C07" w14:paraId="367136D3" w14:textId="77777777"/>
    <w:p w:rsidR="00721042" w:rsidRPr="00E51526" w:rsidP="00E51526" w14:paraId="37F46365" w14:textId="5B1A34BE">
      <w:pPr>
        <w:autoSpaceDE w:val="0"/>
        <w:autoSpaceDN w:val="0"/>
        <w:adjustRightInd w:val="0"/>
        <w:rPr>
          <w:b/>
          <w:bCs/>
        </w:rPr>
      </w:pPr>
      <w:r w:rsidRPr="00607407">
        <w:rPr>
          <w:b/>
          <w:bCs/>
        </w:rPr>
        <w:t>1. Explain the circumstances that make the information collection necessary.</w:t>
      </w:r>
    </w:p>
    <w:p w:rsidR="005558C4" w:rsidP="00DB3C07" w14:paraId="3595E692" w14:textId="77777777">
      <w:pPr>
        <w:tabs>
          <w:tab w:val="left" w:pos="1440"/>
        </w:tabs>
        <w:rPr>
          <w:color w:val="000000" w:themeColor="text1"/>
        </w:rPr>
      </w:pPr>
    </w:p>
    <w:p w:rsidR="000434C4" w:rsidP="00DB3C07" w14:paraId="6775807C" w14:textId="77777777">
      <w:pPr>
        <w:autoSpaceDE w:val="0"/>
        <w:autoSpaceDN w:val="0"/>
        <w:adjustRightInd w:val="0"/>
        <w:rPr>
          <w:b/>
          <w:bCs/>
        </w:rPr>
      </w:pPr>
      <w:r w:rsidRPr="0027422A">
        <w:rPr>
          <w:b/>
          <w:bCs/>
        </w:rPr>
        <w:t xml:space="preserve">2. </w:t>
      </w:r>
      <w:r w:rsidRPr="00CC0FFC">
        <w:rPr>
          <w:b/>
        </w:rPr>
        <w:t>Indicate how, by whom, and for what purpose the information will be used.</w:t>
      </w:r>
    </w:p>
    <w:p w:rsidR="003A69E5" w:rsidP="00DB3C07" w14:paraId="723E9B91" w14:textId="77777777">
      <w:pPr>
        <w:tabs>
          <w:tab w:val="left" w:pos="1440"/>
        </w:tabs>
      </w:pPr>
    </w:p>
    <w:p w:rsidR="003A69E5" w:rsidP="00DB3C07" w14:paraId="66E30A2D" w14:textId="45470D7B">
      <w:pPr>
        <w:tabs>
          <w:tab w:val="left" w:pos="1440"/>
        </w:tabs>
      </w:pPr>
      <w:r>
        <w:t>Forensic Services staff collect and maintain the information submitted on</w:t>
      </w:r>
      <w:r w:rsidR="007A2129">
        <w:t xml:space="preserve"> </w:t>
      </w:r>
      <w:r w:rsidRPr="00721042" w:rsidR="00721042">
        <w:t>ATF Form 6330.</w:t>
      </w:r>
      <w:r w:rsidR="00554024">
        <w:t>1</w:t>
      </w:r>
      <w:r w:rsidR="00721042">
        <w:rPr>
          <w:color w:val="000000" w:themeColor="text1"/>
        </w:rPr>
        <w:t xml:space="preserve">. </w:t>
      </w:r>
      <w:r w:rsidR="00554024">
        <w:rPr>
          <w:color w:val="000000" w:themeColor="text1"/>
        </w:rPr>
        <w:t>ATF uses this data</w:t>
      </w:r>
      <w:r w:rsidR="00803C83">
        <w:rPr>
          <w:color w:val="000000" w:themeColor="text1"/>
        </w:rPr>
        <w:t xml:space="preserve"> to plan program courses</w:t>
      </w:r>
      <w:r w:rsidR="00721042">
        <w:rPr>
          <w:color w:val="000000" w:themeColor="text1"/>
        </w:rPr>
        <w:t xml:space="preserve"> and to ensure a </w:t>
      </w:r>
      <w:r w:rsidR="00721042">
        <w:t xml:space="preserve">candidate’s </w:t>
      </w:r>
      <w:r w:rsidR="007A2129">
        <w:t xml:space="preserve">compliance with established </w:t>
      </w:r>
      <w:r w:rsidR="00803C83">
        <w:t xml:space="preserve">program </w:t>
      </w:r>
      <w:r w:rsidR="007A2129">
        <w:t>prerequisites. Meeting or exceeding threshold requirements is critical</w:t>
      </w:r>
      <w:r w:rsidR="00721042">
        <w:t>, since</w:t>
      </w:r>
      <w:r w:rsidR="007A2129">
        <w:t xml:space="preserve"> recognition in this field </w:t>
      </w:r>
      <w:r w:rsidR="00803C83">
        <w:t xml:space="preserve">is obtained from both </w:t>
      </w:r>
      <w:r w:rsidR="007A2129">
        <w:t xml:space="preserve">ATF </w:t>
      </w:r>
      <w:r w:rsidR="00B96D9D">
        <w:t>and</w:t>
      </w:r>
      <w:r w:rsidR="00803C83">
        <w:t xml:space="preserve"> </w:t>
      </w:r>
      <w:r w:rsidR="0035473E">
        <w:t>the Association of Firearm</w:t>
      </w:r>
      <w:r w:rsidR="007A2129">
        <w:t xml:space="preserve"> and Toolmark Examiners</w:t>
      </w:r>
      <w:r w:rsidR="004F7749">
        <w:t xml:space="preserve"> (AFTE)</w:t>
      </w:r>
      <w:r w:rsidR="00BC3978">
        <w:t>, an independent professional organization</w:t>
      </w:r>
      <w:r w:rsidR="004F7749">
        <w:t xml:space="preserve">. </w:t>
      </w:r>
      <w:r w:rsidR="00446064">
        <w:t>For</w:t>
      </w:r>
      <w:r w:rsidR="004F7749">
        <w:t xml:space="preserve"> </w:t>
      </w:r>
      <w:r w:rsidR="00BC3978">
        <w:t>ATF’s</w:t>
      </w:r>
      <w:r w:rsidR="004F7749">
        <w:t xml:space="preserve"> </w:t>
      </w:r>
      <w:r w:rsidR="00803C83">
        <w:t xml:space="preserve">NFEA </w:t>
      </w:r>
      <w:r w:rsidR="004F7749">
        <w:t>program to be valid</w:t>
      </w:r>
      <w:r w:rsidR="00803C83">
        <w:t>,</w:t>
      </w:r>
      <w:r w:rsidR="004F7749">
        <w:t xml:space="preserve"> it must</w:t>
      </w:r>
      <w:r w:rsidR="00A344ED">
        <w:t xml:space="preserve"> </w:t>
      </w:r>
      <w:r w:rsidR="00803C83">
        <w:t xml:space="preserve">operate within the guidelines of </w:t>
      </w:r>
      <w:r w:rsidR="004F7749">
        <w:t xml:space="preserve">the governing body </w:t>
      </w:r>
      <w:r w:rsidR="0000115C">
        <w:t>that</w:t>
      </w:r>
      <w:r w:rsidR="004F7749">
        <w:t xml:space="preserve"> recognizes and certifies </w:t>
      </w:r>
      <w:r w:rsidR="00BC3978">
        <w:t xml:space="preserve">examiners’ work. </w:t>
      </w:r>
      <w:r w:rsidR="004F7749">
        <w:t xml:space="preserve">Prerequisites established for the </w:t>
      </w:r>
      <w:r w:rsidR="001F6458">
        <w:t>NFEA</w:t>
      </w:r>
      <w:r w:rsidR="004F7749">
        <w:t xml:space="preserve"> are in accordance with those of AFTE standards</w:t>
      </w:r>
      <w:r w:rsidR="00803C83">
        <w:t>. Some of these p</w:t>
      </w:r>
      <w:r w:rsidR="004F7749">
        <w:t>rerequisites include complet</w:t>
      </w:r>
      <w:r w:rsidR="00446064">
        <w:t>ing</w:t>
      </w:r>
      <w:r w:rsidR="004F7749">
        <w:t xml:space="preserve"> a </w:t>
      </w:r>
      <w:r w:rsidR="00803C83">
        <w:t>four-year</w:t>
      </w:r>
      <w:r w:rsidR="004F7749">
        <w:t xml:space="preserve"> college degree</w:t>
      </w:r>
      <w:r w:rsidR="00803C83">
        <w:t>,</w:t>
      </w:r>
      <w:r w:rsidR="004F7749">
        <w:t xml:space="preserve"> </w:t>
      </w:r>
      <w:r w:rsidR="00446064">
        <w:t xml:space="preserve">and being </w:t>
      </w:r>
      <w:r w:rsidR="004F7749">
        <w:t>permanent</w:t>
      </w:r>
      <w:r w:rsidR="00446064">
        <w:t>ly</w:t>
      </w:r>
      <w:r w:rsidR="004F7749">
        <w:t xml:space="preserve"> assig</w:t>
      </w:r>
      <w:r w:rsidR="00446064">
        <w:t>ned</w:t>
      </w:r>
      <w:r w:rsidR="004F7749">
        <w:t xml:space="preserve"> to a law enforcement forensic laboratory </w:t>
      </w:r>
      <w:r w:rsidR="00446064">
        <w:t>to</w:t>
      </w:r>
      <w:r w:rsidR="004F7749">
        <w:t xml:space="preserve"> conduct examinations related to this field.</w:t>
      </w:r>
    </w:p>
    <w:p w:rsidR="00895360" w:rsidP="00DB3C07" w14:paraId="7ED3FA62" w14:textId="77777777">
      <w:pPr>
        <w:tabs>
          <w:tab w:val="left" w:pos="1440"/>
        </w:tabs>
      </w:pPr>
    </w:p>
    <w:p w:rsidR="00E03B68" w:rsidP="00DB3C07" w14:paraId="1E8FEB6A" w14:textId="7F5CA7E4">
      <w:pPr>
        <w:tabs>
          <w:tab w:val="left" w:pos="1440"/>
        </w:tabs>
      </w:pPr>
      <w:r>
        <w:t>ATF requests t</w:t>
      </w:r>
      <w:r>
        <w:t xml:space="preserve">he </w:t>
      </w:r>
      <w:r>
        <w:t xml:space="preserve">individual’s </w:t>
      </w:r>
      <w:r>
        <w:t>social security number to verify the</w:t>
      </w:r>
      <w:r>
        <w:t xml:space="preserve"> applicant’s</w:t>
      </w:r>
      <w:r>
        <w:t xml:space="preserve"> identity</w:t>
      </w:r>
      <w:r>
        <w:t xml:space="preserve">, </w:t>
      </w:r>
      <w:r>
        <w:t>citizenship</w:t>
      </w:r>
      <w:r>
        <w:t xml:space="preserve"> or</w:t>
      </w:r>
      <w:r>
        <w:t xml:space="preserve"> immigration status</w:t>
      </w:r>
      <w:r w:rsidR="00DB3C07">
        <w:t>, and to track their training progress and course completion</w:t>
      </w:r>
      <w:r>
        <w:t xml:space="preserve">. Currently, the NFEA can accept applications </w:t>
      </w:r>
      <w:r w:rsidR="00DB3C07">
        <w:t xml:space="preserve">only </w:t>
      </w:r>
      <w:r>
        <w:t>from U.S. citizens, due to current Department of State and Department of Defense regulations regarding individuals allowed to enter firearm</w:t>
      </w:r>
      <w:r w:rsidR="00DB3C07">
        <w:t>s</w:t>
      </w:r>
      <w:r>
        <w:t xml:space="preserve"> manufacturer’s facilities in the U.S.</w:t>
      </w:r>
    </w:p>
    <w:p w:rsidR="004F7749" w:rsidP="00DB3C07" w14:paraId="2F0A4DF8" w14:textId="77777777">
      <w:pPr>
        <w:tabs>
          <w:tab w:val="left" w:pos="1440"/>
        </w:tabs>
      </w:pPr>
    </w:p>
    <w:p w:rsidR="00053884" w:rsidRPr="00607407" w:rsidP="00DB3C07" w14:paraId="6F6C85E3" w14:textId="55E1B246">
      <w:pPr>
        <w:autoSpaceDE w:val="0"/>
        <w:autoSpaceDN w:val="0"/>
        <w:adjustRightInd w:val="0"/>
        <w:rPr>
          <w:b/>
          <w:bCs/>
        </w:rPr>
      </w:pPr>
      <w:r w:rsidRPr="00607407">
        <w:rPr>
          <w:b/>
          <w:bCs/>
        </w:rPr>
        <w:t xml:space="preserve">3. Describe whether, and to what extent, the information collection involves using automated, electronic, mechanical, or other technological collection techniques or other forms of information technology, </w:t>
      </w:r>
      <w:r w:rsidRPr="00607407">
        <w:rPr>
          <w:b/>
          <w:bCs/>
          <w:i/>
          <w:iCs/>
        </w:rPr>
        <w:t>e.g.</w:t>
      </w:r>
      <w:r w:rsidRPr="00607407">
        <w:rPr>
          <w:b/>
          <w:bCs/>
        </w:rPr>
        <w:t>, permitting electronic</w:t>
      </w:r>
      <w:r w:rsidR="0033043D">
        <w:rPr>
          <w:b/>
          <w:bCs/>
        </w:rPr>
        <w:t>ally</w:t>
      </w:r>
      <w:r w:rsidRPr="00607407">
        <w:rPr>
          <w:b/>
          <w:bCs/>
        </w:rPr>
        <w:t xml:space="preserve"> submi</w:t>
      </w:r>
      <w:r w:rsidR="0033043D">
        <w:rPr>
          <w:b/>
          <w:bCs/>
        </w:rPr>
        <w:t xml:space="preserve">tting </w:t>
      </w:r>
      <w:r w:rsidRPr="00607407">
        <w:rPr>
          <w:b/>
          <w:bCs/>
        </w:rPr>
        <w:t xml:space="preserve">responses, and the basis for the decision </w:t>
      </w:r>
      <w:r w:rsidR="00446064">
        <w:rPr>
          <w:b/>
          <w:bCs/>
        </w:rPr>
        <w:t>to adopt</w:t>
      </w:r>
      <w:r w:rsidRPr="00607407">
        <w:rPr>
          <w:b/>
          <w:bCs/>
        </w:rPr>
        <w:t xml:space="preserve"> this means of </w:t>
      </w:r>
      <w:r w:rsidR="00C12B1E">
        <w:rPr>
          <w:b/>
          <w:bCs/>
        </w:rPr>
        <w:t>collection</w:t>
      </w:r>
      <w:r w:rsidRPr="00607407">
        <w:rPr>
          <w:b/>
          <w:bCs/>
        </w:rPr>
        <w:t>.</w:t>
      </w:r>
    </w:p>
    <w:p w:rsidR="004F7749" w:rsidP="00DB3C07" w14:paraId="643EDFB2" w14:textId="77777777">
      <w:pPr>
        <w:tabs>
          <w:tab w:val="left" w:pos="1440"/>
        </w:tabs>
      </w:pPr>
    </w:p>
    <w:p w:rsidR="00A077AE" w:rsidP="00DB3C07" w14:paraId="5B189411" w14:textId="35D7098D">
      <w:pPr>
        <w:tabs>
          <w:tab w:val="left" w:pos="1440"/>
        </w:tabs>
      </w:pPr>
      <w:r>
        <w:t xml:space="preserve">Candidates may download the digitally fillable and signable </w:t>
      </w:r>
      <w:r w:rsidRPr="00721042" w:rsidR="00803C83">
        <w:t>ATF Form 6330.1</w:t>
      </w:r>
      <w:r w:rsidR="004F7749">
        <w:t xml:space="preserve"> </w:t>
      </w:r>
      <w:r w:rsidR="00122C08">
        <w:t xml:space="preserve">from </w:t>
      </w:r>
      <w:r w:rsidR="004F7749">
        <w:t>the ATF website</w:t>
      </w:r>
      <w:r w:rsidR="00A344ED">
        <w:t>,</w:t>
      </w:r>
      <w:r w:rsidR="004F7749">
        <w:t xml:space="preserve"> </w:t>
      </w:r>
      <w:r w:rsidR="00FC3264">
        <w:t xml:space="preserve">and </w:t>
      </w:r>
      <w:r>
        <w:t>it by email</w:t>
      </w:r>
      <w:r w:rsidR="00FC3264">
        <w:t xml:space="preserve"> to the </w:t>
      </w:r>
      <w:hyperlink r:id="rId9" w:history="1">
        <w:r w:rsidRPr="0004011F" w:rsidR="00FC3264">
          <w:rPr>
            <w:rStyle w:val="Hyperlink"/>
          </w:rPr>
          <w:t>NFEATraining@atf.gov</w:t>
        </w:r>
      </w:hyperlink>
      <w:r w:rsidR="00FC3264">
        <w:t xml:space="preserve"> </w:t>
      </w:r>
      <w:r w:rsidR="00122C08">
        <w:t>inbox</w:t>
      </w:r>
      <w:r w:rsidR="00FC3264">
        <w:t>.</w:t>
      </w:r>
      <w:r w:rsidR="00F11F14">
        <w:t xml:space="preserve"> </w:t>
      </w:r>
      <w:r>
        <w:t xml:space="preserve">Although the form can be completed </w:t>
      </w:r>
      <w:r w:rsidR="00747E89">
        <w:t xml:space="preserve">entirely </w:t>
      </w:r>
      <w:r>
        <w:t>electronically, candidates may also</w:t>
      </w:r>
      <w:r w:rsidR="00F734E6">
        <w:t xml:space="preserve"> </w:t>
      </w:r>
      <w:r w:rsidR="00C41DE4">
        <w:t>print, complete,</w:t>
      </w:r>
      <w:r w:rsidR="00112CEA">
        <w:t xml:space="preserve"> and sign it by hand,</w:t>
      </w:r>
      <w:r w:rsidR="0095644B">
        <w:t xml:space="preserve"> then scan and </w:t>
      </w:r>
      <w:r w:rsidR="0095644B">
        <w:t>submit</w:t>
      </w:r>
      <w:r w:rsidR="0095644B">
        <w:t xml:space="preserve"> by email.</w:t>
      </w:r>
    </w:p>
    <w:p w:rsidR="00E94A7D" w:rsidP="00DB3C07" w14:paraId="58F5394D" w14:textId="77777777">
      <w:pPr>
        <w:tabs>
          <w:tab w:val="left" w:pos="1440"/>
        </w:tabs>
      </w:pPr>
    </w:p>
    <w:p w:rsidR="00397558" w:rsidRPr="00607407" w:rsidP="00DB3C07" w14:paraId="4F08512F" w14:textId="77777777">
      <w:pPr>
        <w:autoSpaceDE w:val="0"/>
        <w:autoSpaceDN w:val="0"/>
        <w:adjustRightInd w:val="0"/>
        <w:rPr>
          <w:b/>
          <w:bCs/>
        </w:rPr>
      </w:pPr>
      <w:r w:rsidRPr="00607407">
        <w:rPr>
          <w:b/>
          <w:bCs/>
        </w:rPr>
        <w:t>4. Describe efforts to identify duplication.</w:t>
      </w:r>
    </w:p>
    <w:p w:rsidR="00E94A7D" w:rsidRPr="00AE60AC" w:rsidP="00DB3C07" w14:paraId="52A412BE" w14:textId="4F79E755">
      <w:pPr>
        <w:tabs>
          <w:tab w:val="left" w:pos="1440"/>
        </w:tabs>
        <w:rPr>
          <w:u w:val="single"/>
        </w:rPr>
      </w:pPr>
    </w:p>
    <w:p w:rsidR="00FE17F7" w:rsidP="00DB3C07" w14:paraId="22887B20" w14:textId="492BD9A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8B0207">
        <w:t xml:space="preserve">This information is not duplicative and requires </w:t>
      </w:r>
      <w:r w:rsidR="008E3E0E">
        <w:t>individual-specific</w:t>
      </w:r>
      <w:r w:rsidR="00255EC8">
        <w:t xml:space="preserve"> and program-specific</w:t>
      </w:r>
      <w:r w:rsidR="008E3E0E">
        <w:t xml:space="preserve"> information so ATF can identify the applicant</w:t>
      </w:r>
      <w:r w:rsidR="00255EC8">
        <w:t xml:space="preserve"> and ensure they have the necessary qualifications for the program</w:t>
      </w:r>
      <w:r w:rsidRPr="008B0207">
        <w:t xml:space="preserve">. </w:t>
      </w:r>
      <w:r w:rsidR="00255EC8">
        <w:t>As a result, this information is not otherwise available.</w:t>
      </w:r>
      <w:r w:rsidR="00B30CD3">
        <w:t xml:space="preserve"> To or collected by the government. </w:t>
      </w:r>
      <w:r w:rsidRPr="008B0207">
        <w:t xml:space="preserve">ATF uses a uniform subject classification system for forms to identify duplication and to ensure that any similar information already available </w:t>
      </w:r>
      <w:r w:rsidR="00EA4637">
        <w:t>c</w:t>
      </w:r>
      <w:r w:rsidRPr="008B0207">
        <w:t>annot be used or modified to use in this information collection.</w:t>
      </w:r>
    </w:p>
    <w:p w:rsidR="00FE17F7" w:rsidP="00DB3C07" w14:paraId="3011F80A"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DE2F99" w:rsidRPr="00607407" w:rsidP="00DB3C07" w14:paraId="2515E41A" w14:textId="68E83A50">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rPr>
      </w:pPr>
      <w:r w:rsidRPr="00607407">
        <w:rPr>
          <w:b/>
          <w:bCs/>
        </w:rPr>
        <w:t>5.</w:t>
      </w:r>
      <w:r w:rsidRPr="00607407">
        <w:rPr>
          <w:b/>
        </w:rPr>
        <w:t xml:space="preserve"> </w:t>
      </w:r>
      <w:r w:rsidRPr="00607407">
        <w:rPr>
          <w:b/>
          <w:bCs/>
        </w:rPr>
        <w:t>If the information collection impacts small businesses or other small entities, describe any methods used to minimize burden.</w:t>
      </w:r>
    </w:p>
    <w:p w:rsidR="00567279" w:rsidP="00DB3C07" w14:paraId="149E69E0" w14:textId="77777777">
      <w:pPr>
        <w:tabs>
          <w:tab w:val="left" w:pos="1440"/>
        </w:tabs>
      </w:pPr>
    </w:p>
    <w:p w:rsidR="00571F39" w:rsidP="00DB3C07" w14:paraId="4481A80C" w14:textId="6AC38811">
      <w:pPr>
        <w:tabs>
          <w:tab w:val="left" w:pos="1440"/>
        </w:tabs>
      </w:pPr>
      <w:r>
        <w:t>Th</w:t>
      </w:r>
      <w:r w:rsidR="00567279">
        <w:t>is</w:t>
      </w:r>
      <w:r>
        <w:t xml:space="preserve"> </w:t>
      </w:r>
      <w:r w:rsidR="00915DD7">
        <w:t>in</w:t>
      </w:r>
      <w:r w:rsidR="00175193">
        <w:t xml:space="preserve">formation </w:t>
      </w:r>
      <w:r>
        <w:t xml:space="preserve">collection </w:t>
      </w:r>
      <w:r w:rsidR="0090359E">
        <w:t>does not have a significant</w:t>
      </w:r>
      <w:r>
        <w:t xml:space="preserve"> impact on small </w:t>
      </w:r>
      <w:r w:rsidR="00B97A0F">
        <w:t>entities</w:t>
      </w:r>
      <w:r>
        <w:t>.</w:t>
      </w:r>
      <w:r w:rsidR="00C96677">
        <w:t xml:space="preserve"> </w:t>
      </w:r>
      <w:r w:rsidR="00796C66">
        <w:t xml:space="preserve">It </w:t>
      </w:r>
      <w:r w:rsidR="00BC2B40">
        <w:t xml:space="preserve">impacts </w:t>
      </w:r>
      <w:r w:rsidR="00B97A0F">
        <w:t>only</w:t>
      </w:r>
      <w:r w:rsidR="00BC2B40">
        <w:t xml:space="preserve"> </w:t>
      </w:r>
      <w:r w:rsidR="00C93693">
        <w:t xml:space="preserve">individual </w:t>
      </w:r>
      <w:r w:rsidR="00C96677">
        <w:t xml:space="preserve">local law enforcement </w:t>
      </w:r>
      <w:r w:rsidR="00B97A0F">
        <w:t>personnel who</w:t>
      </w:r>
      <w:r w:rsidR="00C96677">
        <w:t xml:space="preserve"> want to </w:t>
      </w:r>
      <w:r w:rsidR="00C93693">
        <w:t>apply for firearms and</w:t>
      </w:r>
      <w:r w:rsidR="00C96677">
        <w:t xml:space="preserve"> tool</w:t>
      </w:r>
      <w:r w:rsidR="00BC2B40">
        <w:t>mark</w:t>
      </w:r>
      <w:r w:rsidR="00C96677">
        <w:t xml:space="preserve"> examiner training</w:t>
      </w:r>
    </w:p>
    <w:p w:rsidR="00571F39" w:rsidP="00DB3C07" w14:paraId="3D18AFB3" w14:textId="77777777">
      <w:pPr>
        <w:tabs>
          <w:tab w:val="left" w:pos="1440"/>
        </w:tabs>
      </w:pPr>
    </w:p>
    <w:p w:rsidR="00493043" w:rsidRPr="00607407" w:rsidP="00DB3C07" w14:paraId="23C5FADC" w14:textId="77777777">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607407">
        <w:rPr>
          <w:b/>
          <w:bCs/>
        </w:rPr>
        <w:t xml:space="preserve">6. Describe the consequences </w:t>
      </w:r>
      <w:r w:rsidRPr="00607407">
        <w:rPr>
          <w:b/>
          <w:bCs/>
        </w:rPr>
        <w:t>to</w:t>
      </w:r>
      <w:r w:rsidRPr="00607407">
        <w:rPr>
          <w:b/>
          <w:bCs/>
        </w:rPr>
        <w:t xml:space="preserve"> federal programs or policy activities if the collection is not conducted or is conducted less frequently, as well as any technical or legal obstacles to reducing burden.</w:t>
      </w:r>
    </w:p>
    <w:p w:rsidR="000E1EA3" w:rsidP="00DB3C07" w14:paraId="1B5E3FBC" w14:textId="77777777">
      <w:pPr>
        <w:tabs>
          <w:tab w:val="left" w:pos="1440"/>
        </w:tabs>
      </w:pPr>
    </w:p>
    <w:p w:rsidR="00C169C5" w:rsidP="00DB3C07" w14:paraId="1C04BE96" w14:textId="0BF4311F">
      <w:pPr>
        <w:tabs>
          <w:tab w:val="left" w:pos="1440"/>
        </w:tabs>
      </w:pPr>
      <w:r>
        <w:t xml:space="preserve">This information collection ensures that ATF has access to appropriate data to evaluate and enroll suitable candidates for the NFEA program, and plan future training. </w:t>
      </w:r>
      <w:r w:rsidR="007A2129">
        <w:t xml:space="preserve">Without </w:t>
      </w:r>
      <w:r w:rsidR="000E1EA3">
        <w:t>this information</w:t>
      </w:r>
      <w:r w:rsidR="007A2129">
        <w:t xml:space="preserve">, </w:t>
      </w:r>
      <w:r>
        <w:t xml:space="preserve">ATF would not be able to enroll candidates or conduct the training. Every law enforcement organization relies on this expertise when conducting investigations, and without the training, </w:t>
      </w:r>
      <w:r w:rsidR="000E1EA3">
        <w:t xml:space="preserve">critical information </w:t>
      </w:r>
      <w:r w:rsidR="007A2129">
        <w:t xml:space="preserve">obtained through the work of ballistic and forensic firearms </w:t>
      </w:r>
      <w:r w:rsidR="000E1EA3">
        <w:t xml:space="preserve">would be </w:t>
      </w:r>
      <w:r w:rsidR="007A2129">
        <w:t>un</w:t>
      </w:r>
      <w:r w:rsidR="000E1EA3">
        <w:t>available during criminal case</w:t>
      </w:r>
      <w:r w:rsidR="00A344ED">
        <w:t xml:space="preserve"> investigations</w:t>
      </w:r>
      <w:r w:rsidR="000E1EA3">
        <w:t xml:space="preserve">. </w:t>
      </w:r>
      <w:r>
        <w:t>ATF collects this information when candidates need to apply for the training, so co</w:t>
      </w:r>
      <w:r w:rsidR="00962105">
        <w:t>llecting less frequently would result in the same impact as not collecting it at all.</w:t>
      </w:r>
    </w:p>
    <w:p w:rsidR="004666FC" w:rsidP="00DB3C07" w14:paraId="25B80FD5" w14:textId="77777777">
      <w:pPr>
        <w:tabs>
          <w:tab w:val="left" w:pos="1440"/>
        </w:tabs>
      </w:pPr>
    </w:p>
    <w:p w:rsidR="00650B1F" w:rsidRPr="00607407" w:rsidP="00DB3C07" w14:paraId="77BEE965" w14:textId="77777777">
      <w:pPr>
        <w:rPr>
          <w:b/>
        </w:rPr>
      </w:pPr>
      <w:r w:rsidRPr="00607407">
        <w:rPr>
          <w:b/>
          <w:bCs/>
        </w:rPr>
        <w:t>7. Explain any special circumstances that would cause the information collection to be conducted in a manner inconsistent with 5 CFR 1320.6.</w:t>
      </w:r>
    </w:p>
    <w:p w:rsidR="00C169C5" w:rsidP="00DB3C07" w14:paraId="762FCE84" w14:textId="77777777">
      <w:pPr>
        <w:tabs>
          <w:tab w:val="left" w:pos="1440"/>
        </w:tabs>
      </w:pPr>
    </w:p>
    <w:p w:rsidR="00EA5E4B" w:rsidP="00DB3C07" w14:paraId="0D280452" w14:textId="77777777">
      <w:r w:rsidRPr="00447808">
        <w:t>Th</w:t>
      </w:r>
      <w:r>
        <w:t xml:space="preserve">ere are no special circumstances associated with this information collection, which </w:t>
      </w:r>
      <w:r w:rsidRPr="00447808">
        <w:t>is conducted in a manner consistent with 5 CFR 1320.6.</w:t>
      </w:r>
    </w:p>
    <w:p w:rsidR="00C169C5" w:rsidP="00DB3C07" w14:paraId="19F4512E" w14:textId="77777777">
      <w:pPr>
        <w:tabs>
          <w:tab w:val="left" w:pos="1440"/>
        </w:tabs>
      </w:pPr>
    </w:p>
    <w:p w:rsidR="00797744" w:rsidRPr="00607407" w:rsidP="00DB3C07" w14:paraId="6664BE0D" w14:textId="77777777">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607407">
        <w:rPr>
          <w:b/>
          <w:bCs/>
        </w:rPr>
        <w:t xml:space="preserve">8. </w:t>
      </w:r>
      <w:bookmarkStart w:id="0" w:name="_Hlk188869254"/>
      <w:r w:rsidRPr="00607407">
        <w:rPr>
          <w:b/>
          <w:bCs/>
        </w:rPr>
        <w:t xml:space="preserve">If applicable, provide a copy, and identify the date and page number, of the agency’s notice published in the </w:t>
      </w:r>
      <w:r w:rsidRPr="00E5374E">
        <w:rPr>
          <w:b/>
          <w:i/>
          <w:iCs/>
        </w:rPr>
        <w:t>Federal Register</w:t>
      </w:r>
      <w:r w:rsidRPr="00607407">
        <w:rPr>
          <w:b/>
          <w:bCs/>
        </w:rPr>
        <w:t xml:space="preserve">, as required by 5 CFR 1320.8(d), soliciting comments on the information collection prior to </w:t>
      </w:r>
      <w:r w:rsidRPr="00607407">
        <w:rPr>
          <w:b/>
          <w:bCs/>
        </w:rPr>
        <w:t>submitting</w:t>
      </w:r>
      <w:r w:rsidRPr="00607407">
        <w:rPr>
          <w:b/>
          <w:bCs/>
        </w:rPr>
        <w:t xml:space="preserve"> to OMB.</w:t>
      </w:r>
      <w:bookmarkEnd w:id="0"/>
    </w:p>
    <w:p w:rsidR="00C169C5" w:rsidP="00DB3C07" w14:paraId="0C56D21A" w14:textId="77777777">
      <w:pPr>
        <w:tabs>
          <w:tab w:val="left" w:pos="1440"/>
        </w:tabs>
      </w:pPr>
    </w:p>
    <w:p w:rsidR="00C169C5" w:rsidP="00DB3C07" w14:paraId="5C783ADD" w14:textId="73FDB174">
      <w:pPr>
        <w:tabs>
          <w:tab w:val="left" w:pos="1440"/>
        </w:tabs>
      </w:pPr>
      <w:r w:rsidRPr="00AF390A">
        <w:t xml:space="preserve">The 60-day notice was published in the </w:t>
      </w:r>
      <w:r w:rsidRPr="00AF390A">
        <w:rPr>
          <w:i/>
          <w:iCs/>
        </w:rPr>
        <w:t>Federal Register</w:t>
      </w:r>
      <w:r w:rsidRPr="00AF390A">
        <w:t xml:space="preserve"> on</w:t>
      </w:r>
      <w:r w:rsidR="00990FE2">
        <w:t xml:space="preserve"> 10/16/2026 (91 FR 65777)</w:t>
      </w:r>
      <w:r w:rsidRPr="00AF390A">
        <w:t xml:space="preserve">. The comment period ended on </w:t>
      </w:r>
      <w:r w:rsidR="00990FE2">
        <w:t xml:space="preserve">12/15/2026. </w:t>
      </w:r>
      <w:r w:rsidRPr="00AF390A">
        <w:t xml:space="preserve">ATF received </w:t>
      </w:r>
      <w:r w:rsidRPr="004730BF">
        <w:rPr>
          <w:highlight w:val="yellow"/>
        </w:rPr>
        <w:t>no</w:t>
      </w:r>
      <w:r w:rsidRPr="00AF390A">
        <w:t xml:space="preserve"> comments.</w:t>
      </w:r>
      <w:r w:rsidR="004730BF">
        <w:t xml:space="preserve"> </w:t>
      </w:r>
      <w:r w:rsidR="000F1D3B">
        <w:t xml:space="preserve">ATF published the 30-day notice on </w:t>
      </w:r>
      <w:r w:rsidRPr="00632432" w:rsidR="000F1D3B">
        <w:rPr>
          <w:highlight w:val="yellow"/>
        </w:rPr>
        <w:t xml:space="preserve">[date] (xx FR </w:t>
      </w:r>
      <w:r w:rsidRPr="00632432" w:rsidR="000F1D3B">
        <w:rPr>
          <w:highlight w:val="yellow"/>
        </w:rPr>
        <w:t>xxxxx</w:t>
      </w:r>
      <w:r w:rsidRPr="00632432" w:rsidR="000F1D3B">
        <w:rPr>
          <w:highlight w:val="yellow"/>
        </w:rPr>
        <w:t>)</w:t>
      </w:r>
      <w:r w:rsidR="00632432">
        <w:t xml:space="preserve">, with an OMB comment period ending on </w:t>
      </w:r>
      <w:r w:rsidRPr="00632432" w:rsidR="00632432">
        <w:rPr>
          <w:highlight w:val="yellow"/>
        </w:rPr>
        <w:t>[date].</w:t>
      </w:r>
    </w:p>
    <w:p w:rsidR="00AF390A" w:rsidP="00DB3C07" w14:paraId="206D1D3A" w14:textId="77777777">
      <w:pPr>
        <w:tabs>
          <w:tab w:val="left" w:pos="1440"/>
        </w:tabs>
      </w:pPr>
    </w:p>
    <w:p w:rsidR="00F868DA" w:rsidRPr="00607407" w:rsidP="00DB3C07" w14:paraId="3C967F23"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607407">
        <w:rPr>
          <w:b/>
          <w:bCs/>
        </w:rPr>
        <w:t>9. Explain any decision to provide any payments or gifts to respondents, other than remuneration of contractors or grantees.</w:t>
      </w:r>
    </w:p>
    <w:p w:rsidR="00C169C5" w:rsidP="00DB3C07" w14:paraId="73A09EB4" w14:textId="77777777">
      <w:pPr>
        <w:tabs>
          <w:tab w:val="left" w:pos="1440"/>
        </w:tabs>
      </w:pPr>
    </w:p>
    <w:p w:rsidR="00F868DA" w:rsidP="00DB3C07" w14:paraId="10B453A1" w14:textId="78DEBFAF">
      <w:pPr>
        <w:tabs>
          <w:tab w:val="left" w:pos="1440"/>
        </w:tabs>
      </w:pPr>
      <w:r>
        <w:t xml:space="preserve">ATF </w:t>
      </w:r>
      <w:r w:rsidR="008353D9">
        <w:t>does not provide payments or gifts in connection with this collection.</w:t>
      </w:r>
    </w:p>
    <w:p w:rsidR="008353D9" w:rsidP="00DB3C07" w14:paraId="234EEC7E" w14:textId="77777777">
      <w:pPr>
        <w:tabs>
          <w:tab w:val="left" w:pos="1440"/>
        </w:tabs>
      </w:pPr>
    </w:p>
    <w:p w:rsidR="003B7C79" w:rsidRPr="00AB1B47" w:rsidP="00DB3C07" w14:paraId="2DC3B6EA"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AB1B47">
        <w:rPr>
          <w:b/>
          <w:bCs/>
        </w:rPr>
        <w:t>10. Describe any assurance of confidentiality provided to respondents and the basis for the assurance in statute, regulation, or agency policy.</w:t>
      </w:r>
    </w:p>
    <w:p w:rsidR="008920DB" w:rsidP="00DB3C07" w14:paraId="1AB2FAD1" w14:textId="77777777">
      <w:pPr>
        <w:tabs>
          <w:tab w:val="left" w:pos="1440"/>
        </w:tabs>
      </w:pPr>
    </w:p>
    <w:p w:rsidR="00FF1738" w:rsidP="00DB3C07" w14:paraId="5D731525" w14:textId="58BB1F2F">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C82409">
        <w:t xml:space="preserve">ATF has not assured respondents of confidentiality. However, the information </w:t>
      </w:r>
      <w:r w:rsidRPr="00C82409">
        <w:t>being collected</w:t>
      </w:r>
      <w:r w:rsidRPr="00C82409">
        <w:t xml:space="preserve"> includes PII and is thus protected by the Privacy Act. The information is maintained by ATF in a system of records, Justice/ATF</w:t>
      </w:r>
      <w:r w:rsidR="00B847EA">
        <w:t xml:space="preserve"> </w:t>
      </w:r>
      <w:r w:rsidRPr="00C96DC7" w:rsidR="00C96DC7">
        <w:t>10</w:t>
      </w:r>
      <w:r w:rsidRPr="00C96DC7" w:rsidR="00F66648">
        <w:t xml:space="preserve">, </w:t>
      </w:r>
      <w:r w:rsidR="00C96DC7">
        <w:t>Training and Professional Development Record System</w:t>
      </w:r>
      <w:r w:rsidRPr="00F66648">
        <w:t>. The form that accompanies this ICR includes a Privacy Act statement that covers this information and informs respondents of the system of records, routine uses, etc.</w:t>
      </w:r>
    </w:p>
    <w:p w:rsidR="00FF1738" w:rsidP="00DB3C07" w14:paraId="46D98979" w14:textId="77777777">
      <w:pPr>
        <w:tabs>
          <w:tab w:val="left" w:pos="1440"/>
        </w:tabs>
      </w:pPr>
    </w:p>
    <w:p w:rsidR="00EE3C40" w:rsidRPr="00607407" w:rsidP="00DB3C07" w14:paraId="1381B511"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607407">
        <w:rPr>
          <w:b/>
          <w:bCs/>
        </w:rPr>
        <w:t>11. Provide additional justification for any questions of a sensitive nature, such as sexual behavior and attitudes, religious beliefs, and other matters that are commonly considered private.</w:t>
      </w:r>
    </w:p>
    <w:p w:rsidR="00185B0A" w:rsidP="00DB3C07" w14:paraId="249548A6" w14:textId="77777777">
      <w:pPr>
        <w:tabs>
          <w:tab w:val="left" w:pos="1440"/>
        </w:tabs>
      </w:pPr>
    </w:p>
    <w:p w:rsidR="00DB3C07" w:rsidP="00DB3C07" w14:paraId="3C7AF84D" w14:textId="05108887">
      <w:pPr>
        <w:tabs>
          <w:tab w:val="left" w:pos="1440"/>
        </w:tabs>
      </w:pPr>
      <w:r>
        <w:t>This information collection does not ask questions or require information of a sensitive nature.</w:t>
      </w:r>
    </w:p>
    <w:p w:rsidR="00DB3C07" w:rsidP="00DB3C07" w14:paraId="40C9049E" w14:textId="77777777">
      <w:pPr>
        <w:tabs>
          <w:tab w:val="left" w:pos="1440"/>
        </w:tabs>
      </w:pPr>
    </w:p>
    <w:p w:rsidR="0009735A" w:rsidRPr="00607407" w:rsidP="00DB3C07" w14:paraId="3EDDADE7"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607407">
        <w:rPr>
          <w:b/>
          <w:bCs/>
        </w:rPr>
        <w:t>12. Provide estimates of the information collection’s hour burden.</w:t>
      </w:r>
    </w:p>
    <w:p w:rsidR="00185B0A" w:rsidP="00DB3C07" w14:paraId="3875BA7A" w14:textId="77777777">
      <w:pPr>
        <w:tabs>
          <w:tab w:val="left" w:pos="1440"/>
        </w:tabs>
      </w:pPr>
    </w:p>
    <w:p w:rsidR="00185B0A" w:rsidP="00DB3C07" w14:paraId="177FABC5" w14:textId="2104ADE5">
      <w:pPr>
        <w:tabs>
          <w:tab w:val="left" w:pos="1440"/>
        </w:tabs>
      </w:pPr>
      <w:r>
        <w:t>The</w:t>
      </w:r>
      <w:r w:rsidR="003B137F">
        <w:t>re are 50 respondents associated with this information collection annually</w:t>
      </w:r>
      <w:r>
        <w:t xml:space="preserve">. </w:t>
      </w:r>
      <w:r w:rsidR="003B137F">
        <w:t xml:space="preserve">Each applicant responds one time, resulting in </w:t>
      </w:r>
      <w:r w:rsidR="00DF4383">
        <w:t xml:space="preserve">50 annual responses. </w:t>
      </w:r>
      <w:r w:rsidR="000E4164">
        <w:t xml:space="preserve">It takes approximately </w:t>
      </w:r>
      <w:r w:rsidR="00283C79">
        <w:t>ten</w:t>
      </w:r>
      <w:r w:rsidR="000E4164">
        <w:t xml:space="preserve"> minutes (0.</w:t>
      </w:r>
      <w:r w:rsidR="006C1DB8">
        <w:t>167</w:t>
      </w:r>
      <w:r w:rsidR="000E4164">
        <w:t xml:space="preserve"> hours)</w:t>
      </w:r>
      <w:r>
        <w:t xml:space="preserve"> </w:t>
      </w:r>
      <w:r w:rsidR="00C76892">
        <w:t>to complete the form. The</w:t>
      </w:r>
      <w:r w:rsidR="00DA1343">
        <w:t>refore, the</w:t>
      </w:r>
      <w:r w:rsidR="00C76892">
        <w:t xml:space="preserve"> total </w:t>
      </w:r>
      <w:r w:rsidR="009C71F5">
        <w:t xml:space="preserve">annual burden associated with this </w:t>
      </w:r>
      <w:r w:rsidR="000A6F84">
        <w:t xml:space="preserve">collection is </w:t>
      </w:r>
      <w:r w:rsidR="00970EAE">
        <w:t>8.35</w:t>
      </w:r>
      <w:r w:rsidR="009C71F5">
        <w:t xml:space="preserve"> hours</w:t>
      </w:r>
      <w:r w:rsidR="00DA1343">
        <w:t xml:space="preserve"> (</w:t>
      </w:r>
      <w:r w:rsidR="00F706BB">
        <w:t>5</w:t>
      </w:r>
      <w:r w:rsidR="4D35135F">
        <w:t>0</w:t>
      </w:r>
      <w:r w:rsidR="00F706BB">
        <w:t xml:space="preserve"> respon</w:t>
      </w:r>
      <w:r w:rsidR="00DA1343">
        <w:t>ses</w:t>
      </w:r>
      <w:r w:rsidR="00F706BB">
        <w:t xml:space="preserve"> x </w:t>
      </w:r>
      <w:r w:rsidR="0065447A">
        <w:t>0</w:t>
      </w:r>
      <w:r w:rsidR="00F706BB">
        <w:t>.</w:t>
      </w:r>
      <w:r w:rsidR="006C1DB8">
        <w:t>167</w:t>
      </w:r>
      <w:r w:rsidR="0065447A">
        <w:t xml:space="preserve"> hours</w:t>
      </w:r>
      <w:r w:rsidR="00F706BB">
        <w:t xml:space="preserve"> (</w:t>
      </w:r>
      <w:r w:rsidR="00283C79">
        <w:t>10</w:t>
      </w:r>
      <w:r w:rsidR="00F706BB">
        <w:t xml:space="preserve"> minutes</w:t>
      </w:r>
      <w:r w:rsidR="009C71F5">
        <w:t>)).</w:t>
      </w:r>
    </w:p>
    <w:p w:rsidR="00102566" w:rsidP="00DB3C07" w14:paraId="1D5197E6" w14:textId="77777777">
      <w:pPr>
        <w:tabs>
          <w:tab w:val="left" w:pos="1440"/>
        </w:tabs>
        <w:rPr>
          <w:u w:val="single"/>
        </w:rPr>
      </w:pPr>
    </w:p>
    <w:p w:rsidR="002F2876" w:rsidP="00DB3C07" w14:paraId="1BB5CD12" w14:textId="5145652D">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t>To</w:t>
      </w:r>
      <w:r w:rsidRPr="0020411A">
        <w:t xml:space="preserve"> calculate hourly wage burdens for this ICR, ATF uses the wage rates for </w:t>
      </w:r>
      <w:r w:rsidRPr="002F2876">
        <w:t>Police and Sheriff's Patrol Officers</w:t>
      </w:r>
      <w:r>
        <w:t xml:space="preserve"> </w:t>
      </w:r>
      <w:r w:rsidRPr="0020411A">
        <w:t>for May 2023, as determined by the U.S. Department of Labor, Bureau of Labor Statistics</w:t>
      </w:r>
      <w:r w:rsidR="00273565">
        <w:t xml:space="preserve"> (BLS)</w:t>
      </w:r>
      <w:r w:rsidRPr="0020411A">
        <w:t>.</w:t>
      </w:r>
      <w:r>
        <w:rPr>
          <w:rStyle w:val="FootnoteReference"/>
          <w:rFonts w:eastAsiaTheme="majorEastAsia"/>
        </w:rPr>
        <w:footnoteReference w:id="2"/>
      </w:r>
      <w:r w:rsidR="00273565">
        <w:t xml:space="preserve"> BLS</w:t>
      </w:r>
      <w:r w:rsidRPr="0020411A">
        <w:t xml:space="preserve"> determined the average hourly</w:t>
      </w:r>
      <w:r w:rsidR="00DC10F5">
        <w:t xml:space="preserve"> </w:t>
      </w:r>
      <w:r w:rsidRPr="0020411A">
        <w:t>pay</w:t>
      </w:r>
      <w:r w:rsidR="00DC10F5">
        <w:t xml:space="preserve"> </w:t>
      </w:r>
      <w:r w:rsidRPr="0020411A">
        <w:t>for</w:t>
      </w:r>
      <w:r w:rsidR="00DC10F5">
        <w:t xml:space="preserve"> </w:t>
      </w:r>
      <w:r w:rsidRPr="0020411A">
        <w:t>private sector</w:t>
      </w:r>
      <w:r w:rsidR="00DC10F5">
        <w:t xml:space="preserve"> </w:t>
      </w:r>
      <w:r w:rsidRPr="0020411A">
        <w:t>workers to be $</w:t>
      </w:r>
      <w:r w:rsidR="00332DD0">
        <w:t>36.80</w:t>
      </w:r>
      <w:r w:rsidRPr="0020411A">
        <w:t>. They also</w:t>
      </w:r>
      <w:r w:rsidR="00DC10F5">
        <w:t xml:space="preserve"> </w:t>
      </w:r>
      <w:r w:rsidRPr="0020411A">
        <w:t>determined</w:t>
      </w:r>
      <w:r w:rsidR="00DC10F5">
        <w:t xml:space="preserve"> </w:t>
      </w:r>
      <w:r w:rsidRPr="0020411A">
        <w:t>that a</w:t>
      </w:r>
      <w:r w:rsidR="00DC10F5">
        <w:t xml:space="preserve"> </w:t>
      </w:r>
      <w:r w:rsidRPr="0020411A">
        <w:t>load rate of 1.42 was</w:t>
      </w:r>
      <w:r w:rsidR="00DC10F5">
        <w:t xml:space="preserve"> </w:t>
      </w:r>
      <w:r w:rsidRPr="0020411A">
        <w:t>appropriate</w:t>
      </w:r>
      <w:r w:rsidR="00DC10F5">
        <w:t xml:space="preserve"> </w:t>
      </w:r>
      <w:r w:rsidRPr="0020411A">
        <w:t>to</w:t>
      </w:r>
      <w:r w:rsidR="00DC10F5">
        <w:t xml:space="preserve"> </w:t>
      </w:r>
      <w:r w:rsidRPr="0020411A">
        <w:t>account for</w:t>
      </w:r>
      <w:r w:rsidR="00DC10F5">
        <w:t xml:space="preserve"> employment</w:t>
      </w:r>
      <w:r w:rsidRPr="0020411A">
        <w:t xml:space="preserve"> benefits, making the loaded wage rate $</w:t>
      </w:r>
      <w:r w:rsidR="00E41AF4">
        <w:t>52.27</w:t>
      </w:r>
      <w:r w:rsidRPr="0020411A">
        <w:t xml:space="preserve"> ($</w:t>
      </w:r>
      <w:r w:rsidR="00332DD0">
        <w:t>36.80</w:t>
      </w:r>
      <w:r w:rsidRPr="0020411A">
        <w:t xml:space="preserve"> * 1.42).</w:t>
      </w:r>
      <w:r>
        <w:rPr>
          <w:rStyle w:val="FootnoteReference"/>
          <w:rFonts w:eastAsiaTheme="majorEastAsia"/>
        </w:rPr>
        <w:footnoteReference w:id="3"/>
      </w:r>
      <w:r w:rsidRPr="00260D86">
        <w:rPr>
          <w:vertAlign w:val="superscript"/>
        </w:rPr>
        <w:t>,</w:t>
      </w:r>
      <w:r>
        <w:rPr>
          <w:rStyle w:val="FootnoteReference"/>
          <w:rFonts w:eastAsiaTheme="majorEastAsia"/>
        </w:rPr>
        <w:footnoteReference w:id="4"/>
      </w:r>
      <w:r>
        <w:rPr>
          <w:vertAlign w:val="superscript"/>
        </w:rPr>
        <w:t>,</w:t>
      </w:r>
      <w:r>
        <w:rPr>
          <w:rStyle w:val="FootnoteReference"/>
          <w:rFonts w:eastAsiaTheme="majorEastAsia"/>
        </w:rPr>
        <w:footnoteReference w:id="5"/>
      </w:r>
      <w:r w:rsidR="00DC10F5">
        <w:t xml:space="preserve"> </w:t>
      </w:r>
      <w:r w:rsidRPr="0020411A">
        <w:t>The</w:t>
      </w:r>
      <w:r w:rsidR="00DC10F5">
        <w:t xml:space="preserve"> </w:t>
      </w:r>
      <w:r w:rsidRPr="0020411A">
        <w:t>monetized value</w:t>
      </w:r>
      <w:r w:rsidR="00DC10F5">
        <w:t xml:space="preserve"> </w:t>
      </w:r>
      <w:r w:rsidRPr="0020411A">
        <w:t>for</w:t>
      </w:r>
      <w:r w:rsidR="00DC10F5">
        <w:t xml:space="preserve"> </w:t>
      </w:r>
      <w:r w:rsidRPr="0020411A">
        <w:t>this ICR</w:t>
      </w:r>
      <w:r w:rsidR="00DC10F5">
        <w:t xml:space="preserve"> </w:t>
      </w:r>
      <w:r w:rsidRPr="0020411A">
        <w:t>is therefore</w:t>
      </w:r>
      <w:r w:rsidR="00DC10F5">
        <w:t xml:space="preserve"> </w:t>
      </w:r>
      <w:r w:rsidRPr="0020411A">
        <w:t>$</w:t>
      </w:r>
      <w:r w:rsidR="00C66696">
        <w:t>436</w:t>
      </w:r>
      <w:r w:rsidR="00B50CF4">
        <w:t>.</w:t>
      </w:r>
      <w:r w:rsidR="00C66696">
        <w:t>45</w:t>
      </w:r>
      <w:r w:rsidR="00DC10F5">
        <w:t xml:space="preserve"> </w:t>
      </w:r>
      <w:r w:rsidRPr="0020411A">
        <w:t>annually</w:t>
      </w:r>
      <w:r w:rsidR="00DC10F5">
        <w:t xml:space="preserve"> </w:t>
      </w:r>
      <w:r w:rsidRPr="0020411A">
        <w:t>(rounded)</w:t>
      </w:r>
      <w:r w:rsidR="00DC10F5">
        <w:t xml:space="preserve"> </w:t>
      </w:r>
      <w:r w:rsidRPr="0020411A">
        <w:t>($</w:t>
      </w:r>
      <w:r w:rsidR="007A2129">
        <w:t xml:space="preserve">52.27 </w:t>
      </w:r>
      <w:r w:rsidRPr="0020411A">
        <w:t>loaded hourly wage rate *</w:t>
      </w:r>
      <w:r w:rsidR="00DC10F5">
        <w:t xml:space="preserve"> </w:t>
      </w:r>
      <w:r w:rsidR="002F19EC">
        <w:t>8.35</w:t>
      </w:r>
      <w:r w:rsidR="00DC10F5">
        <w:t xml:space="preserve"> </w:t>
      </w:r>
      <w:r w:rsidRPr="0020411A">
        <w:t>hours).</w:t>
      </w:r>
    </w:p>
    <w:p w:rsidR="009C71F5" w:rsidP="00DB3C07" w14:paraId="17ED690E" w14:textId="77777777">
      <w:pPr>
        <w:tabs>
          <w:tab w:val="left" w:pos="1440"/>
        </w:tabs>
      </w:pPr>
    </w:p>
    <w:p w:rsidR="00AF00EA" w:rsidRPr="00AB26D9" w:rsidP="00DB3C07" w14:paraId="0BC8E66E" w14:textId="77777777">
      <w:pPr>
        <w:widowControl w:val="0"/>
        <w:autoSpaceDE w:val="0"/>
        <w:autoSpaceDN w:val="0"/>
        <w:adjustRightInd w:val="0"/>
        <w:jc w:val="center"/>
        <w:rPr>
          <w:i/>
          <w:iCs/>
        </w:rPr>
      </w:pPr>
      <w:r w:rsidRPr="00AB26D9">
        <w:rPr>
          <w:b/>
          <w:bCs/>
        </w:rPr>
        <w:t>Table 1. Estimated annualized respondent cost and hour burden</w:t>
      </w:r>
    </w:p>
    <w:tbl>
      <w:tblPr>
        <w:tblStyle w:val="TableGrid"/>
        <w:tblW w:w="9960" w:type="dxa"/>
        <w:jc w:val="center"/>
        <w:tblLook w:val="04A0"/>
      </w:tblPr>
      <w:tblGrid>
        <w:gridCol w:w="1604"/>
        <w:gridCol w:w="1457"/>
        <w:gridCol w:w="1310"/>
        <w:gridCol w:w="1203"/>
        <w:gridCol w:w="1110"/>
        <w:gridCol w:w="963"/>
        <w:gridCol w:w="950"/>
        <w:gridCol w:w="1363"/>
      </w:tblGrid>
      <w:tr w14:paraId="04E87777" w14:textId="77777777" w:rsidTr="00B6245E">
        <w:tblPrEx>
          <w:tblW w:w="9960" w:type="dxa"/>
          <w:jc w:val="center"/>
          <w:tblLook w:val="04A0"/>
        </w:tblPrEx>
        <w:trPr>
          <w:jc w:val="center"/>
        </w:trPr>
        <w:tc>
          <w:tcPr>
            <w:tcW w:w="1604" w:type="dxa"/>
            <w:shd w:val="clear" w:color="auto" w:fill="95B3D7" w:themeFill="accent1" w:themeFillTint="99"/>
            <w:vAlign w:val="center"/>
          </w:tcPr>
          <w:p w:rsidR="00AF00EA" w:rsidRPr="001E752A" w:rsidP="00DB3C07" w14:paraId="353CB053" w14:textId="77777777">
            <w:pPr>
              <w:widowControl w:val="0"/>
              <w:autoSpaceDE w:val="0"/>
              <w:autoSpaceDN w:val="0"/>
              <w:adjustRightInd w:val="0"/>
              <w:jc w:val="center"/>
              <w:rPr>
                <w:rFonts w:ascii="Times New Roman" w:hAnsi="Times New Roman" w:cs="Times New Roman"/>
                <w:b/>
              </w:rPr>
            </w:pPr>
            <w:r w:rsidRPr="001E752A">
              <w:rPr>
                <w:rFonts w:ascii="Times New Roman" w:hAnsi="Times New Roman" w:cs="Times New Roman"/>
                <w:b/>
              </w:rPr>
              <w:t>Activity</w:t>
            </w:r>
          </w:p>
        </w:tc>
        <w:tc>
          <w:tcPr>
            <w:tcW w:w="1457" w:type="dxa"/>
            <w:shd w:val="clear" w:color="auto" w:fill="95B3D7" w:themeFill="accent1" w:themeFillTint="99"/>
            <w:vAlign w:val="center"/>
          </w:tcPr>
          <w:p w:rsidR="00AF00EA" w:rsidRPr="001E752A" w:rsidP="00DB3C07" w14:paraId="744539FD" w14:textId="77777777">
            <w:pPr>
              <w:widowControl w:val="0"/>
              <w:autoSpaceDE w:val="0"/>
              <w:autoSpaceDN w:val="0"/>
              <w:adjustRightInd w:val="0"/>
              <w:jc w:val="center"/>
              <w:rPr>
                <w:rFonts w:ascii="Times New Roman" w:hAnsi="Times New Roman" w:cs="Times New Roman"/>
                <w:b/>
              </w:rPr>
            </w:pPr>
            <w:r w:rsidRPr="001E752A">
              <w:rPr>
                <w:rFonts w:ascii="Times New Roman" w:hAnsi="Times New Roman" w:cs="Times New Roman"/>
                <w:b/>
              </w:rPr>
              <w:t>Number of respondents</w:t>
            </w:r>
          </w:p>
        </w:tc>
        <w:tc>
          <w:tcPr>
            <w:tcW w:w="1310" w:type="dxa"/>
            <w:shd w:val="clear" w:color="auto" w:fill="95B3D7" w:themeFill="accent1" w:themeFillTint="99"/>
            <w:vAlign w:val="center"/>
          </w:tcPr>
          <w:p w:rsidR="00AF00EA" w:rsidRPr="001E752A" w:rsidP="00DB3C07" w14:paraId="1ECE96F3" w14:textId="77777777">
            <w:pPr>
              <w:widowControl w:val="0"/>
              <w:autoSpaceDE w:val="0"/>
              <w:autoSpaceDN w:val="0"/>
              <w:adjustRightInd w:val="0"/>
              <w:jc w:val="center"/>
              <w:rPr>
                <w:rFonts w:ascii="Times New Roman" w:hAnsi="Times New Roman" w:cs="Times New Roman"/>
                <w:b/>
              </w:rPr>
            </w:pPr>
            <w:r w:rsidRPr="001E752A">
              <w:rPr>
                <w:rFonts w:ascii="Times New Roman" w:hAnsi="Times New Roman" w:cs="Times New Roman"/>
                <w:b/>
              </w:rPr>
              <w:t>Frequency</w:t>
            </w:r>
          </w:p>
        </w:tc>
        <w:tc>
          <w:tcPr>
            <w:tcW w:w="1203" w:type="dxa"/>
            <w:shd w:val="clear" w:color="auto" w:fill="95B3D7" w:themeFill="accent1" w:themeFillTint="99"/>
            <w:vAlign w:val="center"/>
          </w:tcPr>
          <w:p w:rsidR="00AF00EA" w:rsidRPr="001E752A" w:rsidP="00DB3C07" w14:paraId="76819B73" w14:textId="77777777">
            <w:pPr>
              <w:widowControl w:val="0"/>
              <w:autoSpaceDE w:val="0"/>
              <w:autoSpaceDN w:val="0"/>
              <w:adjustRightInd w:val="0"/>
              <w:jc w:val="center"/>
              <w:rPr>
                <w:rFonts w:ascii="Times New Roman" w:hAnsi="Times New Roman" w:cs="Times New Roman"/>
                <w:b/>
              </w:rPr>
            </w:pPr>
            <w:r w:rsidRPr="001E752A">
              <w:rPr>
                <w:rFonts w:ascii="Times New Roman" w:hAnsi="Times New Roman" w:cs="Times New Roman"/>
                <w:b/>
              </w:rPr>
              <w:t>Total annual responses</w:t>
            </w:r>
          </w:p>
        </w:tc>
        <w:tc>
          <w:tcPr>
            <w:tcW w:w="1110" w:type="dxa"/>
            <w:shd w:val="clear" w:color="auto" w:fill="95B3D7" w:themeFill="accent1" w:themeFillTint="99"/>
            <w:vAlign w:val="center"/>
          </w:tcPr>
          <w:p w:rsidR="00AF00EA" w:rsidRPr="001E752A" w:rsidP="00DB3C07" w14:paraId="65358D4D" w14:textId="77777777">
            <w:pPr>
              <w:widowControl w:val="0"/>
              <w:autoSpaceDE w:val="0"/>
              <w:autoSpaceDN w:val="0"/>
              <w:adjustRightInd w:val="0"/>
              <w:jc w:val="center"/>
              <w:rPr>
                <w:rFonts w:ascii="Times New Roman" w:hAnsi="Times New Roman" w:cs="Times New Roman"/>
                <w:b/>
              </w:rPr>
            </w:pPr>
            <w:r w:rsidRPr="001E752A">
              <w:rPr>
                <w:rFonts w:ascii="Times New Roman" w:hAnsi="Times New Roman" w:cs="Times New Roman"/>
                <w:b/>
              </w:rPr>
              <w:t>Time per response (hours)</w:t>
            </w:r>
          </w:p>
        </w:tc>
        <w:tc>
          <w:tcPr>
            <w:tcW w:w="963" w:type="dxa"/>
            <w:shd w:val="clear" w:color="auto" w:fill="95B3D7" w:themeFill="accent1" w:themeFillTint="99"/>
            <w:vAlign w:val="center"/>
          </w:tcPr>
          <w:p w:rsidR="00AF00EA" w:rsidRPr="001E752A" w:rsidP="00DB3C07" w14:paraId="527AACFF" w14:textId="77777777">
            <w:pPr>
              <w:widowControl w:val="0"/>
              <w:autoSpaceDE w:val="0"/>
              <w:autoSpaceDN w:val="0"/>
              <w:adjustRightInd w:val="0"/>
              <w:jc w:val="center"/>
              <w:rPr>
                <w:rFonts w:ascii="Times New Roman" w:hAnsi="Times New Roman" w:cs="Times New Roman"/>
                <w:b/>
              </w:rPr>
            </w:pPr>
            <w:r w:rsidRPr="001E752A">
              <w:rPr>
                <w:rFonts w:ascii="Times New Roman" w:hAnsi="Times New Roman" w:cs="Times New Roman"/>
                <w:b/>
              </w:rPr>
              <w:t>Total annual burden (hours)</w:t>
            </w:r>
          </w:p>
        </w:tc>
        <w:tc>
          <w:tcPr>
            <w:tcW w:w="950" w:type="dxa"/>
            <w:shd w:val="clear" w:color="auto" w:fill="95B3D7" w:themeFill="accent1" w:themeFillTint="99"/>
            <w:vAlign w:val="center"/>
          </w:tcPr>
          <w:p w:rsidR="00AF00EA" w:rsidRPr="001E752A" w:rsidP="00DB3C07" w14:paraId="474B8D4D" w14:textId="77777777">
            <w:pPr>
              <w:widowControl w:val="0"/>
              <w:autoSpaceDE w:val="0"/>
              <w:autoSpaceDN w:val="0"/>
              <w:adjustRightInd w:val="0"/>
              <w:jc w:val="center"/>
              <w:rPr>
                <w:rFonts w:ascii="Times New Roman" w:hAnsi="Times New Roman" w:cs="Times New Roman"/>
                <w:b/>
              </w:rPr>
            </w:pPr>
            <w:r w:rsidRPr="001E752A">
              <w:rPr>
                <w:rFonts w:ascii="Times New Roman" w:hAnsi="Times New Roman" w:cs="Times New Roman"/>
                <w:b/>
              </w:rPr>
              <w:t>Hourly rate*</w:t>
            </w:r>
          </w:p>
        </w:tc>
        <w:tc>
          <w:tcPr>
            <w:tcW w:w="1363" w:type="dxa"/>
            <w:shd w:val="clear" w:color="auto" w:fill="95B3D7" w:themeFill="accent1" w:themeFillTint="99"/>
            <w:vAlign w:val="center"/>
          </w:tcPr>
          <w:p w:rsidR="00AF00EA" w:rsidRPr="001E752A" w:rsidP="00DB3C07" w14:paraId="38789492" w14:textId="5DEC8A7F">
            <w:pPr>
              <w:widowControl w:val="0"/>
              <w:autoSpaceDE w:val="0"/>
              <w:autoSpaceDN w:val="0"/>
              <w:adjustRightInd w:val="0"/>
              <w:jc w:val="center"/>
              <w:rPr>
                <w:rFonts w:ascii="Times New Roman" w:hAnsi="Times New Roman" w:cs="Times New Roman"/>
                <w:b/>
              </w:rPr>
            </w:pPr>
            <w:r w:rsidRPr="001E752A">
              <w:rPr>
                <w:rFonts w:ascii="Times New Roman" w:hAnsi="Times New Roman" w:cs="Times New Roman"/>
                <w:b/>
              </w:rPr>
              <w:t>Monetized value of respondent time</w:t>
            </w:r>
            <w:r w:rsidR="00940D12">
              <w:rPr>
                <w:rFonts w:ascii="Times New Roman" w:hAnsi="Times New Roman" w:cs="Times New Roman"/>
                <w:b/>
              </w:rPr>
              <w:t xml:space="preserve"> (rounded)</w:t>
            </w:r>
          </w:p>
        </w:tc>
      </w:tr>
      <w:tr w14:paraId="0EB85B23" w14:textId="77777777" w:rsidTr="00B6245E">
        <w:tblPrEx>
          <w:tblW w:w="9960" w:type="dxa"/>
          <w:jc w:val="center"/>
          <w:tblLook w:val="04A0"/>
        </w:tblPrEx>
        <w:trPr>
          <w:trHeight w:val="467"/>
          <w:jc w:val="center"/>
        </w:trPr>
        <w:tc>
          <w:tcPr>
            <w:tcW w:w="1604" w:type="dxa"/>
            <w:vAlign w:val="center"/>
          </w:tcPr>
          <w:p w:rsidR="00AF00EA" w:rsidRPr="00607407" w:rsidP="00DB3C07" w14:paraId="653BBC36" w14:textId="7642BC07">
            <w:pPr>
              <w:widowControl w:val="0"/>
              <w:autoSpaceDE w:val="0"/>
              <w:autoSpaceDN w:val="0"/>
              <w:adjustRightInd w:val="0"/>
              <w:jc w:val="right"/>
              <w:rPr>
                <w:rFonts w:ascii="Times New Roman" w:hAnsi="Times New Roman" w:cs="Times New Roman"/>
              </w:rPr>
            </w:pPr>
            <w:r>
              <w:rPr>
                <w:rFonts w:ascii="Times New Roman" w:hAnsi="Times New Roman" w:cs="Times New Roman"/>
              </w:rPr>
              <w:t xml:space="preserve">Completing </w:t>
            </w:r>
            <w:r>
              <w:rPr>
                <w:rFonts w:ascii="Times New Roman" w:hAnsi="Times New Roman" w:cs="Times New Roman"/>
              </w:rPr>
              <w:t>application</w:t>
            </w:r>
          </w:p>
        </w:tc>
        <w:tc>
          <w:tcPr>
            <w:tcW w:w="1457" w:type="dxa"/>
            <w:vAlign w:val="center"/>
          </w:tcPr>
          <w:p w:rsidR="00AF00EA" w:rsidRPr="001E752A" w:rsidP="00DB3C07" w14:paraId="3FB0555C" w14:textId="4D0D35AA">
            <w:pPr>
              <w:widowControl w:val="0"/>
              <w:autoSpaceDE w:val="0"/>
              <w:autoSpaceDN w:val="0"/>
              <w:adjustRightInd w:val="0"/>
              <w:jc w:val="center"/>
              <w:rPr>
                <w:rFonts w:ascii="Times New Roman" w:hAnsi="Times New Roman" w:cs="Times New Roman"/>
              </w:rPr>
            </w:pPr>
            <w:r>
              <w:rPr>
                <w:rFonts w:ascii="Times New Roman" w:hAnsi="Times New Roman" w:cs="Times New Roman"/>
              </w:rPr>
              <w:t>50</w:t>
            </w:r>
          </w:p>
        </w:tc>
        <w:tc>
          <w:tcPr>
            <w:tcW w:w="1310" w:type="dxa"/>
            <w:vAlign w:val="center"/>
          </w:tcPr>
          <w:p w:rsidR="00AF00EA" w:rsidRPr="001E752A" w:rsidP="00DB3C07" w14:paraId="6AC779EB" w14:textId="670F2361">
            <w:pPr>
              <w:widowControl w:val="0"/>
              <w:autoSpaceDE w:val="0"/>
              <w:autoSpaceDN w:val="0"/>
              <w:adjustRightInd w:val="0"/>
              <w:jc w:val="center"/>
              <w:rPr>
                <w:rFonts w:ascii="Times New Roman" w:hAnsi="Times New Roman" w:cs="Times New Roman"/>
              </w:rPr>
            </w:pPr>
            <w:r>
              <w:rPr>
                <w:rFonts w:ascii="Times New Roman" w:hAnsi="Times New Roman" w:cs="Times New Roman"/>
              </w:rPr>
              <w:t>1</w:t>
            </w:r>
          </w:p>
        </w:tc>
        <w:tc>
          <w:tcPr>
            <w:tcW w:w="1203" w:type="dxa"/>
            <w:vAlign w:val="center"/>
          </w:tcPr>
          <w:p w:rsidR="00AF00EA" w:rsidRPr="001E752A" w:rsidP="00DB3C07" w14:paraId="019D21DD" w14:textId="17891E7D">
            <w:pPr>
              <w:widowControl w:val="0"/>
              <w:autoSpaceDE w:val="0"/>
              <w:autoSpaceDN w:val="0"/>
              <w:adjustRightInd w:val="0"/>
              <w:jc w:val="center"/>
              <w:rPr>
                <w:rFonts w:ascii="Times New Roman" w:hAnsi="Times New Roman" w:cs="Times New Roman"/>
              </w:rPr>
            </w:pPr>
            <w:r>
              <w:rPr>
                <w:rFonts w:ascii="Times New Roman" w:hAnsi="Times New Roman" w:cs="Times New Roman"/>
              </w:rPr>
              <w:t>50</w:t>
            </w:r>
          </w:p>
        </w:tc>
        <w:tc>
          <w:tcPr>
            <w:tcW w:w="1110" w:type="dxa"/>
            <w:vAlign w:val="center"/>
          </w:tcPr>
          <w:p w:rsidR="00AF00EA" w:rsidRPr="001E752A" w:rsidP="00DB3C07" w14:paraId="0428C792" w14:textId="61D4E492">
            <w:pPr>
              <w:widowControl w:val="0"/>
              <w:autoSpaceDE w:val="0"/>
              <w:autoSpaceDN w:val="0"/>
              <w:adjustRightInd w:val="0"/>
              <w:jc w:val="center"/>
              <w:rPr>
                <w:rFonts w:ascii="Times New Roman" w:hAnsi="Times New Roman" w:cs="Times New Roman"/>
              </w:rPr>
            </w:pPr>
            <w:r>
              <w:rPr>
                <w:rFonts w:ascii="Times New Roman" w:hAnsi="Times New Roman" w:cs="Times New Roman"/>
              </w:rPr>
              <w:t>0.</w:t>
            </w:r>
            <w:r w:rsidR="00940D12">
              <w:rPr>
                <w:rFonts w:ascii="Times New Roman" w:hAnsi="Times New Roman" w:cs="Times New Roman"/>
              </w:rPr>
              <w:t>167</w:t>
            </w:r>
          </w:p>
        </w:tc>
        <w:tc>
          <w:tcPr>
            <w:tcW w:w="963" w:type="dxa"/>
            <w:vAlign w:val="center"/>
          </w:tcPr>
          <w:p w:rsidR="00AF00EA" w:rsidRPr="001E752A" w:rsidP="00DB3C07" w14:paraId="2B7CECEE" w14:textId="54AE114A">
            <w:pPr>
              <w:widowControl w:val="0"/>
              <w:autoSpaceDE w:val="0"/>
              <w:autoSpaceDN w:val="0"/>
              <w:adjustRightInd w:val="0"/>
              <w:jc w:val="center"/>
              <w:rPr>
                <w:rFonts w:ascii="Times New Roman" w:hAnsi="Times New Roman" w:cs="Times New Roman"/>
              </w:rPr>
            </w:pPr>
            <w:r>
              <w:rPr>
                <w:rFonts w:ascii="Times New Roman" w:hAnsi="Times New Roman" w:cs="Times New Roman"/>
              </w:rPr>
              <w:t>8.35</w:t>
            </w:r>
          </w:p>
        </w:tc>
        <w:tc>
          <w:tcPr>
            <w:tcW w:w="950" w:type="dxa"/>
            <w:vAlign w:val="center"/>
          </w:tcPr>
          <w:p w:rsidR="00AF00EA" w:rsidRPr="001E752A" w:rsidP="00DB3C07" w14:paraId="729A30F8" w14:textId="1B459AE9">
            <w:pPr>
              <w:widowControl w:val="0"/>
              <w:autoSpaceDE w:val="0"/>
              <w:autoSpaceDN w:val="0"/>
              <w:adjustRightInd w:val="0"/>
              <w:jc w:val="center"/>
              <w:rPr>
                <w:rFonts w:ascii="Times New Roman" w:hAnsi="Times New Roman" w:cs="Times New Roman"/>
              </w:rPr>
            </w:pPr>
            <w:r>
              <w:rPr>
                <w:rFonts w:ascii="Times New Roman" w:hAnsi="Times New Roman" w:cs="Times New Roman"/>
              </w:rPr>
              <w:t>$52.27</w:t>
            </w:r>
          </w:p>
        </w:tc>
        <w:tc>
          <w:tcPr>
            <w:tcW w:w="1363" w:type="dxa"/>
            <w:vAlign w:val="center"/>
          </w:tcPr>
          <w:p w:rsidR="00AF00EA" w:rsidRPr="001E752A" w:rsidP="00DB3C07" w14:paraId="20559817" w14:textId="2E48B919">
            <w:pPr>
              <w:widowControl w:val="0"/>
              <w:autoSpaceDE w:val="0"/>
              <w:autoSpaceDN w:val="0"/>
              <w:adjustRightInd w:val="0"/>
              <w:jc w:val="right"/>
              <w:rPr>
                <w:rFonts w:ascii="Times New Roman" w:hAnsi="Times New Roman" w:cs="Times New Roman"/>
              </w:rPr>
            </w:pPr>
            <w:r>
              <w:rPr>
                <w:rFonts w:ascii="Times New Roman" w:hAnsi="Times New Roman" w:cs="Times New Roman"/>
              </w:rPr>
              <w:t>$</w:t>
            </w:r>
            <w:r w:rsidR="00C66696">
              <w:rPr>
                <w:rFonts w:ascii="Times New Roman" w:hAnsi="Times New Roman" w:cs="Times New Roman"/>
              </w:rPr>
              <w:t>436.45</w:t>
            </w:r>
          </w:p>
        </w:tc>
      </w:tr>
    </w:tbl>
    <w:p w:rsidR="00AF00EA" w:rsidP="00DB3C07" w14:paraId="779395C9" w14:textId="77777777">
      <w:pPr>
        <w:tabs>
          <w:tab w:val="left" w:pos="1440"/>
        </w:tabs>
      </w:pPr>
    </w:p>
    <w:p w:rsidR="00AF00EA" w:rsidP="00DB3C07" w14:paraId="4132DCE3" w14:textId="77777777">
      <w:pPr>
        <w:tabs>
          <w:tab w:val="left" w:pos="1440"/>
        </w:tabs>
      </w:pPr>
    </w:p>
    <w:p w:rsidR="00501F07" w:rsidRPr="00607407" w:rsidP="00DB3C07" w14:paraId="7B9F11D1"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rPr>
      </w:pPr>
      <w:r w:rsidRPr="00607407">
        <w:rPr>
          <w:b/>
          <w:bCs/>
        </w:rPr>
        <w:t>13. Provide an estimate of the total annual cost burden to respondents or record-keepers resulting from the information collection. (Do not include the cost of any hour burden shown in items 12 and 14).</w:t>
      </w:r>
    </w:p>
    <w:p w:rsidR="005E75FD" w:rsidP="00DB3C07" w14:paraId="08D3B1B2" w14:textId="77777777">
      <w:pPr>
        <w:tabs>
          <w:tab w:val="left" w:pos="1440"/>
        </w:tabs>
      </w:pPr>
    </w:p>
    <w:p w:rsidR="005E75FD" w:rsidP="00DB3C07" w14:paraId="3C54A9D8" w14:textId="1EBEED68">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3A4E9E">
        <w:t xml:space="preserve">There </w:t>
      </w:r>
      <w:r>
        <w:t>are</w:t>
      </w:r>
      <w:r w:rsidRPr="003A4E9E">
        <w:t xml:space="preserve"> no </w:t>
      </w:r>
      <w:r w:rsidR="002E1221">
        <w:t xml:space="preserve">start-up or other </w:t>
      </w:r>
      <w:r w:rsidRPr="003A4E9E">
        <w:t>a</w:t>
      </w:r>
      <w:r>
        <w:t>dditional</w:t>
      </w:r>
      <w:r w:rsidRPr="003A4E9E">
        <w:t xml:space="preserve"> cost</w:t>
      </w:r>
      <w:r>
        <w:t>s</w:t>
      </w:r>
      <w:r w:rsidRPr="003A4E9E">
        <w:t xml:space="preserve"> </w:t>
      </w:r>
      <w:r>
        <w:t>associated with</w:t>
      </w:r>
      <w:r w:rsidRPr="003A4E9E">
        <w:t xml:space="preserve"> this information collection.</w:t>
      </w:r>
    </w:p>
    <w:p w:rsidR="005E75FD" w:rsidP="00DB3C07" w14:paraId="17049571" w14:textId="77777777">
      <w:pPr>
        <w:tabs>
          <w:tab w:val="left" w:pos="1440"/>
        </w:tabs>
      </w:pPr>
    </w:p>
    <w:p w:rsidR="00D63AF2" w:rsidRPr="00607407" w:rsidP="00DB3C07" w14:paraId="54EFFEDE"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607407">
        <w:rPr>
          <w:b/>
          <w:bCs/>
        </w:rPr>
        <w:t>14. Provide estimates of the annualized cost to the federal government.</w:t>
      </w:r>
    </w:p>
    <w:p w:rsidR="00125A09" w:rsidP="00DB3C07" w14:paraId="7EA6F461" w14:textId="77777777">
      <w:pPr>
        <w:tabs>
          <w:tab w:val="left" w:pos="1440"/>
        </w:tabs>
      </w:pPr>
    </w:p>
    <w:p w:rsidR="00125A09" w:rsidP="00DB3C07" w14:paraId="47CB2F86" w14:textId="02EC65FD">
      <w:pPr>
        <w:tabs>
          <w:tab w:val="left" w:pos="1440"/>
        </w:tabs>
      </w:pPr>
      <w:r w:rsidRPr="00C501F2">
        <w:t>There are no costs to the federal government associated with this collection. This is due to the current staffing and administrative capacity already in place to complete any marginal processing required under this information collection, with long-term staffing capacity serving as a sunk cost.</w:t>
      </w:r>
    </w:p>
    <w:p w:rsidR="00C501F2" w:rsidP="00DB3C07" w14:paraId="35AEE681" w14:textId="77777777">
      <w:pPr>
        <w:tabs>
          <w:tab w:val="left" w:pos="1440"/>
        </w:tabs>
      </w:pPr>
    </w:p>
    <w:p w:rsidR="00513C47" w:rsidRPr="00607407" w:rsidP="00DB3C07" w14:paraId="719F4625"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607407">
        <w:rPr>
          <w:b/>
          <w:bCs/>
        </w:rPr>
        <w:t>15. Explain the reasons for any program changes or adjustments.</w:t>
      </w:r>
    </w:p>
    <w:p w:rsidR="00125A09" w:rsidP="00DB3C07" w14:paraId="4BE52EA2" w14:textId="77777777">
      <w:pPr>
        <w:tabs>
          <w:tab w:val="left" w:pos="1440"/>
        </w:tabs>
      </w:pPr>
    </w:p>
    <w:p w:rsidR="00C84A0B" w:rsidP="00DB3C07" w14:paraId="7C1B1017" w14:textId="7244751C">
      <w:pPr>
        <w:tabs>
          <w:tab w:val="left" w:pos="1440"/>
        </w:tabs>
      </w:pPr>
      <w:r>
        <w:t>ATF has made no program changes or adjustments affecting this information collection. However, t</w:t>
      </w:r>
      <w:r w:rsidR="006D7311">
        <w:t>he number of respondents per year decreased over the three years</w:t>
      </w:r>
      <w:r w:rsidR="007F7AB5">
        <w:t xml:space="preserve"> since the last renewal</w:t>
      </w:r>
      <w:r w:rsidR="00462DE6">
        <w:t>, down by 25 respondents</w:t>
      </w:r>
      <w:r w:rsidR="007F7AB5">
        <w:t xml:space="preserve"> from</w:t>
      </w:r>
      <w:r w:rsidR="03AD6419">
        <w:t xml:space="preserve"> 75 to 50</w:t>
      </w:r>
      <w:r w:rsidR="00462DE6">
        <w:t>.</w:t>
      </w:r>
      <w:r w:rsidR="007F7AB5">
        <w:t xml:space="preserve"> This, in turn, resulted in </w:t>
      </w:r>
      <w:r w:rsidR="03AD6419">
        <w:t xml:space="preserve">a decrease in total annual burden </w:t>
      </w:r>
      <w:r w:rsidR="007F7AB5">
        <w:t xml:space="preserve">for all respondents </w:t>
      </w:r>
      <w:r w:rsidR="03AD6419">
        <w:t xml:space="preserve">from 15 to </w:t>
      </w:r>
      <w:r w:rsidR="00940D12">
        <w:t>8.35</w:t>
      </w:r>
      <w:r w:rsidR="03AD6419">
        <w:t xml:space="preserve"> hours.</w:t>
      </w:r>
    </w:p>
    <w:p w:rsidR="00125A09" w:rsidP="00DB3C07" w14:paraId="16A9F1B5" w14:textId="77777777">
      <w:pPr>
        <w:tabs>
          <w:tab w:val="left" w:pos="1440"/>
        </w:tabs>
      </w:pPr>
    </w:p>
    <w:p w:rsidR="008072BD" w:rsidRPr="00607407" w:rsidP="00DB3C07" w14:paraId="4851817A"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607407">
        <w:rPr>
          <w:b/>
          <w:bCs/>
        </w:rPr>
        <w:t>16. For information collections whose results will be published, outline plans for tabulations and publication.</w:t>
      </w:r>
    </w:p>
    <w:p w:rsidR="00125A09" w:rsidP="00DB3C07" w14:paraId="75C70BBF" w14:textId="77777777">
      <w:pPr>
        <w:tabs>
          <w:tab w:val="left" w:pos="1440"/>
        </w:tabs>
      </w:pPr>
    </w:p>
    <w:p w:rsidR="00F706BB" w:rsidP="00DB3C07" w14:paraId="701A8F60" w14:textId="4DEFFD6B">
      <w:pPr>
        <w:tabs>
          <w:tab w:val="left" w:pos="1440"/>
        </w:tabs>
      </w:pPr>
      <w:r w:rsidRPr="00091F30">
        <w:t>ATF</w:t>
      </w:r>
      <w:r w:rsidR="00DC10F5">
        <w:t xml:space="preserve"> </w:t>
      </w:r>
      <w:r w:rsidRPr="00091F30">
        <w:t>does</w:t>
      </w:r>
      <w:r w:rsidR="00DC10F5">
        <w:t xml:space="preserve"> </w:t>
      </w:r>
      <w:r w:rsidRPr="00091F30">
        <w:t>not publish the results of this</w:t>
      </w:r>
      <w:r w:rsidR="00DC10F5">
        <w:t xml:space="preserve"> </w:t>
      </w:r>
      <w:r w:rsidRPr="00091F30">
        <w:t>collection.</w:t>
      </w:r>
    </w:p>
    <w:p w:rsidR="00F706BB" w:rsidP="00DB3C07" w14:paraId="45FB52C8" w14:textId="77777777">
      <w:pPr>
        <w:tabs>
          <w:tab w:val="left" w:pos="1440"/>
        </w:tabs>
      </w:pPr>
    </w:p>
    <w:p w:rsidR="009E5D7A" w:rsidRPr="00607407" w:rsidP="00DB3C07" w14:paraId="6DB8BBB9"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rPr>
      </w:pPr>
      <w:r w:rsidRPr="00607407">
        <w:rPr>
          <w:b/>
          <w:bCs/>
        </w:rPr>
        <w:t>17.</w:t>
      </w:r>
      <w:r w:rsidRPr="00607407">
        <w:rPr>
          <w:b/>
        </w:rPr>
        <w:t xml:space="preserve"> </w:t>
      </w:r>
      <w:r w:rsidRPr="00607407">
        <w:rPr>
          <w:b/>
          <w:bCs/>
        </w:rPr>
        <w:t>If seeking approval to not display the expiration date for the information collection, explain the reasons that display would be inappropriate.</w:t>
      </w:r>
    </w:p>
    <w:p w:rsidR="00F706BB" w:rsidP="00DB3C07" w14:paraId="7F8C9341" w14:textId="77777777">
      <w:pPr>
        <w:tabs>
          <w:tab w:val="left" w:pos="1440"/>
        </w:tabs>
      </w:pPr>
    </w:p>
    <w:p w:rsidR="00F706BB" w:rsidP="00DB3C07" w14:paraId="6E4EED11" w14:textId="74D9E149">
      <w:pPr>
        <w:tabs>
          <w:tab w:val="left" w:pos="1440"/>
        </w:tabs>
      </w:pPr>
      <w:r w:rsidRPr="00D45BBF">
        <w:t>ATF intends to display the OMB expiration date for this information collection.</w:t>
      </w:r>
    </w:p>
    <w:p w:rsidR="00D46707" w:rsidRPr="00607407" w:rsidP="00DB3C07" w14:paraId="17435E75"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rPr>
      </w:pPr>
      <w:r w:rsidRPr="00607407">
        <w:rPr>
          <w:b/>
        </w:rPr>
        <w:t>18. Explain each exception to the certification statement.</w:t>
      </w:r>
    </w:p>
    <w:p w:rsidR="00F706BB" w:rsidP="00DB3C07" w14:paraId="6ECE5632" w14:textId="77777777">
      <w:pPr>
        <w:tabs>
          <w:tab w:val="left" w:pos="1440"/>
        </w:tabs>
      </w:pPr>
    </w:p>
    <w:p w:rsidR="00055055" w:rsidP="00DB3C07" w14:paraId="03421AED"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A14B53">
        <w:t>Th</w:t>
      </w:r>
      <w:r>
        <w:t xml:space="preserve">is information collection does not include any </w:t>
      </w:r>
      <w:r w:rsidRPr="00A14B53">
        <w:t>exceptions to the certification statement.</w:t>
      </w:r>
    </w:p>
    <w:p w:rsidR="00AE60AC" w:rsidP="00DB3C07" w14:paraId="7C69CC56" w14:textId="77777777">
      <w:pPr>
        <w:tabs>
          <w:tab w:val="left" w:pos="1440"/>
        </w:tabs>
      </w:pPr>
    </w:p>
    <w:p w:rsidR="00F73236" w:rsidRPr="00607407" w:rsidP="00DB3C07" w14:paraId="6AE27DEF"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rPr>
      </w:pPr>
      <w:bookmarkStart w:id="1" w:name="_Hlk188988292"/>
      <w:r w:rsidRPr="00607407">
        <w:rPr>
          <w:b/>
          <w:bCs/>
        </w:rPr>
        <w:t>B. INFORMATION COLLECTIONS EMPLOYING STATISTICAL METHODS.</w:t>
      </w:r>
    </w:p>
    <w:bookmarkEnd w:id="1"/>
    <w:p w:rsidR="00AE60AC" w:rsidP="00DB3C07" w14:paraId="49FB8920" w14:textId="77777777">
      <w:pPr>
        <w:tabs>
          <w:tab w:val="left" w:pos="1440"/>
        </w:tabs>
      </w:pPr>
    </w:p>
    <w:p w:rsidR="00A71B8D" w:rsidRPr="00013DA2" w:rsidP="00DB3C07" w14:paraId="631ABE84"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t>This collection does not employ statistical methods.</w:t>
      </w:r>
    </w:p>
    <w:p w:rsidR="00AE60AC" w:rsidP="00DB3C07" w14:paraId="51C87661" w14:textId="37102A5C">
      <w:pPr>
        <w:tabs>
          <w:tab w:val="left" w:pos="1440"/>
        </w:tabs>
      </w:pPr>
    </w:p>
    <w:sectPr w:rsidSect="00201DA2">
      <w:headerReference w:type="default" r:id="rId10"/>
      <w:footerReference w:type="even" r:id="rId11"/>
      <w:footerReference w:type="defaul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42D0" w:rsidP="00572DE6" w14:paraId="3E475C1A"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D0" w14:paraId="52A51BD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6892623"/>
      <w:docPartObj>
        <w:docPartGallery w:val="Page Numbers (Bottom of Page)"/>
        <w:docPartUnique/>
      </w:docPartObj>
    </w:sdtPr>
    <w:sdtEndPr>
      <w:rPr>
        <w:noProof/>
      </w:rPr>
    </w:sdtEndPr>
    <w:sdtContent>
      <w:p w:rsidR="005E5114" w14:paraId="264638B7" w14:textId="77777777">
        <w:pPr>
          <w:pStyle w:val="Footer"/>
          <w:jc w:val="center"/>
        </w:pPr>
        <w:r>
          <w:fldChar w:fldCharType="begin"/>
        </w:r>
        <w:r>
          <w:instrText xml:space="preserve"> PAGE   \* MERGEFORMAT </w:instrText>
        </w:r>
        <w:r>
          <w:fldChar w:fldCharType="separate"/>
        </w:r>
        <w:r w:rsidR="0035473E">
          <w:rPr>
            <w:noProof/>
          </w:rPr>
          <w:t>1</w:t>
        </w:r>
        <w:r>
          <w:rPr>
            <w:noProof/>
          </w:rPr>
          <w:fldChar w:fldCharType="end"/>
        </w:r>
      </w:p>
    </w:sdtContent>
  </w:sdt>
  <w:p w:rsidR="00BF42D0" w14:paraId="6EFA924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745A7" w14:paraId="6734EEC1" w14:textId="77777777">
      <w:r>
        <w:separator/>
      </w:r>
    </w:p>
  </w:footnote>
  <w:footnote w:type="continuationSeparator" w:id="1">
    <w:p w:rsidR="00F745A7" w14:paraId="5CA41D02" w14:textId="77777777">
      <w:r>
        <w:continuationSeparator/>
      </w:r>
    </w:p>
  </w:footnote>
  <w:footnote w:id="2">
    <w:p w:rsidR="002F2876" w:rsidRPr="00BD0BC5" w:rsidP="002F2876" w14:paraId="2888DC52" w14:textId="2DEC0925">
      <w:pPr>
        <w:pStyle w:val="FootnoteText"/>
      </w:pPr>
      <w:r w:rsidRPr="00BD0BC5">
        <w:rPr>
          <w:rStyle w:val="FootnoteReference"/>
          <w:rFonts w:eastAsiaTheme="majorEastAsia"/>
        </w:rPr>
        <w:footnoteRef/>
      </w:r>
      <w:r w:rsidRPr="00BD0BC5">
        <w:t xml:space="preserve"> </w:t>
      </w:r>
      <w:r w:rsidRPr="00DA1343">
        <w:t>https://www.bls.gov/oes/2023/may/oes475032.htm</w:t>
      </w:r>
    </w:p>
  </w:footnote>
  <w:footnote w:id="3">
    <w:p w:rsidR="002F2876" w:rsidP="002F2876" w14:paraId="2578F2C8" w14:textId="77777777">
      <w:pPr>
        <w:pStyle w:val="FootnoteText"/>
      </w:pPr>
      <w:r>
        <w:rPr>
          <w:rStyle w:val="FootnoteReference"/>
          <w:rFonts w:eastAsiaTheme="majorEastAsia"/>
        </w:rPr>
        <w:footnoteRef/>
      </w:r>
      <w:r>
        <w:t xml:space="preserve"> </w:t>
      </w:r>
      <w:r w:rsidRPr="0058201E">
        <w:t xml:space="preserve">https://data.bls.gov/dataViewer/view/timeseries/CMU2010000000000D </w:t>
      </w:r>
    </w:p>
  </w:footnote>
  <w:footnote w:id="4">
    <w:p w:rsidR="002F2876" w:rsidP="002F2876" w14:paraId="2C06B6F4" w14:textId="77777777">
      <w:pPr>
        <w:pStyle w:val="FootnoteText"/>
      </w:pPr>
      <w:r>
        <w:rPr>
          <w:rStyle w:val="FootnoteReference"/>
          <w:rFonts w:eastAsiaTheme="majorEastAsia"/>
        </w:rPr>
        <w:footnoteRef/>
      </w:r>
      <w:r>
        <w:t xml:space="preserve"> </w:t>
      </w:r>
      <w:r w:rsidRPr="008C7FDB">
        <w:rPr>
          <w:i/>
          <w:iCs/>
          <w:color w:val="000000"/>
        </w:rPr>
        <w:t>https://data.bls.gov/dataViewer/view/timeseries/CMU2020000000000D</w:t>
      </w:r>
      <w:r>
        <w:rPr>
          <w:i/>
          <w:iCs/>
          <w:color w:val="000000"/>
        </w:rPr>
        <w:t xml:space="preserve"> </w:t>
      </w:r>
    </w:p>
  </w:footnote>
  <w:footnote w:id="5">
    <w:p w:rsidR="002F2876" w:rsidP="002F2876" w14:paraId="18A56F62" w14:textId="77777777">
      <w:pPr>
        <w:pStyle w:val="FootnoteText"/>
      </w:pPr>
      <w:r>
        <w:rPr>
          <w:rStyle w:val="FootnoteReference"/>
          <w:rFonts w:eastAsiaTheme="majorEastAsia"/>
        </w:rPr>
        <w:footnoteRef/>
      </w:r>
      <w:r>
        <w:t xml:space="preserve"> </w:t>
      </w:r>
      <w:r w:rsidRPr="0058201E">
        <w:t xml:space="preserve">1.4 load rate = $44.20 total hourly compensation / </w:t>
      </w:r>
      <w:r>
        <w:t>$</w:t>
      </w:r>
      <w:r w:rsidRPr="0058201E">
        <w:t>31.95 hourly wages and salaries.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5E62" w:rsidRPr="00260D86" w:rsidP="00C95E62" w14:paraId="48776E8D" w14:textId="375FBB30">
    <w:pPr>
      <w:pStyle w:val="Header"/>
      <w:rPr>
        <w:bCs/>
        <w:sz w:val="20"/>
        <w:szCs w:val="20"/>
      </w:rPr>
    </w:pPr>
    <w:r>
      <w:rPr>
        <w:bCs/>
        <w:sz w:val="20"/>
        <w:szCs w:val="20"/>
      </w:rPr>
      <w:t>Application for National Firearms Examiner Academy</w:t>
    </w:r>
  </w:p>
  <w:p w:rsidR="00C95E62" w:rsidRPr="00260D86" w:rsidP="00C95E62" w14:paraId="28D8F7A8" w14:textId="11863B07">
    <w:pPr>
      <w:pStyle w:val="Header"/>
      <w:rPr>
        <w:sz w:val="20"/>
        <w:szCs w:val="20"/>
      </w:rPr>
    </w:pPr>
    <w:r w:rsidRPr="00260D86">
      <w:rPr>
        <w:sz w:val="20"/>
        <w:szCs w:val="20"/>
      </w:rPr>
      <w:t>OMB control number 1140-00</w:t>
    </w:r>
    <w:r>
      <w:rPr>
        <w:sz w:val="20"/>
        <w:szCs w:val="20"/>
      </w:rPr>
      <w:t>49</w:t>
    </w:r>
  </w:p>
  <w:p w:rsidR="00C95E62" w14:paraId="208DE311" w14:textId="6F8E4114">
    <w:pPr>
      <w:pStyle w:val="Header"/>
    </w:pPr>
    <w:r w:rsidRPr="00260D86">
      <w:rPr>
        <w:sz w:val="20"/>
        <w:szCs w:val="20"/>
      </w:rPr>
      <w:t xml:space="preserve">OMB expiration date: </w:t>
    </w:r>
    <w:r w:rsidR="00607AFB">
      <w:rPr>
        <w:sz w:val="20"/>
        <w:szCs w:val="20"/>
      </w:rPr>
      <w:t>11-30-26</w:t>
    </w:r>
  </w:p>
  <w:p w:rsidR="00C95E62" w14:paraId="05926DEF" w14:textId="5F17A805">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C46142"/>
    <w:multiLevelType w:val="hybridMultilevel"/>
    <w:tmpl w:val="E4E82510"/>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FB21697"/>
    <w:multiLevelType w:val="hybridMultilevel"/>
    <w:tmpl w:val="2DD8466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8DC0820"/>
    <w:multiLevelType w:val="hybridMultilevel"/>
    <w:tmpl w:val="EA5EC5C8"/>
    <w:lvl w:ilvl="0">
      <w:start w:val="1"/>
      <w:numFmt w:val="decimal"/>
      <w:lvlText w:val="%1."/>
      <w:lvlJc w:val="left"/>
      <w:pPr>
        <w:ind w:left="720" w:hanging="360"/>
      </w:pPr>
      <w:rPr>
        <w:rFonts w:hint="default"/>
        <w:color w:val="000000" w:themeColor="text1"/>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D660121"/>
    <w:multiLevelType w:val="hybridMultilevel"/>
    <w:tmpl w:val="E0C44A0C"/>
    <w:lvl w:ilvl="0">
      <w:start w:val="1"/>
      <w:numFmt w:val="lowerLetter"/>
      <w:lvlText w:val="%1."/>
      <w:lvlJc w:val="left"/>
      <w:pPr>
        <w:ind w:left="1800" w:hanging="360"/>
      </w:pPr>
      <w:rPr>
        <w:b/>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num w:numId="1" w16cid:durableId="1190409067">
    <w:abstractNumId w:val="0"/>
  </w:num>
  <w:num w:numId="2" w16cid:durableId="112985054">
    <w:abstractNumId w:val="1"/>
  </w:num>
  <w:num w:numId="3" w16cid:durableId="111830042">
    <w:abstractNumId w:val="2"/>
  </w:num>
  <w:num w:numId="4" w16cid:durableId="9977296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F64"/>
    <w:rsid w:val="0000115C"/>
    <w:rsid w:val="00003EF9"/>
    <w:rsid w:val="0000673D"/>
    <w:rsid w:val="00006A8D"/>
    <w:rsid w:val="0001245E"/>
    <w:rsid w:val="00013DA2"/>
    <w:rsid w:val="0004011F"/>
    <w:rsid w:val="000434C4"/>
    <w:rsid w:val="00045061"/>
    <w:rsid w:val="00051732"/>
    <w:rsid w:val="00053884"/>
    <w:rsid w:val="00055055"/>
    <w:rsid w:val="0005553C"/>
    <w:rsid w:val="00055FEB"/>
    <w:rsid w:val="00063502"/>
    <w:rsid w:val="000676FA"/>
    <w:rsid w:val="00073F27"/>
    <w:rsid w:val="00075E99"/>
    <w:rsid w:val="0007600E"/>
    <w:rsid w:val="00091F30"/>
    <w:rsid w:val="0009735A"/>
    <w:rsid w:val="000A6F84"/>
    <w:rsid w:val="000C14A3"/>
    <w:rsid w:val="000C1B9D"/>
    <w:rsid w:val="000D0A6F"/>
    <w:rsid w:val="000D5259"/>
    <w:rsid w:val="000E1EA3"/>
    <w:rsid w:val="000E336E"/>
    <w:rsid w:val="000E35B5"/>
    <w:rsid w:val="000E4164"/>
    <w:rsid w:val="000F1D3B"/>
    <w:rsid w:val="000F627B"/>
    <w:rsid w:val="00102566"/>
    <w:rsid w:val="001126C9"/>
    <w:rsid w:val="00112CEA"/>
    <w:rsid w:val="00114DA2"/>
    <w:rsid w:val="00122B5F"/>
    <w:rsid w:val="00122C08"/>
    <w:rsid w:val="00125A09"/>
    <w:rsid w:val="00135B1D"/>
    <w:rsid w:val="00140BE5"/>
    <w:rsid w:val="0014629A"/>
    <w:rsid w:val="001533AB"/>
    <w:rsid w:val="00155A92"/>
    <w:rsid w:val="0015706D"/>
    <w:rsid w:val="00163A50"/>
    <w:rsid w:val="0016678B"/>
    <w:rsid w:val="00171116"/>
    <w:rsid w:val="0017222F"/>
    <w:rsid w:val="00173241"/>
    <w:rsid w:val="00175193"/>
    <w:rsid w:val="00182F8C"/>
    <w:rsid w:val="00183201"/>
    <w:rsid w:val="00185B0A"/>
    <w:rsid w:val="001A0C45"/>
    <w:rsid w:val="001A4B0E"/>
    <w:rsid w:val="001B09CA"/>
    <w:rsid w:val="001B1FA3"/>
    <w:rsid w:val="001B5CEE"/>
    <w:rsid w:val="001C7F1F"/>
    <w:rsid w:val="001D3CF2"/>
    <w:rsid w:val="001D5F40"/>
    <w:rsid w:val="001E44E4"/>
    <w:rsid w:val="001E752A"/>
    <w:rsid w:val="001F27C0"/>
    <w:rsid w:val="001F61EE"/>
    <w:rsid w:val="001F6458"/>
    <w:rsid w:val="00201DA2"/>
    <w:rsid w:val="0020411A"/>
    <w:rsid w:val="002139FE"/>
    <w:rsid w:val="00216154"/>
    <w:rsid w:val="00236439"/>
    <w:rsid w:val="002366A5"/>
    <w:rsid w:val="00243729"/>
    <w:rsid w:val="002502D4"/>
    <w:rsid w:val="0025572F"/>
    <w:rsid w:val="00255EC8"/>
    <w:rsid w:val="00260D86"/>
    <w:rsid w:val="00272DA3"/>
    <w:rsid w:val="00273565"/>
    <w:rsid w:val="0027422A"/>
    <w:rsid w:val="00280FA4"/>
    <w:rsid w:val="00283C79"/>
    <w:rsid w:val="00290A92"/>
    <w:rsid w:val="0029209A"/>
    <w:rsid w:val="002A2F64"/>
    <w:rsid w:val="002A4118"/>
    <w:rsid w:val="002B489F"/>
    <w:rsid w:val="002C48BF"/>
    <w:rsid w:val="002D53B0"/>
    <w:rsid w:val="002E1221"/>
    <w:rsid w:val="002F19EC"/>
    <w:rsid w:val="002F2876"/>
    <w:rsid w:val="002F6B85"/>
    <w:rsid w:val="00317488"/>
    <w:rsid w:val="00320FC0"/>
    <w:rsid w:val="00324103"/>
    <w:rsid w:val="00325941"/>
    <w:rsid w:val="0033043D"/>
    <w:rsid w:val="00330A8C"/>
    <w:rsid w:val="00330A98"/>
    <w:rsid w:val="00332DD0"/>
    <w:rsid w:val="00336B0D"/>
    <w:rsid w:val="003408AE"/>
    <w:rsid w:val="0035473E"/>
    <w:rsid w:val="003743B0"/>
    <w:rsid w:val="003929A2"/>
    <w:rsid w:val="003937D1"/>
    <w:rsid w:val="00397558"/>
    <w:rsid w:val="003A4E9E"/>
    <w:rsid w:val="003A69E5"/>
    <w:rsid w:val="003A6B74"/>
    <w:rsid w:val="003B137F"/>
    <w:rsid w:val="003B6562"/>
    <w:rsid w:val="003B7C79"/>
    <w:rsid w:val="003C0F89"/>
    <w:rsid w:val="003C2BAE"/>
    <w:rsid w:val="003C5822"/>
    <w:rsid w:val="003D3407"/>
    <w:rsid w:val="003D4A12"/>
    <w:rsid w:val="003E6E3B"/>
    <w:rsid w:val="003F1751"/>
    <w:rsid w:val="00414389"/>
    <w:rsid w:val="00414E9D"/>
    <w:rsid w:val="00415D18"/>
    <w:rsid w:val="00426A4F"/>
    <w:rsid w:val="00433C3E"/>
    <w:rsid w:val="00435958"/>
    <w:rsid w:val="004360F8"/>
    <w:rsid w:val="00446064"/>
    <w:rsid w:val="0044664B"/>
    <w:rsid w:val="00447808"/>
    <w:rsid w:val="00451F43"/>
    <w:rsid w:val="004531C3"/>
    <w:rsid w:val="00461CD3"/>
    <w:rsid w:val="00462DE6"/>
    <w:rsid w:val="004666FC"/>
    <w:rsid w:val="004730BF"/>
    <w:rsid w:val="004823C5"/>
    <w:rsid w:val="00485BD5"/>
    <w:rsid w:val="0048744D"/>
    <w:rsid w:val="004922D8"/>
    <w:rsid w:val="004924A7"/>
    <w:rsid w:val="00493043"/>
    <w:rsid w:val="004951E9"/>
    <w:rsid w:val="0049787B"/>
    <w:rsid w:val="004B2A9C"/>
    <w:rsid w:val="004D3757"/>
    <w:rsid w:val="004D528C"/>
    <w:rsid w:val="004E2EB3"/>
    <w:rsid w:val="004E4E99"/>
    <w:rsid w:val="004F7749"/>
    <w:rsid w:val="00501F07"/>
    <w:rsid w:val="005026AD"/>
    <w:rsid w:val="00505E4B"/>
    <w:rsid w:val="00510B6A"/>
    <w:rsid w:val="00513C47"/>
    <w:rsid w:val="00517EC0"/>
    <w:rsid w:val="00522208"/>
    <w:rsid w:val="00522918"/>
    <w:rsid w:val="00524619"/>
    <w:rsid w:val="0052505D"/>
    <w:rsid w:val="00527FC4"/>
    <w:rsid w:val="00546828"/>
    <w:rsid w:val="00547B0D"/>
    <w:rsid w:val="00554024"/>
    <w:rsid w:val="005558C4"/>
    <w:rsid w:val="00567279"/>
    <w:rsid w:val="00571BB8"/>
    <w:rsid w:val="00571F39"/>
    <w:rsid w:val="00572DE6"/>
    <w:rsid w:val="0058201E"/>
    <w:rsid w:val="00584A0F"/>
    <w:rsid w:val="00590B42"/>
    <w:rsid w:val="0059633D"/>
    <w:rsid w:val="005A2876"/>
    <w:rsid w:val="005A3528"/>
    <w:rsid w:val="005A6E08"/>
    <w:rsid w:val="005E2D8D"/>
    <w:rsid w:val="005E5114"/>
    <w:rsid w:val="005E75FD"/>
    <w:rsid w:val="005F0CD9"/>
    <w:rsid w:val="005F1F04"/>
    <w:rsid w:val="005F6F44"/>
    <w:rsid w:val="0060018C"/>
    <w:rsid w:val="00602711"/>
    <w:rsid w:val="00604468"/>
    <w:rsid w:val="00607407"/>
    <w:rsid w:val="00607AFB"/>
    <w:rsid w:val="0061592B"/>
    <w:rsid w:val="00621B61"/>
    <w:rsid w:val="00624130"/>
    <w:rsid w:val="00632432"/>
    <w:rsid w:val="00635F8F"/>
    <w:rsid w:val="00650B1F"/>
    <w:rsid w:val="0065447A"/>
    <w:rsid w:val="0065486A"/>
    <w:rsid w:val="006659B8"/>
    <w:rsid w:val="00672A54"/>
    <w:rsid w:val="00673201"/>
    <w:rsid w:val="00680DCF"/>
    <w:rsid w:val="0069178C"/>
    <w:rsid w:val="006A461A"/>
    <w:rsid w:val="006A5B3F"/>
    <w:rsid w:val="006A5CBB"/>
    <w:rsid w:val="006B2FBE"/>
    <w:rsid w:val="006C1DB8"/>
    <w:rsid w:val="006C3CCE"/>
    <w:rsid w:val="006C50FA"/>
    <w:rsid w:val="006D1711"/>
    <w:rsid w:val="006D7311"/>
    <w:rsid w:val="006E2D89"/>
    <w:rsid w:val="006F3BB4"/>
    <w:rsid w:val="006F7335"/>
    <w:rsid w:val="00712E1F"/>
    <w:rsid w:val="00721042"/>
    <w:rsid w:val="007321E3"/>
    <w:rsid w:val="0074455E"/>
    <w:rsid w:val="00747E89"/>
    <w:rsid w:val="00751F38"/>
    <w:rsid w:val="007526D7"/>
    <w:rsid w:val="00752A19"/>
    <w:rsid w:val="00762ECC"/>
    <w:rsid w:val="007636F6"/>
    <w:rsid w:val="00771C1E"/>
    <w:rsid w:val="0077730F"/>
    <w:rsid w:val="00782C0D"/>
    <w:rsid w:val="00785E8A"/>
    <w:rsid w:val="00787C27"/>
    <w:rsid w:val="00791820"/>
    <w:rsid w:val="00796C66"/>
    <w:rsid w:val="00797744"/>
    <w:rsid w:val="007A2129"/>
    <w:rsid w:val="007A336C"/>
    <w:rsid w:val="007A6C57"/>
    <w:rsid w:val="007B5561"/>
    <w:rsid w:val="007E5342"/>
    <w:rsid w:val="007F3C10"/>
    <w:rsid w:val="007F503B"/>
    <w:rsid w:val="007F7AB5"/>
    <w:rsid w:val="00803C83"/>
    <w:rsid w:val="008072BD"/>
    <w:rsid w:val="008258EC"/>
    <w:rsid w:val="008349E3"/>
    <w:rsid w:val="008353D9"/>
    <w:rsid w:val="00846F47"/>
    <w:rsid w:val="00875202"/>
    <w:rsid w:val="00886E55"/>
    <w:rsid w:val="0088747D"/>
    <w:rsid w:val="008903C1"/>
    <w:rsid w:val="008920DB"/>
    <w:rsid w:val="00895360"/>
    <w:rsid w:val="00896372"/>
    <w:rsid w:val="008A2295"/>
    <w:rsid w:val="008A58FA"/>
    <w:rsid w:val="008A6929"/>
    <w:rsid w:val="008B0207"/>
    <w:rsid w:val="008B0861"/>
    <w:rsid w:val="008C212B"/>
    <w:rsid w:val="008C42C5"/>
    <w:rsid w:val="008C7FDB"/>
    <w:rsid w:val="008E3E0E"/>
    <w:rsid w:val="008F6E9E"/>
    <w:rsid w:val="0090359E"/>
    <w:rsid w:val="0091276F"/>
    <w:rsid w:val="00914B4A"/>
    <w:rsid w:val="00915DD7"/>
    <w:rsid w:val="009238B1"/>
    <w:rsid w:val="00926D26"/>
    <w:rsid w:val="00940D12"/>
    <w:rsid w:val="00943A31"/>
    <w:rsid w:val="009451EC"/>
    <w:rsid w:val="009548E6"/>
    <w:rsid w:val="0095644B"/>
    <w:rsid w:val="00956EA9"/>
    <w:rsid w:val="0095724B"/>
    <w:rsid w:val="00962105"/>
    <w:rsid w:val="009663AC"/>
    <w:rsid w:val="00970EAE"/>
    <w:rsid w:val="0097643D"/>
    <w:rsid w:val="009860C4"/>
    <w:rsid w:val="009876DF"/>
    <w:rsid w:val="00990FE2"/>
    <w:rsid w:val="009C52C1"/>
    <w:rsid w:val="009C58C5"/>
    <w:rsid w:val="009C7166"/>
    <w:rsid w:val="009C71F5"/>
    <w:rsid w:val="009D2209"/>
    <w:rsid w:val="009D3D12"/>
    <w:rsid w:val="009D7EDA"/>
    <w:rsid w:val="009E164C"/>
    <w:rsid w:val="009E5D7A"/>
    <w:rsid w:val="009F0478"/>
    <w:rsid w:val="00A03EC2"/>
    <w:rsid w:val="00A077AE"/>
    <w:rsid w:val="00A07C69"/>
    <w:rsid w:val="00A14B53"/>
    <w:rsid w:val="00A344ED"/>
    <w:rsid w:val="00A426BD"/>
    <w:rsid w:val="00A44DAD"/>
    <w:rsid w:val="00A50E7D"/>
    <w:rsid w:val="00A51D20"/>
    <w:rsid w:val="00A53BDE"/>
    <w:rsid w:val="00A71B8D"/>
    <w:rsid w:val="00A810F6"/>
    <w:rsid w:val="00A9174D"/>
    <w:rsid w:val="00A91E87"/>
    <w:rsid w:val="00AA10BB"/>
    <w:rsid w:val="00AA5F97"/>
    <w:rsid w:val="00AB0EF2"/>
    <w:rsid w:val="00AB1B47"/>
    <w:rsid w:val="00AB26D9"/>
    <w:rsid w:val="00AB4EC8"/>
    <w:rsid w:val="00AB5A1F"/>
    <w:rsid w:val="00AC4EDE"/>
    <w:rsid w:val="00AC7949"/>
    <w:rsid w:val="00AD0162"/>
    <w:rsid w:val="00AE26B0"/>
    <w:rsid w:val="00AE60AC"/>
    <w:rsid w:val="00AF00EA"/>
    <w:rsid w:val="00AF0BE2"/>
    <w:rsid w:val="00AF390A"/>
    <w:rsid w:val="00AF4AAF"/>
    <w:rsid w:val="00AF5A8A"/>
    <w:rsid w:val="00AF7688"/>
    <w:rsid w:val="00B02F76"/>
    <w:rsid w:val="00B17C78"/>
    <w:rsid w:val="00B30CD3"/>
    <w:rsid w:val="00B31338"/>
    <w:rsid w:val="00B4013F"/>
    <w:rsid w:val="00B452FC"/>
    <w:rsid w:val="00B50CF4"/>
    <w:rsid w:val="00B57776"/>
    <w:rsid w:val="00B6245E"/>
    <w:rsid w:val="00B72EEF"/>
    <w:rsid w:val="00B80546"/>
    <w:rsid w:val="00B837F2"/>
    <w:rsid w:val="00B847EA"/>
    <w:rsid w:val="00B96D9D"/>
    <w:rsid w:val="00B97A0F"/>
    <w:rsid w:val="00BA3230"/>
    <w:rsid w:val="00BA3A8C"/>
    <w:rsid w:val="00BA59A7"/>
    <w:rsid w:val="00BA6AED"/>
    <w:rsid w:val="00BB7B5F"/>
    <w:rsid w:val="00BC28F8"/>
    <w:rsid w:val="00BC2B40"/>
    <w:rsid w:val="00BC3978"/>
    <w:rsid w:val="00BD0BC5"/>
    <w:rsid w:val="00BD2877"/>
    <w:rsid w:val="00BE5A58"/>
    <w:rsid w:val="00BF42D0"/>
    <w:rsid w:val="00BF56F0"/>
    <w:rsid w:val="00BF61AA"/>
    <w:rsid w:val="00C00944"/>
    <w:rsid w:val="00C02166"/>
    <w:rsid w:val="00C12B1E"/>
    <w:rsid w:val="00C14E28"/>
    <w:rsid w:val="00C169C5"/>
    <w:rsid w:val="00C21218"/>
    <w:rsid w:val="00C41DE4"/>
    <w:rsid w:val="00C501F2"/>
    <w:rsid w:val="00C57067"/>
    <w:rsid w:val="00C66696"/>
    <w:rsid w:val="00C70954"/>
    <w:rsid w:val="00C7141E"/>
    <w:rsid w:val="00C73B80"/>
    <w:rsid w:val="00C75555"/>
    <w:rsid w:val="00C76892"/>
    <w:rsid w:val="00C80ABA"/>
    <w:rsid w:val="00C82409"/>
    <w:rsid w:val="00C84A0B"/>
    <w:rsid w:val="00C93693"/>
    <w:rsid w:val="00C93CB8"/>
    <w:rsid w:val="00C95E62"/>
    <w:rsid w:val="00C96677"/>
    <w:rsid w:val="00C96DC7"/>
    <w:rsid w:val="00CA0EBA"/>
    <w:rsid w:val="00CA5D60"/>
    <w:rsid w:val="00CA61CA"/>
    <w:rsid w:val="00CC0FFC"/>
    <w:rsid w:val="00CF16CE"/>
    <w:rsid w:val="00CF211D"/>
    <w:rsid w:val="00CF21FA"/>
    <w:rsid w:val="00CF3777"/>
    <w:rsid w:val="00D1335D"/>
    <w:rsid w:val="00D25518"/>
    <w:rsid w:val="00D45BBF"/>
    <w:rsid w:val="00D46707"/>
    <w:rsid w:val="00D468B7"/>
    <w:rsid w:val="00D56932"/>
    <w:rsid w:val="00D6201D"/>
    <w:rsid w:val="00D63AF2"/>
    <w:rsid w:val="00D66035"/>
    <w:rsid w:val="00D66149"/>
    <w:rsid w:val="00D728C7"/>
    <w:rsid w:val="00D73824"/>
    <w:rsid w:val="00DA0A99"/>
    <w:rsid w:val="00DA1343"/>
    <w:rsid w:val="00DA253F"/>
    <w:rsid w:val="00DA3096"/>
    <w:rsid w:val="00DA7B3C"/>
    <w:rsid w:val="00DB3C07"/>
    <w:rsid w:val="00DC10F5"/>
    <w:rsid w:val="00DC7AB7"/>
    <w:rsid w:val="00DE2F99"/>
    <w:rsid w:val="00DE50CB"/>
    <w:rsid w:val="00DE76FC"/>
    <w:rsid w:val="00DF4383"/>
    <w:rsid w:val="00E02218"/>
    <w:rsid w:val="00E03B68"/>
    <w:rsid w:val="00E067B9"/>
    <w:rsid w:val="00E13CDC"/>
    <w:rsid w:val="00E15FF6"/>
    <w:rsid w:val="00E265A5"/>
    <w:rsid w:val="00E377F9"/>
    <w:rsid w:val="00E40038"/>
    <w:rsid w:val="00E41AF4"/>
    <w:rsid w:val="00E426AC"/>
    <w:rsid w:val="00E44C39"/>
    <w:rsid w:val="00E51526"/>
    <w:rsid w:val="00E5374E"/>
    <w:rsid w:val="00E56019"/>
    <w:rsid w:val="00E56E29"/>
    <w:rsid w:val="00E63730"/>
    <w:rsid w:val="00E63781"/>
    <w:rsid w:val="00E73042"/>
    <w:rsid w:val="00E84124"/>
    <w:rsid w:val="00E86214"/>
    <w:rsid w:val="00E90936"/>
    <w:rsid w:val="00E94A7D"/>
    <w:rsid w:val="00EA4637"/>
    <w:rsid w:val="00EA5E4B"/>
    <w:rsid w:val="00EA71F7"/>
    <w:rsid w:val="00ED1FAB"/>
    <w:rsid w:val="00ED2985"/>
    <w:rsid w:val="00EE3C40"/>
    <w:rsid w:val="00EE4F65"/>
    <w:rsid w:val="00F01050"/>
    <w:rsid w:val="00F03407"/>
    <w:rsid w:val="00F11F14"/>
    <w:rsid w:val="00F125AE"/>
    <w:rsid w:val="00F13B2C"/>
    <w:rsid w:val="00F2148F"/>
    <w:rsid w:val="00F40C60"/>
    <w:rsid w:val="00F52FA3"/>
    <w:rsid w:val="00F66648"/>
    <w:rsid w:val="00F706BB"/>
    <w:rsid w:val="00F7109F"/>
    <w:rsid w:val="00F73236"/>
    <w:rsid w:val="00F734E6"/>
    <w:rsid w:val="00F745A7"/>
    <w:rsid w:val="00F75D8F"/>
    <w:rsid w:val="00F868DA"/>
    <w:rsid w:val="00F91A8C"/>
    <w:rsid w:val="00F97D15"/>
    <w:rsid w:val="00FA2EF7"/>
    <w:rsid w:val="00FA7283"/>
    <w:rsid w:val="00FC1D73"/>
    <w:rsid w:val="00FC2866"/>
    <w:rsid w:val="00FC3264"/>
    <w:rsid w:val="00FE17F7"/>
    <w:rsid w:val="00FF1738"/>
    <w:rsid w:val="00FF1FC7"/>
    <w:rsid w:val="00FF6970"/>
    <w:rsid w:val="03AD6419"/>
    <w:rsid w:val="110E8669"/>
    <w:rsid w:val="200A028B"/>
    <w:rsid w:val="33A1C5C5"/>
    <w:rsid w:val="34216816"/>
    <w:rsid w:val="4B8BB9E1"/>
    <w:rsid w:val="4D35135F"/>
    <w:rsid w:val="603B6379"/>
    <w:rsid w:val="79BBF2C4"/>
    <w:rsid w:val="7C4235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CC1BE20"/>
  <w15:docId w15:val="{A5AAA095-30AF-45B2-A4DA-9306C792D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01DA2"/>
    <w:rPr>
      <w:sz w:val="24"/>
      <w:szCs w:val="24"/>
    </w:rPr>
  </w:style>
  <w:style w:type="paragraph" w:styleId="Heading2">
    <w:name w:val="heading 2"/>
    <w:basedOn w:val="Normal"/>
    <w:next w:val="Normal"/>
    <w:link w:val="Heading2Char"/>
    <w:semiHidden/>
    <w:unhideWhenUsed/>
    <w:qFormat/>
    <w:rsid w:val="00C7141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F211D"/>
    <w:pPr>
      <w:tabs>
        <w:tab w:val="center" w:pos="4320"/>
        <w:tab w:val="right" w:pos="8640"/>
      </w:tabs>
    </w:pPr>
  </w:style>
  <w:style w:type="character" w:styleId="PageNumber">
    <w:name w:val="page number"/>
    <w:basedOn w:val="DefaultParagraphFont"/>
    <w:rsid w:val="00CF211D"/>
  </w:style>
  <w:style w:type="paragraph" w:styleId="Header">
    <w:name w:val="header"/>
    <w:basedOn w:val="Normal"/>
    <w:link w:val="HeaderChar"/>
    <w:rsid w:val="005026AD"/>
    <w:pPr>
      <w:tabs>
        <w:tab w:val="center" w:pos="4680"/>
        <w:tab w:val="right" w:pos="9360"/>
      </w:tabs>
    </w:pPr>
  </w:style>
  <w:style w:type="character" w:customStyle="1" w:styleId="HeaderChar">
    <w:name w:val="Header Char"/>
    <w:basedOn w:val="DefaultParagraphFont"/>
    <w:link w:val="Header"/>
    <w:rsid w:val="005026AD"/>
    <w:rPr>
      <w:sz w:val="24"/>
      <w:szCs w:val="24"/>
    </w:rPr>
  </w:style>
  <w:style w:type="character" w:customStyle="1" w:styleId="FooterChar">
    <w:name w:val="Footer Char"/>
    <w:basedOn w:val="DefaultParagraphFont"/>
    <w:link w:val="Footer"/>
    <w:uiPriority w:val="99"/>
    <w:rsid w:val="005026AD"/>
    <w:rPr>
      <w:sz w:val="24"/>
      <w:szCs w:val="24"/>
    </w:rPr>
  </w:style>
  <w:style w:type="paragraph" w:styleId="BalloonText">
    <w:name w:val="Balloon Text"/>
    <w:basedOn w:val="Normal"/>
    <w:link w:val="BalloonTextChar"/>
    <w:rsid w:val="005026AD"/>
    <w:rPr>
      <w:rFonts w:ascii="Tahoma" w:hAnsi="Tahoma" w:cs="Tahoma"/>
      <w:sz w:val="16"/>
      <w:szCs w:val="16"/>
    </w:rPr>
  </w:style>
  <w:style w:type="character" w:customStyle="1" w:styleId="BalloonTextChar">
    <w:name w:val="Balloon Text Char"/>
    <w:basedOn w:val="DefaultParagraphFont"/>
    <w:link w:val="BalloonText"/>
    <w:rsid w:val="005026AD"/>
    <w:rPr>
      <w:rFonts w:ascii="Tahoma" w:hAnsi="Tahoma" w:cs="Tahoma"/>
      <w:sz w:val="16"/>
      <w:szCs w:val="16"/>
    </w:rPr>
  </w:style>
  <w:style w:type="paragraph" w:styleId="ListParagraph">
    <w:name w:val="List Paragraph"/>
    <w:basedOn w:val="Normal"/>
    <w:uiPriority w:val="34"/>
    <w:qFormat/>
    <w:rsid w:val="00D6201D"/>
    <w:pPr>
      <w:ind w:left="720"/>
      <w:contextualSpacing/>
    </w:pPr>
  </w:style>
  <w:style w:type="character" w:styleId="Hyperlink">
    <w:name w:val="Hyperlink"/>
    <w:basedOn w:val="DefaultParagraphFont"/>
    <w:unhideWhenUsed/>
    <w:rsid w:val="00D468B7"/>
    <w:rPr>
      <w:color w:val="0000FF" w:themeColor="hyperlink"/>
      <w:u w:val="single"/>
    </w:rPr>
  </w:style>
  <w:style w:type="paragraph" w:styleId="Revision">
    <w:name w:val="Revision"/>
    <w:hidden/>
    <w:uiPriority w:val="99"/>
    <w:semiHidden/>
    <w:rsid w:val="00C95E62"/>
    <w:rPr>
      <w:sz w:val="24"/>
      <w:szCs w:val="24"/>
    </w:rPr>
  </w:style>
  <w:style w:type="table" w:styleId="TableGrid">
    <w:name w:val="Table Grid"/>
    <w:basedOn w:val="TableNormal"/>
    <w:uiPriority w:val="59"/>
    <w:rsid w:val="00AF00E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73201"/>
    <w:rPr>
      <w:sz w:val="16"/>
      <w:szCs w:val="16"/>
    </w:rPr>
  </w:style>
  <w:style w:type="paragraph" w:styleId="CommentText">
    <w:name w:val="annotation text"/>
    <w:basedOn w:val="Normal"/>
    <w:link w:val="CommentTextChar"/>
    <w:unhideWhenUsed/>
    <w:rsid w:val="00673201"/>
    <w:rPr>
      <w:sz w:val="20"/>
      <w:szCs w:val="20"/>
    </w:rPr>
  </w:style>
  <w:style w:type="character" w:customStyle="1" w:styleId="CommentTextChar">
    <w:name w:val="Comment Text Char"/>
    <w:basedOn w:val="DefaultParagraphFont"/>
    <w:link w:val="CommentText"/>
    <w:rsid w:val="00673201"/>
  </w:style>
  <w:style w:type="paragraph" w:styleId="CommentSubject">
    <w:name w:val="annotation subject"/>
    <w:basedOn w:val="CommentText"/>
    <w:next w:val="CommentText"/>
    <w:link w:val="CommentSubjectChar"/>
    <w:semiHidden/>
    <w:unhideWhenUsed/>
    <w:rsid w:val="00673201"/>
    <w:rPr>
      <w:b/>
      <w:bCs/>
    </w:rPr>
  </w:style>
  <w:style w:type="character" w:customStyle="1" w:styleId="CommentSubjectChar">
    <w:name w:val="Comment Subject Char"/>
    <w:basedOn w:val="CommentTextChar"/>
    <w:link w:val="CommentSubject"/>
    <w:semiHidden/>
    <w:rsid w:val="00673201"/>
    <w:rPr>
      <w:b/>
      <w:bCs/>
    </w:rPr>
  </w:style>
  <w:style w:type="character" w:styleId="Mention">
    <w:name w:val="Mention"/>
    <w:basedOn w:val="DefaultParagraphFont"/>
    <w:uiPriority w:val="99"/>
    <w:unhideWhenUsed/>
    <w:rsid w:val="00673201"/>
    <w:rPr>
      <w:color w:val="2B579A"/>
      <w:shd w:val="clear" w:color="auto" w:fill="E1DFDD"/>
    </w:rPr>
  </w:style>
  <w:style w:type="character" w:customStyle="1" w:styleId="Heading2Char">
    <w:name w:val="Heading 2 Char"/>
    <w:basedOn w:val="DefaultParagraphFont"/>
    <w:link w:val="Heading2"/>
    <w:semiHidden/>
    <w:rsid w:val="00C7141E"/>
    <w:rPr>
      <w:rFonts w:asciiTheme="majorHAnsi" w:eastAsiaTheme="majorEastAsia" w:hAnsiTheme="majorHAnsi" w:cstheme="majorBidi"/>
      <w:color w:val="365F91" w:themeColor="accent1" w:themeShade="BF"/>
      <w:sz w:val="26"/>
      <w:szCs w:val="26"/>
    </w:rPr>
  </w:style>
  <w:style w:type="paragraph" w:styleId="FootnoteText">
    <w:name w:val="footnote text"/>
    <w:aliases w:val=" Char, Char1,*Footnote Text,Char,Char1,ft"/>
    <w:basedOn w:val="Normal"/>
    <w:link w:val="FootnoteTextChar"/>
    <w:uiPriority w:val="99"/>
    <w:qFormat/>
    <w:rsid w:val="002F2876"/>
    <w:rPr>
      <w:sz w:val="20"/>
      <w:szCs w:val="20"/>
    </w:rPr>
  </w:style>
  <w:style w:type="character" w:customStyle="1" w:styleId="FootnoteTextChar">
    <w:name w:val="Footnote Text Char"/>
    <w:aliases w:val=" Char Char, Char1 Char,*Footnote Text Char,Char Char,Char1 Char,ft Char"/>
    <w:basedOn w:val="DefaultParagraphFont"/>
    <w:link w:val="FootnoteText"/>
    <w:uiPriority w:val="99"/>
    <w:rsid w:val="002F2876"/>
  </w:style>
  <w:style w:type="character" w:styleId="FootnoteReference">
    <w:name w:val="footnote reference"/>
    <w:aliases w:val="*Footnote Reference,Number"/>
    <w:basedOn w:val="DefaultParagraphFont"/>
    <w:uiPriority w:val="99"/>
    <w:qFormat/>
    <w:rsid w:val="002F2876"/>
    <w:rPr>
      <w:vertAlign w:val="superscript"/>
    </w:rPr>
  </w:style>
  <w:style w:type="character" w:styleId="UnresolvedMention">
    <w:name w:val="Unresolved Mention"/>
    <w:basedOn w:val="DefaultParagraphFont"/>
    <w:uiPriority w:val="99"/>
    <w:semiHidden/>
    <w:unhideWhenUsed/>
    <w:rsid w:val="00332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NFEATraining@atf.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C71CE-B2CD-4A6B-933C-250E91816C61}">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customXml/itemProps2.xml><?xml version="1.0" encoding="utf-8"?>
<ds:datastoreItem xmlns:ds="http://schemas.openxmlformats.org/officeDocument/2006/customXml" ds:itemID="{F69E6AFF-C10C-4CDB-9927-962C18E74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A1DB37-EBDB-473A-9ACB-762397CF5704}">
  <ds:schemaRefs>
    <ds:schemaRef ds:uri="http://schemas.microsoft.com/sharepoint/v3/contenttype/forms"/>
  </ds:schemaRefs>
</ds:datastoreItem>
</file>

<file path=customXml/itemProps4.xml><?xml version="1.0" encoding="utf-8"?>
<ds:datastoreItem xmlns:ds="http://schemas.openxmlformats.org/officeDocument/2006/customXml" ds:itemID="{866197B0-6FE9-4996-B334-D17185F6657D}">
  <ds:schemaRefs>
    <ds:schemaRef ds:uri="http://schemas.openxmlformats.org/officeDocument/2006/bibliography"/>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1339</Words>
  <Characters>7634</Characters>
  <Application>Microsoft Office Word</Application>
  <DocSecurity>0</DocSecurity>
  <Lines>63</Lines>
  <Paragraphs>17</Paragraphs>
  <ScaleCrop>false</ScaleCrop>
  <Company>ATF</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Justice</dc:title>
  <dc:creator>ATF</dc:creator>
  <cp:lastModifiedBy>Holmes-Brooks, Colette N. (ATF) (CTR)</cp:lastModifiedBy>
  <cp:revision>2</cp:revision>
  <cp:lastPrinted>2026-04-15T17:47:00Z</cp:lastPrinted>
  <dcterms:created xsi:type="dcterms:W3CDTF">2026-10-26T19:21:00Z</dcterms:created>
  <dcterms:modified xsi:type="dcterms:W3CDTF">2026-10-26T19:21:00Z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MediaServiceImageTags">
    <vt:lpwstr/>
  </property>
</Properties>
</file>