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458E6" w:rsidRPr="00545DB0" w:rsidP="00047E6F" w14:paraId="5B2A8CBA" w14:textId="77777777">
      <w:pPr>
        <w:pStyle w:val="Title"/>
        <w:rPr>
          <w:rFonts w:cs="Times New Roman"/>
          <w:szCs w:val="24"/>
        </w:rPr>
      </w:pPr>
      <w:r w:rsidRPr="00545DB0">
        <w:rPr>
          <w:rFonts w:cs="Times New Roman"/>
          <w:szCs w:val="24"/>
        </w:rPr>
        <w:t>Department of Justice</w:t>
      </w:r>
    </w:p>
    <w:p w:rsidR="009458E6" w:rsidRPr="00545DB0" w:rsidP="00047E6F" w14:paraId="0A65B449" w14:textId="343650A5">
      <w:pPr>
        <w:pStyle w:val="Title"/>
        <w:rPr>
          <w:rFonts w:cs="Times New Roman"/>
          <w:szCs w:val="24"/>
        </w:rPr>
      </w:pPr>
      <w:r w:rsidRPr="00545DB0">
        <w:rPr>
          <w:rFonts w:cs="Times New Roman"/>
          <w:szCs w:val="24"/>
        </w:rPr>
        <w:t>Bureau of Alcohol, Tobacco, Firearms</w:t>
      </w:r>
      <w:r w:rsidRPr="00545DB0" w:rsidR="007A7820">
        <w:rPr>
          <w:rFonts w:cs="Times New Roman"/>
          <w:szCs w:val="24"/>
        </w:rPr>
        <w:t xml:space="preserve">, </w:t>
      </w:r>
      <w:r w:rsidRPr="00545DB0">
        <w:rPr>
          <w:rFonts w:cs="Times New Roman"/>
          <w:szCs w:val="24"/>
        </w:rPr>
        <w:t>and Explosives</w:t>
      </w:r>
      <w:r w:rsidRPr="00545DB0" w:rsidR="002815BD">
        <w:rPr>
          <w:rFonts w:cs="Times New Roman"/>
          <w:szCs w:val="24"/>
        </w:rPr>
        <w:t xml:space="preserve"> (ATF)</w:t>
      </w:r>
    </w:p>
    <w:p w:rsidR="00047E6F" w:rsidRPr="00545DB0" w:rsidP="00047E6F" w14:paraId="7AC1F988" w14:textId="38B45723">
      <w:pPr>
        <w:pStyle w:val="Title"/>
        <w:rPr>
          <w:rFonts w:cs="Times New Roman"/>
          <w:szCs w:val="24"/>
        </w:rPr>
      </w:pPr>
      <w:r w:rsidRPr="00545DB0">
        <w:rPr>
          <w:rFonts w:cs="Times New Roman"/>
          <w:szCs w:val="24"/>
        </w:rPr>
        <w:t>Information Collection Request</w:t>
      </w:r>
      <w:r w:rsidRPr="00545DB0" w:rsidR="007A7820">
        <w:rPr>
          <w:rFonts w:cs="Times New Roman"/>
          <w:szCs w:val="24"/>
        </w:rPr>
        <w:t xml:space="preserve"> (ICR)</w:t>
      </w:r>
    </w:p>
    <w:p w:rsidR="00047E6F" w:rsidRPr="00545DB0" w:rsidP="00E66B81" w14:paraId="405B5A6D" w14:textId="46C3AA53">
      <w:pPr>
        <w:jc w:val="center"/>
      </w:pPr>
      <w:r w:rsidRPr="00545DB0">
        <w:t>OMB 1140-0070</w:t>
      </w:r>
    </w:p>
    <w:p w:rsidR="00BB0751" w:rsidRPr="00545DB0" w:rsidP="00E66B81" w14:paraId="5586B151" w14:textId="3DF9CCDA">
      <w:pPr>
        <w:jc w:val="center"/>
      </w:pPr>
      <w:bookmarkStart w:id="0" w:name="_Hlk130452385"/>
      <w:r w:rsidRPr="00545DB0">
        <w:t>Application for</w:t>
      </w:r>
      <w:r w:rsidRPr="00545DB0" w:rsidR="002928F1">
        <w:t xml:space="preserve"> Federal</w:t>
      </w:r>
      <w:r w:rsidRPr="00545DB0">
        <w:t xml:space="preserve"> Explosives License</w:t>
      </w:r>
      <w:r w:rsidRPr="00545DB0" w:rsidR="00FD6C57">
        <w:t>/</w:t>
      </w:r>
      <w:r w:rsidRPr="00545DB0">
        <w:t>Permit</w:t>
      </w:r>
    </w:p>
    <w:p w:rsidR="00047E6F" w:rsidRPr="00545DB0" w:rsidP="00E66B81" w14:paraId="6A0849E8" w14:textId="333496B2">
      <w:pPr>
        <w:jc w:val="center"/>
      </w:pPr>
      <w:r w:rsidRPr="00545DB0">
        <w:t>(ATF F</w:t>
      </w:r>
      <w:r w:rsidRPr="00545DB0" w:rsidR="00EC5340">
        <w:t>orm</w:t>
      </w:r>
      <w:r w:rsidRPr="00545DB0">
        <w:t xml:space="preserve"> 5400.13)</w:t>
      </w:r>
    </w:p>
    <w:p w:rsidR="0083738C" w:rsidRPr="00545DB0" w:rsidP="00E66B81" w14:paraId="02D53D9A" w14:textId="77777777">
      <w:pPr>
        <w:jc w:val="center"/>
      </w:pPr>
    </w:p>
    <w:p w:rsidR="00194A45" w:rsidRPr="00545DB0" w:rsidP="006420CF" w14:paraId="6B2A1C74" w14:textId="48095A9B">
      <w:pPr>
        <w:tabs>
          <w:tab w:val="center" w:pos="4680"/>
          <w:tab w:val="right" w:pos="9360"/>
        </w:tabs>
        <w:jc w:val="center"/>
        <w:rPr>
          <w:b/>
          <w:bCs/>
        </w:rPr>
      </w:pPr>
      <w:r w:rsidRPr="00545DB0">
        <w:rPr>
          <w:b/>
          <w:bCs/>
        </w:rPr>
        <w:t>SUPPORTING STATEMENT</w:t>
      </w:r>
    </w:p>
    <w:p w:rsidR="00501963" w:rsidRPr="00545DB0" w:rsidP="00E66B81" w14:paraId="5824EF3C" w14:textId="77777777">
      <w:pPr>
        <w:jc w:val="center"/>
        <w:rPr>
          <w:b/>
          <w:bCs/>
        </w:rPr>
      </w:pPr>
    </w:p>
    <w:bookmarkEnd w:id="0"/>
    <w:p w:rsidR="00C30405" w:rsidRPr="00545DB0" w:rsidP="00C30405" w14:paraId="1B289A63" w14:textId="77777777">
      <w:pPr>
        <w:autoSpaceDE w:val="0"/>
        <w:autoSpaceDN w:val="0"/>
        <w:adjustRightInd w:val="0"/>
        <w:rPr>
          <w:b/>
          <w:bCs/>
        </w:rPr>
      </w:pPr>
      <w:r w:rsidRPr="00545DB0">
        <w:rPr>
          <w:b/>
          <w:bCs/>
        </w:rPr>
        <w:t>A. JUSTIFICATION</w:t>
      </w:r>
    </w:p>
    <w:p w:rsidR="005D59FF" w:rsidRPr="00545DB0" w:rsidP="00C30405" w14:paraId="7BB5CE24" w14:textId="77777777">
      <w:pPr>
        <w:autoSpaceDE w:val="0"/>
        <w:autoSpaceDN w:val="0"/>
        <w:adjustRightInd w:val="0"/>
        <w:rPr>
          <w:b/>
          <w:bCs/>
        </w:rPr>
      </w:pPr>
    </w:p>
    <w:p w:rsidR="005D59FF" w:rsidRPr="00545DB0" w:rsidP="005D59FF" w14:paraId="75BD967A" w14:textId="77777777">
      <w:pPr>
        <w:autoSpaceDE w:val="0"/>
        <w:autoSpaceDN w:val="0"/>
        <w:adjustRightInd w:val="0"/>
        <w:rPr>
          <w:b/>
          <w:bCs/>
        </w:rPr>
      </w:pPr>
      <w:r w:rsidRPr="00545DB0">
        <w:rPr>
          <w:b/>
          <w:bCs/>
        </w:rPr>
        <w:t>1. Explain the circumstances that make the information collection necessary.</w:t>
      </w:r>
    </w:p>
    <w:p w:rsidR="009458E6" w:rsidRPr="00545DB0" w:rsidP="00312BAD" w14:paraId="2F3FE983" w14:textId="77777777"/>
    <w:p w:rsidR="00047E6F" w:rsidRPr="00545DB0" w:rsidP="00736445" w14:paraId="41EE17F6" w14:textId="2F606CAC">
      <w:r w:rsidRPr="00545DB0">
        <w:t xml:space="preserve">18 </w:t>
      </w:r>
      <w:r w:rsidRPr="00545DB0" w:rsidR="00981A72">
        <w:t>U.S.C.</w:t>
      </w:r>
      <w:r w:rsidRPr="00545DB0">
        <w:t xml:space="preserve"> chapter 40</w:t>
      </w:r>
      <w:r w:rsidRPr="00545DB0" w:rsidR="00981A72">
        <w:t xml:space="preserve"> </w:t>
      </w:r>
      <w:r w:rsidRPr="00545DB0" w:rsidR="00361F56">
        <w:t>requires</w:t>
      </w:r>
      <w:r w:rsidRPr="00545DB0" w:rsidR="00981A72">
        <w:t xml:space="preserve"> any person engaged in the business of </w:t>
      </w:r>
      <w:r w:rsidRPr="00545DB0" w:rsidR="002B78BB">
        <w:t xml:space="preserve">manufacturing, importing, or dealing in </w:t>
      </w:r>
      <w:r w:rsidRPr="00545DB0" w:rsidR="00981A72">
        <w:t xml:space="preserve">explosive materials </w:t>
      </w:r>
      <w:r w:rsidRPr="00545DB0" w:rsidR="00361F56">
        <w:t>to first obtain a license</w:t>
      </w:r>
      <w:r w:rsidRPr="00545DB0" w:rsidR="00970CDA">
        <w:t>.</w:t>
      </w:r>
      <w:r w:rsidRPr="00545DB0" w:rsidR="00981A72">
        <w:t xml:space="preserve"> 18 U.S.C.</w:t>
      </w:r>
      <w:r w:rsidRPr="00545DB0" w:rsidR="00E4300B">
        <w:t xml:space="preserve"> §</w:t>
      </w:r>
      <w:r w:rsidRPr="00545DB0" w:rsidR="00981A72">
        <w:t xml:space="preserve"> 842(a)(1). </w:t>
      </w:r>
      <w:r w:rsidRPr="00545DB0" w:rsidR="00201782">
        <w:t xml:space="preserve">The statute </w:t>
      </w:r>
      <w:r w:rsidRPr="00545DB0" w:rsidR="00361F56">
        <w:t xml:space="preserve">also </w:t>
      </w:r>
      <w:r w:rsidRPr="00545DB0" w:rsidR="00201782">
        <w:t xml:space="preserve">requires all </w:t>
      </w:r>
      <w:r w:rsidRPr="00545DB0" w:rsidR="00201782">
        <w:t>persons</w:t>
      </w:r>
      <w:r w:rsidRPr="00545DB0" w:rsidR="00201782">
        <w:t xml:space="preserve"> who wish to obtain explosives, even for limited use, to obtain a federal explosives license or a permit </w:t>
      </w:r>
      <w:r w:rsidRPr="00545DB0" w:rsidR="008178D9">
        <w:t xml:space="preserve">(to use explosives, rather than engage in the business). </w:t>
      </w:r>
      <w:r w:rsidRPr="00545DB0" w:rsidR="00507DC1">
        <w:t>This also includes</w:t>
      </w:r>
      <w:r w:rsidRPr="00545DB0" w:rsidR="00981A72">
        <w:t xml:space="preserve"> all </w:t>
      </w:r>
      <w:r w:rsidRPr="00545DB0" w:rsidR="00981A72">
        <w:t>persons</w:t>
      </w:r>
      <w:r w:rsidRPr="00545DB0" w:rsidR="00981A72">
        <w:t xml:space="preserve"> who wish to ship, transport, receive</w:t>
      </w:r>
      <w:r w:rsidRPr="00545DB0" w:rsidR="00507DC1">
        <w:t>,</w:t>
      </w:r>
      <w:r w:rsidRPr="00545DB0" w:rsidR="00981A72">
        <w:t xml:space="preserve"> or possess explosive materials. </w:t>
      </w:r>
      <w:r w:rsidRPr="00545DB0" w:rsidR="00507DC1">
        <w:t>18 U.S.C. § 843.</w:t>
      </w:r>
    </w:p>
    <w:p w:rsidR="009D0A13" w:rsidRPr="00545DB0" w:rsidP="004626BE" w14:paraId="172466D7" w14:textId="77777777"/>
    <w:p w:rsidR="008C072F" w:rsidRPr="00545DB0" w:rsidP="00736445" w14:paraId="20BCC32E" w14:textId="09A00291">
      <w:pPr>
        <w:tabs>
          <w:tab w:val="left" w:pos="1152"/>
        </w:tabs>
      </w:pPr>
      <w:r>
        <w:t>R</w:t>
      </w:r>
      <w:r w:rsidRPr="00545DB0" w:rsidR="00433B3B">
        <w:t>egulations implementing the statute at</w:t>
      </w:r>
      <w:r w:rsidRPr="00545DB0" w:rsidR="00981A72">
        <w:t xml:space="preserve"> </w:t>
      </w:r>
      <w:r w:rsidRPr="007775D4" w:rsidR="00981A72">
        <w:t xml:space="preserve">27 </w:t>
      </w:r>
      <w:r w:rsidRPr="00545DB0" w:rsidR="00981A72">
        <w:t xml:space="preserve">CFR </w:t>
      </w:r>
      <w:r w:rsidRPr="00545DB0" w:rsidR="00E4300B">
        <w:t>§§</w:t>
      </w:r>
      <w:r w:rsidRPr="00545DB0" w:rsidR="00981A72">
        <w:t xml:space="preserve"> 555.41 and 555.45 state that </w:t>
      </w:r>
      <w:r w:rsidRPr="00545DB0" w:rsidR="00E4300B">
        <w:t>“</w:t>
      </w:r>
      <w:r w:rsidRPr="00545DB0" w:rsidR="00981A72">
        <w:t xml:space="preserve">a license will, subject to law, entitle the licensee to transport, ship, and receive explosive materials in interstate or foreign commerce, and to engage in the business specified by the license, at the location described on the license. A separate license must be obtained for each business premises at which the applicant is to manufacture, import, or distribute explosive </w:t>
      </w:r>
      <w:r w:rsidRPr="00545DB0" w:rsidR="00981A72">
        <w:t>materials.</w:t>
      </w:r>
      <w:r w:rsidRPr="00545DB0" w:rsidR="00E4300B">
        <w:t>”</w:t>
      </w:r>
      <w:r w:rsidRPr="00545DB0" w:rsidR="00433B3B">
        <w:t xml:space="preserve"> A user permit </w:t>
      </w:r>
      <w:r w:rsidRPr="00545DB0" w:rsidR="0074274C">
        <w:t>allows a person to obtain, for their personal use, explosives, including from out</w:t>
      </w:r>
      <w:r w:rsidRPr="00545DB0" w:rsidR="00933A3D">
        <w:t>side</w:t>
      </w:r>
      <w:r w:rsidRPr="00545DB0" w:rsidR="0074274C">
        <w:t xml:space="preserve"> the state in which they reside. </w:t>
      </w:r>
      <w:r w:rsidRPr="00545DB0" w:rsidR="00464D29">
        <w:t xml:space="preserve">§ 555.41(iii). </w:t>
      </w:r>
      <w:r w:rsidRPr="00545DB0" w:rsidR="0074274C">
        <w:t xml:space="preserve">A limited permit </w:t>
      </w:r>
      <w:r w:rsidRPr="00545DB0" w:rsidR="00933A3D">
        <w:t>allows a person to obtain explosives six times</w:t>
      </w:r>
      <w:r w:rsidRPr="00545DB0" w:rsidR="00226A05">
        <w:t xml:space="preserve"> </w:t>
      </w:r>
      <w:r w:rsidRPr="00545DB0" w:rsidR="00417524">
        <w:t xml:space="preserve">during a 12-month period </w:t>
      </w:r>
      <w:r w:rsidRPr="00545DB0" w:rsidR="00226A05">
        <w:t>from within the state in which they reside, for their personal use.</w:t>
      </w:r>
      <w:r w:rsidRPr="00545DB0" w:rsidR="00206514">
        <w:t xml:space="preserve"> § 555.41(b)(ii).</w:t>
      </w:r>
    </w:p>
    <w:p w:rsidR="00D90B6A" w:rsidRPr="00545DB0" w:rsidP="00736445" w14:paraId="13883A4B" w14:textId="77777777">
      <w:pPr>
        <w:tabs>
          <w:tab w:val="left" w:pos="1152"/>
        </w:tabs>
      </w:pPr>
    </w:p>
    <w:p w:rsidR="00D90B6A" w:rsidRPr="00545DB0" w:rsidP="00D90B6A" w14:paraId="5B1CEBB8" w14:textId="15851B36">
      <w:r w:rsidRPr="00545DB0">
        <w:t xml:space="preserve">ATF </w:t>
      </w:r>
      <w:r w:rsidRPr="00545DB0" w:rsidR="00D05A1F">
        <w:t>has prescribed</w:t>
      </w:r>
      <w:r w:rsidRPr="00545DB0">
        <w:t xml:space="preserve"> ATF Form 5400.13,</w:t>
      </w:r>
      <w:r w:rsidRPr="00545DB0">
        <w:t xml:space="preserve"> Application for Explosives License</w:t>
      </w:r>
      <w:r w:rsidRPr="00545DB0">
        <w:t>/</w:t>
      </w:r>
      <w:r w:rsidRPr="00545DB0">
        <w:t>Permit</w:t>
      </w:r>
      <w:r w:rsidRPr="00545DB0" w:rsidR="00D05A1F">
        <w:t xml:space="preserve">, as </w:t>
      </w:r>
      <w:r w:rsidRPr="00545DB0" w:rsidR="00D05A1F">
        <w:t>the means by which</w:t>
      </w:r>
      <w:r w:rsidRPr="00545DB0" w:rsidR="00D05A1F">
        <w:t xml:space="preserve"> persons may apply for a federal explosives license</w:t>
      </w:r>
      <w:r w:rsidRPr="00545DB0" w:rsidR="0012636F">
        <w:t xml:space="preserve"> or </w:t>
      </w:r>
      <w:r w:rsidRPr="00545DB0" w:rsidR="00D05A1F">
        <w:t>permit (FEL/P)</w:t>
      </w:r>
      <w:r w:rsidRPr="00545DB0">
        <w:t>.</w:t>
      </w:r>
    </w:p>
    <w:p w:rsidR="00D2550B" w:rsidRPr="00545DB0" w:rsidP="00736445" w14:paraId="375B43CC" w14:textId="77777777">
      <w:pPr>
        <w:tabs>
          <w:tab w:val="left" w:pos="1152"/>
        </w:tabs>
      </w:pPr>
    </w:p>
    <w:p w:rsidR="00FF72B7" w:rsidRPr="00545DB0" w:rsidP="00FF72B7" w14:paraId="27F7F888" w14:textId="77777777">
      <w:pPr>
        <w:autoSpaceDE w:val="0"/>
        <w:autoSpaceDN w:val="0"/>
        <w:adjustRightInd w:val="0"/>
        <w:rPr>
          <w:b/>
          <w:bCs/>
        </w:rPr>
      </w:pPr>
      <w:r w:rsidRPr="00545DB0">
        <w:rPr>
          <w:b/>
          <w:bCs/>
        </w:rPr>
        <w:t>2. Indicate how, by whom, and for what purpose the information will be used.</w:t>
      </w:r>
    </w:p>
    <w:p w:rsidR="008C072F" w:rsidRPr="00545DB0" w:rsidP="00736445" w14:paraId="6AB14AC8" w14:textId="33060BCB">
      <w:pPr>
        <w:autoSpaceDE w:val="0"/>
        <w:autoSpaceDN w:val="0"/>
        <w:adjustRightInd w:val="0"/>
        <w:rPr>
          <w:b/>
          <w:bCs/>
        </w:rPr>
      </w:pPr>
    </w:p>
    <w:p w:rsidR="006B665C" w:rsidRPr="00545DB0" w:rsidP="00736445" w14:paraId="436AC189" w14:textId="0E0C368B">
      <w:pPr>
        <w:autoSpaceDE w:val="0"/>
        <w:autoSpaceDN w:val="0"/>
        <w:adjustRightInd w:val="0"/>
      </w:pPr>
      <w:r w:rsidRPr="00545DB0">
        <w:t xml:space="preserve">Each person (individual, partnership, corporation, or association) applying for </w:t>
      </w:r>
      <w:r w:rsidRPr="00545DB0" w:rsidR="00047E6F">
        <w:t>a</w:t>
      </w:r>
      <w:r w:rsidRPr="00545DB0">
        <w:t xml:space="preserve"> </w:t>
      </w:r>
      <w:r w:rsidRPr="00545DB0" w:rsidR="008C072F">
        <w:t xml:space="preserve">FEL/P </w:t>
      </w:r>
      <w:r w:rsidRPr="00545DB0">
        <w:t xml:space="preserve">must submit </w:t>
      </w:r>
      <w:r w:rsidRPr="00545DB0" w:rsidR="008C072F">
        <w:t>ATF Form 5400.13</w:t>
      </w:r>
      <w:r w:rsidRPr="00545DB0" w:rsidR="003A3EB3">
        <w:t>.</w:t>
      </w:r>
      <w:r w:rsidRPr="00545DB0">
        <w:t xml:space="preserve"> </w:t>
      </w:r>
      <w:r w:rsidRPr="00545DB0" w:rsidR="0012636F">
        <w:t xml:space="preserve">ATF uses the information </w:t>
      </w:r>
      <w:r w:rsidRPr="00545DB0">
        <w:t>on the application to determine</w:t>
      </w:r>
      <w:r w:rsidRPr="00545DB0" w:rsidR="00167664">
        <w:t xml:space="preserve"> if the applicant is qualified </w:t>
      </w:r>
      <w:r w:rsidRPr="00545DB0">
        <w:t>to be a</w:t>
      </w:r>
      <w:r w:rsidRPr="00545DB0" w:rsidR="002928F1">
        <w:t>n</w:t>
      </w:r>
      <w:r w:rsidRPr="00545DB0">
        <w:t xml:space="preserve"> </w:t>
      </w:r>
      <w:r w:rsidRPr="00545DB0" w:rsidR="00C34BBF">
        <w:t>explosives</w:t>
      </w:r>
      <w:r w:rsidRPr="00545DB0" w:rsidR="008C072F">
        <w:t xml:space="preserve"> </w:t>
      </w:r>
      <w:r w:rsidRPr="00545DB0">
        <w:t>licensee</w:t>
      </w:r>
      <w:r w:rsidRPr="00545DB0" w:rsidR="0012636F">
        <w:t>/</w:t>
      </w:r>
      <w:r w:rsidRPr="00545DB0">
        <w:t xml:space="preserve">permittee under the </w:t>
      </w:r>
      <w:r w:rsidRPr="00545DB0" w:rsidR="00713B10">
        <w:t>statute.</w:t>
      </w:r>
      <w:r w:rsidRPr="00545DB0" w:rsidR="002602A0">
        <w:t xml:space="preserve"> Part of the process of determining whether a person qualifies to be a licensee/permittee includes a background check </w:t>
      </w:r>
      <w:r w:rsidRPr="00545DB0" w:rsidR="007356A7">
        <w:t>to ascertain whether the person is prohibited from possessing or otherwise using explosive materials.</w:t>
      </w:r>
    </w:p>
    <w:p w:rsidR="0058522F" w:rsidRPr="00545DB0" w:rsidP="0058522F" w14:paraId="3FDF8DF1" w14:textId="77777777">
      <w:pPr>
        <w:autoSpaceDE w:val="0"/>
        <w:autoSpaceDN w:val="0"/>
        <w:adjustRightInd w:val="0"/>
      </w:pPr>
    </w:p>
    <w:p w:rsidR="009E62E0" w:rsidRPr="00545DB0" w:rsidP="009E62E0" w14:paraId="547B4FE4" w14:textId="65BECA83">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545DB0">
        <w:rPr>
          <w:b/>
          <w:bCs/>
        </w:rPr>
        <w:t xml:space="preserve">3. </w:t>
      </w:r>
      <w:bookmarkStart w:id="1" w:name="_Hlk188869116"/>
      <w:r w:rsidRPr="00545DB0">
        <w:rPr>
          <w:b/>
          <w:bCs/>
        </w:rPr>
        <w:t xml:space="preserve">Describe whether, and to what extent, the information collection involves using automated, electronic, mechanical, or other technological collection techniques or other forms of information technology, </w:t>
      </w:r>
      <w:r w:rsidRPr="00545DB0">
        <w:rPr>
          <w:b/>
          <w:bCs/>
          <w:i/>
          <w:iCs/>
        </w:rPr>
        <w:t>e.g.</w:t>
      </w:r>
      <w:r w:rsidRPr="00545DB0">
        <w:rPr>
          <w:b/>
          <w:bCs/>
        </w:rPr>
        <w:t>, permitting electronic</w:t>
      </w:r>
      <w:r w:rsidRPr="00545DB0" w:rsidR="00CC1B53">
        <w:rPr>
          <w:b/>
          <w:bCs/>
        </w:rPr>
        <w:t>ally</w:t>
      </w:r>
      <w:r w:rsidRPr="00545DB0">
        <w:rPr>
          <w:b/>
          <w:bCs/>
        </w:rPr>
        <w:t xml:space="preserve"> submi</w:t>
      </w:r>
      <w:r w:rsidRPr="00545DB0" w:rsidR="00CC1B53">
        <w:rPr>
          <w:b/>
          <w:bCs/>
        </w:rPr>
        <w:t>tting</w:t>
      </w:r>
      <w:r w:rsidRPr="00545DB0">
        <w:rPr>
          <w:b/>
          <w:bCs/>
        </w:rPr>
        <w:t xml:space="preserve"> responses, and the basis for the decision to adopt this means of collecting.</w:t>
      </w:r>
      <w:bookmarkEnd w:id="1"/>
    </w:p>
    <w:p w:rsidR="009E62E0" w:rsidRPr="00545DB0" w:rsidP="009E62E0" w14:paraId="241D9606" w14:textId="77777777"/>
    <w:p w:rsidR="00167664" w:rsidRPr="00545DB0" w:rsidP="009E62E0" w14:paraId="05C27801" w14:textId="713E6CAE">
      <w:r w:rsidRPr="00545DB0">
        <w:t>ATF Form 5400.13</w:t>
      </w:r>
      <w:r w:rsidRPr="00545DB0" w:rsidR="007030D6">
        <w:t xml:space="preserve"> </w:t>
      </w:r>
      <w:r w:rsidRPr="00545DB0">
        <w:t xml:space="preserve">is </w:t>
      </w:r>
      <w:r w:rsidRPr="00545DB0" w:rsidR="007030D6">
        <w:t xml:space="preserve">digitally fillable and signable, is </w:t>
      </w:r>
      <w:r w:rsidRPr="00545DB0">
        <w:t xml:space="preserve">available </w:t>
      </w:r>
      <w:r w:rsidRPr="00545DB0" w:rsidR="007030D6">
        <w:t>to download from ATF’s website, and</w:t>
      </w:r>
      <w:r w:rsidRPr="00545DB0">
        <w:t xml:space="preserve"> the respondent can </w:t>
      </w:r>
      <w:r w:rsidRPr="00545DB0" w:rsidR="007030D6">
        <w:t>submit the form to ATF by email</w:t>
      </w:r>
      <w:r w:rsidRPr="00545DB0">
        <w:t xml:space="preserve">. </w:t>
      </w:r>
      <w:r w:rsidRPr="00545DB0" w:rsidR="004C0CA9">
        <w:t>Using</w:t>
      </w:r>
      <w:r w:rsidRPr="00545DB0" w:rsidR="00626A82">
        <w:t xml:space="preserve"> electronic/digital signature</w:t>
      </w:r>
      <w:r w:rsidRPr="00545DB0" w:rsidR="004C0CA9">
        <w:t>s</w:t>
      </w:r>
      <w:r w:rsidRPr="00545DB0" w:rsidR="00626A82">
        <w:t xml:space="preserve"> and </w:t>
      </w:r>
      <w:r w:rsidRPr="00545DB0" w:rsidR="0068240C">
        <w:t>submitting by email</w:t>
      </w:r>
      <w:r w:rsidRPr="00545DB0" w:rsidR="00626A82">
        <w:t xml:space="preserve"> eliminates the need for mail-in notification. </w:t>
      </w:r>
      <w:r w:rsidRPr="00545DB0" w:rsidR="00A821C9">
        <w:t xml:space="preserve">ATF also now accepts the license/permit fee online via </w:t>
      </w:r>
      <w:r w:rsidRPr="00545DB0" w:rsidR="00A821C9">
        <w:rPr>
          <w:i/>
          <w:iCs/>
        </w:rPr>
        <w:t>pay.gov</w:t>
      </w:r>
      <w:r w:rsidRPr="00545DB0" w:rsidR="00A821C9">
        <w:t>, and</w:t>
      </w:r>
      <w:r w:rsidRPr="00545DB0" w:rsidR="00A821C9">
        <w:t xml:space="preserve"> has made minor revisions to the form to reflect this payment process. </w:t>
      </w:r>
      <w:r w:rsidRPr="00545DB0">
        <w:t xml:space="preserve">The form must have the </w:t>
      </w:r>
      <w:r w:rsidRPr="00545DB0" w:rsidR="00626A82">
        <w:t>applicant</w:t>
      </w:r>
      <w:r w:rsidRPr="00545DB0">
        <w:t xml:space="preserve">’s signature and must be </w:t>
      </w:r>
      <w:r w:rsidRPr="00545DB0" w:rsidR="0042513C">
        <w:t xml:space="preserve">accompanied by </w:t>
      </w:r>
      <w:r w:rsidRPr="00545DB0" w:rsidR="00CE7B19">
        <w:t xml:space="preserve">a </w:t>
      </w:r>
      <w:r w:rsidRPr="00545DB0" w:rsidR="00CE7B19">
        <w:rPr>
          <w:i/>
          <w:iCs/>
        </w:rPr>
        <w:t>pay.gov</w:t>
      </w:r>
      <w:r w:rsidRPr="00545DB0" w:rsidR="00CE7B19">
        <w:t xml:space="preserve"> receipt</w:t>
      </w:r>
      <w:r w:rsidRPr="00545DB0" w:rsidR="00065B01">
        <w:t xml:space="preserve"> for processing</w:t>
      </w:r>
      <w:r w:rsidRPr="00545DB0" w:rsidR="00CE7B19">
        <w:t>, so that ATF may ensure it correlates the payment with the correct application</w:t>
      </w:r>
      <w:r w:rsidRPr="00545DB0">
        <w:t>.</w:t>
      </w:r>
    </w:p>
    <w:p w:rsidR="00BD461B" w:rsidRPr="00545DB0" w:rsidP="009E62E0" w14:paraId="2A724C4A" w14:textId="77777777"/>
    <w:p w:rsidR="00D817AA" w:rsidRPr="00545DB0" w:rsidP="00D817AA" w14:paraId="709E8F6F" w14:textId="35AC2B80">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545DB0">
        <w:rPr>
          <w:b/>
          <w:bCs/>
        </w:rPr>
        <w:t>4. Describe efforts to identify duplication.</w:t>
      </w:r>
    </w:p>
    <w:p w:rsidR="00D817AA" w:rsidRPr="00545DB0" w:rsidP="00D817AA" w14:paraId="29D0CBC1"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0E6740" w:rsidRPr="00545DB0" w:rsidP="0B3D9197" w14:paraId="4101A8DB" w14:textId="5D1BFE3F">
      <w:r w:rsidRPr="00545DB0">
        <w:t xml:space="preserve">This </w:t>
      </w:r>
      <w:r w:rsidRPr="00545DB0" w:rsidR="00C733D2">
        <w:t xml:space="preserve">information is not duplicative </w:t>
      </w:r>
      <w:r w:rsidRPr="00545DB0" w:rsidR="00BD3C99">
        <w:t xml:space="preserve">and requires </w:t>
      </w:r>
      <w:r w:rsidRPr="00545DB0" w:rsidR="00A15685">
        <w:t xml:space="preserve">identifying </w:t>
      </w:r>
      <w:r w:rsidRPr="00545DB0" w:rsidR="00A15685">
        <w:t>information</w:t>
      </w:r>
      <w:r w:rsidRPr="00545DB0" w:rsidR="00A15685">
        <w:t xml:space="preserve"> so ATF knows who is applying, and information necessary to complete </w:t>
      </w:r>
      <w:r w:rsidRPr="00545DB0" w:rsidR="00F502AB">
        <w:t>a background check and determine the applicant’s eligibility to obtain a license/permit</w:t>
      </w:r>
      <w:r w:rsidRPr="00545DB0" w:rsidR="00A23F92">
        <w:t xml:space="preserve"> at the time they apply</w:t>
      </w:r>
      <w:r w:rsidRPr="00545DB0" w:rsidR="00F502AB">
        <w:t xml:space="preserve">. </w:t>
      </w:r>
      <w:r w:rsidRPr="00545DB0" w:rsidR="00A23F92">
        <w:t xml:space="preserve">This information is not available from another source. </w:t>
      </w:r>
      <w:r w:rsidRPr="00545DB0" w:rsidR="00981A72">
        <w:t xml:space="preserve">ATF uses a uniform subject classification system </w:t>
      </w:r>
      <w:r w:rsidRPr="00545DB0" w:rsidR="006123B7">
        <w:t xml:space="preserve">for forms </w:t>
      </w:r>
      <w:r w:rsidRPr="00545DB0" w:rsidR="00981A72">
        <w:t xml:space="preserve">to identify duplication and to ensure that any similar information already available cannot be used or modified </w:t>
      </w:r>
      <w:r w:rsidRPr="00545DB0" w:rsidR="00FC5B29">
        <w:t xml:space="preserve">to use </w:t>
      </w:r>
      <w:r w:rsidRPr="00545DB0" w:rsidR="00230D1C">
        <w:t>in</w:t>
      </w:r>
      <w:r w:rsidRPr="00545DB0" w:rsidR="00981A72">
        <w:t xml:space="preserve"> th</w:t>
      </w:r>
      <w:r w:rsidRPr="00545DB0" w:rsidR="00030174">
        <w:t>is</w:t>
      </w:r>
      <w:r w:rsidRPr="00545DB0" w:rsidR="003E4050">
        <w:t xml:space="preserve"> </w:t>
      </w:r>
      <w:r w:rsidRPr="00545DB0" w:rsidR="00230D1C">
        <w:t xml:space="preserve">information </w:t>
      </w:r>
      <w:r w:rsidRPr="00545DB0" w:rsidR="00030174">
        <w:t>collection</w:t>
      </w:r>
      <w:r w:rsidRPr="00545DB0" w:rsidR="003E4050">
        <w:t>.</w:t>
      </w:r>
    </w:p>
    <w:p w:rsidR="00B11D23" w:rsidRPr="00545DB0" w:rsidP="00B11D23" w14:paraId="5D4BDAFA" w14:textId="77777777"/>
    <w:p w:rsidR="007E2513" w:rsidRPr="00545DB0" w:rsidP="007E2513" w14:paraId="1D3E42B9"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545DB0">
        <w:rPr>
          <w:b/>
          <w:bCs/>
        </w:rPr>
        <w:t>5.</w:t>
      </w:r>
      <w:r w:rsidRPr="00545DB0">
        <w:t xml:space="preserve"> </w:t>
      </w:r>
      <w:r w:rsidRPr="00545DB0">
        <w:rPr>
          <w:b/>
          <w:bCs/>
        </w:rPr>
        <w:t>If the information collection impacts small businesses or other small entities, describe any methods used to minimize burden.</w:t>
      </w:r>
    </w:p>
    <w:p w:rsidR="007E2513" w:rsidRPr="00545DB0" w:rsidP="007E2513" w14:paraId="78926DB9"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0E6740" w:rsidRPr="00545DB0" w:rsidP="007E2513" w14:paraId="5E41B807" w14:textId="419B3204">
      <w:r w:rsidRPr="00545DB0">
        <w:t xml:space="preserve">This </w:t>
      </w:r>
      <w:r w:rsidRPr="00545DB0" w:rsidR="00ED797F">
        <w:t>information collection</w:t>
      </w:r>
      <w:r w:rsidRPr="00545DB0">
        <w:t xml:space="preserve"> </w:t>
      </w:r>
      <w:r w:rsidRPr="00545DB0" w:rsidR="00342C24">
        <w:t xml:space="preserve">does </w:t>
      </w:r>
      <w:r w:rsidRPr="00545DB0">
        <w:t>no</w:t>
      </w:r>
      <w:r w:rsidRPr="00545DB0" w:rsidR="00342C24">
        <w:t>t have a</w:t>
      </w:r>
      <w:r w:rsidRPr="00545DB0">
        <w:t xml:space="preserve"> significant impact on small </w:t>
      </w:r>
      <w:r w:rsidRPr="00545DB0" w:rsidR="00342C24">
        <w:t>entities</w:t>
      </w:r>
      <w:r w:rsidRPr="00545DB0">
        <w:t xml:space="preserve">. </w:t>
      </w:r>
    </w:p>
    <w:p w:rsidR="00D36041" w:rsidRPr="00545DB0" w:rsidP="007E2513" w14:paraId="3EF937EB" w14:textId="77777777"/>
    <w:p w:rsidR="001E35D2" w:rsidRPr="00545DB0" w:rsidP="001E35D2" w14:paraId="3C0FD407" w14:textId="51C72A4F">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545DB0">
        <w:rPr>
          <w:b/>
          <w:bCs/>
        </w:rPr>
        <w:t xml:space="preserve">6. Describe the consequences </w:t>
      </w:r>
      <w:r w:rsidRPr="00545DB0">
        <w:rPr>
          <w:b/>
          <w:bCs/>
        </w:rPr>
        <w:t>to</w:t>
      </w:r>
      <w:r w:rsidRPr="00545DB0">
        <w:rPr>
          <w:b/>
          <w:bCs/>
        </w:rPr>
        <w:t xml:space="preserve"> federal programs or policy activities if the </w:t>
      </w:r>
      <w:r w:rsidRPr="00545DB0" w:rsidR="003347AF">
        <w:rPr>
          <w:b/>
          <w:bCs/>
        </w:rPr>
        <w:t>information</w:t>
      </w:r>
      <w:r w:rsidRPr="00545DB0">
        <w:rPr>
          <w:b/>
          <w:bCs/>
        </w:rPr>
        <w:t xml:space="preserve"> is not co</w:t>
      </w:r>
      <w:r w:rsidRPr="00545DB0" w:rsidR="00ED797F">
        <w:rPr>
          <w:b/>
          <w:bCs/>
        </w:rPr>
        <w:t>llected</w:t>
      </w:r>
      <w:r w:rsidRPr="00545DB0">
        <w:rPr>
          <w:b/>
          <w:bCs/>
        </w:rPr>
        <w:t xml:space="preserve"> or is c</w:t>
      </w:r>
      <w:r w:rsidRPr="00545DB0" w:rsidR="00ED797F">
        <w:rPr>
          <w:b/>
          <w:bCs/>
        </w:rPr>
        <w:t>ollected</w:t>
      </w:r>
      <w:r w:rsidRPr="00545DB0">
        <w:rPr>
          <w:b/>
          <w:bCs/>
        </w:rPr>
        <w:t xml:space="preserve"> less frequently, as well as any technical or legal obstacles to reducing burden.</w:t>
      </w:r>
    </w:p>
    <w:p w:rsidR="00F7556C" w:rsidRPr="00545DB0" w:rsidP="001E35D2" w14:paraId="45B43696" w14:textId="77777777">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0E6740" w:rsidRPr="00545DB0" w:rsidP="003553FC" w14:paraId="4D5BCBAC" w14:textId="6DCFBC0D">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545DB0">
        <w:t xml:space="preserve">ATF’s jurisdiction over explosives extends to requiring licenses or permits to engage in the business of importing, manufacturing, distributing, and/or receiving explosives material. </w:t>
      </w:r>
      <w:r w:rsidRPr="00545DB0" w:rsidR="00680C02">
        <w:t xml:space="preserve">Having a licensing </w:t>
      </w:r>
      <w:r w:rsidRPr="00545DB0" w:rsidR="00AE75F3">
        <w:t>mechanism</w:t>
      </w:r>
      <w:r w:rsidRPr="00545DB0" w:rsidR="00680C02">
        <w:t xml:space="preserve"> helps to ensure </w:t>
      </w:r>
      <w:r w:rsidRPr="00545DB0" w:rsidR="00484C23">
        <w:t xml:space="preserve">that explosives are not used or obtained </w:t>
      </w:r>
      <w:r w:rsidRPr="00545DB0" w:rsidR="007C3B6A">
        <w:t xml:space="preserve">by prohibited persons </w:t>
      </w:r>
      <w:r w:rsidRPr="00545DB0" w:rsidR="00AF53DA">
        <w:t xml:space="preserve">for criminal activity </w:t>
      </w:r>
      <w:r w:rsidRPr="00545DB0" w:rsidR="007C3B6A">
        <w:t xml:space="preserve">or </w:t>
      </w:r>
      <w:r w:rsidRPr="00545DB0" w:rsidR="00AF53DA">
        <w:t xml:space="preserve">other </w:t>
      </w:r>
      <w:r w:rsidRPr="00545DB0" w:rsidR="00484C23">
        <w:t>illegal purposes</w:t>
      </w:r>
      <w:r w:rsidRPr="00545DB0" w:rsidR="00724E1E">
        <w:t xml:space="preserve">. </w:t>
      </w:r>
      <w:r w:rsidRPr="00545DB0" w:rsidR="00F775B9">
        <w:t>Due to the potential misuse of explosives</w:t>
      </w:r>
      <w:r w:rsidRPr="00545DB0" w:rsidR="006D5469">
        <w:t xml:space="preserve"> </w:t>
      </w:r>
      <w:r w:rsidRPr="00545DB0" w:rsidR="00723528">
        <w:t>that can be detrimental to public safety</w:t>
      </w:r>
      <w:r w:rsidRPr="00545DB0" w:rsidR="006D5469">
        <w:t>, licensing also helps ensure that only qualified individuals</w:t>
      </w:r>
      <w:r w:rsidRPr="00545DB0" w:rsidR="00B70F59">
        <w:t xml:space="preserve"> handle </w:t>
      </w:r>
      <w:r w:rsidRPr="00545DB0" w:rsidR="00AF53DA">
        <w:t>explosive materials</w:t>
      </w:r>
      <w:r w:rsidRPr="00545DB0" w:rsidR="00B70F59">
        <w:t xml:space="preserve">. </w:t>
      </w:r>
      <w:r w:rsidRPr="00545DB0" w:rsidR="00B96186">
        <w:t xml:space="preserve">Without this information collection, </w:t>
      </w:r>
      <w:r w:rsidRPr="00545DB0" w:rsidR="00AF53DA">
        <w:t>ATF would be unable to ensure</w:t>
      </w:r>
      <w:r w:rsidRPr="00545DB0" w:rsidR="00960AAD">
        <w:t xml:space="preserve"> that explosives are not used for acts of terrorism or </w:t>
      </w:r>
      <w:r w:rsidRPr="00545DB0" w:rsidR="0021676F">
        <w:t>used in an unsafe manner. Licensing also helps ensure that</w:t>
      </w:r>
      <w:r w:rsidRPr="00545DB0" w:rsidR="00AE75F3">
        <w:t xml:space="preserve"> explosives are stored properly, inventoried, and that record</w:t>
      </w:r>
      <w:r w:rsidRPr="00545DB0" w:rsidR="00B96186">
        <w:t>-</w:t>
      </w:r>
      <w:r w:rsidRPr="00545DB0" w:rsidR="00AE75F3">
        <w:t>keeping allows law enforcement to trace the materials if lost, stolen, or used in criminal activity.</w:t>
      </w:r>
      <w:r w:rsidRPr="00545DB0" w:rsidR="00B96186">
        <w:t xml:space="preserve"> Because ATF collects the information </w:t>
      </w:r>
      <w:r w:rsidRPr="00545DB0" w:rsidR="00390E7C">
        <w:t>one time per application</w:t>
      </w:r>
      <w:r w:rsidRPr="00545DB0" w:rsidR="003553FC">
        <w:t xml:space="preserve">, collecting the information less frequently would have the same </w:t>
      </w:r>
      <w:r w:rsidRPr="00545DB0" w:rsidR="003553FC">
        <w:t>impacts</w:t>
      </w:r>
      <w:r w:rsidRPr="00545DB0" w:rsidR="003553FC">
        <w:t xml:space="preserve"> as not collecting it at all.</w:t>
      </w:r>
    </w:p>
    <w:p w:rsidR="0095175C" w:rsidRPr="00545DB0" w:rsidP="00055DC2" w14:paraId="36AFC763" w14:textId="77777777"/>
    <w:p w:rsidR="00176B0F" w:rsidRPr="00545DB0" w:rsidP="00A53D14" w14:paraId="1E825DE8"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545DB0">
        <w:rPr>
          <w:b/>
          <w:bCs/>
        </w:rPr>
        <w:t>7. Explain any special circumstances that would cause the information collection to be conducted in a manner inconsistent with 5 CFR 1320.6.</w:t>
      </w:r>
    </w:p>
    <w:p w:rsidR="0095175C" w:rsidRPr="00545DB0" w:rsidP="00A53D14" w14:paraId="5C16EAF4"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3A7A74" w:rsidRPr="00545DB0" w:rsidP="002E0E17" w14:paraId="28C1DC9F" w14:textId="729023B5">
      <w:r w:rsidRPr="00545DB0">
        <w:t>There are no special circumstances associated with this information collection, which is conducted in a manner consistent with 5 CFR 1320.6.</w:t>
      </w:r>
    </w:p>
    <w:p w:rsidR="00F97610" w:rsidRPr="00545DB0" w:rsidP="002E0E17" w14:paraId="73C72408" w14:textId="77777777"/>
    <w:p w:rsidR="008C0EA8" w:rsidRPr="00545DB0" w:rsidP="00A53D14" w14:paraId="49207549"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545DB0">
        <w:rPr>
          <w:b/>
          <w:bCs/>
        </w:rPr>
        <w:t xml:space="preserve">8. </w:t>
      </w:r>
      <w:bookmarkStart w:id="2" w:name="_Hlk188869254"/>
      <w:r w:rsidRPr="00545DB0">
        <w:rPr>
          <w:b/>
          <w:bCs/>
        </w:rPr>
        <w:t xml:space="preserve">If applicable, provide a copy, and identify the date and page number, of the agency’s notice published in the </w:t>
      </w:r>
      <w:r w:rsidRPr="00545DB0">
        <w:rPr>
          <w:b/>
          <w:bCs/>
          <w:i/>
          <w:iCs/>
        </w:rPr>
        <w:t>Federal Register</w:t>
      </w:r>
      <w:r w:rsidRPr="00545DB0">
        <w:rPr>
          <w:b/>
          <w:bCs/>
        </w:rPr>
        <w:t xml:space="preserve">, as required by 5 CFR 1320.8(d), soliciting comments on the information collection prior to </w:t>
      </w:r>
      <w:r w:rsidRPr="00545DB0">
        <w:rPr>
          <w:b/>
          <w:bCs/>
        </w:rPr>
        <w:t>submitting</w:t>
      </w:r>
      <w:r w:rsidRPr="00545DB0">
        <w:rPr>
          <w:b/>
          <w:bCs/>
        </w:rPr>
        <w:t xml:space="preserve"> to OMB.</w:t>
      </w:r>
      <w:bookmarkEnd w:id="2"/>
    </w:p>
    <w:p w:rsidR="008C0EA8" w:rsidRPr="00545DB0" w:rsidP="00A53D14" w14:paraId="7F15D26D"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8E2041" w:rsidRPr="00545DB0" w:rsidP="008E2041" w14:paraId="7B819909" w14:textId="41EA1470">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pPr>
      <w:r w:rsidRPr="00545DB0">
        <w:t xml:space="preserve">The 60-day notice was published in the </w:t>
      </w:r>
      <w:r w:rsidRPr="00545DB0">
        <w:rPr>
          <w:i/>
          <w:iCs/>
        </w:rPr>
        <w:t>Federal Register</w:t>
      </w:r>
      <w:r w:rsidRPr="00545DB0">
        <w:t xml:space="preserve"> on </w:t>
      </w:r>
      <w:r w:rsidR="009A0201">
        <w:t>10/28/2026 (91 FR 67856)</w:t>
      </w:r>
      <w:r w:rsidRPr="00545DB0">
        <w:t xml:space="preserve">. The comment period ended on </w:t>
      </w:r>
      <w:r w:rsidR="009A0201">
        <w:t>12/28/2026</w:t>
      </w:r>
      <w:r w:rsidRPr="00545DB0">
        <w:t xml:space="preserve">. </w:t>
      </w:r>
      <w:r w:rsidRPr="009A0201">
        <w:rPr>
          <w:highlight w:val="yellow"/>
        </w:rPr>
        <w:t>ATF received no comments</w:t>
      </w:r>
      <w:r w:rsidRPr="00545DB0">
        <w:t xml:space="preserve">. ATF published the 30-day notice on </w:t>
      </w:r>
      <w:r w:rsidRPr="00545DB0">
        <w:rPr>
          <w:highlight w:val="yellow"/>
        </w:rPr>
        <w:t xml:space="preserve">[DATE] (xx FR </w:t>
      </w:r>
      <w:r w:rsidRPr="00545DB0">
        <w:rPr>
          <w:highlight w:val="yellow"/>
        </w:rPr>
        <w:t>xxxxx</w:t>
      </w:r>
      <w:r w:rsidRPr="00545DB0">
        <w:rPr>
          <w:highlight w:val="yellow"/>
        </w:rPr>
        <w:t>)</w:t>
      </w:r>
      <w:r w:rsidRPr="00545DB0">
        <w:t xml:space="preserve">, with an OMB comment period ending on </w:t>
      </w:r>
      <w:r w:rsidRPr="00545DB0">
        <w:rPr>
          <w:highlight w:val="yellow"/>
        </w:rPr>
        <w:t>[DATE].</w:t>
      </w:r>
    </w:p>
    <w:p w:rsidR="00D9278C" w:rsidRPr="00545DB0" w:rsidP="00D9278C" w14:paraId="0EC9ECA0" w14:textId="7B58D4F0">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D341D5" w:rsidRPr="00545DB0" w:rsidP="00D341D5" w14:paraId="47AE1C16"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545DB0">
        <w:rPr>
          <w:b/>
          <w:bCs/>
        </w:rPr>
        <w:t>9. Explain any decision to provide any payments or gifts to respondents, other than remuneration of contractors or grantees.</w:t>
      </w:r>
    </w:p>
    <w:p w:rsidR="007B091C" w:rsidRPr="00545DB0" w:rsidP="00344CAC" w14:paraId="3EF88942" w14:textId="77777777"/>
    <w:p w:rsidR="000E6740" w:rsidRPr="00545DB0" w:rsidP="00344CAC" w14:paraId="2DD35271" w14:textId="598E30F2">
      <w:r w:rsidRPr="00545DB0">
        <w:t xml:space="preserve">ATF does not provide </w:t>
      </w:r>
      <w:r w:rsidRPr="00545DB0" w:rsidR="00981A72">
        <w:t>payment</w:t>
      </w:r>
      <w:r w:rsidRPr="00545DB0">
        <w:t>s</w:t>
      </w:r>
      <w:r w:rsidRPr="00545DB0" w:rsidR="00981A72">
        <w:t xml:space="preserve"> or gift</w:t>
      </w:r>
      <w:r w:rsidRPr="00545DB0" w:rsidR="005C2480">
        <w:t>s</w:t>
      </w:r>
      <w:r w:rsidRPr="00545DB0" w:rsidR="00981A72">
        <w:t xml:space="preserve"> </w:t>
      </w:r>
      <w:r w:rsidRPr="00545DB0" w:rsidR="005C2480">
        <w:t>in connection</w:t>
      </w:r>
      <w:r w:rsidRPr="00545DB0" w:rsidR="00981A72">
        <w:t xml:space="preserve"> with this collection.</w:t>
      </w:r>
    </w:p>
    <w:p w:rsidR="00344CAC" w:rsidRPr="00545DB0" w:rsidP="00344CAC" w14:paraId="2D9DAE65" w14:textId="77777777"/>
    <w:p w:rsidR="005167A2" w:rsidRPr="00545DB0" w:rsidP="009B7456" w14:paraId="2443A51A"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545DB0">
        <w:rPr>
          <w:b/>
          <w:bCs/>
        </w:rPr>
        <w:t>10. Describe any assurance of confidentiality provided to respondents and the basis for the assurance in statute, regulation, or agency policy.</w:t>
      </w:r>
    </w:p>
    <w:p w:rsidR="00344CAC" w:rsidRPr="00545DB0" w:rsidP="007F4CC0" w14:paraId="22A1F87B"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633C72" w:rsidRPr="00545DB0" w:rsidP="007F4CC0" w14:paraId="4C6DE3D9" w14:textId="1B4D0432">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545DB0">
        <w:t xml:space="preserve">ATF has not assured respondents of confidentiality. However, the information </w:t>
      </w:r>
      <w:r w:rsidRPr="00545DB0" w:rsidR="004412BB">
        <w:t xml:space="preserve">ATF is collecting </w:t>
      </w:r>
      <w:r w:rsidRPr="00545DB0">
        <w:t xml:space="preserve">includes PII and is thus protected by the Privacy Act. </w:t>
      </w:r>
      <w:r w:rsidRPr="00545DB0" w:rsidR="004412BB">
        <w:t>ATF maintains the information</w:t>
      </w:r>
      <w:r w:rsidRPr="00545DB0">
        <w:t xml:space="preserve"> in a system of records, Justice/ATF-</w:t>
      </w:r>
      <w:r w:rsidRPr="00545DB0" w:rsidR="00BB3DD7">
        <w:t>008</w:t>
      </w:r>
      <w:r w:rsidRPr="00545DB0">
        <w:t xml:space="preserve">, </w:t>
      </w:r>
      <w:r w:rsidRPr="00545DB0" w:rsidR="001D688D">
        <w:t>Regulatory Enforcement Record System</w:t>
      </w:r>
      <w:r w:rsidRPr="00545DB0">
        <w:t xml:space="preserve">. The form </w:t>
      </w:r>
      <w:r w:rsidRPr="00545DB0" w:rsidR="004412BB">
        <w:t>accompanying</w:t>
      </w:r>
      <w:r w:rsidRPr="00545DB0">
        <w:t xml:space="preserve"> this ICR includes a Privacy Act statement that covers this information and informs respondents of the system of records, routine uses, etc.</w:t>
      </w:r>
    </w:p>
    <w:p w:rsidR="00503F63" w:rsidRPr="00545DB0" w:rsidP="009B7456" w14:paraId="059CE54E" w14:textId="5A9770E4">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503F63" w:rsidRPr="00545DB0" w:rsidP="00503F63" w14:paraId="31AAD233"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545DB0">
        <w:rPr>
          <w:b/>
          <w:bCs/>
        </w:rPr>
        <w:t>11. Provide additional justification for any questions of a sensitive nature, such as sexual behavior and attitudes, religious beliefs, and other matters that are commonly considered private.</w:t>
      </w:r>
    </w:p>
    <w:p w:rsidR="009404F6" w:rsidRPr="00545DB0" w:rsidP="00503F63" w14:paraId="313DC8C4"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0E6740" w:rsidRPr="00545DB0" w:rsidP="008F4D12" w14:paraId="6501F856" w14:textId="51F5F4C9">
      <w:r w:rsidRPr="00545DB0">
        <w:t>This information collection does not ask questions or require information of a sensitive nature.</w:t>
      </w:r>
    </w:p>
    <w:p w:rsidR="006637E8" w:rsidRPr="00545DB0" w:rsidP="008F4D12" w14:paraId="1A08B462" w14:textId="77777777"/>
    <w:p w:rsidR="008D0E0D" w:rsidRPr="00545DB0" w:rsidP="009404F6" w14:paraId="715B4FB4" w14:textId="0A935306">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545DB0">
        <w:rPr>
          <w:b/>
          <w:bCs/>
        </w:rPr>
        <w:t>12. Provide estimates of the information collection’s hour burden.</w:t>
      </w:r>
    </w:p>
    <w:p w:rsidR="00EC584F" w:rsidRPr="00545DB0" w:rsidP="007F4CC0" w14:paraId="50C1789B"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3A7A74" w:rsidRPr="00545DB0" w:rsidP="009404F6" w14:paraId="13B8EEA9" w14:textId="3F22D339">
      <w:r w:rsidRPr="00545DB0">
        <w:t>ATF estimates an</w:t>
      </w:r>
      <w:r w:rsidRPr="00545DB0" w:rsidR="004C04E1">
        <w:t xml:space="preserve"> </w:t>
      </w:r>
      <w:r w:rsidRPr="00545DB0" w:rsidR="00723E4E">
        <w:t xml:space="preserve">average of </w:t>
      </w:r>
      <w:r w:rsidRPr="00545DB0" w:rsidR="005F6B1A">
        <w:t xml:space="preserve">927 </w:t>
      </w:r>
      <w:r w:rsidRPr="00545DB0" w:rsidR="00C62A3B">
        <w:t xml:space="preserve">respondents apply for a new license in any given year. </w:t>
      </w:r>
      <w:r w:rsidRPr="00545DB0" w:rsidR="003F1A45">
        <w:t>Each respondent applies only one time</w:t>
      </w:r>
      <w:r w:rsidRPr="00545DB0" w:rsidR="000B5AFD">
        <w:t>, so the annual number of responses is also 927.</w:t>
      </w:r>
      <w:r w:rsidRPr="00545DB0" w:rsidR="000E6740">
        <w:t xml:space="preserve"> </w:t>
      </w:r>
      <w:r w:rsidRPr="00545DB0" w:rsidR="00981A72">
        <w:t>E</w:t>
      </w:r>
      <w:r w:rsidRPr="00545DB0" w:rsidR="000E6740">
        <w:t xml:space="preserve">ach respondent </w:t>
      </w:r>
      <w:r w:rsidRPr="00545DB0" w:rsidR="003F1A45">
        <w:t>takes</w:t>
      </w:r>
      <w:r w:rsidRPr="00545DB0" w:rsidR="008F4486">
        <w:t xml:space="preserve"> </w:t>
      </w:r>
      <w:r w:rsidRPr="00545DB0" w:rsidR="000E6740">
        <w:t>approximately 1</w:t>
      </w:r>
      <w:r w:rsidRPr="00545DB0" w:rsidR="008F4486">
        <w:t>.5 hours to complete</w:t>
      </w:r>
      <w:r w:rsidRPr="00545DB0" w:rsidR="000E6740">
        <w:t xml:space="preserve"> </w:t>
      </w:r>
      <w:r w:rsidRPr="00545DB0" w:rsidR="000B5AFD">
        <w:t>the application</w:t>
      </w:r>
      <w:r w:rsidRPr="00545DB0" w:rsidR="000E6740">
        <w:t xml:space="preserve">. </w:t>
      </w:r>
      <w:r w:rsidRPr="00545DB0" w:rsidR="00994FB8">
        <w:t>As a result, there</w:t>
      </w:r>
      <w:r w:rsidRPr="00545DB0" w:rsidR="00224DC1">
        <w:t xml:space="preserve"> are 1,390.5</w:t>
      </w:r>
      <w:r w:rsidRPr="00545DB0" w:rsidR="00B61FB8">
        <w:t xml:space="preserve"> </w:t>
      </w:r>
      <w:r w:rsidRPr="00545DB0" w:rsidR="00224DC1">
        <w:t xml:space="preserve">total </w:t>
      </w:r>
      <w:r w:rsidRPr="00545DB0" w:rsidR="000E6740">
        <w:t>burden hours associa</w:t>
      </w:r>
      <w:r w:rsidRPr="00545DB0" w:rsidR="00981A72">
        <w:t xml:space="preserve">ted with this request </w:t>
      </w:r>
      <w:r w:rsidRPr="00545DB0" w:rsidR="00430374">
        <w:t>(927 respondents * 1.5 hours)</w:t>
      </w:r>
      <w:r w:rsidRPr="00545DB0" w:rsidR="009D0A13">
        <w:t>.</w:t>
      </w:r>
    </w:p>
    <w:p w:rsidR="00EA3842" w:rsidRPr="00545DB0" w:rsidP="009404F6" w14:paraId="2E090A3E" w14:textId="77777777"/>
    <w:p w:rsidR="00EA3842" w:rsidRPr="00545DB0" w:rsidP="009404F6" w14:paraId="0F844CF6" w14:textId="31DCAC0D">
      <w:r w:rsidRPr="00545DB0">
        <w:t>ATF estimates that</w:t>
      </w:r>
      <w:r w:rsidRPr="00545DB0" w:rsidR="006718D6">
        <w:t xml:space="preserve"> an individual </w:t>
      </w:r>
      <w:r w:rsidRPr="00545DB0" w:rsidR="00FD018D">
        <w:t>completing this form would be paid the equivalent of</w:t>
      </w:r>
      <w:r w:rsidRPr="00545DB0" w:rsidR="005A3F8B">
        <w:t xml:space="preserve"> an </w:t>
      </w:r>
      <w:r w:rsidRPr="00545DB0" w:rsidR="005A3F8B">
        <w:t>explosives</w:t>
      </w:r>
      <w:r w:rsidRPr="00545DB0" w:rsidR="005A3F8B">
        <w:t xml:space="preserve"> worker.</w:t>
      </w:r>
      <w:r w:rsidRPr="00545DB0" w:rsidR="00224DC1">
        <w:t xml:space="preserve"> </w:t>
      </w:r>
      <w:r w:rsidRPr="00545DB0">
        <w:t>According to</w:t>
      </w:r>
      <w:r w:rsidRPr="00545DB0" w:rsidR="00224DC1">
        <w:t xml:space="preserve"> </w:t>
      </w:r>
      <w:r w:rsidRPr="00545DB0">
        <w:t>the U.S. Bureau of Labor Statistics (BLS),</w:t>
      </w:r>
      <w:r w:rsidRPr="00545DB0" w:rsidR="00224DC1">
        <w:t xml:space="preserve"> </w:t>
      </w:r>
      <w:r w:rsidRPr="00545DB0">
        <w:t>the wage for</w:t>
      </w:r>
      <w:r w:rsidRPr="00545DB0" w:rsidR="00224DC1">
        <w:t xml:space="preserve"> </w:t>
      </w:r>
      <w:r w:rsidRPr="00545DB0">
        <w:t>Explosives Workers, Ordinance Handling Experts, and Blasters</w:t>
      </w:r>
      <w:r w:rsidRPr="00545DB0" w:rsidR="00224DC1">
        <w:t xml:space="preserve"> </w:t>
      </w:r>
      <w:r w:rsidRPr="00545DB0">
        <w:t>(47-5032)</w:t>
      </w:r>
      <w:r>
        <w:rPr>
          <w:rStyle w:val="FootnoteReference"/>
        </w:rPr>
        <w:footnoteReference w:id="2"/>
      </w:r>
      <w:r w:rsidRPr="00545DB0" w:rsidR="00224DC1">
        <w:t xml:space="preserve"> </w:t>
      </w:r>
      <w:r w:rsidRPr="00545DB0">
        <w:t>is</w:t>
      </w:r>
      <w:r w:rsidRPr="00545DB0" w:rsidR="00224DC1">
        <w:t xml:space="preserve"> </w:t>
      </w:r>
      <w:r w:rsidRPr="00545DB0">
        <w:t>a nominal average of</w:t>
      </w:r>
      <w:r w:rsidRPr="00545DB0" w:rsidR="0088758A">
        <w:t xml:space="preserve"> </w:t>
      </w:r>
      <w:r w:rsidRPr="00545DB0">
        <w:t>$31.54.</w:t>
      </w:r>
      <w:r w:rsidRPr="00545DB0" w:rsidR="00270063">
        <w:t xml:space="preserve"> </w:t>
      </w:r>
      <w:r w:rsidRPr="00545DB0" w:rsidR="000643D6">
        <w:t>To account for fringe employment benefits such as insurance, ATF determined an average load rate based on BLS’s calculated national hourly compensation (salaries/wages plus paid benefits) for all private-sector occupations (an average of $44.20 for 2024)</w:t>
      </w:r>
      <w:r>
        <w:rPr>
          <w:rStyle w:val="FootnoteReference"/>
        </w:rPr>
        <w:footnoteReference w:id="3"/>
      </w:r>
      <w:r w:rsidRPr="00545DB0" w:rsidR="000643D6">
        <w:rPr>
          <w:vertAlign w:val="superscript"/>
        </w:rPr>
        <w:t xml:space="preserve"> </w:t>
      </w:r>
      <w:r w:rsidRPr="00545DB0" w:rsidR="000643D6">
        <w:t xml:space="preserve">divided by the </w:t>
      </w:r>
      <w:r w:rsidRPr="00545DB0" w:rsidR="000643D6">
        <w:t>national average hourly wages and salaries without benefits (an average of $31.10 for 2024),</w:t>
      </w:r>
      <w:r>
        <w:rPr>
          <w:rStyle w:val="FootnoteReference"/>
        </w:rPr>
        <w:footnoteReference w:id="4"/>
      </w:r>
      <w:r w:rsidRPr="00545DB0" w:rsidR="000643D6">
        <w:t xml:space="preserve"> making a load rate of 1.42.</w:t>
      </w:r>
      <w:r>
        <w:rPr>
          <w:rStyle w:val="FootnoteReference"/>
        </w:rPr>
        <w:footnoteReference w:id="5"/>
      </w:r>
      <w:r w:rsidRPr="00545DB0" w:rsidR="000643D6">
        <w:t xml:space="preserve"> </w:t>
      </w:r>
      <w:r w:rsidRPr="00545DB0">
        <w:t>This brings the $31.54 wage to a loaded wage rate of $44.7</w:t>
      </w:r>
      <w:r w:rsidRPr="00545DB0" w:rsidR="007D4843">
        <w:t>9</w:t>
      </w:r>
      <w:r w:rsidRPr="00545DB0">
        <w:t>.</w:t>
      </w:r>
      <w:r w:rsidRPr="00545DB0" w:rsidR="00D51F20">
        <w:t xml:space="preserve"> </w:t>
      </w:r>
      <w:r w:rsidRPr="00545DB0" w:rsidR="005A7979">
        <w:t xml:space="preserve">The total monetized </w:t>
      </w:r>
      <w:r w:rsidRPr="00545DB0" w:rsidR="00D51F20">
        <w:t>value of respondent time</w:t>
      </w:r>
      <w:r w:rsidRPr="00545DB0" w:rsidR="005A7979">
        <w:t xml:space="preserve"> </w:t>
      </w:r>
      <w:r w:rsidRPr="00545DB0" w:rsidR="00D51F20">
        <w:t>for</w:t>
      </w:r>
      <w:r w:rsidRPr="00545DB0" w:rsidR="005A7979">
        <w:t xml:space="preserve"> this ICR is $57,734,019 (</w:t>
      </w:r>
      <w:r w:rsidRPr="00545DB0" w:rsidR="00CC13AF">
        <w:t xml:space="preserve">$44.79 </w:t>
      </w:r>
      <w:r w:rsidRPr="00545DB0" w:rsidR="005A37BE">
        <w:t xml:space="preserve">* </w:t>
      </w:r>
      <w:r w:rsidRPr="00545DB0" w:rsidR="000C5579">
        <w:t>1,390.5 total hourly burden).</w:t>
      </w:r>
    </w:p>
    <w:p w:rsidR="00EA3842" w:rsidRPr="00545DB0" w:rsidP="009404F6" w14:paraId="630A814B" w14:textId="77777777"/>
    <w:p w:rsidR="00430AD0" w:rsidRPr="00545DB0" w:rsidP="00430AD0" w14:paraId="195B5A75" w14:textId="77777777">
      <w:pPr>
        <w:widowControl w:val="0"/>
        <w:autoSpaceDE w:val="0"/>
        <w:autoSpaceDN w:val="0"/>
        <w:adjustRightInd w:val="0"/>
        <w:jc w:val="center"/>
        <w:rPr>
          <w:i/>
          <w:iCs/>
        </w:rPr>
      </w:pPr>
      <w:r w:rsidRPr="00545DB0">
        <w:rPr>
          <w:b/>
          <w:bCs/>
        </w:rPr>
        <w:t>Table 1. Estimated annualized respondent cost and hour burden</w:t>
      </w:r>
    </w:p>
    <w:tbl>
      <w:tblPr>
        <w:tblStyle w:val="TableGrid1"/>
        <w:tblW w:w="9625" w:type="dxa"/>
        <w:tblLook w:val="04A0"/>
      </w:tblPr>
      <w:tblGrid>
        <w:gridCol w:w="1350"/>
        <w:gridCol w:w="1457"/>
        <w:gridCol w:w="1310"/>
        <w:gridCol w:w="1203"/>
        <w:gridCol w:w="1110"/>
        <w:gridCol w:w="963"/>
        <w:gridCol w:w="950"/>
        <w:gridCol w:w="1416"/>
      </w:tblGrid>
      <w:tr w14:paraId="3A166810" w14:textId="77777777" w:rsidTr="00430AD0">
        <w:tblPrEx>
          <w:tblW w:w="9625" w:type="dxa"/>
          <w:tblLook w:val="04A0"/>
        </w:tblPrEx>
        <w:tc>
          <w:tcPr>
            <w:tcW w:w="1439" w:type="dxa"/>
            <w:shd w:val="clear" w:color="auto" w:fill="9CC2E5"/>
            <w:vAlign w:val="center"/>
          </w:tcPr>
          <w:p w:rsidR="00430AD0" w:rsidRPr="00545DB0" w:rsidP="00430AD0" w14:paraId="60AA0A27" w14:textId="77777777">
            <w:pPr>
              <w:widowControl w:val="0"/>
              <w:autoSpaceDE w:val="0"/>
              <w:autoSpaceDN w:val="0"/>
              <w:adjustRightInd w:val="0"/>
              <w:jc w:val="center"/>
              <w:rPr>
                <w:rFonts w:eastAsia="Calibri"/>
                <w:b/>
              </w:rPr>
            </w:pPr>
            <w:r w:rsidRPr="00545DB0">
              <w:rPr>
                <w:rFonts w:eastAsia="Calibri"/>
                <w:b/>
              </w:rPr>
              <w:t>Activity</w:t>
            </w:r>
          </w:p>
        </w:tc>
        <w:tc>
          <w:tcPr>
            <w:tcW w:w="1415" w:type="dxa"/>
            <w:shd w:val="clear" w:color="auto" w:fill="9CC2E5"/>
            <w:vAlign w:val="center"/>
          </w:tcPr>
          <w:p w:rsidR="00430AD0" w:rsidRPr="00545DB0" w:rsidP="00430AD0" w14:paraId="7654573A" w14:textId="77777777">
            <w:pPr>
              <w:widowControl w:val="0"/>
              <w:autoSpaceDE w:val="0"/>
              <w:autoSpaceDN w:val="0"/>
              <w:adjustRightInd w:val="0"/>
              <w:jc w:val="center"/>
              <w:rPr>
                <w:rFonts w:eastAsia="Calibri"/>
                <w:b/>
              </w:rPr>
            </w:pPr>
            <w:r w:rsidRPr="00545DB0">
              <w:rPr>
                <w:rFonts w:eastAsia="Calibri"/>
                <w:b/>
              </w:rPr>
              <w:t>Number of respondents</w:t>
            </w:r>
          </w:p>
        </w:tc>
        <w:tc>
          <w:tcPr>
            <w:tcW w:w="1219" w:type="dxa"/>
            <w:shd w:val="clear" w:color="auto" w:fill="9CC2E5"/>
            <w:vAlign w:val="center"/>
          </w:tcPr>
          <w:p w:rsidR="00430AD0" w:rsidRPr="00545DB0" w:rsidP="00430AD0" w14:paraId="1CA33CD7" w14:textId="77777777">
            <w:pPr>
              <w:widowControl w:val="0"/>
              <w:autoSpaceDE w:val="0"/>
              <w:autoSpaceDN w:val="0"/>
              <w:adjustRightInd w:val="0"/>
              <w:jc w:val="center"/>
              <w:rPr>
                <w:rFonts w:eastAsia="Calibri"/>
                <w:b/>
              </w:rPr>
            </w:pPr>
            <w:r w:rsidRPr="00545DB0">
              <w:rPr>
                <w:rFonts w:eastAsia="Calibri"/>
                <w:b/>
              </w:rPr>
              <w:t>Frequency</w:t>
            </w:r>
          </w:p>
        </w:tc>
        <w:tc>
          <w:tcPr>
            <w:tcW w:w="1182" w:type="dxa"/>
            <w:shd w:val="clear" w:color="auto" w:fill="9CC2E5"/>
            <w:vAlign w:val="center"/>
          </w:tcPr>
          <w:p w:rsidR="00430AD0" w:rsidRPr="00545DB0" w:rsidP="00430AD0" w14:paraId="3D61C5D1" w14:textId="77777777">
            <w:pPr>
              <w:widowControl w:val="0"/>
              <w:autoSpaceDE w:val="0"/>
              <w:autoSpaceDN w:val="0"/>
              <w:adjustRightInd w:val="0"/>
              <w:jc w:val="center"/>
              <w:rPr>
                <w:rFonts w:eastAsia="Calibri"/>
                <w:b/>
              </w:rPr>
            </w:pPr>
            <w:r w:rsidRPr="00545DB0">
              <w:rPr>
                <w:rFonts w:eastAsia="Calibri"/>
                <w:b/>
              </w:rPr>
              <w:t>Total annual responses</w:t>
            </w:r>
          </w:p>
        </w:tc>
        <w:tc>
          <w:tcPr>
            <w:tcW w:w="1097" w:type="dxa"/>
            <w:shd w:val="clear" w:color="auto" w:fill="9CC2E5"/>
            <w:vAlign w:val="center"/>
          </w:tcPr>
          <w:p w:rsidR="00430AD0" w:rsidRPr="00545DB0" w:rsidP="00430AD0" w14:paraId="6AEEC83A" w14:textId="77777777">
            <w:pPr>
              <w:widowControl w:val="0"/>
              <w:autoSpaceDE w:val="0"/>
              <w:autoSpaceDN w:val="0"/>
              <w:adjustRightInd w:val="0"/>
              <w:jc w:val="center"/>
              <w:rPr>
                <w:rFonts w:eastAsia="Calibri"/>
                <w:b/>
              </w:rPr>
            </w:pPr>
            <w:r w:rsidRPr="00545DB0">
              <w:rPr>
                <w:rFonts w:eastAsia="Calibri"/>
                <w:b/>
              </w:rPr>
              <w:t>Time per response (hours)</w:t>
            </w:r>
          </w:p>
        </w:tc>
        <w:tc>
          <w:tcPr>
            <w:tcW w:w="950" w:type="dxa"/>
            <w:shd w:val="clear" w:color="auto" w:fill="9CC2E5"/>
            <w:vAlign w:val="center"/>
          </w:tcPr>
          <w:p w:rsidR="00430AD0" w:rsidRPr="00545DB0" w:rsidP="00430AD0" w14:paraId="65844916" w14:textId="77777777">
            <w:pPr>
              <w:widowControl w:val="0"/>
              <w:autoSpaceDE w:val="0"/>
              <w:autoSpaceDN w:val="0"/>
              <w:adjustRightInd w:val="0"/>
              <w:jc w:val="center"/>
              <w:rPr>
                <w:rFonts w:eastAsia="Calibri"/>
                <w:b/>
              </w:rPr>
            </w:pPr>
            <w:r w:rsidRPr="00545DB0">
              <w:rPr>
                <w:rFonts w:eastAsia="Calibri"/>
                <w:b/>
              </w:rPr>
              <w:t>Total annual burden (hours)</w:t>
            </w:r>
          </w:p>
        </w:tc>
        <w:tc>
          <w:tcPr>
            <w:tcW w:w="889" w:type="dxa"/>
            <w:shd w:val="clear" w:color="auto" w:fill="9CC2E5"/>
            <w:vAlign w:val="center"/>
          </w:tcPr>
          <w:p w:rsidR="00430AD0" w:rsidRPr="00545DB0" w:rsidP="00430AD0" w14:paraId="1EF4C01D" w14:textId="77777777">
            <w:pPr>
              <w:widowControl w:val="0"/>
              <w:autoSpaceDE w:val="0"/>
              <w:autoSpaceDN w:val="0"/>
              <w:adjustRightInd w:val="0"/>
              <w:jc w:val="center"/>
              <w:rPr>
                <w:rFonts w:eastAsia="Calibri"/>
                <w:b/>
              </w:rPr>
            </w:pPr>
            <w:r w:rsidRPr="00545DB0">
              <w:rPr>
                <w:rFonts w:eastAsia="Calibri"/>
                <w:b/>
              </w:rPr>
              <w:t>Hourly rate*</w:t>
            </w:r>
          </w:p>
        </w:tc>
        <w:tc>
          <w:tcPr>
            <w:tcW w:w="1434" w:type="dxa"/>
            <w:shd w:val="clear" w:color="auto" w:fill="9CC2E5"/>
            <w:vAlign w:val="center"/>
          </w:tcPr>
          <w:p w:rsidR="00430AD0" w:rsidRPr="00545DB0" w:rsidP="00430AD0" w14:paraId="2E7ADA53" w14:textId="77777777">
            <w:pPr>
              <w:widowControl w:val="0"/>
              <w:autoSpaceDE w:val="0"/>
              <w:autoSpaceDN w:val="0"/>
              <w:adjustRightInd w:val="0"/>
              <w:jc w:val="center"/>
              <w:rPr>
                <w:rFonts w:eastAsia="Calibri"/>
                <w:b/>
              </w:rPr>
            </w:pPr>
            <w:r w:rsidRPr="00545DB0">
              <w:rPr>
                <w:rFonts w:eastAsia="Calibri"/>
                <w:b/>
              </w:rPr>
              <w:t>Monetized value of respondent time</w:t>
            </w:r>
          </w:p>
        </w:tc>
      </w:tr>
      <w:tr w14:paraId="138BBF0E" w14:textId="77777777">
        <w:tblPrEx>
          <w:tblW w:w="9625" w:type="dxa"/>
          <w:tblLook w:val="04A0"/>
        </w:tblPrEx>
        <w:tc>
          <w:tcPr>
            <w:tcW w:w="1439" w:type="dxa"/>
            <w:vAlign w:val="center"/>
          </w:tcPr>
          <w:p w:rsidR="00430AD0" w:rsidRPr="00545DB0" w:rsidP="00430AD0" w14:paraId="08A2F35A" w14:textId="0AEA2504">
            <w:pPr>
              <w:widowControl w:val="0"/>
              <w:autoSpaceDE w:val="0"/>
              <w:autoSpaceDN w:val="0"/>
              <w:adjustRightInd w:val="0"/>
              <w:jc w:val="right"/>
              <w:rPr>
                <w:rFonts w:eastAsia="Calibri"/>
              </w:rPr>
            </w:pPr>
            <w:r w:rsidRPr="00545DB0">
              <w:rPr>
                <w:rFonts w:eastAsia="Calibri"/>
              </w:rPr>
              <w:t>Completing application</w:t>
            </w:r>
          </w:p>
        </w:tc>
        <w:tc>
          <w:tcPr>
            <w:tcW w:w="1415" w:type="dxa"/>
            <w:vAlign w:val="center"/>
          </w:tcPr>
          <w:p w:rsidR="00430AD0" w:rsidRPr="00545DB0" w:rsidP="00430AD0" w14:paraId="6E5E6662" w14:textId="065C3DCC">
            <w:pPr>
              <w:widowControl w:val="0"/>
              <w:autoSpaceDE w:val="0"/>
              <w:autoSpaceDN w:val="0"/>
              <w:adjustRightInd w:val="0"/>
              <w:jc w:val="center"/>
              <w:rPr>
                <w:rFonts w:eastAsia="Calibri"/>
              </w:rPr>
            </w:pPr>
            <w:r w:rsidRPr="00545DB0">
              <w:rPr>
                <w:rFonts w:eastAsia="Calibri"/>
              </w:rPr>
              <w:t>927</w:t>
            </w:r>
          </w:p>
        </w:tc>
        <w:tc>
          <w:tcPr>
            <w:tcW w:w="1219" w:type="dxa"/>
            <w:vAlign w:val="center"/>
          </w:tcPr>
          <w:p w:rsidR="00430AD0" w:rsidRPr="00545DB0" w:rsidP="00430AD0" w14:paraId="368AC1A0" w14:textId="60836FC5">
            <w:pPr>
              <w:widowControl w:val="0"/>
              <w:autoSpaceDE w:val="0"/>
              <w:autoSpaceDN w:val="0"/>
              <w:adjustRightInd w:val="0"/>
              <w:jc w:val="center"/>
              <w:rPr>
                <w:rFonts w:eastAsia="Calibri"/>
              </w:rPr>
            </w:pPr>
            <w:r w:rsidRPr="00545DB0">
              <w:rPr>
                <w:rFonts w:eastAsia="Calibri"/>
              </w:rPr>
              <w:t>1</w:t>
            </w:r>
          </w:p>
        </w:tc>
        <w:tc>
          <w:tcPr>
            <w:tcW w:w="1182" w:type="dxa"/>
            <w:vAlign w:val="center"/>
          </w:tcPr>
          <w:p w:rsidR="00430AD0" w:rsidRPr="00545DB0" w:rsidP="00430AD0" w14:paraId="0432F311" w14:textId="0370AFB4">
            <w:pPr>
              <w:widowControl w:val="0"/>
              <w:autoSpaceDE w:val="0"/>
              <w:autoSpaceDN w:val="0"/>
              <w:adjustRightInd w:val="0"/>
              <w:jc w:val="center"/>
              <w:rPr>
                <w:rFonts w:eastAsia="Calibri"/>
              </w:rPr>
            </w:pPr>
            <w:r w:rsidRPr="00545DB0">
              <w:rPr>
                <w:rFonts w:eastAsia="Calibri"/>
              </w:rPr>
              <w:t>927</w:t>
            </w:r>
          </w:p>
        </w:tc>
        <w:tc>
          <w:tcPr>
            <w:tcW w:w="1097" w:type="dxa"/>
            <w:vAlign w:val="center"/>
          </w:tcPr>
          <w:p w:rsidR="00430AD0" w:rsidRPr="00545DB0" w:rsidP="00430AD0" w14:paraId="31A381C8" w14:textId="124A4F23">
            <w:pPr>
              <w:widowControl w:val="0"/>
              <w:autoSpaceDE w:val="0"/>
              <w:autoSpaceDN w:val="0"/>
              <w:adjustRightInd w:val="0"/>
              <w:jc w:val="center"/>
              <w:rPr>
                <w:rFonts w:eastAsia="Calibri"/>
              </w:rPr>
            </w:pPr>
            <w:r w:rsidRPr="00545DB0">
              <w:rPr>
                <w:rFonts w:eastAsia="Calibri"/>
              </w:rPr>
              <w:t>1.5</w:t>
            </w:r>
          </w:p>
        </w:tc>
        <w:tc>
          <w:tcPr>
            <w:tcW w:w="950" w:type="dxa"/>
            <w:vAlign w:val="center"/>
          </w:tcPr>
          <w:p w:rsidR="00430AD0" w:rsidRPr="00545DB0" w:rsidP="00430AD0" w14:paraId="68B6AEBE" w14:textId="4F081B7D">
            <w:pPr>
              <w:widowControl w:val="0"/>
              <w:autoSpaceDE w:val="0"/>
              <w:autoSpaceDN w:val="0"/>
              <w:adjustRightInd w:val="0"/>
              <w:jc w:val="center"/>
              <w:rPr>
                <w:rFonts w:eastAsia="Calibri"/>
              </w:rPr>
            </w:pPr>
            <w:r w:rsidRPr="00545DB0">
              <w:rPr>
                <w:rFonts w:eastAsia="Calibri"/>
              </w:rPr>
              <w:t>1,39</w:t>
            </w:r>
            <w:r w:rsidRPr="00545DB0" w:rsidR="00744E3E">
              <w:rPr>
                <w:rFonts w:eastAsia="Calibri"/>
              </w:rPr>
              <w:t>0.5</w:t>
            </w:r>
          </w:p>
        </w:tc>
        <w:tc>
          <w:tcPr>
            <w:tcW w:w="889" w:type="dxa"/>
            <w:vAlign w:val="center"/>
          </w:tcPr>
          <w:p w:rsidR="00430AD0" w:rsidRPr="00545DB0" w:rsidP="00430AD0" w14:paraId="435AAE1A" w14:textId="0F417509">
            <w:pPr>
              <w:widowControl w:val="0"/>
              <w:autoSpaceDE w:val="0"/>
              <w:autoSpaceDN w:val="0"/>
              <w:adjustRightInd w:val="0"/>
              <w:jc w:val="center"/>
              <w:rPr>
                <w:rFonts w:eastAsia="Calibri"/>
              </w:rPr>
            </w:pPr>
            <w:r w:rsidRPr="00545DB0">
              <w:rPr>
                <w:rFonts w:eastAsia="Calibri"/>
              </w:rPr>
              <w:t>$44.79</w:t>
            </w:r>
          </w:p>
        </w:tc>
        <w:tc>
          <w:tcPr>
            <w:tcW w:w="1434" w:type="dxa"/>
            <w:vAlign w:val="center"/>
          </w:tcPr>
          <w:p w:rsidR="00430AD0" w:rsidRPr="00545DB0" w:rsidP="00430AD0" w14:paraId="08D5F7B0" w14:textId="58854960">
            <w:pPr>
              <w:widowControl w:val="0"/>
              <w:autoSpaceDE w:val="0"/>
              <w:autoSpaceDN w:val="0"/>
              <w:adjustRightInd w:val="0"/>
              <w:jc w:val="right"/>
              <w:rPr>
                <w:rFonts w:eastAsia="Calibri"/>
              </w:rPr>
            </w:pPr>
            <w:r w:rsidRPr="00545DB0">
              <w:rPr>
                <w:rFonts w:eastAsia="Calibri"/>
              </w:rPr>
              <w:t>$57,734,019</w:t>
            </w:r>
          </w:p>
        </w:tc>
      </w:tr>
    </w:tbl>
    <w:p w:rsidR="00436B4C" w:rsidRPr="00545DB0" w:rsidP="009404F6" w14:paraId="5333581E" w14:textId="77777777"/>
    <w:p w:rsidR="00CC48FC" w:rsidRPr="00545DB0" w:rsidP="004C2DCD" w14:paraId="0C468700"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545DB0">
        <w:rPr>
          <w:b/>
          <w:bCs/>
        </w:rPr>
        <w:t>13. Provide an estimate of the total annual cost burden to respondents or record-keepers resulting from the information collection. (Do not include the cost of any hour burden shown in items 12 and 14).</w:t>
      </w:r>
    </w:p>
    <w:p w:rsidR="00CC48FC" w:rsidRPr="00545DB0" w:rsidP="004C2DCD" w14:paraId="1A6D78D3"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0E6740" w:rsidRPr="00545DB0" w:rsidP="00CC48FC" w14:paraId="3515AE4D" w14:textId="7A0FD24D">
      <w:r w:rsidRPr="00545DB0">
        <w:t xml:space="preserve">There are no </w:t>
      </w:r>
      <w:r w:rsidRPr="00545DB0" w:rsidR="0003436C">
        <w:t>start-up or other</w:t>
      </w:r>
      <w:r w:rsidRPr="00545DB0">
        <w:t xml:space="preserve"> costs associated with this </w:t>
      </w:r>
      <w:r w:rsidRPr="00545DB0" w:rsidR="0003436C">
        <w:t>information collection. A</w:t>
      </w:r>
      <w:r w:rsidRPr="00545DB0">
        <w:t>ll applications can be submitted electronically.</w:t>
      </w:r>
    </w:p>
    <w:p w:rsidR="00914920" w:rsidRPr="00545DB0" w:rsidP="00CC48FC" w14:paraId="588C28BE" w14:textId="77777777"/>
    <w:p w:rsidR="00163C41" w:rsidRPr="00545DB0" w:rsidP="004C2DCD" w14:paraId="2B35DDDB"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545DB0">
        <w:rPr>
          <w:b/>
          <w:bCs/>
        </w:rPr>
        <w:t>14. Provide estimates of the annualized cost to the federal government.</w:t>
      </w:r>
    </w:p>
    <w:p w:rsidR="003A7A74" w:rsidRPr="00545DB0" w14:paraId="1BCC9CA9"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p>
    <w:p w:rsidR="00512424" w:rsidRPr="00545DB0" w:rsidP="00915CCC" w14:paraId="46BCEACC" w14:textId="6DEBE7D4">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r w:rsidRPr="00545DB0">
        <w:t>ATF estimates no</w:t>
      </w:r>
      <w:r w:rsidRPr="00545DB0" w:rsidR="00E9190D">
        <w:t xml:space="preserve"> </w:t>
      </w:r>
      <w:r w:rsidRPr="00545DB0">
        <w:t>additional</w:t>
      </w:r>
      <w:r w:rsidRPr="00545DB0" w:rsidR="00E9190D">
        <w:t xml:space="preserve"> </w:t>
      </w:r>
      <w:r w:rsidRPr="00545DB0">
        <w:t>costs to the federal government associated with this collection. This is due to the current staffing and administrative capacity already in place to complete any marginal processing required under this information collection, with long-term staffing capacity serving as a sunk cost.</w:t>
      </w:r>
    </w:p>
    <w:p w:rsidR="00E9190D" w:rsidRPr="00545DB0" w:rsidP="00915CCC" w14:paraId="30EE5F58"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6805C6" w:rsidRPr="00545DB0" w:rsidP="006805C6" w14:paraId="73DCF5EB"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545DB0">
        <w:rPr>
          <w:b/>
          <w:bCs/>
        </w:rPr>
        <w:t>15. Explain the reasons for any program changes or adjustments.</w:t>
      </w:r>
    </w:p>
    <w:p w:rsidR="006805C6" w:rsidRPr="00545DB0" w:rsidP="006805C6" w14:paraId="7ED32011"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981A72" w:rsidRPr="00545DB0" w14:paraId="0C594490" w14:textId="7D668C1F">
      <w:r w:rsidRPr="00545DB0">
        <w:t xml:space="preserve">ATF has </w:t>
      </w:r>
      <w:r w:rsidRPr="00545DB0" w:rsidR="00F63C16">
        <w:t>updated ATF Form 5400.13 to reflect th</w:t>
      </w:r>
      <w:r w:rsidRPr="00545DB0" w:rsidR="00343761">
        <w:t xml:space="preserve">e new government payment method through </w:t>
      </w:r>
      <w:r w:rsidRPr="00545DB0" w:rsidR="00343761">
        <w:rPr>
          <w:i/>
          <w:iCs/>
        </w:rPr>
        <w:t>pay.gov</w:t>
      </w:r>
      <w:r w:rsidRPr="00545DB0" w:rsidR="00583FCC">
        <w:t xml:space="preserve"> </w:t>
      </w:r>
      <w:r w:rsidRPr="00545DB0" w:rsidR="00AD4C7D">
        <w:t xml:space="preserve">(required by executive order) </w:t>
      </w:r>
      <w:r w:rsidRPr="00545DB0" w:rsidR="00583FCC">
        <w:t xml:space="preserve">and to include instructions and an email address for submitting the </w:t>
      </w:r>
      <w:r w:rsidRPr="00545DB0" w:rsidR="00B63F97">
        <w:t xml:space="preserve">digitally fillable and signable form </w:t>
      </w:r>
      <w:r w:rsidRPr="00545DB0" w:rsidR="00AD4C7D">
        <w:t xml:space="preserve">to ATF </w:t>
      </w:r>
      <w:r w:rsidRPr="00545DB0" w:rsidR="00B63F97">
        <w:t>by email.</w:t>
      </w:r>
      <w:r w:rsidRPr="00545DB0">
        <w:t xml:space="preserve"> ATF </w:t>
      </w:r>
      <w:r w:rsidRPr="00545DB0" w:rsidR="0066411F">
        <w:t xml:space="preserve">is </w:t>
      </w:r>
      <w:r w:rsidRPr="00545DB0" w:rsidR="00B63F97">
        <w:t xml:space="preserve">also </w:t>
      </w:r>
      <w:r w:rsidRPr="00545DB0" w:rsidR="0066411F">
        <w:t>making</w:t>
      </w:r>
      <w:r w:rsidRPr="00545DB0" w:rsidR="00CE2CAE">
        <w:t xml:space="preserve"> a minor edit to the title, from “Application for Federal Explosives License or Permit” to “Application for Explosives License/Permit” for plain writing and brevity. In addition, ATF is changing the form number from </w:t>
      </w:r>
      <w:r w:rsidRPr="00545DB0" w:rsidR="0066411F">
        <w:t>5400.13/5400.16 to 5400.13</w:t>
      </w:r>
      <w:r w:rsidRPr="00545DB0" w:rsidR="00F55C73">
        <w:t xml:space="preserve">. There is no longer a need to retain the reference to a long-canceled </w:t>
      </w:r>
      <w:r w:rsidR="00590041">
        <w:t>merged</w:t>
      </w:r>
      <w:r w:rsidRPr="00545DB0" w:rsidR="00F55C73">
        <w:t xml:space="preserve"> form</w:t>
      </w:r>
      <w:r w:rsidRPr="00545DB0" w:rsidR="00F63C16">
        <w:t xml:space="preserve">. </w:t>
      </w:r>
      <w:r w:rsidRPr="00545DB0" w:rsidR="00436723">
        <w:t>Finally, there has been a decrease in the number of respondents to this IC</w:t>
      </w:r>
      <w:r w:rsidRPr="00545DB0" w:rsidR="00B61E91">
        <w:t xml:space="preserve">, from 10,200 during the last renewal in 2023, to 927, a decrease </w:t>
      </w:r>
      <w:r w:rsidRPr="00545DB0" w:rsidR="3125A5B8">
        <w:t>of 9,273 respondents</w:t>
      </w:r>
      <w:r w:rsidRPr="00545DB0" w:rsidR="00822065">
        <w:t xml:space="preserve">. This resulted in a corresponding decrease to the number of </w:t>
      </w:r>
      <w:r w:rsidRPr="00545DB0" w:rsidR="008F4664">
        <w:t>burden hours,</w:t>
      </w:r>
      <w:r w:rsidRPr="00545DB0" w:rsidR="3125A5B8">
        <w:t xml:space="preserve"> </w:t>
      </w:r>
      <w:r w:rsidRPr="00545DB0" w:rsidR="008F4664">
        <w:t xml:space="preserve">from 15,300 in 2023 to 1,390.5 in 2026, a decrease </w:t>
      </w:r>
      <w:r w:rsidRPr="00545DB0" w:rsidR="3125A5B8">
        <w:t>13,909.5 hours</w:t>
      </w:r>
      <w:r w:rsidRPr="00545DB0" w:rsidR="00E358E4">
        <w:t>.</w:t>
      </w:r>
    </w:p>
    <w:p w:rsidR="00FD7E9B" w:rsidRPr="00545DB0" w:rsidP="006805C6" w14:paraId="3D720C08" w14:textId="77777777"/>
    <w:p w:rsidR="008A25E9" w:rsidRPr="00545DB0" w:rsidP="008A25E9" w14:paraId="6DD84BE9"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bookmarkStart w:id="3" w:name="_Hlk188874978"/>
      <w:r w:rsidRPr="00545DB0">
        <w:rPr>
          <w:b/>
          <w:bCs/>
        </w:rPr>
        <w:t>16. For information collections whose results will be published, outline plans for tabulations and publication.</w:t>
      </w:r>
    </w:p>
    <w:p w:rsidR="008A25E9" w:rsidRPr="00545DB0" w:rsidP="008A25E9" w14:paraId="783341A7"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bookmarkEnd w:id="3"/>
    <w:p w:rsidR="00EB5E6E" w:rsidRPr="00545DB0" w:rsidP="008A25E9" w14:paraId="4C558405" w14:textId="71B57894">
      <w:r w:rsidRPr="00545DB0">
        <w:t>ATF does not publish the results of this collection.</w:t>
      </w:r>
    </w:p>
    <w:p w:rsidR="0097719F" w:rsidRPr="00545DB0" w:rsidP="008A25E9" w14:paraId="5B0FA658" w14:textId="77777777"/>
    <w:p w:rsidR="00162FF0" w:rsidRPr="00545DB0" w:rsidP="00162FF0" w14:paraId="552E63C7" w14:textId="77777777">
      <w:pPr>
        <w:widowControl w:val="0"/>
        <w:autoSpaceDE w:val="0"/>
        <w:autoSpaceDN w:val="0"/>
        <w:adjustRightInd w:val="0"/>
      </w:pPr>
      <w:r w:rsidRPr="00545DB0">
        <w:rPr>
          <w:b/>
          <w:bCs/>
        </w:rPr>
        <w:t>17.</w:t>
      </w:r>
      <w:r w:rsidRPr="00545DB0">
        <w:t xml:space="preserve"> </w:t>
      </w:r>
      <w:r w:rsidRPr="00545DB0">
        <w:rPr>
          <w:b/>
          <w:bCs/>
        </w:rPr>
        <w:t>If seeking approval to not display the expiration date for the information collection, explain the reasons that display would be inappropriate.</w:t>
      </w:r>
    </w:p>
    <w:p w:rsidR="00162FF0" w:rsidRPr="00545DB0" w:rsidP="00162FF0" w14:paraId="6FB6ACB8"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E42285" w:rsidRPr="00545DB0" w:rsidP="00E42285" w14:paraId="2A9EC5B3" w14:textId="77777777">
      <w:r w:rsidRPr="00545DB0">
        <w:t>ATF intends to display the OMB expiration date for this information collection.</w:t>
      </w:r>
    </w:p>
    <w:p w:rsidR="001B5B12" w:rsidRPr="00545DB0" w:rsidP="00162FF0" w14:paraId="398590D4" w14:textId="42734FB7">
      <w:pPr>
        <w:rPr>
          <w:lang w:bidi="en-US"/>
        </w:rPr>
      </w:pPr>
    </w:p>
    <w:p w:rsidR="001B5B12" w:rsidRPr="00545DB0" w:rsidP="001B5B12" w14:paraId="3BDA4014"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rPr>
      </w:pPr>
      <w:r w:rsidRPr="00545DB0">
        <w:rPr>
          <w:b/>
        </w:rPr>
        <w:t>18. Explain each exception to the certification statement.</w:t>
      </w:r>
    </w:p>
    <w:p w:rsidR="001B5B12" w:rsidRPr="00545DB0" w:rsidP="001B5B12" w14:paraId="3ED921CC"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9458E6" w:rsidRPr="00545DB0" w:rsidP="001B5B12" w14:paraId="35735D12" w14:textId="5B728B21">
      <w:r w:rsidRPr="00545DB0">
        <w:t>This information collection does not include any exceptions to the certification statement.</w:t>
      </w:r>
    </w:p>
    <w:p w:rsidR="00DC4306" w:rsidRPr="00545DB0" w:rsidP="00DC4306" w14:paraId="0D1CD89F"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pPr>
    </w:p>
    <w:p w:rsidR="00DC4306" w:rsidRPr="00545DB0" w:rsidP="00DC4306" w14:paraId="26AEF31A" w14:textId="77777777">
      <w:bookmarkStart w:id="4" w:name="_Hlk188988292"/>
      <w:r w:rsidRPr="00545DB0">
        <w:rPr>
          <w:b/>
          <w:bCs/>
        </w:rPr>
        <w:t>B. INFORMATION COLLECTIONS EMPLOYING STATISTICAL METHODS.</w:t>
      </w:r>
    </w:p>
    <w:bookmarkEnd w:id="4"/>
    <w:p w:rsidR="00DC4306" w:rsidRPr="00545DB0" w:rsidP="00DC4306" w14:paraId="20B0EDC9" w14:textId="77777777">
      <w:pPr>
        <w:widowControl w:val="0"/>
        <w:autoSpaceDE w:val="0"/>
        <w:autoSpaceDN w:val="0"/>
        <w:adjustRightInd w:val="0"/>
      </w:pPr>
    </w:p>
    <w:p w:rsidR="00FB561D" w:rsidRPr="00545DB0" w:rsidP="00736445" w14:paraId="2824CA09" w14:textId="45892184">
      <w:r w:rsidRPr="00545DB0">
        <w:t xml:space="preserve">This collection does not employ statistical methods. </w:t>
      </w:r>
    </w:p>
    <w:sectPr w:rsidSect="000D53FA">
      <w:headerReference w:type="default" r:id="rId9"/>
      <w:footerReference w:type="default" r:id="rId10"/>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1337998"/>
      <w:docPartObj>
        <w:docPartGallery w:val="Page Numbers (Bottom of Page)"/>
        <w:docPartUnique/>
      </w:docPartObj>
    </w:sdtPr>
    <w:sdtEndPr>
      <w:rPr>
        <w:noProof/>
      </w:rPr>
    </w:sdtEndPr>
    <w:sdtContent>
      <w:p w:rsidR="001C726B" w14:paraId="1DEFB9DC" w14:textId="491895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1C726B" w14:paraId="6D07066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E76FE" w14:paraId="3C7CCF2D" w14:textId="77777777">
      <w:r>
        <w:separator/>
      </w:r>
    </w:p>
  </w:footnote>
  <w:footnote w:type="continuationSeparator" w:id="1">
    <w:p w:rsidR="00BE76FE" w14:paraId="6B26DE0B" w14:textId="77777777">
      <w:r>
        <w:continuationSeparator/>
      </w:r>
    </w:p>
  </w:footnote>
  <w:footnote w:id="2">
    <w:p w:rsidR="009235A3" w14:paraId="5748031B" w14:textId="3D885DF5">
      <w:pPr>
        <w:pStyle w:val="FootnoteText"/>
      </w:pPr>
      <w:r>
        <w:rPr>
          <w:rStyle w:val="FootnoteReference"/>
        </w:rPr>
        <w:footnoteRef/>
      </w:r>
      <w:r>
        <w:t xml:space="preserve"> </w:t>
      </w:r>
      <w:r w:rsidRPr="00C51F85">
        <w:t>https://www.bls.gov/oes/2023/may/oes475032.htm</w:t>
      </w:r>
    </w:p>
  </w:footnote>
  <w:footnote w:id="3">
    <w:p w:rsidR="00C504EA" w14:paraId="4CA80A3E" w14:textId="75756430">
      <w:pPr>
        <w:pStyle w:val="FootnoteText"/>
      </w:pPr>
      <w:r>
        <w:rPr>
          <w:rStyle w:val="FootnoteReference"/>
        </w:rPr>
        <w:footnoteRef/>
      </w:r>
      <w:r>
        <w:t xml:space="preserve"> </w:t>
      </w:r>
      <w:r w:rsidRPr="009D4CD0" w:rsidR="00E0261E">
        <w:rPr>
          <w:rFonts w:cs="Times New Roman"/>
        </w:rPr>
        <w:t xml:space="preserve">U.S. Bureau of Labor Statistics, </w:t>
      </w:r>
      <w:r w:rsidRPr="009D4CD0" w:rsidR="00E0261E">
        <w:rPr>
          <w:rFonts w:cs="Times New Roman"/>
          <w:i/>
          <w:iCs/>
        </w:rPr>
        <w:t>Total compensation cost per hour worked for private industry workers (2023–2025)</w:t>
      </w:r>
      <w:r w:rsidRPr="009D4CD0" w:rsidR="00E0261E">
        <w:rPr>
          <w:rFonts w:cs="Times New Roman"/>
        </w:rPr>
        <w:t>, https://data.bls.gov/dataViewer/view/timeseries/CMU2010000000000D [https://perma.cc/T2ZL-2UUB].</w:t>
      </w:r>
    </w:p>
  </w:footnote>
  <w:footnote w:id="4">
    <w:p w:rsidR="00122D8E" w14:paraId="5D18FB5C" w14:textId="2DB2EDE3">
      <w:pPr>
        <w:pStyle w:val="FootnoteText"/>
      </w:pPr>
      <w:r>
        <w:rPr>
          <w:rStyle w:val="FootnoteReference"/>
        </w:rPr>
        <w:footnoteRef/>
      </w:r>
      <w:r>
        <w:t xml:space="preserve"> </w:t>
      </w:r>
      <w:r w:rsidRPr="009D4CD0">
        <w:rPr>
          <w:rFonts w:cs="Times New Roman"/>
        </w:rPr>
        <w:t xml:space="preserve">U.S. Bureau of Labor Statistics, </w:t>
      </w:r>
      <w:r w:rsidRPr="009D4CD0">
        <w:rPr>
          <w:rFonts w:cs="Times New Roman"/>
          <w:i/>
          <w:iCs/>
        </w:rPr>
        <w:t>Employer cost for employee compensation, (2023–2025)</w:t>
      </w:r>
      <w:r w:rsidRPr="009D4CD0">
        <w:rPr>
          <w:rFonts w:cs="Times New Roman"/>
        </w:rPr>
        <w:t>, https://data.bls.gov/dataViewer/view/timeseries/CMU2020000000000D [https://perma.cc/8WEJ-2TRW].</w:t>
      </w:r>
    </w:p>
  </w:footnote>
  <w:footnote w:id="5">
    <w:p w:rsidR="00122D8E" w14:paraId="34432F3E" w14:textId="304D50CA">
      <w:pPr>
        <w:pStyle w:val="FootnoteText"/>
      </w:pPr>
      <w:r>
        <w:rPr>
          <w:rStyle w:val="FootnoteReference"/>
        </w:rPr>
        <w:footnoteRef/>
      </w:r>
      <w:r>
        <w:t xml:space="preserve"> </w:t>
      </w:r>
      <w:r w:rsidRPr="009D4CD0">
        <w:t>1.42 load rate = $44.20 total hourly compensation / 31.10 hourly wages and salaries.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3227" w:rsidRPr="00013227" w:rsidP="00013227" w14:paraId="14D15027" w14:textId="71C88F9D">
    <w:pPr>
      <w:widowControl w:val="0"/>
      <w:tabs>
        <w:tab w:val="center" w:pos="4680"/>
        <w:tab w:val="right" w:pos="9360"/>
      </w:tabs>
      <w:autoSpaceDE w:val="0"/>
      <w:autoSpaceDN w:val="0"/>
      <w:adjustRightInd w:val="0"/>
      <w:rPr>
        <w:bCs/>
        <w:sz w:val="20"/>
        <w:szCs w:val="20"/>
      </w:rPr>
    </w:pPr>
    <w:r w:rsidRPr="000664BA">
      <w:rPr>
        <w:bCs/>
        <w:sz w:val="20"/>
        <w:szCs w:val="20"/>
      </w:rPr>
      <w:t>Application for Explosives License</w:t>
    </w:r>
    <w:r w:rsidR="00FD6C57">
      <w:rPr>
        <w:bCs/>
        <w:sz w:val="20"/>
        <w:szCs w:val="20"/>
      </w:rPr>
      <w:t>/</w:t>
    </w:r>
    <w:r w:rsidRPr="000664BA">
      <w:rPr>
        <w:bCs/>
        <w:sz w:val="20"/>
        <w:szCs w:val="20"/>
      </w:rPr>
      <w:t>Perm</w:t>
    </w:r>
    <w:r w:rsidR="00763214">
      <w:rPr>
        <w:bCs/>
        <w:sz w:val="20"/>
        <w:szCs w:val="20"/>
      </w:rPr>
      <w:t>it</w:t>
    </w:r>
  </w:p>
  <w:p w:rsidR="00013227" w:rsidRPr="00013227" w:rsidP="00013227" w14:paraId="3CFCA5AF" w14:textId="22D5D46F">
    <w:pPr>
      <w:widowControl w:val="0"/>
      <w:tabs>
        <w:tab w:val="center" w:pos="4680"/>
        <w:tab w:val="right" w:pos="9360"/>
      </w:tabs>
      <w:autoSpaceDE w:val="0"/>
      <w:autoSpaceDN w:val="0"/>
      <w:adjustRightInd w:val="0"/>
      <w:rPr>
        <w:sz w:val="20"/>
        <w:szCs w:val="20"/>
      </w:rPr>
    </w:pPr>
    <w:r w:rsidRPr="00013227">
      <w:rPr>
        <w:sz w:val="20"/>
        <w:szCs w:val="20"/>
      </w:rPr>
      <w:t>OMB control number 1140-</w:t>
    </w:r>
    <w:r w:rsidR="00AA07F0">
      <w:rPr>
        <w:sz w:val="20"/>
        <w:szCs w:val="20"/>
      </w:rPr>
      <w:t>0070</w:t>
    </w:r>
  </w:p>
  <w:p w:rsidR="00013227" w:rsidRPr="00013227" w:rsidP="00013227" w14:paraId="436D0949" w14:textId="0A870BE2">
    <w:pPr>
      <w:widowControl w:val="0"/>
      <w:tabs>
        <w:tab w:val="center" w:pos="4680"/>
        <w:tab w:val="right" w:pos="9360"/>
      </w:tabs>
      <w:autoSpaceDE w:val="0"/>
      <w:autoSpaceDN w:val="0"/>
      <w:adjustRightInd w:val="0"/>
      <w:rPr>
        <w:sz w:val="20"/>
        <w:szCs w:val="20"/>
      </w:rPr>
    </w:pPr>
    <w:r w:rsidRPr="00013227">
      <w:rPr>
        <w:sz w:val="20"/>
        <w:szCs w:val="20"/>
      </w:rPr>
      <w:t xml:space="preserve">OMB expiration date: </w:t>
    </w:r>
    <w:r w:rsidR="00AB677E">
      <w:rPr>
        <w:sz w:val="20"/>
        <w:szCs w:val="20"/>
      </w:rPr>
      <w:t>10</w:t>
    </w:r>
    <w:r w:rsidR="00E508CE">
      <w:rPr>
        <w:sz w:val="20"/>
        <w:szCs w:val="20"/>
      </w:rPr>
      <w:t>/31/2026</w:t>
    </w:r>
  </w:p>
  <w:p w:rsidR="001C726B" w14:paraId="570365F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E0548A"/>
    <w:multiLevelType w:val="hybridMultilevel"/>
    <w:tmpl w:val="08527E9E"/>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BAA297F"/>
    <w:multiLevelType w:val="hybridMultilevel"/>
    <w:tmpl w:val="5D620746"/>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2823CDD"/>
    <w:multiLevelType w:val="hybridMultilevel"/>
    <w:tmpl w:val="CD8613A0"/>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3D733DF"/>
    <w:multiLevelType w:val="hybridMultilevel"/>
    <w:tmpl w:val="49D86B9C"/>
    <w:lvl w:ilvl="0">
      <w:start w:val="1"/>
      <w:numFmt w:val="upperLetter"/>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4DA6680"/>
    <w:multiLevelType w:val="hybridMultilevel"/>
    <w:tmpl w:val="0226E8A8"/>
    <w:lvl w:ilvl="0">
      <w:start w:val="1"/>
      <w:numFmt w:val="decimal"/>
      <w:lvlText w:val="%1."/>
      <w:lvlJc w:val="left"/>
      <w:pPr>
        <w:ind w:left="1440" w:hanging="360"/>
      </w:pPr>
      <w:rPr>
        <w:rFonts w:hint="default"/>
        <w:color w:val="auto"/>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2A5F35BE"/>
    <w:multiLevelType w:val="hybridMultilevel"/>
    <w:tmpl w:val="03344098"/>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2007399"/>
    <w:multiLevelType w:val="hybridMultilevel"/>
    <w:tmpl w:val="21BEBA4C"/>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32BB6104"/>
    <w:multiLevelType w:val="hybridMultilevel"/>
    <w:tmpl w:val="52A635C6"/>
    <w:lvl w:ilvl="0">
      <w:start w:val="1"/>
      <w:numFmt w:val="decimal"/>
      <w:lvlText w:val="%1."/>
      <w:lvlJc w:val="left"/>
      <w:pPr>
        <w:ind w:left="1440" w:hanging="360"/>
      </w:pPr>
      <w:rPr>
        <w:rFonts w:hint="default"/>
        <w:color w:val="auto"/>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36E70D75"/>
    <w:multiLevelType w:val="hybridMultilevel"/>
    <w:tmpl w:val="C200237E"/>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47694961"/>
    <w:multiLevelType w:val="hybridMultilevel"/>
    <w:tmpl w:val="712AB94E"/>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B2E5BB2"/>
    <w:multiLevelType w:val="hybridMultilevel"/>
    <w:tmpl w:val="5E3ED93A"/>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BEF4EEE"/>
    <w:multiLevelType w:val="hybridMultilevel"/>
    <w:tmpl w:val="6E7E71DA"/>
    <w:lvl w:ilvl="0">
      <w:start w:val="1"/>
      <w:numFmt w:val="decimal"/>
      <w:lvlText w:val="%1."/>
      <w:lvlJc w:val="left"/>
      <w:pPr>
        <w:ind w:left="1440" w:hanging="360"/>
      </w:pPr>
      <w:rPr>
        <w:rFonts w:hint="default"/>
        <w:color w:val="auto"/>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502E4D8E"/>
    <w:multiLevelType w:val="hybridMultilevel"/>
    <w:tmpl w:val="710687EC"/>
    <w:lvl w:ilvl="0">
      <w:start w:val="1"/>
      <w:numFmt w:val="upperLetter"/>
      <w:lvlText w:val="%1."/>
      <w:lvlJc w:val="left"/>
      <w:pPr>
        <w:tabs>
          <w:tab w:val="num" w:pos="360"/>
        </w:tabs>
        <w:ind w:left="360" w:hanging="360"/>
      </w:pPr>
    </w:lvl>
    <w:lvl w:ilvl="1">
      <w:start w:val="1"/>
      <w:numFmt w:val="decimal"/>
      <w:lvlText w:val="%2."/>
      <w:lvlJc w:val="left"/>
      <w:pPr>
        <w:tabs>
          <w:tab w:val="num" w:pos="1440"/>
        </w:tabs>
        <w:ind w:left="1440" w:hanging="72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3">
    <w:nsid w:val="53262776"/>
    <w:multiLevelType w:val="hybridMultilevel"/>
    <w:tmpl w:val="11C61F8C"/>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56E26342"/>
    <w:multiLevelType w:val="hybridMultilevel"/>
    <w:tmpl w:val="328CB524"/>
    <w:lvl w:ilvl="0">
      <w:start w:val="1"/>
      <w:numFmt w:val="decimal"/>
      <w:lvlText w:val="%1."/>
      <w:lvlJc w:val="left"/>
      <w:pPr>
        <w:ind w:left="1080" w:hanging="360"/>
      </w:pPr>
      <w:rPr>
        <w:rFonts w:hint="default"/>
        <w:color w:val="auto"/>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57936189"/>
    <w:multiLevelType w:val="hybridMultilevel"/>
    <w:tmpl w:val="1EBA14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B3016E9"/>
    <w:multiLevelType w:val="hybridMultilevel"/>
    <w:tmpl w:val="2BB401E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CCF35B7"/>
    <w:multiLevelType w:val="hybridMultilevel"/>
    <w:tmpl w:val="F5927140"/>
    <w:lvl w:ilvl="0">
      <w:start w:val="1"/>
      <w:numFmt w:val="decimal"/>
      <w:lvlText w:val="%1."/>
      <w:lvlJc w:val="left"/>
      <w:pPr>
        <w:ind w:left="1080" w:hanging="360"/>
      </w:pPr>
      <w:rPr>
        <w:rFonts w:hint="default"/>
        <w:color w:val="auto"/>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nsid w:val="5D681A95"/>
    <w:multiLevelType w:val="hybridMultilevel"/>
    <w:tmpl w:val="E4E6CBC4"/>
    <w:lvl w:ilvl="0">
      <w:start w:val="1"/>
      <w:numFmt w:val="upperLetter"/>
      <w:lvlText w:val="%1."/>
      <w:lvlJc w:val="left"/>
      <w:pPr>
        <w:ind w:left="581" w:hanging="480"/>
      </w:pPr>
      <w:rPr>
        <w:rFonts w:ascii="Times New Roman" w:eastAsia="Times New Roman" w:hAnsi="Times New Roman" w:cs="Times New Roman" w:hint="default"/>
        <w:b/>
        <w:bCs/>
        <w:spacing w:val="0"/>
        <w:w w:val="97"/>
        <w:sz w:val="24"/>
        <w:szCs w:val="24"/>
        <w:lang w:val="en-US" w:eastAsia="en-US" w:bidi="en-US"/>
      </w:rPr>
    </w:lvl>
    <w:lvl w:ilvl="1">
      <w:start w:val="1"/>
      <w:numFmt w:val="decimal"/>
      <w:lvlText w:val="%2."/>
      <w:lvlJc w:val="left"/>
      <w:pPr>
        <w:ind w:left="938" w:hanging="360"/>
        <w:jc w:val="right"/>
      </w:pPr>
      <w:rPr>
        <w:rFonts w:ascii="Times New Roman" w:eastAsia="Times New Roman" w:hAnsi="Times New Roman" w:cs="Times New Roman" w:hint="default"/>
        <w:spacing w:val="-26"/>
        <w:w w:val="97"/>
        <w:sz w:val="24"/>
        <w:szCs w:val="24"/>
        <w:lang w:val="en-US" w:eastAsia="en-US" w:bidi="en-US"/>
      </w:rPr>
    </w:lvl>
    <w:lvl w:ilvl="2">
      <w:start w:val="0"/>
      <w:numFmt w:val="bullet"/>
      <w:lvlText w:val=""/>
      <w:lvlJc w:val="left"/>
      <w:pPr>
        <w:ind w:left="1812" w:hanging="360"/>
      </w:pPr>
      <w:rPr>
        <w:rFonts w:ascii="Symbol" w:eastAsia="Symbol" w:hAnsi="Symbol" w:cs="Symbol" w:hint="default"/>
        <w:w w:val="100"/>
        <w:sz w:val="24"/>
        <w:szCs w:val="24"/>
        <w:lang w:val="en-US" w:eastAsia="en-US" w:bidi="en-US"/>
      </w:rPr>
    </w:lvl>
    <w:lvl w:ilvl="3">
      <w:start w:val="0"/>
      <w:numFmt w:val="bullet"/>
      <w:lvlText w:val="•"/>
      <w:lvlJc w:val="left"/>
      <w:pPr>
        <w:ind w:left="2765" w:hanging="360"/>
      </w:pPr>
      <w:rPr>
        <w:rFonts w:hint="default"/>
        <w:lang w:val="en-US" w:eastAsia="en-US" w:bidi="en-US"/>
      </w:rPr>
    </w:lvl>
    <w:lvl w:ilvl="4">
      <w:start w:val="0"/>
      <w:numFmt w:val="bullet"/>
      <w:lvlText w:val="•"/>
      <w:lvlJc w:val="left"/>
      <w:pPr>
        <w:ind w:left="3710" w:hanging="360"/>
      </w:pPr>
      <w:rPr>
        <w:rFonts w:hint="default"/>
        <w:lang w:val="en-US" w:eastAsia="en-US" w:bidi="en-US"/>
      </w:rPr>
    </w:lvl>
    <w:lvl w:ilvl="5">
      <w:start w:val="0"/>
      <w:numFmt w:val="bullet"/>
      <w:lvlText w:val="•"/>
      <w:lvlJc w:val="left"/>
      <w:pPr>
        <w:ind w:left="4655" w:hanging="360"/>
      </w:pPr>
      <w:rPr>
        <w:rFonts w:hint="default"/>
        <w:lang w:val="en-US" w:eastAsia="en-US" w:bidi="en-US"/>
      </w:rPr>
    </w:lvl>
    <w:lvl w:ilvl="6">
      <w:start w:val="0"/>
      <w:numFmt w:val="bullet"/>
      <w:lvlText w:val="•"/>
      <w:lvlJc w:val="left"/>
      <w:pPr>
        <w:ind w:left="5600" w:hanging="360"/>
      </w:pPr>
      <w:rPr>
        <w:rFonts w:hint="default"/>
        <w:lang w:val="en-US" w:eastAsia="en-US" w:bidi="en-US"/>
      </w:rPr>
    </w:lvl>
    <w:lvl w:ilvl="7">
      <w:start w:val="0"/>
      <w:numFmt w:val="bullet"/>
      <w:lvlText w:val="•"/>
      <w:lvlJc w:val="left"/>
      <w:pPr>
        <w:ind w:left="6545" w:hanging="360"/>
      </w:pPr>
      <w:rPr>
        <w:rFonts w:hint="default"/>
        <w:lang w:val="en-US" w:eastAsia="en-US" w:bidi="en-US"/>
      </w:rPr>
    </w:lvl>
    <w:lvl w:ilvl="8">
      <w:start w:val="0"/>
      <w:numFmt w:val="bullet"/>
      <w:lvlText w:val="•"/>
      <w:lvlJc w:val="left"/>
      <w:pPr>
        <w:ind w:left="7490" w:hanging="360"/>
      </w:pPr>
      <w:rPr>
        <w:rFonts w:hint="default"/>
        <w:lang w:val="en-US" w:eastAsia="en-US" w:bidi="en-US"/>
      </w:rPr>
    </w:lvl>
  </w:abstractNum>
  <w:abstractNum w:abstractNumId="19">
    <w:nsid w:val="69537412"/>
    <w:multiLevelType w:val="hybridMultilevel"/>
    <w:tmpl w:val="C82CF5C6"/>
    <w:lvl w:ilvl="0">
      <w:start w:val="2"/>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nsid w:val="6FA271BB"/>
    <w:multiLevelType w:val="hybridMultilevel"/>
    <w:tmpl w:val="EAF8B1BA"/>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D6C69FD"/>
    <w:multiLevelType w:val="hybridMultilevel"/>
    <w:tmpl w:val="CAFCCE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F152C4B"/>
    <w:multiLevelType w:val="hybridMultilevel"/>
    <w:tmpl w:val="2C7052CA"/>
    <w:lvl w:ilvl="0">
      <w:start w:val="1"/>
      <w:numFmt w:val="bullet"/>
      <w:lvlText w:val=""/>
      <w:lvlJc w:val="left"/>
      <w:pPr>
        <w:ind w:left="1500" w:hanging="360"/>
      </w:pPr>
      <w:rPr>
        <w:rFonts w:ascii="Symbol" w:hAnsi="Symbol" w:hint="default"/>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tentative="1">
      <w:start w:val="1"/>
      <w:numFmt w:val="bullet"/>
      <w:lvlText w:val=""/>
      <w:lvlJc w:val="left"/>
      <w:pPr>
        <w:ind w:left="3660" w:hanging="360"/>
      </w:pPr>
      <w:rPr>
        <w:rFonts w:ascii="Symbol" w:hAnsi="Symbol" w:hint="default"/>
      </w:rPr>
    </w:lvl>
    <w:lvl w:ilvl="4" w:tentative="1">
      <w:start w:val="1"/>
      <w:numFmt w:val="bullet"/>
      <w:lvlText w:val="o"/>
      <w:lvlJc w:val="left"/>
      <w:pPr>
        <w:ind w:left="4380" w:hanging="360"/>
      </w:pPr>
      <w:rPr>
        <w:rFonts w:ascii="Courier New" w:hAnsi="Courier New" w:cs="Courier New" w:hint="default"/>
      </w:rPr>
    </w:lvl>
    <w:lvl w:ilvl="5" w:tentative="1">
      <w:start w:val="1"/>
      <w:numFmt w:val="bullet"/>
      <w:lvlText w:val=""/>
      <w:lvlJc w:val="left"/>
      <w:pPr>
        <w:ind w:left="5100" w:hanging="360"/>
      </w:pPr>
      <w:rPr>
        <w:rFonts w:ascii="Wingdings" w:hAnsi="Wingdings" w:hint="default"/>
      </w:rPr>
    </w:lvl>
    <w:lvl w:ilvl="6" w:tentative="1">
      <w:start w:val="1"/>
      <w:numFmt w:val="bullet"/>
      <w:lvlText w:val=""/>
      <w:lvlJc w:val="left"/>
      <w:pPr>
        <w:ind w:left="5820" w:hanging="360"/>
      </w:pPr>
      <w:rPr>
        <w:rFonts w:ascii="Symbol" w:hAnsi="Symbol" w:hint="default"/>
      </w:rPr>
    </w:lvl>
    <w:lvl w:ilvl="7" w:tentative="1">
      <w:start w:val="1"/>
      <w:numFmt w:val="bullet"/>
      <w:lvlText w:val="o"/>
      <w:lvlJc w:val="left"/>
      <w:pPr>
        <w:ind w:left="6540" w:hanging="360"/>
      </w:pPr>
      <w:rPr>
        <w:rFonts w:ascii="Courier New" w:hAnsi="Courier New" w:cs="Courier New" w:hint="default"/>
      </w:rPr>
    </w:lvl>
    <w:lvl w:ilvl="8" w:tentative="1">
      <w:start w:val="1"/>
      <w:numFmt w:val="bullet"/>
      <w:lvlText w:val=""/>
      <w:lvlJc w:val="left"/>
      <w:pPr>
        <w:ind w:left="7260" w:hanging="360"/>
      </w:pPr>
      <w:rPr>
        <w:rFonts w:ascii="Wingdings" w:hAnsi="Wingdings" w:hint="default"/>
      </w:rPr>
    </w:lvl>
  </w:abstractNum>
  <w:num w:numId="1" w16cid:durableId="1333070244">
    <w:abstractNumId w:val="12"/>
  </w:num>
  <w:num w:numId="2" w16cid:durableId="1034187384">
    <w:abstractNumId w:val="19"/>
  </w:num>
  <w:num w:numId="3" w16cid:durableId="1541287619">
    <w:abstractNumId w:val="2"/>
  </w:num>
  <w:num w:numId="4" w16cid:durableId="2016689826">
    <w:abstractNumId w:val="6"/>
  </w:num>
  <w:num w:numId="5" w16cid:durableId="2084330895">
    <w:abstractNumId w:val="8"/>
  </w:num>
  <w:num w:numId="6" w16cid:durableId="1206679196">
    <w:abstractNumId w:val="13"/>
  </w:num>
  <w:num w:numId="7" w16cid:durableId="279458569">
    <w:abstractNumId w:val="20"/>
  </w:num>
  <w:num w:numId="8" w16cid:durableId="1720475844">
    <w:abstractNumId w:val="5"/>
  </w:num>
  <w:num w:numId="9" w16cid:durableId="1034429910">
    <w:abstractNumId w:val="14"/>
  </w:num>
  <w:num w:numId="10" w16cid:durableId="1628705947">
    <w:abstractNumId w:val="11"/>
  </w:num>
  <w:num w:numId="11" w16cid:durableId="1741370198">
    <w:abstractNumId w:val="16"/>
  </w:num>
  <w:num w:numId="12" w16cid:durableId="1863978012">
    <w:abstractNumId w:val="17"/>
  </w:num>
  <w:num w:numId="13" w16cid:durableId="1888956064">
    <w:abstractNumId w:val="9"/>
  </w:num>
  <w:num w:numId="14" w16cid:durableId="372340968">
    <w:abstractNumId w:val="10"/>
  </w:num>
  <w:num w:numId="15" w16cid:durableId="1152596704">
    <w:abstractNumId w:val="0"/>
  </w:num>
  <w:num w:numId="16" w16cid:durableId="979192944">
    <w:abstractNumId w:val="4"/>
  </w:num>
  <w:num w:numId="17" w16cid:durableId="1923295193">
    <w:abstractNumId w:val="7"/>
  </w:num>
  <w:num w:numId="18" w16cid:durableId="2120487108">
    <w:abstractNumId w:val="3"/>
  </w:num>
  <w:num w:numId="19" w16cid:durableId="1108622521">
    <w:abstractNumId w:val="1"/>
  </w:num>
  <w:num w:numId="20" w16cid:durableId="22220447">
    <w:abstractNumId w:val="18"/>
  </w:num>
  <w:num w:numId="21" w16cid:durableId="1545949997">
    <w:abstractNumId w:val="22"/>
  </w:num>
  <w:num w:numId="22" w16cid:durableId="366418694">
    <w:abstractNumId w:val="21"/>
  </w:num>
  <w:num w:numId="23" w16cid:durableId="10581680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drawingGridHorizontalSpacing w:val="120"/>
  <w:displayHorizont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8E6"/>
    <w:rsid w:val="00010D1B"/>
    <w:rsid w:val="00013227"/>
    <w:rsid w:val="000137FB"/>
    <w:rsid w:val="00014933"/>
    <w:rsid w:val="0001671B"/>
    <w:rsid w:val="00026E84"/>
    <w:rsid w:val="00030169"/>
    <w:rsid w:val="00030174"/>
    <w:rsid w:val="0003436C"/>
    <w:rsid w:val="000447BF"/>
    <w:rsid w:val="00047E6F"/>
    <w:rsid w:val="00055DC2"/>
    <w:rsid w:val="000643D6"/>
    <w:rsid w:val="00065B01"/>
    <w:rsid w:val="0006625E"/>
    <w:rsid w:val="000664BA"/>
    <w:rsid w:val="00083700"/>
    <w:rsid w:val="00086B7A"/>
    <w:rsid w:val="000A7FE6"/>
    <w:rsid w:val="000B0AF8"/>
    <w:rsid w:val="000B37C7"/>
    <w:rsid w:val="000B5AFD"/>
    <w:rsid w:val="000B7F4A"/>
    <w:rsid w:val="000C089A"/>
    <w:rsid w:val="000C5579"/>
    <w:rsid w:val="000C5C95"/>
    <w:rsid w:val="000C64EF"/>
    <w:rsid w:val="000D06EF"/>
    <w:rsid w:val="000D53FA"/>
    <w:rsid w:val="000D725A"/>
    <w:rsid w:val="000E2E97"/>
    <w:rsid w:val="000E6740"/>
    <w:rsid w:val="000F637F"/>
    <w:rsid w:val="0012298A"/>
    <w:rsid w:val="00122D8E"/>
    <w:rsid w:val="001255C3"/>
    <w:rsid w:val="00125654"/>
    <w:rsid w:val="0012636F"/>
    <w:rsid w:val="001268C8"/>
    <w:rsid w:val="00132152"/>
    <w:rsid w:val="00137AC3"/>
    <w:rsid w:val="00145782"/>
    <w:rsid w:val="00162FF0"/>
    <w:rsid w:val="00163C41"/>
    <w:rsid w:val="00167664"/>
    <w:rsid w:val="00176B0F"/>
    <w:rsid w:val="001901AD"/>
    <w:rsid w:val="00194A45"/>
    <w:rsid w:val="001A26AC"/>
    <w:rsid w:val="001A4276"/>
    <w:rsid w:val="001A758A"/>
    <w:rsid w:val="001B3D9D"/>
    <w:rsid w:val="001B5B12"/>
    <w:rsid w:val="001B6F65"/>
    <w:rsid w:val="001C029D"/>
    <w:rsid w:val="001C2F29"/>
    <w:rsid w:val="001C726B"/>
    <w:rsid w:val="001D688D"/>
    <w:rsid w:val="001E35D2"/>
    <w:rsid w:val="001E60E2"/>
    <w:rsid w:val="001E717E"/>
    <w:rsid w:val="001F7420"/>
    <w:rsid w:val="00200FF1"/>
    <w:rsid w:val="00201782"/>
    <w:rsid w:val="00203900"/>
    <w:rsid w:val="00205914"/>
    <w:rsid w:val="00205C5D"/>
    <w:rsid w:val="00206514"/>
    <w:rsid w:val="002156CD"/>
    <w:rsid w:val="0021676F"/>
    <w:rsid w:val="002202D9"/>
    <w:rsid w:val="002226A7"/>
    <w:rsid w:val="00224DC1"/>
    <w:rsid w:val="00226A05"/>
    <w:rsid w:val="00230D1C"/>
    <w:rsid w:val="00235D68"/>
    <w:rsid w:val="00244285"/>
    <w:rsid w:val="002471BE"/>
    <w:rsid w:val="00250BEC"/>
    <w:rsid w:val="00254F29"/>
    <w:rsid w:val="002552DA"/>
    <w:rsid w:val="002602A0"/>
    <w:rsid w:val="002649BF"/>
    <w:rsid w:val="00270063"/>
    <w:rsid w:val="00271942"/>
    <w:rsid w:val="002815BD"/>
    <w:rsid w:val="002844B8"/>
    <w:rsid w:val="002853FA"/>
    <w:rsid w:val="002928F1"/>
    <w:rsid w:val="002948BA"/>
    <w:rsid w:val="0029538D"/>
    <w:rsid w:val="00296958"/>
    <w:rsid w:val="002A656C"/>
    <w:rsid w:val="002B3BDB"/>
    <w:rsid w:val="002B5378"/>
    <w:rsid w:val="002B78BB"/>
    <w:rsid w:val="002C35B3"/>
    <w:rsid w:val="002C4C63"/>
    <w:rsid w:val="002C75CD"/>
    <w:rsid w:val="002D5E92"/>
    <w:rsid w:val="002D6765"/>
    <w:rsid w:val="002E0E17"/>
    <w:rsid w:val="002E0EB2"/>
    <w:rsid w:val="002E1F76"/>
    <w:rsid w:val="002E2E4E"/>
    <w:rsid w:val="002E397D"/>
    <w:rsid w:val="002F0D1E"/>
    <w:rsid w:val="00305102"/>
    <w:rsid w:val="00305275"/>
    <w:rsid w:val="00311649"/>
    <w:rsid w:val="00311E6C"/>
    <w:rsid w:val="00312BAD"/>
    <w:rsid w:val="00312F6C"/>
    <w:rsid w:val="00315915"/>
    <w:rsid w:val="00326176"/>
    <w:rsid w:val="0032668F"/>
    <w:rsid w:val="00331FB5"/>
    <w:rsid w:val="003347AF"/>
    <w:rsid w:val="00334B32"/>
    <w:rsid w:val="00334F79"/>
    <w:rsid w:val="00337C2D"/>
    <w:rsid w:val="00342BF1"/>
    <w:rsid w:val="00342C24"/>
    <w:rsid w:val="00343761"/>
    <w:rsid w:val="003439C0"/>
    <w:rsid w:val="00344CAC"/>
    <w:rsid w:val="003472F1"/>
    <w:rsid w:val="003553FC"/>
    <w:rsid w:val="003606DC"/>
    <w:rsid w:val="00361F56"/>
    <w:rsid w:val="0036472F"/>
    <w:rsid w:val="0037005B"/>
    <w:rsid w:val="003759D0"/>
    <w:rsid w:val="00390E7C"/>
    <w:rsid w:val="00393598"/>
    <w:rsid w:val="003A2899"/>
    <w:rsid w:val="003A3EB3"/>
    <w:rsid w:val="003A7A74"/>
    <w:rsid w:val="003A7C7A"/>
    <w:rsid w:val="003B0E3A"/>
    <w:rsid w:val="003B5721"/>
    <w:rsid w:val="003C4633"/>
    <w:rsid w:val="003C7A6D"/>
    <w:rsid w:val="003D0E7D"/>
    <w:rsid w:val="003D0FD0"/>
    <w:rsid w:val="003D6EBD"/>
    <w:rsid w:val="003E3151"/>
    <w:rsid w:val="003E3AE4"/>
    <w:rsid w:val="003E4050"/>
    <w:rsid w:val="003F0DC6"/>
    <w:rsid w:val="003F1A45"/>
    <w:rsid w:val="003F3768"/>
    <w:rsid w:val="003F75AC"/>
    <w:rsid w:val="0041236D"/>
    <w:rsid w:val="004153AA"/>
    <w:rsid w:val="00417524"/>
    <w:rsid w:val="0042294C"/>
    <w:rsid w:val="0042513C"/>
    <w:rsid w:val="00426D67"/>
    <w:rsid w:val="00430374"/>
    <w:rsid w:val="00430AD0"/>
    <w:rsid w:val="00433B3B"/>
    <w:rsid w:val="00436723"/>
    <w:rsid w:val="00436B4C"/>
    <w:rsid w:val="00437CA7"/>
    <w:rsid w:val="004412BB"/>
    <w:rsid w:val="00450603"/>
    <w:rsid w:val="00455051"/>
    <w:rsid w:val="004626BE"/>
    <w:rsid w:val="00462EC8"/>
    <w:rsid w:val="0046489A"/>
    <w:rsid w:val="00464D29"/>
    <w:rsid w:val="00467F24"/>
    <w:rsid w:val="00472BE8"/>
    <w:rsid w:val="00472C3B"/>
    <w:rsid w:val="004769C8"/>
    <w:rsid w:val="0048019C"/>
    <w:rsid w:val="00483A85"/>
    <w:rsid w:val="00484C23"/>
    <w:rsid w:val="00491678"/>
    <w:rsid w:val="00494A96"/>
    <w:rsid w:val="004A0DCF"/>
    <w:rsid w:val="004A7C46"/>
    <w:rsid w:val="004B4092"/>
    <w:rsid w:val="004B49B2"/>
    <w:rsid w:val="004B7D4E"/>
    <w:rsid w:val="004C04E1"/>
    <w:rsid w:val="004C0CA9"/>
    <w:rsid w:val="004C2DCD"/>
    <w:rsid w:val="004C325F"/>
    <w:rsid w:val="004D3256"/>
    <w:rsid w:val="004D523E"/>
    <w:rsid w:val="004D6E9B"/>
    <w:rsid w:val="004D7E39"/>
    <w:rsid w:val="004E0C30"/>
    <w:rsid w:val="004F5231"/>
    <w:rsid w:val="005012EE"/>
    <w:rsid w:val="00501963"/>
    <w:rsid w:val="00503F63"/>
    <w:rsid w:val="00507DC1"/>
    <w:rsid w:val="00512424"/>
    <w:rsid w:val="005167A2"/>
    <w:rsid w:val="00525630"/>
    <w:rsid w:val="0054122A"/>
    <w:rsid w:val="00541C91"/>
    <w:rsid w:val="005449D8"/>
    <w:rsid w:val="00545DB0"/>
    <w:rsid w:val="005535D4"/>
    <w:rsid w:val="00555124"/>
    <w:rsid w:val="00555664"/>
    <w:rsid w:val="00565F81"/>
    <w:rsid w:val="00582826"/>
    <w:rsid w:val="00583FCC"/>
    <w:rsid w:val="0058522F"/>
    <w:rsid w:val="00590041"/>
    <w:rsid w:val="005942AC"/>
    <w:rsid w:val="005A37BE"/>
    <w:rsid w:val="005A3F8B"/>
    <w:rsid w:val="005A4517"/>
    <w:rsid w:val="005A7979"/>
    <w:rsid w:val="005B12AF"/>
    <w:rsid w:val="005B2DC8"/>
    <w:rsid w:val="005B471E"/>
    <w:rsid w:val="005B5945"/>
    <w:rsid w:val="005C0CCE"/>
    <w:rsid w:val="005C2480"/>
    <w:rsid w:val="005C36D6"/>
    <w:rsid w:val="005C60EA"/>
    <w:rsid w:val="005C782B"/>
    <w:rsid w:val="005C7D5F"/>
    <w:rsid w:val="005D160D"/>
    <w:rsid w:val="005D59FF"/>
    <w:rsid w:val="005E0939"/>
    <w:rsid w:val="005E6406"/>
    <w:rsid w:val="005F6B1A"/>
    <w:rsid w:val="00601312"/>
    <w:rsid w:val="00605515"/>
    <w:rsid w:val="00612291"/>
    <w:rsid w:val="006123B7"/>
    <w:rsid w:val="006133FD"/>
    <w:rsid w:val="00620429"/>
    <w:rsid w:val="00626A82"/>
    <w:rsid w:val="006279B4"/>
    <w:rsid w:val="00633C72"/>
    <w:rsid w:val="00640174"/>
    <w:rsid w:val="006420CF"/>
    <w:rsid w:val="00651761"/>
    <w:rsid w:val="0065497F"/>
    <w:rsid w:val="00655467"/>
    <w:rsid w:val="006574A3"/>
    <w:rsid w:val="0066031C"/>
    <w:rsid w:val="006637E8"/>
    <w:rsid w:val="0066411F"/>
    <w:rsid w:val="006718D6"/>
    <w:rsid w:val="00673A17"/>
    <w:rsid w:val="006805C6"/>
    <w:rsid w:val="00680C02"/>
    <w:rsid w:val="0068240C"/>
    <w:rsid w:val="00685CAD"/>
    <w:rsid w:val="00697C50"/>
    <w:rsid w:val="006B5562"/>
    <w:rsid w:val="006B665C"/>
    <w:rsid w:val="006C02D9"/>
    <w:rsid w:val="006C42DC"/>
    <w:rsid w:val="006D1F19"/>
    <w:rsid w:val="006D5469"/>
    <w:rsid w:val="006E043F"/>
    <w:rsid w:val="006E3240"/>
    <w:rsid w:val="007030D6"/>
    <w:rsid w:val="007122FD"/>
    <w:rsid w:val="00713B10"/>
    <w:rsid w:val="00723528"/>
    <w:rsid w:val="00723E4E"/>
    <w:rsid w:val="00724E1E"/>
    <w:rsid w:val="00731774"/>
    <w:rsid w:val="00732552"/>
    <w:rsid w:val="007348DB"/>
    <w:rsid w:val="007356A7"/>
    <w:rsid w:val="00736445"/>
    <w:rsid w:val="007371EB"/>
    <w:rsid w:val="0074274C"/>
    <w:rsid w:val="007439D2"/>
    <w:rsid w:val="00743FB1"/>
    <w:rsid w:val="00744B7E"/>
    <w:rsid w:val="00744E3E"/>
    <w:rsid w:val="007461A0"/>
    <w:rsid w:val="00746BD1"/>
    <w:rsid w:val="00754E7B"/>
    <w:rsid w:val="0075651F"/>
    <w:rsid w:val="00762CD1"/>
    <w:rsid w:val="00763214"/>
    <w:rsid w:val="00765E28"/>
    <w:rsid w:val="00766CB6"/>
    <w:rsid w:val="007775D4"/>
    <w:rsid w:val="00777B92"/>
    <w:rsid w:val="00780ED7"/>
    <w:rsid w:val="00785956"/>
    <w:rsid w:val="00787028"/>
    <w:rsid w:val="007872E3"/>
    <w:rsid w:val="007A7820"/>
    <w:rsid w:val="007B091C"/>
    <w:rsid w:val="007B29C6"/>
    <w:rsid w:val="007C3B6A"/>
    <w:rsid w:val="007C52AB"/>
    <w:rsid w:val="007C59E3"/>
    <w:rsid w:val="007D4843"/>
    <w:rsid w:val="007D5FFF"/>
    <w:rsid w:val="007E13F3"/>
    <w:rsid w:val="007E2513"/>
    <w:rsid w:val="007E6AE3"/>
    <w:rsid w:val="007F15F9"/>
    <w:rsid w:val="007F2E2B"/>
    <w:rsid w:val="007F4CC0"/>
    <w:rsid w:val="007F77AF"/>
    <w:rsid w:val="007F7CDE"/>
    <w:rsid w:val="00812CC9"/>
    <w:rsid w:val="00814E0C"/>
    <w:rsid w:val="008178D9"/>
    <w:rsid w:val="00822065"/>
    <w:rsid w:val="0082270F"/>
    <w:rsid w:val="0083738C"/>
    <w:rsid w:val="00837587"/>
    <w:rsid w:val="008428B3"/>
    <w:rsid w:val="00843548"/>
    <w:rsid w:val="0084453D"/>
    <w:rsid w:val="00850100"/>
    <w:rsid w:val="00862904"/>
    <w:rsid w:val="00873735"/>
    <w:rsid w:val="00880559"/>
    <w:rsid w:val="00883D82"/>
    <w:rsid w:val="0088758A"/>
    <w:rsid w:val="00890821"/>
    <w:rsid w:val="00897667"/>
    <w:rsid w:val="008A25E9"/>
    <w:rsid w:val="008B5AAC"/>
    <w:rsid w:val="008C072F"/>
    <w:rsid w:val="008C0EA8"/>
    <w:rsid w:val="008C1158"/>
    <w:rsid w:val="008C7BA5"/>
    <w:rsid w:val="008D0E0D"/>
    <w:rsid w:val="008D11B5"/>
    <w:rsid w:val="008D3EDC"/>
    <w:rsid w:val="008D5092"/>
    <w:rsid w:val="008E02A7"/>
    <w:rsid w:val="008E2041"/>
    <w:rsid w:val="008E544B"/>
    <w:rsid w:val="008E767E"/>
    <w:rsid w:val="008F4486"/>
    <w:rsid w:val="008F4664"/>
    <w:rsid w:val="008F4D12"/>
    <w:rsid w:val="0090379E"/>
    <w:rsid w:val="0090499E"/>
    <w:rsid w:val="00907671"/>
    <w:rsid w:val="00912682"/>
    <w:rsid w:val="00914920"/>
    <w:rsid w:val="00915317"/>
    <w:rsid w:val="0091577A"/>
    <w:rsid w:val="00915CCC"/>
    <w:rsid w:val="00922A65"/>
    <w:rsid w:val="009235A3"/>
    <w:rsid w:val="00926DBC"/>
    <w:rsid w:val="00927BE8"/>
    <w:rsid w:val="00933A3D"/>
    <w:rsid w:val="00934639"/>
    <w:rsid w:val="00934FD2"/>
    <w:rsid w:val="00936B07"/>
    <w:rsid w:val="009404F6"/>
    <w:rsid w:val="00941FA7"/>
    <w:rsid w:val="009458E6"/>
    <w:rsid w:val="0095175C"/>
    <w:rsid w:val="00952DCF"/>
    <w:rsid w:val="00960AAD"/>
    <w:rsid w:val="00967ADD"/>
    <w:rsid w:val="00970CDA"/>
    <w:rsid w:val="0097719F"/>
    <w:rsid w:val="00981A72"/>
    <w:rsid w:val="009827E6"/>
    <w:rsid w:val="00982F3B"/>
    <w:rsid w:val="00986C2C"/>
    <w:rsid w:val="00994AB5"/>
    <w:rsid w:val="00994FB8"/>
    <w:rsid w:val="00995467"/>
    <w:rsid w:val="009A0201"/>
    <w:rsid w:val="009A7106"/>
    <w:rsid w:val="009B7456"/>
    <w:rsid w:val="009C1FED"/>
    <w:rsid w:val="009C2AFB"/>
    <w:rsid w:val="009D0A13"/>
    <w:rsid w:val="009D4CD0"/>
    <w:rsid w:val="009D580B"/>
    <w:rsid w:val="009D6CF1"/>
    <w:rsid w:val="009E5676"/>
    <w:rsid w:val="009E62E0"/>
    <w:rsid w:val="009F6E94"/>
    <w:rsid w:val="009F70DA"/>
    <w:rsid w:val="00A15685"/>
    <w:rsid w:val="00A176F8"/>
    <w:rsid w:val="00A17BFE"/>
    <w:rsid w:val="00A23F92"/>
    <w:rsid w:val="00A2471D"/>
    <w:rsid w:val="00A2604D"/>
    <w:rsid w:val="00A3240B"/>
    <w:rsid w:val="00A352EA"/>
    <w:rsid w:val="00A445DF"/>
    <w:rsid w:val="00A44B3E"/>
    <w:rsid w:val="00A45FDB"/>
    <w:rsid w:val="00A5050D"/>
    <w:rsid w:val="00A506DD"/>
    <w:rsid w:val="00A52F79"/>
    <w:rsid w:val="00A53D14"/>
    <w:rsid w:val="00A63265"/>
    <w:rsid w:val="00A65890"/>
    <w:rsid w:val="00A740B5"/>
    <w:rsid w:val="00A7449E"/>
    <w:rsid w:val="00A776AF"/>
    <w:rsid w:val="00A80536"/>
    <w:rsid w:val="00A821C9"/>
    <w:rsid w:val="00A82AEF"/>
    <w:rsid w:val="00A918C9"/>
    <w:rsid w:val="00A94C90"/>
    <w:rsid w:val="00A95480"/>
    <w:rsid w:val="00AA07F0"/>
    <w:rsid w:val="00AA662B"/>
    <w:rsid w:val="00AB4C08"/>
    <w:rsid w:val="00AB677E"/>
    <w:rsid w:val="00AC0B7D"/>
    <w:rsid w:val="00AC2332"/>
    <w:rsid w:val="00AD0789"/>
    <w:rsid w:val="00AD392F"/>
    <w:rsid w:val="00AD4C7D"/>
    <w:rsid w:val="00AD6179"/>
    <w:rsid w:val="00AD6327"/>
    <w:rsid w:val="00AD660C"/>
    <w:rsid w:val="00AE75F3"/>
    <w:rsid w:val="00AF1BB7"/>
    <w:rsid w:val="00AF244F"/>
    <w:rsid w:val="00AF37E3"/>
    <w:rsid w:val="00AF53DA"/>
    <w:rsid w:val="00B034E2"/>
    <w:rsid w:val="00B04339"/>
    <w:rsid w:val="00B11D23"/>
    <w:rsid w:val="00B24186"/>
    <w:rsid w:val="00B34DB4"/>
    <w:rsid w:val="00B37076"/>
    <w:rsid w:val="00B5001F"/>
    <w:rsid w:val="00B50A1C"/>
    <w:rsid w:val="00B51077"/>
    <w:rsid w:val="00B61E91"/>
    <w:rsid w:val="00B61FB8"/>
    <w:rsid w:val="00B63F97"/>
    <w:rsid w:val="00B705A8"/>
    <w:rsid w:val="00B7080C"/>
    <w:rsid w:val="00B70F59"/>
    <w:rsid w:val="00B72A66"/>
    <w:rsid w:val="00B8070B"/>
    <w:rsid w:val="00B81992"/>
    <w:rsid w:val="00B845DE"/>
    <w:rsid w:val="00B8579F"/>
    <w:rsid w:val="00B862F9"/>
    <w:rsid w:val="00B96186"/>
    <w:rsid w:val="00BA348F"/>
    <w:rsid w:val="00BA40DF"/>
    <w:rsid w:val="00BA6329"/>
    <w:rsid w:val="00BB0751"/>
    <w:rsid w:val="00BB1E9B"/>
    <w:rsid w:val="00BB3DD7"/>
    <w:rsid w:val="00BB6D2F"/>
    <w:rsid w:val="00BC6BDA"/>
    <w:rsid w:val="00BD3C99"/>
    <w:rsid w:val="00BD461B"/>
    <w:rsid w:val="00BE67EE"/>
    <w:rsid w:val="00BE69F1"/>
    <w:rsid w:val="00BE76FE"/>
    <w:rsid w:val="00BF11A7"/>
    <w:rsid w:val="00BF3F9E"/>
    <w:rsid w:val="00C0432C"/>
    <w:rsid w:val="00C04AD4"/>
    <w:rsid w:val="00C04AE5"/>
    <w:rsid w:val="00C0639C"/>
    <w:rsid w:val="00C06EA3"/>
    <w:rsid w:val="00C1180B"/>
    <w:rsid w:val="00C21D91"/>
    <w:rsid w:val="00C25DB2"/>
    <w:rsid w:val="00C26FED"/>
    <w:rsid w:val="00C3030C"/>
    <w:rsid w:val="00C30405"/>
    <w:rsid w:val="00C34BBF"/>
    <w:rsid w:val="00C408EA"/>
    <w:rsid w:val="00C42BB8"/>
    <w:rsid w:val="00C504EA"/>
    <w:rsid w:val="00C51F85"/>
    <w:rsid w:val="00C53067"/>
    <w:rsid w:val="00C601E4"/>
    <w:rsid w:val="00C62A3B"/>
    <w:rsid w:val="00C71FAC"/>
    <w:rsid w:val="00C733D2"/>
    <w:rsid w:val="00C80370"/>
    <w:rsid w:val="00C8511D"/>
    <w:rsid w:val="00C87D7F"/>
    <w:rsid w:val="00C96F52"/>
    <w:rsid w:val="00CB407A"/>
    <w:rsid w:val="00CB426C"/>
    <w:rsid w:val="00CC0F2E"/>
    <w:rsid w:val="00CC13AF"/>
    <w:rsid w:val="00CC1B53"/>
    <w:rsid w:val="00CC48FC"/>
    <w:rsid w:val="00CE2CAE"/>
    <w:rsid w:val="00CE7B19"/>
    <w:rsid w:val="00CF0A25"/>
    <w:rsid w:val="00CF38EF"/>
    <w:rsid w:val="00CF66B2"/>
    <w:rsid w:val="00D04AB5"/>
    <w:rsid w:val="00D05A1F"/>
    <w:rsid w:val="00D0769D"/>
    <w:rsid w:val="00D1055A"/>
    <w:rsid w:val="00D163A2"/>
    <w:rsid w:val="00D2088A"/>
    <w:rsid w:val="00D230E8"/>
    <w:rsid w:val="00D2321E"/>
    <w:rsid w:val="00D237D6"/>
    <w:rsid w:val="00D24A38"/>
    <w:rsid w:val="00D2550B"/>
    <w:rsid w:val="00D341D5"/>
    <w:rsid w:val="00D36041"/>
    <w:rsid w:val="00D3709D"/>
    <w:rsid w:val="00D51F20"/>
    <w:rsid w:val="00D54073"/>
    <w:rsid w:val="00D817AA"/>
    <w:rsid w:val="00D86D93"/>
    <w:rsid w:val="00D90B6A"/>
    <w:rsid w:val="00D9278C"/>
    <w:rsid w:val="00D96C8D"/>
    <w:rsid w:val="00DA200A"/>
    <w:rsid w:val="00DB1379"/>
    <w:rsid w:val="00DB6474"/>
    <w:rsid w:val="00DB6BC9"/>
    <w:rsid w:val="00DB7D74"/>
    <w:rsid w:val="00DC4306"/>
    <w:rsid w:val="00DC7E0C"/>
    <w:rsid w:val="00DD37A7"/>
    <w:rsid w:val="00DD6973"/>
    <w:rsid w:val="00DE57D6"/>
    <w:rsid w:val="00DE7C17"/>
    <w:rsid w:val="00DF101C"/>
    <w:rsid w:val="00DF3071"/>
    <w:rsid w:val="00E024A4"/>
    <w:rsid w:val="00E0261E"/>
    <w:rsid w:val="00E10394"/>
    <w:rsid w:val="00E30CE9"/>
    <w:rsid w:val="00E34D40"/>
    <w:rsid w:val="00E358E4"/>
    <w:rsid w:val="00E364DE"/>
    <w:rsid w:val="00E410A0"/>
    <w:rsid w:val="00E42285"/>
    <w:rsid w:val="00E42290"/>
    <w:rsid w:val="00E4300B"/>
    <w:rsid w:val="00E43F96"/>
    <w:rsid w:val="00E46197"/>
    <w:rsid w:val="00E46F53"/>
    <w:rsid w:val="00E508CE"/>
    <w:rsid w:val="00E53380"/>
    <w:rsid w:val="00E63F37"/>
    <w:rsid w:val="00E66B81"/>
    <w:rsid w:val="00E75875"/>
    <w:rsid w:val="00E80133"/>
    <w:rsid w:val="00E839A8"/>
    <w:rsid w:val="00E9190D"/>
    <w:rsid w:val="00E92966"/>
    <w:rsid w:val="00EA3842"/>
    <w:rsid w:val="00EB5E6E"/>
    <w:rsid w:val="00EC5340"/>
    <w:rsid w:val="00EC584F"/>
    <w:rsid w:val="00ED5CC8"/>
    <w:rsid w:val="00ED797F"/>
    <w:rsid w:val="00EE0F08"/>
    <w:rsid w:val="00EE18D0"/>
    <w:rsid w:val="00EE5A14"/>
    <w:rsid w:val="00EE70A8"/>
    <w:rsid w:val="00EF27EE"/>
    <w:rsid w:val="00F02D5F"/>
    <w:rsid w:val="00F14467"/>
    <w:rsid w:val="00F31432"/>
    <w:rsid w:val="00F456D2"/>
    <w:rsid w:val="00F502AB"/>
    <w:rsid w:val="00F55C73"/>
    <w:rsid w:val="00F60944"/>
    <w:rsid w:val="00F60DDB"/>
    <w:rsid w:val="00F63C16"/>
    <w:rsid w:val="00F64CE5"/>
    <w:rsid w:val="00F67C82"/>
    <w:rsid w:val="00F7556C"/>
    <w:rsid w:val="00F775B9"/>
    <w:rsid w:val="00F82169"/>
    <w:rsid w:val="00F84B7C"/>
    <w:rsid w:val="00F94DCF"/>
    <w:rsid w:val="00F97610"/>
    <w:rsid w:val="00F97FAE"/>
    <w:rsid w:val="00FA1B93"/>
    <w:rsid w:val="00FA4F77"/>
    <w:rsid w:val="00FA6085"/>
    <w:rsid w:val="00FB561D"/>
    <w:rsid w:val="00FB5A3B"/>
    <w:rsid w:val="00FC5B29"/>
    <w:rsid w:val="00FD018D"/>
    <w:rsid w:val="00FD0A3C"/>
    <w:rsid w:val="00FD3A76"/>
    <w:rsid w:val="00FD6C57"/>
    <w:rsid w:val="00FD7E9B"/>
    <w:rsid w:val="00FE1A32"/>
    <w:rsid w:val="00FE50C8"/>
    <w:rsid w:val="00FE7264"/>
    <w:rsid w:val="00FE77CC"/>
    <w:rsid w:val="00FF2844"/>
    <w:rsid w:val="00FF44EB"/>
    <w:rsid w:val="00FF72B7"/>
    <w:rsid w:val="00FF7C29"/>
    <w:rsid w:val="039FC568"/>
    <w:rsid w:val="0B3D9197"/>
    <w:rsid w:val="0C019029"/>
    <w:rsid w:val="116D5280"/>
    <w:rsid w:val="12310F91"/>
    <w:rsid w:val="16959655"/>
    <w:rsid w:val="1826F177"/>
    <w:rsid w:val="1E095422"/>
    <w:rsid w:val="23120B44"/>
    <w:rsid w:val="282C45F0"/>
    <w:rsid w:val="28E40D7C"/>
    <w:rsid w:val="2B55F5CC"/>
    <w:rsid w:val="2B8298AD"/>
    <w:rsid w:val="2D4808CE"/>
    <w:rsid w:val="3125A5B8"/>
    <w:rsid w:val="3230580C"/>
    <w:rsid w:val="38B95FFB"/>
    <w:rsid w:val="39D07E2F"/>
    <w:rsid w:val="3D25EC3A"/>
    <w:rsid w:val="4011AC52"/>
    <w:rsid w:val="435CBEFC"/>
    <w:rsid w:val="4880C92D"/>
    <w:rsid w:val="4D56A603"/>
    <w:rsid w:val="4EE03F61"/>
    <w:rsid w:val="50515D83"/>
    <w:rsid w:val="545AE716"/>
    <w:rsid w:val="55F8D65F"/>
    <w:rsid w:val="569845C5"/>
    <w:rsid w:val="569FD2E9"/>
    <w:rsid w:val="57D68D20"/>
    <w:rsid w:val="581F0A64"/>
    <w:rsid w:val="5B9CF104"/>
    <w:rsid w:val="5F4FE18A"/>
    <w:rsid w:val="5F9917A5"/>
    <w:rsid w:val="6072A903"/>
    <w:rsid w:val="608EB9A1"/>
    <w:rsid w:val="68C3A743"/>
    <w:rsid w:val="6941884E"/>
    <w:rsid w:val="6C9F0C85"/>
    <w:rsid w:val="6D0BD0DB"/>
    <w:rsid w:val="6D52B594"/>
    <w:rsid w:val="6D7D262C"/>
    <w:rsid w:val="722293B7"/>
    <w:rsid w:val="73D6E676"/>
    <w:rsid w:val="77E790B6"/>
    <w:rsid w:val="78265E1F"/>
    <w:rsid w:val="7C4ED780"/>
    <w:rsid w:val="7ED90B6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7156F7"/>
  <w15:docId w15:val="{E6C380CD-1257-4B73-A922-82628AEAC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7E6F"/>
    <w:rPr>
      <w:rFonts w:ascii="Times New Roman" w:eastAsia="Times New Roman" w:hAnsi="Times New Roman"/>
      <w:sz w:val="24"/>
      <w:szCs w:val="24"/>
    </w:rPr>
  </w:style>
  <w:style w:type="paragraph" w:styleId="Heading1">
    <w:name w:val="heading 1"/>
    <w:basedOn w:val="Normal"/>
    <w:next w:val="Normal"/>
    <w:link w:val="Heading1Char"/>
    <w:uiPriority w:val="9"/>
    <w:qFormat/>
    <w:rsid w:val="00047E6F"/>
    <w:pPr>
      <w:keepNext/>
      <w:keepLines/>
      <w:spacing w:before="240"/>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5A4517"/>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9458E6"/>
    <w:pPr>
      <w:ind w:left="720"/>
    </w:pPr>
  </w:style>
  <w:style w:type="character" w:customStyle="1" w:styleId="BodyTextIndentChar">
    <w:name w:val="Body Text Indent Char"/>
    <w:basedOn w:val="DefaultParagraphFont"/>
    <w:link w:val="BodyTextIndent"/>
    <w:rsid w:val="009458E6"/>
    <w:rPr>
      <w:rFonts w:ascii="Times New Roman" w:eastAsia="Times New Roman" w:hAnsi="Times New Roman" w:cs="Times New Roman"/>
      <w:sz w:val="24"/>
      <w:szCs w:val="24"/>
    </w:rPr>
  </w:style>
  <w:style w:type="paragraph" w:styleId="BodyTextIndent2">
    <w:name w:val="Body Text Indent 2"/>
    <w:basedOn w:val="Normal"/>
    <w:link w:val="BodyTextIndent2Char"/>
    <w:rsid w:val="009458E6"/>
    <w:pPr>
      <w:ind w:left="4320" w:firstLine="720"/>
    </w:pPr>
  </w:style>
  <w:style w:type="character" w:customStyle="1" w:styleId="BodyTextIndent2Char">
    <w:name w:val="Body Text Indent 2 Char"/>
    <w:basedOn w:val="DefaultParagraphFont"/>
    <w:link w:val="BodyTextIndent2"/>
    <w:rsid w:val="009458E6"/>
    <w:rPr>
      <w:rFonts w:ascii="Times New Roman" w:eastAsia="Times New Roman" w:hAnsi="Times New Roman" w:cs="Times New Roman"/>
      <w:sz w:val="24"/>
      <w:szCs w:val="24"/>
    </w:rPr>
  </w:style>
  <w:style w:type="paragraph" w:styleId="ListParagraph">
    <w:name w:val="List Paragraph"/>
    <w:basedOn w:val="Normal"/>
    <w:uiPriority w:val="34"/>
    <w:qFormat/>
    <w:rsid w:val="009458E6"/>
    <w:pPr>
      <w:ind w:left="720"/>
    </w:pPr>
  </w:style>
  <w:style w:type="paragraph" w:styleId="Title">
    <w:name w:val="Title"/>
    <w:basedOn w:val="Normal"/>
    <w:next w:val="Normal"/>
    <w:link w:val="TitleChar"/>
    <w:uiPriority w:val="10"/>
    <w:qFormat/>
    <w:rsid w:val="004626BE"/>
    <w:pPr>
      <w:jc w:val="center"/>
    </w:pPr>
    <w:rPr>
      <w:rFonts w:eastAsiaTheme="majorEastAsia" w:cstheme="majorBidi"/>
      <w:kern w:val="28"/>
      <w:szCs w:val="56"/>
    </w:rPr>
  </w:style>
  <w:style w:type="character" w:customStyle="1" w:styleId="TitleChar">
    <w:name w:val="Title Char"/>
    <w:basedOn w:val="DefaultParagraphFont"/>
    <w:link w:val="Title"/>
    <w:uiPriority w:val="10"/>
    <w:rsid w:val="004626BE"/>
    <w:rPr>
      <w:rFonts w:ascii="Times New Roman" w:hAnsi="Times New Roman" w:eastAsiaTheme="majorEastAsia" w:cstheme="majorBidi"/>
      <w:kern w:val="28"/>
      <w:sz w:val="24"/>
      <w:szCs w:val="56"/>
    </w:rPr>
  </w:style>
  <w:style w:type="character" w:customStyle="1" w:styleId="Heading1Char">
    <w:name w:val="Heading 1 Char"/>
    <w:basedOn w:val="DefaultParagraphFont"/>
    <w:link w:val="Heading1"/>
    <w:uiPriority w:val="9"/>
    <w:rsid w:val="00047E6F"/>
    <w:rPr>
      <w:rFonts w:ascii="Times New Roman" w:hAnsi="Times New Roman" w:eastAsiaTheme="majorEastAsia" w:cstheme="majorBidi"/>
      <w:sz w:val="24"/>
      <w:szCs w:val="32"/>
    </w:rPr>
  </w:style>
  <w:style w:type="table" w:styleId="TableGrid">
    <w:name w:val="Table Grid"/>
    <w:basedOn w:val="TableNormal"/>
    <w:uiPriority w:val="59"/>
    <w:rsid w:val="00743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A4517"/>
    <w:pPr>
      <w:tabs>
        <w:tab w:val="center" w:pos="4680"/>
        <w:tab w:val="right" w:pos="9360"/>
      </w:tabs>
    </w:pPr>
  </w:style>
  <w:style w:type="character" w:customStyle="1" w:styleId="HeaderChar">
    <w:name w:val="Header Char"/>
    <w:basedOn w:val="DefaultParagraphFont"/>
    <w:link w:val="Header"/>
    <w:uiPriority w:val="99"/>
    <w:rsid w:val="005A4517"/>
    <w:rPr>
      <w:rFonts w:ascii="Times New Roman" w:eastAsia="Times New Roman" w:hAnsi="Times New Roman"/>
      <w:sz w:val="24"/>
      <w:szCs w:val="24"/>
    </w:rPr>
  </w:style>
  <w:style w:type="paragraph" w:styleId="Footer">
    <w:name w:val="footer"/>
    <w:basedOn w:val="Normal"/>
    <w:link w:val="FooterChar"/>
    <w:uiPriority w:val="99"/>
    <w:unhideWhenUsed/>
    <w:rsid w:val="005A4517"/>
    <w:pPr>
      <w:tabs>
        <w:tab w:val="center" w:pos="4680"/>
        <w:tab w:val="right" w:pos="9360"/>
      </w:tabs>
    </w:pPr>
  </w:style>
  <w:style w:type="character" w:customStyle="1" w:styleId="FooterChar">
    <w:name w:val="Footer Char"/>
    <w:basedOn w:val="DefaultParagraphFont"/>
    <w:link w:val="Footer"/>
    <w:uiPriority w:val="99"/>
    <w:rsid w:val="005A4517"/>
    <w:rPr>
      <w:rFonts w:ascii="Times New Roman" w:eastAsia="Times New Roman" w:hAnsi="Times New Roman"/>
      <w:sz w:val="24"/>
      <w:szCs w:val="24"/>
    </w:rPr>
  </w:style>
  <w:style w:type="character" w:customStyle="1" w:styleId="Heading2Char">
    <w:name w:val="Heading 2 Char"/>
    <w:basedOn w:val="DefaultParagraphFont"/>
    <w:link w:val="Heading2"/>
    <w:uiPriority w:val="9"/>
    <w:rsid w:val="005A4517"/>
    <w:rPr>
      <w:rFonts w:ascii="Times New Roman" w:hAnsi="Times New Roman" w:eastAsiaTheme="majorEastAsia" w:cstheme="majorBidi"/>
      <w:sz w:val="24"/>
      <w:szCs w:val="26"/>
    </w:rPr>
  </w:style>
  <w:style w:type="paragraph" w:styleId="BalloonText">
    <w:name w:val="Balloon Text"/>
    <w:basedOn w:val="Normal"/>
    <w:link w:val="BalloonTextChar"/>
    <w:uiPriority w:val="99"/>
    <w:semiHidden/>
    <w:unhideWhenUsed/>
    <w:rsid w:val="008445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53D"/>
    <w:rPr>
      <w:rFonts w:ascii="Segoe UI" w:eastAsia="Times New Roman" w:hAnsi="Segoe UI" w:cs="Segoe UI"/>
      <w:sz w:val="18"/>
      <w:szCs w:val="18"/>
    </w:rPr>
  </w:style>
  <w:style w:type="character" w:styleId="CommentReference">
    <w:name w:val="annotation reference"/>
    <w:basedOn w:val="DefaultParagraphFont"/>
    <w:uiPriority w:val="99"/>
    <w:unhideWhenUsed/>
    <w:rsid w:val="008C072F"/>
    <w:rPr>
      <w:sz w:val="16"/>
      <w:szCs w:val="16"/>
    </w:rPr>
  </w:style>
  <w:style w:type="paragraph" w:styleId="CommentText">
    <w:name w:val="annotation text"/>
    <w:basedOn w:val="Normal"/>
    <w:link w:val="CommentTextChar"/>
    <w:uiPriority w:val="99"/>
    <w:unhideWhenUsed/>
    <w:qFormat/>
    <w:rsid w:val="008C072F"/>
    <w:rPr>
      <w:sz w:val="20"/>
      <w:szCs w:val="20"/>
    </w:rPr>
  </w:style>
  <w:style w:type="character" w:customStyle="1" w:styleId="CommentTextChar">
    <w:name w:val="Comment Text Char"/>
    <w:basedOn w:val="DefaultParagraphFont"/>
    <w:link w:val="CommentText"/>
    <w:uiPriority w:val="99"/>
    <w:rsid w:val="008C072F"/>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8C072F"/>
    <w:rPr>
      <w:b/>
      <w:bCs/>
    </w:rPr>
  </w:style>
  <w:style w:type="character" w:customStyle="1" w:styleId="CommentSubjectChar">
    <w:name w:val="Comment Subject Char"/>
    <w:basedOn w:val="CommentTextChar"/>
    <w:link w:val="CommentSubject"/>
    <w:uiPriority w:val="99"/>
    <w:semiHidden/>
    <w:rsid w:val="008C072F"/>
    <w:rPr>
      <w:rFonts w:ascii="Times New Roman" w:eastAsia="Times New Roman" w:hAnsi="Times New Roman"/>
      <w:b/>
      <w:bCs/>
    </w:rPr>
  </w:style>
  <w:style w:type="paragraph" w:styleId="Revision">
    <w:name w:val="Revision"/>
    <w:hidden/>
    <w:uiPriority w:val="99"/>
    <w:semiHidden/>
    <w:rsid w:val="001255C3"/>
    <w:rPr>
      <w:rFonts w:ascii="Times New Roman" w:eastAsia="Times New Roman" w:hAnsi="Times New Roman"/>
      <w:sz w:val="24"/>
      <w:szCs w:val="24"/>
    </w:rPr>
  </w:style>
  <w:style w:type="table" w:customStyle="1" w:styleId="TableGrid1">
    <w:name w:val="Table Grid1"/>
    <w:basedOn w:val="TableNormal"/>
    <w:next w:val="TableGrid"/>
    <w:uiPriority w:val="59"/>
    <w:rsid w:val="00430AD0"/>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4B49B2"/>
    <w:rPr>
      <w:color w:val="2B579A"/>
      <w:shd w:val="clear" w:color="auto" w:fill="E1DFDD"/>
    </w:rPr>
  </w:style>
  <w:style w:type="paragraph" w:styleId="FootnoteText">
    <w:name w:val="footnote text"/>
    <w:aliases w:val=" Char, Char1,*Footnote Text,Char,Char1,ft"/>
    <w:basedOn w:val="Normal"/>
    <w:link w:val="FootnoteTextChar"/>
    <w:qFormat/>
    <w:rsid w:val="001A4276"/>
    <w:rPr>
      <w:rFonts w:cs="Arial"/>
      <w:sz w:val="20"/>
      <w:szCs w:val="20"/>
    </w:rPr>
  </w:style>
  <w:style w:type="character" w:customStyle="1" w:styleId="FootnoteTextChar">
    <w:name w:val="Footnote Text Char"/>
    <w:aliases w:val=" Char Char, Char1 Char,*Footnote Text Char,Char Char,Char1 Char,ft Char"/>
    <w:basedOn w:val="DefaultParagraphFont"/>
    <w:link w:val="FootnoteText"/>
    <w:rsid w:val="001A4276"/>
    <w:rPr>
      <w:rFonts w:ascii="Times New Roman" w:eastAsia="Times New Roman" w:hAnsi="Times New Roman" w:cs="Arial"/>
    </w:rPr>
  </w:style>
  <w:style w:type="character" w:styleId="FootnoteReference">
    <w:name w:val="footnote reference"/>
    <w:aliases w:val="*Footnote Reference,Number"/>
    <w:basedOn w:val="DefaultParagraphFont"/>
    <w:qFormat/>
    <w:rsid w:val="001A42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Props1.xml><?xml version="1.0" encoding="utf-8"?>
<ds:datastoreItem xmlns:ds="http://schemas.openxmlformats.org/officeDocument/2006/customXml" ds:itemID="{487BF226-2FA6-4EB6-B527-131D21256BC2}">
  <ds:schemaRefs>
    <ds:schemaRef ds:uri="http://schemas.openxmlformats.org/officeDocument/2006/bibliography"/>
  </ds:schemaRefs>
</ds:datastoreItem>
</file>

<file path=customXml/itemProps2.xml><?xml version="1.0" encoding="utf-8"?>
<ds:datastoreItem xmlns:ds="http://schemas.openxmlformats.org/officeDocument/2006/customXml" ds:itemID="{1E697113-81C7-4C86-9CA0-07CC25AEB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35EBD4-491E-41C8-9D9B-23A875199F5C}">
  <ds:schemaRefs>
    <ds:schemaRef ds:uri="http://schemas.microsoft.com/sharepoint/v3/contenttype/forms"/>
  </ds:schemaRefs>
</ds:datastoreItem>
</file>

<file path=customXml/itemProps4.xml><?xml version="1.0" encoding="utf-8"?>
<ds:datastoreItem xmlns:ds="http://schemas.openxmlformats.org/officeDocument/2006/customXml" ds:itemID="{4D19A6A9-0843-4198-B4A0-A6AAA3632AD4}">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1642</Words>
  <Characters>9363</Characters>
  <Application>Microsoft Office Word</Application>
  <DocSecurity>0</DocSecurity>
  <Lines>78</Lines>
  <Paragraphs>21</Paragraphs>
  <ScaleCrop>false</ScaleCrop>
  <Company>ATF</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Collection</dc:title>
  <dc:subject>Cost Estimates Associated with Info Collection</dc:subject>
  <dc:creator>ATF</dc:creator>
  <cp:lastModifiedBy>Holmes-Brooks, Colette N. (ATF) (CTR)</cp:lastModifiedBy>
  <cp:revision>2</cp:revision>
  <cp:lastPrinted>2012-05-22T17:18:00Z</cp:lastPrinted>
  <dcterms:created xsi:type="dcterms:W3CDTF">2026-10-28T12:58:00Z</dcterms:created>
  <dcterms:modified xsi:type="dcterms:W3CDTF">2026-10-28T12:58:00Z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MediaServiceImageTags">
    <vt:lpwstr/>
  </property>
</Properties>
</file>