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C0CCF" w:rsidRPr="001C27EF" w:rsidP="000C17D6" w14:paraId="353CFD53" w14:textId="77777777">
      <w:pPr>
        <w:spacing w:after="120" w:line="240" w:lineRule="auto"/>
        <w:jc w:val="center"/>
        <w:rPr>
          <w:rFonts w:ascii="Times New Roman" w:hAnsi="Times New Roman" w:cs="Times New Roman"/>
          <w:b/>
          <w:bCs/>
          <w:sz w:val="24"/>
          <w:szCs w:val="24"/>
        </w:rPr>
      </w:pPr>
      <w:r w:rsidRPr="001C27EF">
        <w:rPr>
          <w:rFonts w:ascii="Times New Roman" w:hAnsi="Times New Roman" w:cs="Times New Roman"/>
          <w:b/>
          <w:bCs/>
          <w:sz w:val="24"/>
          <w:szCs w:val="24"/>
        </w:rPr>
        <w:t>US Department of the Treasury</w:t>
      </w:r>
    </w:p>
    <w:p w:rsidR="0008120F" w:rsidRPr="001C27EF" w:rsidP="000C17D6" w14:paraId="4DE6D73A" w14:textId="4837EABA">
      <w:pPr>
        <w:spacing w:after="120" w:line="240" w:lineRule="auto"/>
        <w:jc w:val="center"/>
        <w:rPr>
          <w:rFonts w:ascii="Times New Roman" w:hAnsi="Times New Roman" w:cs="Times New Roman"/>
          <w:b/>
          <w:bCs/>
          <w:sz w:val="24"/>
          <w:szCs w:val="24"/>
        </w:rPr>
      </w:pPr>
      <w:r w:rsidRPr="001C27EF">
        <w:rPr>
          <w:rFonts w:ascii="Times New Roman" w:hAnsi="Times New Roman" w:cs="Times New Roman"/>
          <w:b/>
          <w:bCs/>
          <w:sz w:val="24"/>
          <w:szCs w:val="24"/>
        </w:rPr>
        <w:t>PRA Supporting Statement</w:t>
      </w:r>
    </w:p>
    <w:p w:rsidR="007E4142" w:rsidRPr="001C27EF" w:rsidP="000C17D6" w14:paraId="5527159A" w14:textId="525474C5">
      <w:pPr>
        <w:spacing w:after="120" w:line="240" w:lineRule="auto"/>
        <w:rPr>
          <w:rFonts w:ascii="Times New Roman" w:hAnsi="Times New Roman" w:cs="Times New Roman"/>
          <w:b/>
          <w:bCs/>
          <w:sz w:val="24"/>
          <w:szCs w:val="24"/>
        </w:rPr>
      </w:pPr>
      <w:r w:rsidRPr="001C27EF">
        <w:rPr>
          <w:rFonts w:ascii="Times New Roman" w:hAnsi="Times New Roman" w:cs="Times New Roman"/>
          <w:b/>
          <w:bCs/>
          <w:sz w:val="24"/>
          <w:szCs w:val="24"/>
        </w:rPr>
        <w:t xml:space="preserve">Title: </w:t>
      </w:r>
      <w:r w:rsidRPr="001C27EF" w:rsidR="00790D26">
        <w:rPr>
          <w:rFonts w:ascii="Times New Roman" w:hAnsi="Times New Roman" w:cs="Times New Roman"/>
          <w:b/>
          <w:bCs/>
          <w:sz w:val="24"/>
          <w:szCs w:val="24"/>
        </w:rPr>
        <w:t>Recordkeeping; 21st Century ROAD to Housing Act Prohibition on Large Institutional Investor Purchases of Single-Family Homes</w:t>
      </w:r>
    </w:p>
    <w:p w:rsidR="007E4142" w:rsidRPr="001C27EF" w:rsidP="000C17D6" w14:paraId="30B8829C" w14:textId="3F23A33D">
      <w:pPr>
        <w:spacing w:after="120" w:line="240" w:lineRule="auto"/>
        <w:rPr>
          <w:rFonts w:ascii="Times New Roman" w:hAnsi="Times New Roman" w:cs="Times New Roman"/>
          <w:b/>
          <w:bCs/>
          <w:sz w:val="24"/>
          <w:szCs w:val="24"/>
        </w:rPr>
      </w:pPr>
      <w:r w:rsidRPr="001C27EF">
        <w:rPr>
          <w:rFonts w:ascii="Times New Roman" w:hAnsi="Times New Roman" w:cs="Times New Roman"/>
          <w:b/>
          <w:bCs/>
          <w:sz w:val="24"/>
          <w:szCs w:val="24"/>
        </w:rPr>
        <w:t xml:space="preserve">OMB Control Number: </w:t>
      </w:r>
      <w:r w:rsidRPr="001C27EF" w:rsidR="008873B1">
        <w:rPr>
          <w:rFonts w:ascii="Times New Roman" w:hAnsi="Times New Roman" w:cs="Times New Roman"/>
          <w:b/>
          <w:bCs/>
          <w:sz w:val="24"/>
          <w:szCs w:val="24"/>
        </w:rPr>
        <w:t>1505-</w:t>
      </w:r>
      <w:r w:rsidRPr="001C27EF" w:rsidR="004C0CCF">
        <w:rPr>
          <w:rFonts w:ascii="Times New Roman" w:hAnsi="Times New Roman" w:cs="Times New Roman"/>
          <w:b/>
          <w:bCs/>
          <w:sz w:val="24"/>
          <w:szCs w:val="24"/>
        </w:rPr>
        <w:t>NEW</w:t>
      </w:r>
    </w:p>
    <w:p w:rsidR="004C0CCF" w:rsidRPr="001C27EF" w:rsidP="000C17D6" w14:paraId="13771A4E" w14:textId="4CF2C570">
      <w:pPr>
        <w:spacing w:after="120" w:line="240" w:lineRule="auto"/>
        <w:rPr>
          <w:rFonts w:ascii="Times New Roman" w:hAnsi="Times New Roman" w:cs="Times New Roman"/>
          <w:b/>
          <w:bCs/>
          <w:sz w:val="24"/>
          <w:szCs w:val="24"/>
        </w:rPr>
      </w:pPr>
      <w:r w:rsidRPr="001C27EF">
        <w:rPr>
          <w:rFonts w:ascii="Times New Roman" w:hAnsi="Times New Roman" w:cs="Times New Roman"/>
          <w:b/>
          <w:bCs/>
          <w:sz w:val="24"/>
          <w:szCs w:val="24"/>
        </w:rPr>
        <w:t xml:space="preserve">RIN: </w:t>
      </w:r>
      <w:r w:rsidRPr="001C27EF" w:rsidR="00F94FDA">
        <w:rPr>
          <w:rFonts w:ascii="Times New Roman" w:hAnsi="Times New Roman" w:cs="Times New Roman"/>
          <w:b/>
          <w:bCs/>
          <w:sz w:val="24"/>
          <w:szCs w:val="24"/>
        </w:rPr>
        <w:t>1505-AC9</w:t>
      </w:r>
      <w:r w:rsidRPr="001C27EF" w:rsidR="00790D26">
        <w:rPr>
          <w:rFonts w:ascii="Times New Roman" w:hAnsi="Times New Roman" w:cs="Times New Roman"/>
          <w:b/>
          <w:bCs/>
          <w:sz w:val="24"/>
          <w:szCs w:val="24"/>
        </w:rPr>
        <w:t>6</w:t>
      </w:r>
    </w:p>
    <w:p w:rsidR="007463B8" w:rsidRPr="001C27EF" w:rsidP="000C17D6" w14:paraId="54BC0E6C" w14:textId="535E79E7">
      <w:pPr>
        <w:spacing w:after="120" w:line="240" w:lineRule="auto"/>
        <w:rPr>
          <w:rFonts w:ascii="Times New Roman" w:eastAsia="Times New Roman" w:hAnsi="Times New Roman" w:cs="Times New Roman"/>
          <w:b/>
          <w:sz w:val="24"/>
          <w:szCs w:val="24"/>
        </w:rPr>
      </w:pPr>
      <w:r w:rsidRPr="001C27EF">
        <w:rPr>
          <w:rFonts w:ascii="Times New Roman" w:hAnsi="Times New Roman" w:cs="Times New Roman"/>
          <w:b/>
          <w:bCs/>
          <w:sz w:val="24"/>
          <w:szCs w:val="24"/>
        </w:rPr>
        <w:t>PART A. JUSTIFICATION</w:t>
      </w:r>
    </w:p>
    <w:p w:rsidR="007463B8" w:rsidRPr="001C27EF" w:rsidP="000C17D6" w14:paraId="149885F2" w14:textId="6CA3C01C">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 Explain the circumstances that make the collection of information necessary.</w:t>
      </w:r>
    </w:p>
    <w:p w:rsidR="000C17D6" w:rsidRPr="001C27EF" w:rsidP="000C17D6" w14:paraId="7B11CD08" w14:textId="388DD30D">
      <w:pPr>
        <w:spacing w:after="120" w:line="240" w:lineRule="auto"/>
        <w:rPr>
          <w:rStyle w:val="eop"/>
          <w:rFonts w:ascii="Times New Roman" w:hAnsi="Times New Roman" w:cs="Times New Roman"/>
          <w:color w:val="000000" w:themeColor="text1"/>
          <w:sz w:val="24"/>
          <w:szCs w:val="24"/>
        </w:rPr>
      </w:pPr>
      <w:r w:rsidRPr="001C27EF">
        <w:rPr>
          <w:rStyle w:val="normaltextrun"/>
          <w:rFonts w:ascii="Times New Roman" w:hAnsi="Times New Roman" w:cs="Times New Roman"/>
          <w:color w:val="000000" w:themeColor="text1"/>
          <w:sz w:val="24"/>
          <w:szCs w:val="24"/>
        </w:rPr>
        <w:t>Section 1001 of the 21st Century ROAD to Housing Act (Act),</w:t>
      </w:r>
      <w:r>
        <w:rPr>
          <w:rStyle w:val="FootnoteReference"/>
          <w:rFonts w:ascii="Times New Roman" w:hAnsi="Times New Roman" w:cs="Times New Roman"/>
          <w:color w:val="000000" w:themeColor="text1"/>
          <w:sz w:val="24"/>
          <w:szCs w:val="24"/>
        </w:rPr>
        <w:footnoteReference w:id="2"/>
      </w:r>
      <w:r w:rsidRPr="001C27EF">
        <w:rPr>
          <w:rStyle w:val="normaltextrun"/>
          <w:rFonts w:ascii="Times New Roman" w:hAnsi="Times New Roman" w:cs="Times New Roman"/>
          <w:color w:val="000000" w:themeColor="text1"/>
          <w:sz w:val="24"/>
          <w:szCs w:val="24"/>
        </w:rPr>
        <w:t xml:space="preserve"> enacted on July 11, 2026, is intended to promote homeownership opportunities for American families by prohibiting purchases</w:t>
      </w:r>
      <w:r w:rsidRPr="001C27EF">
        <w:rPr>
          <w:rFonts w:ascii="Times New Roman" w:hAnsi="Times New Roman" w:cs="Times New Roman"/>
          <w:sz w:val="24"/>
          <w:szCs w:val="24"/>
        </w:rPr>
        <w:t xml:space="preserve"> </w:t>
      </w:r>
      <w:r w:rsidRPr="001C27EF">
        <w:rPr>
          <w:rStyle w:val="normaltextrun"/>
          <w:rFonts w:ascii="Times New Roman" w:hAnsi="Times New Roman" w:cs="Times New Roman"/>
          <w:color w:val="000000" w:themeColor="text1"/>
          <w:sz w:val="24"/>
          <w:szCs w:val="24"/>
        </w:rPr>
        <w:t>of single-family homes</w:t>
      </w:r>
      <w:r w:rsidRPr="001C27EF">
        <w:rPr>
          <w:rFonts w:ascii="Times New Roman" w:hAnsi="Times New Roman" w:cs="Times New Roman"/>
          <w:sz w:val="24"/>
          <w:szCs w:val="24"/>
        </w:rPr>
        <w:t xml:space="preserve"> </w:t>
      </w:r>
      <w:r w:rsidRPr="001C27EF">
        <w:rPr>
          <w:rStyle w:val="normaltextrun"/>
          <w:rFonts w:ascii="Times New Roman" w:hAnsi="Times New Roman" w:cs="Times New Roman"/>
          <w:color w:val="000000" w:themeColor="text1"/>
          <w:sz w:val="24"/>
          <w:szCs w:val="24"/>
        </w:rPr>
        <w:t>by large institutional investors,</w:t>
      </w:r>
      <w:r>
        <w:rPr>
          <w:rStyle w:val="FootnoteReference"/>
          <w:rFonts w:ascii="Times New Roman" w:hAnsi="Times New Roman" w:cs="Times New Roman"/>
          <w:color w:val="000000" w:themeColor="text1"/>
          <w:sz w:val="24"/>
          <w:szCs w:val="24"/>
        </w:rPr>
        <w:footnoteReference w:id="3"/>
      </w:r>
      <w:r w:rsidRPr="001C27EF">
        <w:rPr>
          <w:rStyle w:val="normaltextrun"/>
          <w:rFonts w:ascii="Times New Roman" w:hAnsi="Times New Roman" w:cs="Times New Roman"/>
          <w:color w:val="000000" w:themeColor="text1"/>
          <w:sz w:val="24"/>
          <w:szCs w:val="24"/>
        </w:rPr>
        <w:t xml:space="preserve"> subject to specified “excepted purchases.” The statute defines “excepted purchase” to include purchases made pursuant to a build-to-rent program, renovate-to-rent program, homeownership program, or program to boost homeownership, among others.</w:t>
      </w:r>
      <w:r>
        <w:rPr>
          <w:rStyle w:val="FootnoteReference"/>
          <w:rFonts w:ascii="Times New Roman" w:hAnsi="Times New Roman" w:cs="Times New Roman"/>
          <w:color w:val="000000" w:themeColor="text1"/>
          <w:sz w:val="24"/>
          <w:szCs w:val="24"/>
        </w:rPr>
        <w:footnoteReference w:id="4"/>
      </w:r>
      <w:r w:rsidRPr="001C27EF">
        <w:rPr>
          <w:rStyle w:val="normaltextrun"/>
          <w:rFonts w:ascii="Times New Roman" w:hAnsi="Times New Roman" w:cs="Times New Roman"/>
          <w:color w:val="000000" w:themeColor="text1"/>
          <w:sz w:val="24"/>
          <w:szCs w:val="24"/>
        </w:rPr>
        <w:t xml:space="preserve"> In appropriate circumstances, these excepted activities can support or increase the nation’s housing supply without reducing the availability of single-family homes for families and other owner-occupants.</w:t>
      </w:r>
      <w:r w:rsidRPr="001C27EF">
        <w:rPr>
          <w:rStyle w:val="eop"/>
          <w:rFonts w:ascii="Times New Roman" w:hAnsi="Times New Roman" w:cs="Times New Roman"/>
          <w:color w:val="000000" w:themeColor="text1"/>
          <w:sz w:val="24"/>
          <w:szCs w:val="24"/>
        </w:rPr>
        <w:t xml:space="preserve"> </w:t>
      </w:r>
    </w:p>
    <w:p w:rsidR="000C17D6" w:rsidRPr="001C27EF" w:rsidP="000C17D6" w14:paraId="1F9BC30B" w14:textId="7E00ADA0">
      <w:pPr>
        <w:spacing w:after="120" w:line="240" w:lineRule="auto"/>
        <w:rPr>
          <w:rFonts w:ascii="Times New Roman" w:hAnsi="Times New Roman" w:cs="Times New Roman"/>
          <w:sz w:val="24"/>
          <w:szCs w:val="24"/>
        </w:rPr>
      </w:pPr>
      <w:r w:rsidRPr="001C27EF">
        <w:rPr>
          <w:rStyle w:val="normaltextrun"/>
          <w:rFonts w:ascii="Times New Roman" w:hAnsi="Times New Roman" w:cs="Times New Roman"/>
          <w:sz w:val="24"/>
          <w:szCs w:val="24"/>
        </w:rPr>
        <w:t xml:space="preserve">The ROAD Act authorizes Treasury, in consultation with the Secretary of Housing and Urban Development, the Director of the Federal Housing Finance Agency, and the Chair of the Securities and Exchange Commission, to issue regulations to carry out the purposes of section 1001, including regulations </w:t>
      </w:r>
      <w:r w:rsidRPr="001C27EF">
        <w:rPr>
          <w:rFonts w:ascii="Times New Roman" w:hAnsi="Times New Roman" w:cs="Times New Roman"/>
          <w:sz w:val="24"/>
          <w:szCs w:val="24"/>
        </w:rPr>
        <w:t>to “(i) minimize market disruptions upon identifying a risk of material negative impact on the housing market, including an impact on the ability of market participants to dispose of single-family homes in an orderly fashion; and (ii) mitigate, to the extent possible, negative impacts on consumers and communities.”</w:t>
      </w:r>
      <w:r>
        <w:rPr>
          <w:rStyle w:val="FootnoteReference"/>
          <w:rFonts w:ascii="Times New Roman" w:hAnsi="Times New Roman" w:cs="Times New Roman"/>
          <w:sz w:val="24"/>
          <w:szCs w:val="24"/>
        </w:rPr>
        <w:footnoteReference w:id="5"/>
      </w:r>
      <w:r w:rsidRPr="001C27EF">
        <w:rPr>
          <w:rFonts w:ascii="Times New Roman" w:hAnsi="Times New Roman" w:cs="Times New Roman"/>
          <w:sz w:val="24"/>
          <w:szCs w:val="24"/>
        </w:rPr>
        <w:t xml:space="preserve"> Treasury’s regulations may not “amend the definitions” of certain terms that are defined in the statute.</w:t>
      </w:r>
      <w:r>
        <w:rPr>
          <w:rStyle w:val="FootnoteReference"/>
          <w:rFonts w:ascii="Times New Roman" w:hAnsi="Times New Roman" w:cs="Times New Roman"/>
          <w:sz w:val="24"/>
          <w:szCs w:val="24"/>
        </w:rPr>
        <w:footnoteReference w:id="6"/>
      </w:r>
      <w:r w:rsidRPr="001C27EF">
        <w:rPr>
          <w:rFonts w:ascii="Times New Roman" w:hAnsi="Times New Roman" w:cs="Times New Roman"/>
          <w:sz w:val="24"/>
          <w:szCs w:val="24"/>
        </w:rPr>
        <w:t xml:space="preserve"> </w:t>
      </w:r>
    </w:p>
    <w:p w:rsidR="000C17D6" w:rsidRPr="001C27EF" w:rsidP="000C17D6" w14:paraId="0F1362CA" w14:textId="359639C4">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 xml:space="preserve">The statute’s requirements and prohibitions take effect on the date that is 180 days after the date of enactment of </w:t>
      </w:r>
      <w:r w:rsidRPr="001C27EF">
        <w:rPr>
          <w:rStyle w:val="normaltextrun"/>
          <w:rFonts w:ascii="Times New Roman" w:hAnsi="Times New Roman" w:cs="Times New Roman"/>
          <w:sz w:val="24"/>
          <w:szCs w:val="24"/>
        </w:rPr>
        <w:t xml:space="preserve">the </w:t>
      </w:r>
      <w:r w:rsidRPr="001C27EF">
        <w:rPr>
          <w:rFonts w:ascii="Times New Roman" w:hAnsi="Times New Roman" w:cs="Times New Roman"/>
          <w:sz w:val="24"/>
          <w:szCs w:val="24"/>
        </w:rPr>
        <w:t>Act (i.e., on January 7, 2027).</w:t>
      </w:r>
    </w:p>
    <w:p w:rsidR="000C17D6" w:rsidRPr="001C27EF" w:rsidP="000C17D6" w14:paraId="617D0B9E" w14:textId="2188DC0C">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 xml:space="preserve">Treasury is issuing the notice of proposed </w:t>
      </w:r>
      <w:r w:rsidRPr="001C27EF" w:rsidR="00E77CCC">
        <w:rPr>
          <w:rFonts w:ascii="Times New Roman" w:hAnsi="Times New Roman" w:cs="Times New Roman"/>
          <w:sz w:val="24"/>
          <w:szCs w:val="24"/>
        </w:rPr>
        <w:t>rule</w:t>
      </w:r>
      <w:r w:rsidRPr="001C27EF">
        <w:rPr>
          <w:rFonts w:ascii="Times New Roman" w:hAnsi="Times New Roman" w:cs="Times New Roman"/>
          <w:sz w:val="24"/>
          <w:szCs w:val="24"/>
        </w:rPr>
        <w:t>making to implement the Act</w:t>
      </w:r>
      <w:r w:rsidRPr="001C27EF" w:rsidR="00E77CCC">
        <w:rPr>
          <w:rFonts w:ascii="Times New Roman" w:hAnsi="Times New Roman" w:cs="Times New Roman"/>
          <w:sz w:val="24"/>
          <w:szCs w:val="24"/>
        </w:rPr>
        <w:t xml:space="preserve"> </w:t>
      </w:r>
      <w:r w:rsidRPr="001C27EF">
        <w:rPr>
          <w:rFonts w:ascii="Times New Roman" w:hAnsi="Times New Roman" w:cs="Times New Roman"/>
          <w:sz w:val="24"/>
          <w:szCs w:val="24"/>
        </w:rPr>
        <w:t>(the</w:t>
      </w:r>
      <w:r w:rsidRPr="001C27EF" w:rsidR="00E77CCC">
        <w:rPr>
          <w:rFonts w:ascii="Times New Roman" w:hAnsi="Times New Roman" w:cs="Times New Roman"/>
          <w:sz w:val="24"/>
          <w:szCs w:val="24"/>
        </w:rPr>
        <w:t xml:space="preserve"> </w:t>
      </w:r>
      <w:r w:rsidRPr="001C27EF">
        <w:rPr>
          <w:rFonts w:ascii="Times New Roman" w:hAnsi="Times New Roman" w:cs="Times New Roman"/>
          <w:sz w:val="24"/>
          <w:szCs w:val="24"/>
        </w:rPr>
        <w:t xml:space="preserve">NPR) </w:t>
      </w:r>
      <w:r w:rsidRPr="001C27EF">
        <w:rPr>
          <w:rFonts w:ascii="Times New Roman" w:hAnsi="Times New Roman" w:cs="Times New Roman"/>
          <w:sz w:val="24"/>
          <w:szCs w:val="24"/>
        </w:rPr>
        <w:t>in order to</w:t>
      </w:r>
      <w:r w:rsidRPr="001C27EF">
        <w:rPr>
          <w:rFonts w:ascii="Times New Roman" w:hAnsi="Times New Roman" w:cs="Times New Roman"/>
          <w:sz w:val="24"/>
          <w:szCs w:val="24"/>
        </w:rPr>
        <w:t xml:space="preserve"> promote clarity for market participants and other stakeholders regarding the restrictions in section 1001 of the ROAD Act. </w:t>
      </w:r>
      <w:r w:rsidRPr="001C27EF">
        <w:rPr>
          <w:rStyle w:val="normaltextrun"/>
          <w:rFonts w:ascii="Times New Roman" w:hAnsi="Times New Roman" w:cs="Times New Roman"/>
          <w:sz w:val="24"/>
          <w:szCs w:val="24"/>
        </w:rPr>
        <w:t>In particular, the NPR is intended to clarify the meaning and application of certain terms that are used but not defined in the Act.</w:t>
      </w:r>
      <w:r w:rsidRPr="001C27EF">
        <w:rPr>
          <w:rStyle w:val="normaltextrun"/>
          <w:rFonts w:ascii="Times New Roman" w:hAnsi="Times New Roman" w:cs="Times New Roman"/>
          <w:color w:val="000000" w:themeColor="text1"/>
          <w:sz w:val="24"/>
          <w:szCs w:val="24"/>
        </w:rPr>
        <w:t xml:space="preserve"> The NPR clarifies terms used in the statutory definitions of “excepted purchase” and “large institutional investor”: “program,” “build-to-rent program,” “renovate-to-rent program,” “homeownership program,” “program to boost homeownership,” “engaged in the business of,” “passive investor,” “purchase price of the single-family home,” and “structural or core system.” The NPR also </w:t>
      </w:r>
      <w:r w:rsidRPr="001C27EF">
        <w:rPr>
          <w:rStyle w:val="eop"/>
          <w:rFonts w:ascii="Times New Roman" w:hAnsi="Times New Roman" w:cs="Times New Roman"/>
          <w:color w:val="000000" w:themeColor="text1"/>
          <w:sz w:val="24"/>
          <w:szCs w:val="24"/>
        </w:rPr>
        <w:t xml:space="preserve">clarifies the scope of excepted purchases made pursuant to </w:t>
      </w:r>
      <w:r w:rsidRPr="001C27EF">
        <w:rPr>
          <w:rFonts w:ascii="Times New Roman" w:hAnsi="Times New Roman" w:cs="Times New Roman"/>
          <w:bCs/>
          <w:sz w:val="24"/>
          <w:szCs w:val="24"/>
        </w:rPr>
        <w:t xml:space="preserve">sections </w:t>
      </w:r>
      <w:r w:rsidRPr="001C27EF">
        <w:rPr>
          <w:rFonts w:ascii="Times New Roman" w:hAnsi="Times New Roman" w:cs="Times New Roman"/>
          <w:sz w:val="24"/>
          <w:szCs w:val="24"/>
        </w:rPr>
        <w:t xml:space="preserve">1001(a)(2)(F), (G), and (H) of the Act, which relate to certain purchases in connection with the satisfaction of debts previously contracted; certain </w:t>
      </w:r>
      <w:r w:rsidRPr="001C27EF">
        <w:rPr>
          <w:rFonts w:ascii="Times New Roman" w:hAnsi="Times New Roman" w:cs="Times New Roman"/>
          <w:color w:val="000000" w:themeColor="text1"/>
          <w:sz w:val="24"/>
          <w:szCs w:val="24"/>
        </w:rPr>
        <w:t xml:space="preserve">purchases for the purpose of loss mitigation or compliance with servicing or </w:t>
      </w:r>
      <w:r w:rsidRPr="001C27EF">
        <w:rPr>
          <w:rFonts w:ascii="Times New Roman" w:hAnsi="Times New Roman" w:cs="Times New Roman"/>
          <w:color w:val="000000" w:themeColor="text1"/>
          <w:sz w:val="24"/>
          <w:szCs w:val="24"/>
        </w:rPr>
        <w:t>investor obligations</w:t>
      </w:r>
      <w:r w:rsidRPr="001C27EF">
        <w:rPr>
          <w:rFonts w:ascii="Times New Roman" w:hAnsi="Times New Roman" w:cs="Times New Roman"/>
          <w:sz w:val="24"/>
          <w:szCs w:val="24"/>
        </w:rPr>
        <w:t>; and certain purchases from another large institutional investor. Finally, the NPR clarifies the calculation of the maximum civil penalty for a purchase made in violation of the Act by more than one large institutional investor.</w:t>
      </w:r>
    </w:p>
    <w:p w:rsidR="001C27EF" w:rsidRPr="001C27EF" w:rsidP="001C27EF" w14:paraId="5BEEE587" w14:textId="77777777">
      <w:pPr>
        <w:spacing w:after="120" w:line="240" w:lineRule="auto"/>
        <w:rPr>
          <w:rStyle w:val="normaltextrun"/>
          <w:rFonts w:ascii="Times New Roman" w:hAnsi="Times New Roman" w:cs="Times New Roman"/>
          <w:color w:val="000000" w:themeColor="text1"/>
          <w:sz w:val="24"/>
          <w:szCs w:val="24"/>
        </w:rPr>
      </w:pPr>
      <w:r w:rsidRPr="001C27EF">
        <w:rPr>
          <w:rStyle w:val="normaltextrun"/>
          <w:rFonts w:ascii="Times New Roman" w:hAnsi="Times New Roman" w:cs="Times New Roman"/>
          <w:color w:val="000000" w:themeColor="text1"/>
          <w:sz w:val="24"/>
          <w:szCs w:val="24"/>
        </w:rPr>
        <w:t xml:space="preserve">The proposed rule is intended to assist market participants and other stakeholders in determining whether </w:t>
      </w:r>
      <w:r w:rsidRPr="001C27EF">
        <w:rPr>
          <w:rStyle w:val="normaltextrun"/>
          <w:rFonts w:ascii="Times New Roman" w:hAnsi="Times New Roman" w:cs="Times New Roman"/>
          <w:color w:val="000000" w:themeColor="text1"/>
          <w:sz w:val="24"/>
          <w:szCs w:val="24"/>
        </w:rPr>
        <w:t>particular acquisition</w:t>
      </w:r>
      <w:r w:rsidRPr="001C27EF">
        <w:rPr>
          <w:rStyle w:val="normaltextrun"/>
          <w:rFonts w:ascii="Times New Roman" w:hAnsi="Times New Roman" w:cs="Times New Roman"/>
          <w:color w:val="000000" w:themeColor="text1"/>
          <w:sz w:val="24"/>
          <w:szCs w:val="24"/>
        </w:rPr>
        <w:t xml:space="preserve"> structures, contractual arrangements, and purchase programs are consistent with the ROAD Act.</w:t>
      </w:r>
      <w:r>
        <w:rPr>
          <w:rStyle w:val="FootnoteReference"/>
          <w:rFonts w:ascii="Times New Roman" w:hAnsi="Times New Roman" w:cs="Times New Roman"/>
          <w:color w:val="000000" w:themeColor="text1"/>
          <w:sz w:val="24"/>
          <w:szCs w:val="24"/>
        </w:rPr>
        <w:footnoteReference w:id="7"/>
      </w:r>
    </w:p>
    <w:p w:rsidR="001C27EF" w:rsidRPr="001C27EF" w:rsidP="001C27EF" w14:paraId="2DB76C3B" w14:textId="2FF7CB23">
      <w:pPr>
        <w:spacing w:after="120" w:line="240" w:lineRule="auto"/>
        <w:rPr>
          <w:rFonts w:ascii="Times New Roman" w:hAnsi="Times New Roman" w:cs="Times New Roman"/>
          <w:color w:val="000000" w:themeColor="text1"/>
          <w:sz w:val="24"/>
          <w:szCs w:val="24"/>
        </w:rPr>
      </w:pPr>
      <w:r w:rsidRPr="001C27EF">
        <w:rPr>
          <w:rFonts w:ascii="Times New Roman" w:hAnsi="Times New Roman" w:cs="Times New Roman"/>
          <w:sz w:val="24"/>
          <w:szCs w:val="24"/>
        </w:rPr>
        <w:t xml:space="preserve">The preamble to the NPR states that Treasury expects a large institutional investor seeking to rely on a program-based excepted purchase to maintain records sufficient to demonstrate that the program was implemented and that relevant purchases were made pursuant to the program. Such records may assist an entity in substantiating, and Treasury in </w:t>
      </w:r>
      <w:r w:rsidRPr="001C27EF">
        <w:rPr>
          <w:rFonts w:ascii="Times New Roman" w:hAnsi="Times New Roman" w:cs="Times New Roman"/>
          <w:sz w:val="24"/>
          <w:szCs w:val="24"/>
        </w:rPr>
        <w:t>evaluating,</w:t>
      </w:r>
      <w:r w:rsidRPr="001C27EF">
        <w:rPr>
          <w:rFonts w:ascii="Times New Roman" w:hAnsi="Times New Roman" w:cs="Times New Roman"/>
          <w:sz w:val="24"/>
          <w:szCs w:val="24"/>
        </w:rPr>
        <w:t xml:space="preserve"> whether a purchase qualifies as an </w:t>
      </w:r>
      <w:r w:rsidRPr="001C27EF">
        <w:rPr>
          <w:rFonts w:ascii="Times New Roman" w:hAnsi="Times New Roman" w:cs="Times New Roman"/>
          <w:sz w:val="24"/>
          <w:szCs w:val="24"/>
        </w:rPr>
        <w:t>excepted purchase</w:t>
      </w:r>
      <w:r w:rsidRPr="001C27EF">
        <w:rPr>
          <w:rFonts w:ascii="Times New Roman" w:hAnsi="Times New Roman" w:cs="Times New Roman"/>
          <w:sz w:val="24"/>
          <w:szCs w:val="24"/>
        </w:rPr>
        <w:t xml:space="preserve">. The NPR does not prescribe </w:t>
      </w:r>
      <w:r w:rsidRPr="001C27EF">
        <w:rPr>
          <w:rFonts w:ascii="Times New Roman" w:hAnsi="Times New Roman" w:cs="Times New Roman"/>
          <w:sz w:val="24"/>
          <w:szCs w:val="24"/>
        </w:rPr>
        <w:t>particular records</w:t>
      </w:r>
      <w:r w:rsidRPr="001C27EF">
        <w:rPr>
          <w:rFonts w:ascii="Times New Roman" w:hAnsi="Times New Roman" w:cs="Times New Roman"/>
          <w:sz w:val="24"/>
          <w:szCs w:val="24"/>
        </w:rPr>
        <w:t xml:space="preserve"> or a retention period, and the records would not be routinely submitted to Treasury. Treasury expects that most relevant records </w:t>
      </w:r>
      <w:r w:rsidRPr="001C27EF">
        <w:rPr>
          <w:rFonts w:ascii="Times New Roman" w:hAnsi="Times New Roman" w:cs="Times New Roman"/>
          <w:sz w:val="24"/>
          <w:szCs w:val="24"/>
        </w:rPr>
        <w:t>would</w:t>
      </w:r>
      <w:r w:rsidRPr="001C27EF">
        <w:rPr>
          <w:rFonts w:ascii="Times New Roman" w:hAnsi="Times New Roman" w:cs="Times New Roman"/>
          <w:sz w:val="24"/>
          <w:szCs w:val="24"/>
        </w:rPr>
        <w:t xml:space="preserve"> be created in the ordinary course of business. </w:t>
      </w:r>
    </w:p>
    <w:p w:rsidR="00587190" w:rsidRPr="001C27EF" w:rsidP="000C17D6" w14:paraId="0179B85E" w14:textId="5DA7E619">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2. How, by whom, and for what purpose is the information to be used. Except for a new collection, indicate the actual use the agency has made of the information received from the current collection.</w:t>
      </w:r>
    </w:p>
    <w:p w:rsidR="00DD14F1" w:rsidRPr="001C27EF" w:rsidP="000C17D6" w14:paraId="5BB6F7AD" w14:textId="5C62C1F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The records are intended to </w:t>
      </w:r>
      <w:r w:rsidRPr="001C27EF">
        <w:rPr>
          <w:rFonts w:ascii="Times New Roman" w:hAnsi="Times New Roman" w:cs="Times New Roman"/>
          <w:sz w:val="24"/>
          <w:szCs w:val="24"/>
        </w:rPr>
        <w:t xml:space="preserve">assist an entity in substantiating, and Treasury in evaluating, whether a purchase </w:t>
      </w:r>
      <w:r>
        <w:rPr>
          <w:rFonts w:ascii="Times New Roman" w:hAnsi="Times New Roman" w:cs="Times New Roman"/>
          <w:sz w:val="24"/>
          <w:szCs w:val="24"/>
        </w:rPr>
        <w:t xml:space="preserve">of a single-family home </w:t>
      </w:r>
      <w:r w:rsidRPr="001C27EF">
        <w:rPr>
          <w:rFonts w:ascii="Times New Roman" w:hAnsi="Times New Roman" w:cs="Times New Roman"/>
          <w:sz w:val="24"/>
          <w:szCs w:val="24"/>
        </w:rPr>
        <w:t xml:space="preserve">qualifies as an </w:t>
      </w:r>
      <w:r w:rsidRPr="001C27EF">
        <w:rPr>
          <w:rFonts w:ascii="Times New Roman" w:hAnsi="Times New Roman" w:cs="Times New Roman"/>
          <w:sz w:val="24"/>
          <w:szCs w:val="24"/>
        </w:rPr>
        <w:t>excepted purchase</w:t>
      </w:r>
      <w:r>
        <w:rPr>
          <w:rFonts w:ascii="Times New Roman" w:hAnsi="Times New Roman" w:cs="Times New Roman"/>
          <w:sz w:val="24"/>
          <w:szCs w:val="24"/>
        </w:rPr>
        <w:t xml:space="preserve"> under section 1001 of the Act</w:t>
      </w:r>
      <w:r w:rsidRPr="001C27EF">
        <w:rPr>
          <w:rFonts w:ascii="Times New Roman" w:hAnsi="Times New Roman" w:cs="Times New Roman"/>
          <w:sz w:val="24"/>
          <w:szCs w:val="24"/>
        </w:rPr>
        <w:t xml:space="preserve">. </w:t>
      </w:r>
    </w:p>
    <w:p w:rsidR="007463B8" w:rsidRPr="001C27EF" w:rsidP="000C17D6" w14:paraId="40C80B70" w14:textId="0D3338DF">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3. Describe whether, and to what extent, the collection of information involves the use of automated, electronic, mechanical, or other technological collection techniques or other forms of information technology. Also describe any consideration of using information technology to reduce burden.</w:t>
      </w:r>
    </w:p>
    <w:p w:rsidR="00720154" w:rsidRPr="001C27EF" w:rsidP="000C17D6" w14:paraId="55ECCE35" w14:textId="6EB5E778">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 xml:space="preserve">The </w:t>
      </w:r>
      <w:r w:rsidR="005B171B">
        <w:rPr>
          <w:rFonts w:ascii="Times New Roman" w:hAnsi="Times New Roman" w:cs="Times New Roman"/>
          <w:sz w:val="24"/>
          <w:szCs w:val="24"/>
        </w:rPr>
        <w:t xml:space="preserve">recordkeeping </w:t>
      </w:r>
      <w:r w:rsidRPr="001C27EF">
        <w:rPr>
          <w:rFonts w:ascii="Times New Roman" w:hAnsi="Times New Roman" w:cs="Times New Roman"/>
          <w:sz w:val="24"/>
          <w:szCs w:val="24"/>
        </w:rPr>
        <w:t>described in this Supporting Statement w</w:t>
      </w:r>
      <w:r w:rsidRPr="001C27EF" w:rsidR="001F614A">
        <w:rPr>
          <w:rFonts w:ascii="Times New Roman" w:hAnsi="Times New Roman" w:cs="Times New Roman"/>
          <w:sz w:val="24"/>
          <w:szCs w:val="24"/>
        </w:rPr>
        <w:t>ould</w:t>
      </w:r>
      <w:r w:rsidRPr="001C27EF">
        <w:rPr>
          <w:rFonts w:ascii="Times New Roman" w:hAnsi="Times New Roman" w:cs="Times New Roman"/>
          <w:sz w:val="24"/>
          <w:szCs w:val="24"/>
        </w:rPr>
        <w:t xml:space="preserve"> </w:t>
      </w:r>
      <w:r w:rsidR="001C27EF">
        <w:rPr>
          <w:rFonts w:ascii="Times New Roman" w:hAnsi="Times New Roman" w:cs="Times New Roman"/>
          <w:sz w:val="24"/>
          <w:szCs w:val="24"/>
        </w:rPr>
        <w:t xml:space="preserve">be expected to </w:t>
      </w:r>
      <w:r w:rsidRPr="001C27EF">
        <w:rPr>
          <w:rFonts w:ascii="Times New Roman" w:hAnsi="Times New Roman" w:cs="Times New Roman"/>
          <w:sz w:val="24"/>
          <w:szCs w:val="24"/>
        </w:rPr>
        <w:t xml:space="preserve">involve the use of electronic submission of responses. </w:t>
      </w:r>
    </w:p>
    <w:p w:rsidR="002B0658" w:rsidRPr="001C27EF" w:rsidP="000C17D6" w14:paraId="2800E040" w14:textId="187C0C08">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 xml:space="preserve">Treasury has designed the </w:t>
      </w:r>
      <w:r w:rsidR="001C27EF">
        <w:rPr>
          <w:rFonts w:ascii="Times New Roman" w:hAnsi="Times New Roman" w:cs="Times New Roman"/>
          <w:sz w:val="24"/>
          <w:szCs w:val="24"/>
        </w:rPr>
        <w:t xml:space="preserve">recordkeeping </w:t>
      </w:r>
      <w:r w:rsidRPr="001C27EF">
        <w:rPr>
          <w:rFonts w:ascii="Times New Roman" w:hAnsi="Times New Roman" w:cs="Times New Roman"/>
          <w:sz w:val="24"/>
          <w:szCs w:val="24"/>
        </w:rPr>
        <w:t>requirements to minimize burden</w:t>
      </w:r>
      <w:r w:rsidR="001C27EF">
        <w:rPr>
          <w:rFonts w:ascii="Times New Roman" w:hAnsi="Times New Roman" w:cs="Times New Roman"/>
          <w:sz w:val="24"/>
          <w:szCs w:val="24"/>
        </w:rPr>
        <w:t>s</w:t>
      </w:r>
      <w:r w:rsidRPr="001C27EF" w:rsidR="00E92C15">
        <w:rPr>
          <w:rFonts w:ascii="Times New Roman" w:hAnsi="Times New Roman" w:cs="Times New Roman"/>
          <w:sz w:val="24"/>
          <w:szCs w:val="24"/>
        </w:rPr>
        <w:t xml:space="preserve"> on </w:t>
      </w:r>
      <w:r w:rsidR="001C27EF">
        <w:rPr>
          <w:rFonts w:ascii="Times New Roman" w:hAnsi="Times New Roman" w:cs="Times New Roman"/>
          <w:sz w:val="24"/>
          <w:szCs w:val="24"/>
        </w:rPr>
        <w:t>entities</w:t>
      </w:r>
      <w:r w:rsidRPr="001C27EF">
        <w:rPr>
          <w:rFonts w:ascii="Times New Roman" w:hAnsi="Times New Roman" w:cs="Times New Roman"/>
          <w:sz w:val="24"/>
          <w:szCs w:val="24"/>
        </w:rPr>
        <w:t xml:space="preserve">, as </w:t>
      </w:r>
      <w:r w:rsidRPr="001C27EF" w:rsidR="001C27EF">
        <w:rPr>
          <w:rFonts w:ascii="Times New Roman" w:hAnsi="Times New Roman" w:cs="Times New Roman"/>
          <w:sz w:val="24"/>
          <w:szCs w:val="24"/>
        </w:rPr>
        <w:t xml:space="preserve">most relevant records would be created in the </w:t>
      </w:r>
      <w:r w:rsidR="001C27EF">
        <w:rPr>
          <w:rFonts w:ascii="Times New Roman" w:hAnsi="Times New Roman" w:cs="Times New Roman"/>
          <w:sz w:val="24"/>
          <w:szCs w:val="24"/>
        </w:rPr>
        <w:t xml:space="preserve">entities’ </w:t>
      </w:r>
      <w:r w:rsidRPr="001C27EF" w:rsidR="001C27EF">
        <w:rPr>
          <w:rFonts w:ascii="Times New Roman" w:hAnsi="Times New Roman" w:cs="Times New Roman"/>
          <w:sz w:val="24"/>
          <w:szCs w:val="24"/>
        </w:rPr>
        <w:t xml:space="preserve">ordinary course of </w:t>
      </w:r>
      <w:r w:rsidRPr="001C27EF" w:rsidR="001C27EF">
        <w:rPr>
          <w:rFonts w:ascii="Times New Roman" w:hAnsi="Times New Roman" w:cs="Times New Roman"/>
          <w:sz w:val="24"/>
          <w:szCs w:val="24"/>
        </w:rPr>
        <w:t>business</w:t>
      </w:r>
      <w:r w:rsidR="001C27EF">
        <w:rPr>
          <w:rFonts w:ascii="Times New Roman" w:hAnsi="Times New Roman" w:cs="Times New Roman"/>
          <w:sz w:val="24"/>
          <w:szCs w:val="24"/>
        </w:rPr>
        <w:t xml:space="preserve"> and the NPR does not prescribe </w:t>
      </w:r>
      <w:r w:rsidR="001C27EF">
        <w:rPr>
          <w:rFonts w:ascii="Times New Roman" w:hAnsi="Times New Roman" w:cs="Times New Roman"/>
          <w:sz w:val="24"/>
          <w:szCs w:val="24"/>
        </w:rPr>
        <w:t>particular records</w:t>
      </w:r>
      <w:r w:rsidR="001C27EF">
        <w:rPr>
          <w:rFonts w:ascii="Times New Roman" w:hAnsi="Times New Roman" w:cs="Times New Roman"/>
          <w:sz w:val="24"/>
          <w:szCs w:val="24"/>
        </w:rPr>
        <w:t xml:space="preserve"> or a retention period</w:t>
      </w:r>
      <w:r w:rsidRPr="001C27EF" w:rsidR="001C27EF">
        <w:rPr>
          <w:rFonts w:ascii="Times New Roman" w:hAnsi="Times New Roman" w:cs="Times New Roman"/>
          <w:sz w:val="24"/>
          <w:szCs w:val="24"/>
        </w:rPr>
        <w:t>.</w:t>
      </w:r>
    </w:p>
    <w:p w:rsidR="007463B8" w:rsidRPr="001C27EF" w:rsidP="000C17D6" w14:paraId="5B3CAD37"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4. Describe efforts to identify duplication.</w:t>
      </w:r>
    </w:p>
    <w:p w:rsidR="003D4317" w:rsidRPr="001C27EF" w:rsidP="000C17D6" w14:paraId="04C99105" w14:textId="72F229F5">
      <w:pPr>
        <w:spacing w:after="120" w:line="240" w:lineRule="auto"/>
        <w:rPr>
          <w:rFonts w:ascii="Times New Roman" w:hAnsi="Times New Roman" w:cs="Times New Roman"/>
          <w:sz w:val="24"/>
          <w:szCs w:val="24"/>
        </w:rPr>
      </w:pPr>
      <w:r>
        <w:rPr>
          <w:rFonts w:ascii="Times New Roman" w:hAnsi="Times New Roman" w:cs="Times New Roman"/>
          <w:sz w:val="24"/>
          <w:szCs w:val="24"/>
        </w:rPr>
        <w:t>T</w:t>
      </w:r>
      <w:r w:rsidRPr="001C27EF" w:rsidR="00885139">
        <w:rPr>
          <w:rFonts w:ascii="Times New Roman" w:hAnsi="Times New Roman" w:cs="Times New Roman"/>
          <w:sz w:val="24"/>
          <w:szCs w:val="24"/>
        </w:rPr>
        <w:t xml:space="preserve">he information </w:t>
      </w:r>
      <w:r>
        <w:rPr>
          <w:rFonts w:ascii="Times New Roman" w:hAnsi="Times New Roman" w:cs="Times New Roman"/>
          <w:sz w:val="24"/>
          <w:szCs w:val="24"/>
        </w:rPr>
        <w:t xml:space="preserve">in the records </w:t>
      </w:r>
      <w:r w:rsidRPr="001C27EF" w:rsidR="00885139">
        <w:rPr>
          <w:rFonts w:ascii="Times New Roman" w:hAnsi="Times New Roman" w:cs="Times New Roman"/>
          <w:sz w:val="24"/>
          <w:szCs w:val="24"/>
        </w:rPr>
        <w:t xml:space="preserve">is </w:t>
      </w:r>
      <w:r>
        <w:rPr>
          <w:rFonts w:ascii="Times New Roman" w:hAnsi="Times New Roman" w:cs="Times New Roman"/>
          <w:sz w:val="24"/>
          <w:szCs w:val="24"/>
        </w:rPr>
        <w:t xml:space="preserve">not </w:t>
      </w:r>
      <w:r w:rsidRPr="001C27EF" w:rsidR="00885139">
        <w:rPr>
          <w:rFonts w:ascii="Times New Roman" w:hAnsi="Times New Roman" w:cs="Times New Roman"/>
          <w:sz w:val="24"/>
          <w:szCs w:val="24"/>
        </w:rPr>
        <w:t xml:space="preserve">known to overlap with </w:t>
      </w:r>
      <w:r>
        <w:rPr>
          <w:rFonts w:ascii="Times New Roman" w:hAnsi="Times New Roman" w:cs="Times New Roman"/>
          <w:sz w:val="24"/>
          <w:szCs w:val="24"/>
        </w:rPr>
        <w:t xml:space="preserve">available </w:t>
      </w:r>
      <w:r w:rsidRPr="001C27EF" w:rsidR="00885139">
        <w:rPr>
          <w:rFonts w:ascii="Times New Roman" w:hAnsi="Times New Roman" w:cs="Times New Roman"/>
          <w:sz w:val="24"/>
          <w:szCs w:val="24"/>
        </w:rPr>
        <w:t xml:space="preserve">data </w:t>
      </w:r>
      <w:r>
        <w:rPr>
          <w:rFonts w:ascii="Times New Roman" w:hAnsi="Times New Roman" w:cs="Times New Roman"/>
          <w:sz w:val="24"/>
          <w:szCs w:val="24"/>
        </w:rPr>
        <w:t xml:space="preserve">already </w:t>
      </w:r>
      <w:r w:rsidR="005B171B">
        <w:rPr>
          <w:rFonts w:ascii="Times New Roman" w:hAnsi="Times New Roman" w:cs="Times New Roman"/>
          <w:sz w:val="24"/>
          <w:szCs w:val="24"/>
        </w:rPr>
        <w:t xml:space="preserve">available to </w:t>
      </w:r>
      <w:r>
        <w:rPr>
          <w:rFonts w:ascii="Times New Roman" w:hAnsi="Times New Roman" w:cs="Times New Roman"/>
          <w:sz w:val="24"/>
          <w:szCs w:val="24"/>
        </w:rPr>
        <w:t>Treasury or other relevant federal agencies</w:t>
      </w:r>
      <w:r w:rsidRPr="001C27EF" w:rsidR="00885139">
        <w:rPr>
          <w:rFonts w:ascii="Times New Roman" w:hAnsi="Times New Roman" w:cs="Times New Roman"/>
          <w:sz w:val="24"/>
          <w:szCs w:val="24"/>
        </w:rPr>
        <w:t xml:space="preserve">. </w:t>
      </w:r>
    </w:p>
    <w:p w:rsidR="007463B8" w:rsidRPr="001C27EF" w:rsidP="000C17D6" w14:paraId="75E63312" w14:textId="7BC7252D">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5. If the collection of information impacts small businesses or other small entities, describe any methods used to minimize burden.</w:t>
      </w:r>
    </w:p>
    <w:p w:rsidR="00CC467B" w:rsidRPr="001C27EF" w:rsidP="000C17D6" w14:paraId="4536E872" w14:textId="6DCA1B40">
      <w:pPr>
        <w:spacing w:after="120" w:line="240" w:lineRule="auto"/>
        <w:rPr>
          <w:rFonts w:ascii="Times New Roman" w:hAnsi="Times New Roman" w:cs="Times New Roman"/>
          <w:sz w:val="24"/>
          <w:szCs w:val="24"/>
        </w:rPr>
      </w:pPr>
      <w:r>
        <w:rPr>
          <w:rFonts w:ascii="Times New Roman" w:hAnsi="Times New Roman" w:cs="Times New Roman"/>
          <w:sz w:val="24"/>
          <w:szCs w:val="24"/>
        </w:rPr>
        <w:t>T</w:t>
      </w:r>
      <w:r w:rsidRPr="00CC467B">
        <w:rPr>
          <w:rFonts w:ascii="Times New Roman" w:hAnsi="Times New Roman" w:cs="Times New Roman"/>
          <w:sz w:val="24"/>
          <w:szCs w:val="24"/>
        </w:rPr>
        <w:t>he statutory prohibition applies only to large institutional investors</w:t>
      </w:r>
      <w:r>
        <w:rPr>
          <w:rFonts w:ascii="Times New Roman" w:hAnsi="Times New Roman" w:cs="Times New Roman"/>
          <w:sz w:val="24"/>
          <w:szCs w:val="24"/>
        </w:rPr>
        <w:t>. A</w:t>
      </w:r>
      <w:r w:rsidRPr="00CC467B">
        <w:rPr>
          <w:rFonts w:ascii="Times New Roman" w:hAnsi="Times New Roman" w:cs="Times New Roman"/>
          <w:sz w:val="24"/>
          <w:szCs w:val="24"/>
        </w:rPr>
        <w:t xml:space="preserve">lthough some large institutional investors may be small entities, the </w:t>
      </w:r>
      <w:r>
        <w:rPr>
          <w:rFonts w:ascii="Times New Roman" w:hAnsi="Times New Roman" w:cs="Times New Roman"/>
          <w:sz w:val="24"/>
          <w:szCs w:val="24"/>
        </w:rPr>
        <w:t xml:space="preserve">NPR </w:t>
      </w:r>
      <w:r w:rsidRPr="00CC467B">
        <w:rPr>
          <w:rFonts w:ascii="Times New Roman" w:hAnsi="Times New Roman" w:cs="Times New Roman"/>
          <w:sz w:val="24"/>
          <w:szCs w:val="24"/>
        </w:rPr>
        <w:t xml:space="preserve">would primarily relate to compliance review, documentation, and transaction planning. Therefore, Treasury does not expect that the </w:t>
      </w:r>
      <w:r>
        <w:rPr>
          <w:rFonts w:ascii="Times New Roman" w:hAnsi="Times New Roman" w:cs="Times New Roman"/>
          <w:sz w:val="24"/>
          <w:szCs w:val="24"/>
        </w:rPr>
        <w:t xml:space="preserve">NPR </w:t>
      </w:r>
      <w:r w:rsidRPr="00CC467B">
        <w:rPr>
          <w:rFonts w:ascii="Times New Roman" w:hAnsi="Times New Roman" w:cs="Times New Roman"/>
          <w:sz w:val="24"/>
          <w:szCs w:val="24"/>
        </w:rPr>
        <w:t>would</w:t>
      </w:r>
      <w:r w:rsidRPr="00CC467B">
        <w:rPr>
          <w:rFonts w:ascii="Times New Roman" w:hAnsi="Times New Roman" w:cs="Times New Roman"/>
          <w:sz w:val="24"/>
          <w:szCs w:val="24"/>
        </w:rPr>
        <w:t xml:space="preserve"> have a significant economic impact on a substantial number of small entities.</w:t>
      </w:r>
    </w:p>
    <w:p w:rsidR="007463B8" w:rsidRPr="001C27EF" w:rsidP="000C17D6" w14:paraId="052371CA" w14:textId="72A9DD03">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 xml:space="preserve">6. Describe the consequences </w:t>
      </w:r>
      <w:r w:rsidRPr="001C27EF">
        <w:rPr>
          <w:rFonts w:ascii="Times New Roman" w:eastAsia="Times New Roman" w:hAnsi="Times New Roman" w:cs="Times New Roman"/>
          <w:b/>
          <w:bCs/>
          <w:spacing w:val="2"/>
          <w:sz w:val="24"/>
          <w:szCs w:val="24"/>
        </w:rPr>
        <w:t>to</w:t>
      </w:r>
      <w:r w:rsidRPr="001C27EF">
        <w:rPr>
          <w:rFonts w:ascii="Times New Roman" w:eastAsia="Times New Roman" w:hAnsi="Times New Roman" w:cs="Times New Roman"/>
          <w:b/>
          <w:bCs/>
          <w:spacing w:val="2"/>
          <w:sz w:val="24"/>
          <w:szCs w:val="24"/>
        </w:rPr>
        <w:t xml:space="preserve"> a </w:t>
      </w:r>
      <w:r w:rsidRPr="001C27EF">
        <w:rPr>
          <w:rFonts w:ascii="Times New Roman" w:eastAsia="Times New Roman" w:hAnsi="Times New Roman" w:cs="Times New Roman"/>
          <w:b/>
          <w:bCs/>
          <w:spacing w:val="2"/>
          <w:sz w:val="24"/>
          <w:szCs w:val="24"/>
        </w:rPr>
        <w:t>Federal</w:t>
      </w:r>
      <w:r w:rsidRPr="001C27EF">
        <w:rPr>
          <w:rFonts w:ascii="Times New Roman" w:eastAsia="Times New Roman" w:hAnsi="Times New Roman" w:cs="Times New Roman"/>
          <w:b/>
          <w:bCs/>
          <w:spacing w:val="2"/>
          <w:sz w:val="24"/>
          <w:szCs w:val="24"/>
        </w:rPr>
        <w:t xml:space="preserve"> program or policy activities if the collection were not conducted or was conducted less frequently, as well as any technical or legal obstacles to reducing burden.</w:t>
      </w:r>
    </w:p>
    <w:p w:rsidR="00EB471E" w:rsidP="000C17D6" w14:paraId="2FF8FF07" w14:textId="57B78A9C">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If records as described in the NPR are not retained, it would materially </w:t>
      </w:r>
      <w:r w:rsidRPr="001C27EF">
        <w:rPr>
          <w:rFonts w:ascii="Times New Roman" w:hAnsi="Times New Roman" w:cs="Times New Roman"/>
          <w:sz w:val="24"/>
          <w:szCs w:val="24"/>
        </w:rPr>
        <w:t xml:space="preserve">impair </w:t>
      </w:r>
      <w:r>
        <w:rPr>
          <w:rFonts w:ascii="Times New Roman" w:hAnsi="Times New Roman" w:cs="Times New Roman"/>
          <w:sz w:val="24"/>
          <w:szCs w:val="24"/>
        </w:rPr>
        <w:t xml:space="preserve">an entity’s ability to </w:t>
      </w:r>
      <w:r w:rsidRPr="001C27EF">
        <w:rPr>
          <w:rFonts w:ascii="Times New Roman" w:hAnsi="Times New Roman" w:cs="Times New Roman"/>
          <w:sz w:val="24"/>
          <w:szCs w:val="24"/>
        </w:rPr>
        <w:t>substantiat</w:t>
      </w:r>
      <w:r>
        <w:rPr>
          <w:rFonts w:ascii="Times New Roman" w:hAnsi="Times New Roman" w:cs="Times New Roman"/>
          <w:sz w:val="24"/>
          <w:szCs w:val="24"/>
        </w:rPr>
        <w:t>e</w:t>
      </w:r>
      <w:r w:rsidRPr="001C27EF">
        <w:rPr>
          <w:rFonts w:ascii="Times New Roman" w:hAnsi="Times New Roman" w:cs="Times New Roman"/>
          <w:sz w:val="24"/>
          <w:szCs w:val="24"/>
        </w:rPr>
        <w:t>, and Treasury</w:t>
      </w:r>
      <w:r>
        <w:rPr>
          <w:rFonts w:ascii="Times New Roman" w:hAnsi="Times New Roman" w:cs="Times New Roman"/>
          <w:sz w:val="24"/>
          <w:szCs w:val="24"/>
        </w:rPr>
        <w:t xml:space="preserve">’s ability to </w:t>
      </w:r>
      <w:r w:rsidRPr="001C27EF">
        <w:rPr>
          <w:rFonts w:ascii="Times New Roman" w:hAnsi="Times New Roman" w:cs="Times New Roman"/>
          <w:sz w:val="24"/>
          <w:szCs w:val="24"/>
        </w:rPr>
        <w:t>evaluat</w:t>
      </w:r>
      <w:r>
        <w:rPr>
          <w:rFonts w:ascii="Times New Roman" w:hAnsi="Times New Roman" w:cs="Times New Roman"/>
          <w:sz w:val="24"/>
          <w:szCs w:val="24"/>
        </w:rPr>
        <w:t>e</w:t>
      </w:r>
      <w:r w:rsidRPr="001C27EF">
        <w:rPr>
          <w:rFonts w:ascii="Times New Roman" w:hAnsi="Times New Roman" w:cs="Times New Roman"/>
          <w:sz w:val="24"/>
          <w:szCs w:val="24"/>
        </w:rPr>
        <w:t xml:space="preserve">, whether a purchase </w:t>
      </w:r>
      <w:r>
        <w:rPr>
          <w:rFonts w:ascii="Times New Roman" w:hAnsi="Times New Roman" w:cs="Times New Roman"/>
          <w:sz w:val="24"/>
          <w:szCs w:val="24"/>
        </w:rPr>
        <w:t xml:space="preserve">of a single-family home by that entity </w:t>
      </w:r>
      <w:r w:rsidRPr="001C27EF">
        <w:rPr>
          <w:rFonts w:ascii="Times New Roman" w:hAnsi="Times New Roman" w:cs="Times New Roman"/>
          <w:sz w:val="24"/>
          <w:szCs w:val="24"/>
        </w:rPr>
        <w:t>qualifies as an excepted purchase.</w:t>
      </w:r>
      <w:r>
        <w:rPr>
          <w:rFonts w:ascii="Times New Roman" w:hAnsi="Times New Roman" w:cs="Times New Roman"/>
          <w:sz w:val="24"/>
          <w:szCs w:val="24"/>
        </w:rPr>
        <w:t xml:space="preserve"> As a result, the entity would be subject to substantial legal uncertainties regarding potential enforcement actions, and Treasury’s ability to identify statutory violations without commencing a legal enforcement action could be impaired.</w:t>
      </w:r>
    </w:p>
    <w:p w:rsidR="007463B8" w:rsidRPr="001C27EF" w:rsidP="000C17D6" w14:paraId="14741403" w14:textId="01196E79">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7. Explain any special circumstances that would cause an information collection to be conducted in a manner: (a) requiring respondents to prepare information to the agency more often than quarterly; (b) requiring respondents to prepare a written response to a collection of information in fewer than 30 days after receipt of it; (c) requiring respondents to submit more than an original and two copies of any document; (d) requiring respondents to retain records, other that health, medical, government contract, grant-in-aid, or tax records, for more than three years; (e) in connection with a statistical survey, that is not designed to produce valid and reliable results that can be generalized to the universe of study; (f) requiring the use of a statistical data classification that has not been reviewed and approved by OMB; (g)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(h) requiring respondents to submit proprietary trade secrets, or other confidential information unless the agency can demonstrate that it has instituted procedures to protect the information‘s confidentiality to the extent permitted by law.</w:t>
      </w:r>
    </w:p>
    <w:p w:rsidR="00910734" w:rsidRPr="001C27EF" w:rsidP="000C17D6" w14:paraId="0F34CC56" w14:textId="39E5C704">
      <w:pPr>
        <w:tabs>
          <w:tab w:val="left" w:pos="540"/>
        </w:tabs>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There are no special circumstances that require the collection to be conducted in a manner inconsistent with OMB guidelines.</w:t>
      </w:r>
    </w:p>
    <w:p w:rsidR="007463B8" w:rsidRPr="001C27EF" w:rsidP="000C17D6" w14:paraId="04B84D1D" w14:textId="47AFD8EB">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 xml:space="preserve">8. Summarize public comments received in response to the Federal Register notice requesting public comments and </w:t>
      </w:r>
      <w:r w:rsidRPr="001C27EF">
        <w:rPr>
          <w:rFonts w:ascii="Times New Roman" w:eastAsia="Times New Roman" w:hAnsi="Times New Roman" w:cs="Times New Roman"/>
          <w:b/>
          <w:bCs/>
          <w:spacing w:val="2"/>
          <w:sz w:val="24"/>
          <w:szCs w:val="24"/>
        </w:rPr>
        <w:t>describe</w:t>
      </w:r>
      <w:r w:rsidRPr="001C27EF">
        <w:rPr>
          <w:rFonts w:ascii="Times New Roman" w:eastAsia="Times New Roman" w:hAnsi="Times New Roman" w:cs="Times New Roman"/>
          <w:b/>
          <w:bCs/>
          <w:spacing w:val="2"/>
          <w:sz w:val="24"/>
          <w:szCs w:val="24"/>
        </w:rPr>
        <w:t xml:space="preserve"> actions taken by the agency in response to these comments, particularly comments on cost and hour burden. Describe efforts to consult with </w:t>
      </w:r>
      <w:r w:rsidRPr="001C27EF">
        <w:rPr>
          <w:rFonts w:ascii="Times New Roman" w:eastAsia="Times New Roman" w:hAnsi="Times New Roman" w:cs="Times New Roman"/>
          <w:b/>
          <w:bCs/>
          <w:spacing w:val="2"/>
          <w:sz w:val="24"/>
          <w:szCs w:val="24"/>
        </w:rPr>
        <w:t>persons</w:t>
      </w:r>
      <w:r w:rsidRPr="001C27EF">
        <w:rPr>
          <w:rFonts w:ascii="Times New Roman" w:eastAsia="Times New Roman" w:hAnsi="Times New Roman" w:cs="Times New Roman"/>
          <w:b/>
          <w:bCs/>
          <w:spacing w:val="2"/>
          <w:sz w:val="24"/>
          <w:szCs w:val="24"/>
        </w:rPr>
        <w:t xml:space="preserve"> outside the agency to obtain their views on the availability of data, frequency of collection, clarity of instructions and record keeping, disclosure, or reporting format (if any), and on the data elements to be recorded, disclosed, or reported.</w:t>
      </w:r>
    </w:p>
    <w:p w:rsidR="0030078A" w:rsidRPr="001C27EF" w:rsidP="000C17D6" w14:paraId="36939449" w14:textId="09CA4095">
      <w:pPr>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 xml:space="preserve">This Supporting Statement accompanies </w:t>
      </w:r>
      <w:r w:rsidR="002C5349">
        <w:rPr>
          <w:rFonts w:ascii="Times New Roman" w:eastAsia="Times New Roman" w:hAnsi="Times New Roman" w:cs="Times New Roman"/>
          <w:sz w:val="24"/>
          <w:szCs w:val="24"/>
        </w:rPr>
        <w:t>an NPR</w:t>
      </w:r>
      <w:r w:rsidRPr="001C27EF">
        <w:rPr>
          <w:rFonts w:ascii="Times New Roman" w:eastAsia="Times New Roman" w:hAnsi="Times New Roman" w:cs="Times New Roman"/>
          <w:sz w:val="24"/>
          <w:szCs w:val="24"/>
        </w:rPr>
        <w:t xml:space="preserve">. Accordingly, </w:t>
      </w:r>
      <w:r w:rsidR="002C5349">
        <w:rPr>
          <w:rFonts w:ascii="Times New Roman" w:eastAsia="Times New Roman" w:hAnsi="Times New Roman" w:cs="Times New Roman"/>
          <w:sz w:val="24"/>
          <w:szCs w:val="24"/>
        </w:rPr>
        <w:t xml:space="preserve">Treasury </w:t>
      </w:r>
      <w:r w:rsidRPr="001C27EF">
        <w:rPr>
          <w:rFonts w:ascii="Times New Roman" w:eastAsia="Times New Roman" w:hAnsi="Times New Roman" w:cs="Times New Roman"/>
          <w:sz w:val="24"/>
          <w:szCs w:val="24"/>
        </w:rPr>
        <w:t xml:space="preserve">has not yet received comments on the </w:t>
      </w:r>
      <w:r w:rsidR="005B171B">
        <w:rPr>
          <w:rFonts w:ascii="Times New Roman" w:eastAsia="Times New Roman" w:hAnsi="Times New Roman" w:cs="Times New Roman"/>
          <w:sz w:val="24"/>
          <w:szCs w:val="24"/>
        </w:rPr>
        <w:t>recordkeeping</w:t>
      </w:r>
      <w:r w:rsidRPr="001C27EF">
        <w:rPr>
          <w:rFonts w:ascii="Times New Roman" w:eastAsia="Times New Roman" w:hAnsi="Times New Roman" w:cs="Times New Roman"/>
          <w:sz w:val="24"/>
          <w:szCs w:val="24"/>
        </w:rPr>
        <w:t>.</w:t>
      </w:r>
    </w:p>
    <w:p w:rsidR="0030078A" w:rsidRPr="001C27EF" w:rsidP="000C17D6" w14:paraId="56AC7482" w14:textId="0804DD2A">
      <w:pPr>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Consistent with 5 CFR 1320.8(d), Treasury</w:t>
      </w:r>
      <w:r w:rsidR="002C5349">
        <w:rPr>
          <w:rFonts w:ascii="Times New Roman" w:eastAsia="Times New Roman" w:hAnsi="Times New Roman" w:cs="Times New Roman"/>
          <w:sz w:val="24"/>
          <w:szCs w:val="24"/>
        </w:rPr>
        <w:t xml:space="preserve"> </w:t>
      </w:r>
      <w:r w:rsidRPr="001C27EF">
        <w:rPr>
          <w:rFonts w:ascii="Times New Roman" w:eastAsia="Times New Roman" w:hAnsi="Times New Roman" w:cs="Times New Roman"/>
          <w:sz w:val="24"/>
          <w:szCs w:val="24"/>
        </w:rPr>
        <w:t>is soliciting public comment regarding all aspects of the information collection, including</w:t>
      </w:r>
      <w:r w:rsidR="002C5349">
        <w:rPr>
          <w:rFonts w:ascii="Times New Roman" w:eastAsia="Times New Roman" w:hAnsi="Times New Roman" w:cs="Times New Roman"/>
          <w:sz w:val="24"/>
          <w:szCs w:val="24"/>
        </w:rPr>
        <w:t xml:space="preserve"> </w:t>
      </w:r>
      <w:r w:rsidRPr="002C5349" w:rsidR="002C5349">
        <w:rPr>
          <w:rFonts w:ascii="Times New Roman" w:eastAsia="Times New Roman" w:hAnsi="Times New Roman" w:cs="Times New Roman"/>
          <w:sz w:val="24"/>
          <w:szCs w:val="24"/>
        </w:rPr>
        <w:t>(i) whether the collection of information is necessary for the proper performance of Treasury’s functions, including whether it has practical utility; (ii) the accuracy of Treasury’s burden estimate, including the validity of the methodology and assumptions used; (iii) ways to enhance the quality, utility, and clarity of the information; and (iv) ways to minimize the burden of the collection on respondents, including through the use of automated collection techniques or other forms of information technology.</w:t>
      </w:r>
    </w:p>
    <w:p w:rsidR="007463B8" w:rsidRPr="001C27EF" w:rsidP="000C17D6" w14:paraId="45C55BA0" w14:textId="03F037DD">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9. Explain any decision to provide any payment or gift to respondents.</w:t>
      </w:r>
    </w:p>
    <w:p w:rsidR="007463B8" w:rsidRPr="001C27EF" w:rsidP="000C17D6" w14:paraId="5201D8A4" w14:textId="2067B384">
      <w:pPr>
        <w:tabs>
          <w:tab w:val="left" w:pos="540"/>
        </w:tabs>
        <w:spacing w:after="120" w:line="240" w:lineRule="auto"/>
        <w:ind w:left="540" w:hanging="540"/>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 xml:space="preserve">No payment or gifts will be made to any respondents. </w:t>
      </w:r>
    </w:p>
    <w:p w:rsidR="007463B8" w:rsidRPr="001C27EF" w:rsidP="000C17D6" w14:paraId="6E46C61C"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10. Describe any assurance of confidentiality provided to respondents and the basis for assurance in statute, regulation, or agency policy.</w:t>
      </w:r>
    </w:p>
    <w:p w:rsidR="00165EC2" w:rsidRPr="001C27EF" w:rsidP="000C17D6" w14:paraId="5E416C5F" w14:textId="53013C4A">
      <w:pPr>
        <w:tabs>
          <w:tab w:val="left" w:pos="540"/>
        </w:tabs>
        <w:spacing w:after="120" w:line="240" w:lineRule="auto"/>
        <w:rPr>
          <w:rFonts w:ascii="Times New Roman" w:hAnsi="Times New Roman" w:cs="Times New Roman"/>
          <w:sz w:val="24"/>
          <w:szCs w:val="24"/>
        </w:rPr>
      </w:pPr>
      <w:r>
        <w:rPr>
          <w:rFonts w:ascii="Times New Roman" w:hAnsi="Times New Roman" w:cs="Times New Roman"/>
          <w:sz w:val="24"/>
          <w:szCs w:val="24"/>
        </w:rPr>
        <w:t>Relevant i</w:t>
      </w:r>
      <w:r w:rsidRPr="001C27EF">
        <w:rPr>
          <w:rFonts w:ascii="Times New Roman" w:hAnsi="Times New Roman" w:cs="Times New Roman"/>
          <w:sz w:val="24"/>
          <w:szCs w:val="24"/>
        </w:rPr>
        <w:t>nformation will be kept confidential to the extent appropriate and consistent with the Freedom of Information Act and other applicable laws.</w:t>
      </w:r>
    </w:p>
    <w:p w:rsidR="007463B8" w:rsidRPr="001C27EF" w:rsidP="000C17D6" w14:paraId="0DD25107"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11. Provide additional justification for any questions of a sensitive nature, such as sexual behavior and attitudes, religious beliefs, and other matters that are commonly considered private.</w:t>
      </w:r>
    </w:p>
    <w:p w:rsidR="00AC72A1" w:rsidRPr="001C27EF" w:rsidP="000C17D6" w14:paraId="1BC6CF01" w14:textId="5B334303">
      <w:pPr>
        <w:spacing w:after="120" w:line="240" w:lineRule="auto"/>
        <w:rPr>
          <w:rFonts w:ascii="Times New Roman" w:eastAsia="Times New Roman" w:hAnsi="Times New Roman" w:cs="Times New Roman"/>
          <w:spacing w:val="2"/>
          <w:sz w:val="24"/>
          <w:szCs w:val="24"/>
        </w:rPr>
      </w:pPr>
      <w:r w:rsidRPr="001C27EF">
        <w:rPr>
          <w:rFonts w:ascii="Times New Roman" w:eastAsia="Times New Roman" w:hAnsi="Times New Roman" w:cs="Times New Roman"/>
          <w:spacing w:val="2"/>
          <w:sz w:val="24"/>
          <w:szCs w:val="24"/>
        </w:rPr>
        <w:t>No sensitive questions will be asked.</w:t>
      </w:r>
    </w:p>
    <w:p w:rsidR="007463B8" w:rsidRPr="001C27EF" w:rsidP="000C17D6" w14:paraId="426F7E3F" w14:textId="40219BB8">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 xml:space="preserve">12. Provide estimates of the hour burden of the collection of information. Also provide estimates of annualized cost to respondents for the hour burdens. </w:t>
      </w:r>
    </w:p>
    <w:p w:rsidR="003820E6" w:rsidP="003820E6" w14:paraId="71946AA9" w14:textId="77777777">
      <w:pPr>
        <w:spacing w:after="120" w:line="240" w:lineRule="auto"/>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The NPR estimates as follows:</w:t>
      </w:r>
    </w:p>
    <w:p w:rsidR="003820E6" w:rsidRPr="003820E6" w:rsidP="003820E6" w14:paraId="23E91260" w14:textId="0CECC028">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Estimated number of respondents: 100 to 300</w:t>
      </w:r>
    </w:p>
    <w:p w:rsidR="003820E6" w:rsidRPr="003820E6" w:rsidP="003820E6" w14:paraId="3F72B39C" w14:textId="77777777">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Estimated frequency of response: Periodically</w:t>
      </w:r>
    </w:p>
    <w:p w:rsidR="003820E6" w:rsidRPr="003820E6" w:rsidP="003820E6" w14:paraId="2E612D22" w14:textId="77777777">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Estimated number of annual responses: 100 to 300</w:t>
      </w:r>
    </w:p>
    <w:p w:rsidR="003820E6" w:rsidRPr="003820E6" w:rsidP="003820E6" w14:paraId="610D3370" w14:textId="77777777">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 xml:space="preserve">Estimated time per response: One hour </w:t>
      </w:r>
    </w:p>
    <w:p w:rsidR="003820E6" w:rsidRPr="003820E6" w:rsidP="003820E6" w14:paraId="527B3178" w14:textId="77777777">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Estimated total annual burden: 100 to 300 hours</w:t>
      </w:r>
    </w:p>
    <w:p w:rsidR="00F83D19" w:rsidP="003820E6" w14:paraId="35E9AE1D" w14:textId="7635C570">
      <w:pPr>
        <w:spacing w:after="120" w:line="240" w:lineRule="auto"/>
        <w:rPr>
          <w:rFonts w:ascii="Times New Roman" w:eastAsia="Times New Roman" w:hAnsi="Times New Roman" w:cs="Times New Roman"/>
          <w:spacing w:val="2"/>
          <w:sz w:val="24"/>
          <w:szCs w:val="24"/>
        </w:rPr>
      </w:pPr>
      <w:r w:rsidRPr="003820E6">
        <w:rPr>
          <w:rFonts w:ascii="Times New Roman" w:eastAsia="Times New Roman" w:hAnsi="Times New Roman" w:cs="Times New Roman"/>
          <w:spacing w:val="2"/>
          <w:sz w:val="24"/>
          <w:szCs w:val="24"/>
        </w:rPr>
        <w:t xml:space="preserve">The proposed rule does not prescribe </w:t>
      </w:r>
      <w:r w:rsidRPr="003820E6">
        <w:rPr>
          <w:rFonts w:ascii="Times New Roman" w:eastAsia="Times New Roman" w:hAnsi="Times New Roman" w:cs="Times New Roman"/>
          <w:spacing w:val="2"/>
          <w:sz w:val="24"/>
          <w:szCs w:val="24"/>
        </w:rPr>
        <w:t>particular records</w:t>
      </w:r>
      <w:r w:rsidRPr="003820E6">
        <w:rPr>
          <w:rFonts w:ascii="Times New Roman" w:eastAsia="Times New Roman" w:hAnsi="Times New Roman" w:cs="Times New Roman"/>
          <w:spacing w:val="2"/>
          <w:sz w:val="24"/>
          <w:szCs w:val="24"/>
        </w:rPr>
        <w:t xml:space="preserve"> or a retention period, and the records would not be routinely submitted to Treasury. Treasury expects that most relevant records </w:t>
      </w:r>
      <w:r w:rsidRPr="003820E6">
        <w:rPr>
          <w:rFonts w:ascii="Times New Roman" w:eastAsia="Times New Roman" w:hAnsi="Times New Roman" w:cs="Times New Roman"/>
          <w:spacing w:val="2"/>
          <w:sz w:val="24"/>
          <w:szCs w:val="24"/>
        </w:rPr>
        <w:t>would</w:t>
      </w:r>
      <w:r w:rsidRPr="003820E6">
        <w:rPr>
          <w:rFonts w:ascii="Times New Roman" w:eastAsia="Times New Roman" w:hAnsi="Times New Roman" w:cs="Times New Roman"/>
          <w:spacing w:val="2"/>
          <w:sz w:val="24"/>
          <w:szCs w:val="24"/>
        </w:rPr>
        <w:t xml:space="preserve"> be created in the ordinary course of business.</w:t>
      </w:r>
    </w:p>
    <w:p w:rsidR="007D4BDC" w:rsidRPr="001C27EF" w:rsidP="000C17D6" w14:paraId="4869CB05" w14:textId="02F8AD0B">
      <w:pPr>
        <w:spacing w:after="120" w:line="240" w:lineRule="auto"/>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Using the average of the 100 to 300 ranges above, t</w:t>
      </w:r>
      <w:r w:rsidRPr="001C27EF">
        <w:rPr>
          <w:rFonts w:ascii="Times New Roman" w:eastAsia="Times New Roman" w:hAnsi="Times New Roman" w:cs="Times New Roman"/>
          <w:spacing w:val="2"/>
          <w:sz w:val="24"/>
          <w:szCs w:val="24"/>
        </w:rPr>
        <w:t>he estimated annual burden is therefore</w:t>
      </w:r>
      <w:r>
        <w:rPr>
          <w:rFonts w:ascii="Times New Roman" w:eastAsia="Times New Roman" w:hAnsi="Times New Roman" w:cs="Times New Roman"/>
          <w:spacing w:val="2"/>
          <w:sz w:val="24"/>
          <w:szCs w:val="24"/>
        </w:rPr>
        <w:t xml:space="preserve"> no more than</w:t>
      </w:r>
      <w:r w:rsidRPr="001C27EF">
        <w:rPr>
          <w:rFonts w:ascii="Times New Roman" w:eastAsia="Times New Roman" w:hAnsi="Times New Roman" w:cs="Times New Roman"/>
          <w:spacing w:val="2"/>
          <w:sz w:val="24"/>
          <w:szCs w:val="24"/>
        </w:rPr>
        <w:t>:</w:t>
      </w:r>
    </w:p>
    <w:p w:rsidR="007D4BDC" w:rsidRPr="001C27EF" w:rsidP="000C17D6" w14:paraId="14081C95" w14:textId="77777777">
      <w:pPr>
        <w:tabs>
          <w:tab w:val="left" w:pos="540"/>
        </w:tabs>
        <w:spacing w:after="120" w:line="240" w:lineRule="auto"/>
        <w:ind w:left="540" w:hanging="540"/>
        <w:rPr>
          <w:rFonts w:ascii="Times New Roman" w:eastAsia="Times New Roman" w:hAnsi="Times New Roman" w:cs="Times New Roman"/>
          <w:b/>
          <w:bCs/>
          <w:sz w:val="24"/>
          <w:szCs w:val="24"/>
        </w:rPr>
      </w:pPr>
    </w:p>
    <w:tbl>
      <w:tblPr>
        <w:tblW w:w="3797" w:type="pct"/>
        <w:tblLook w:val="04A0"/>
      </w:tblPr>
      <w:tblGrid>
        <w:gridCol w:w="1400"/>
        <w:gridCol w:w="1857"/>
        <w:gridCol w:w="1200"/>
        <w:gridCol w:w="1356"/>
        <w:gridCol w:w="1295"/>
      </w:tblGrid>
      <w:tr w14:paraId="1531A86F" w14:textId="7BCB8843" w:rsidTr="003820E6">
        <w:tblPrEx>
          <w:tblW w:w="3797" w:type="pct"/>
          <w:tblLook w:val="04A0"/>
        </w:tblPrEx>
        <w:trPr>
          <w:trHeight w:val="862"/>
        </w:trPr>
        <w:tc>
          <w:tcPr>
            <w:tcW w:w="985" w:type="pct"/>
            <w:tcBorders>
              <w:top w:val="single" w:sz="8" w:space="0" w:color="auto"/>
              <w:left w:val="nil"/>
              <w:bottom w:val="single" w:sz="8" w:space="0" w:color="auto"/>
              <w:right w:val="nil"/>
            </w:tcBorders>
            <w:tcMar>
              <w:left w:w="120" w:type="dxa"/>
              <w:right w:w="120" w:type="dxa"/>
            </w:tcMar>
            <w:vAlign w:val="center"/>
          </w:tcPr>
          <w:p w:rsidR="003820E6" w:rsidRPr="001C27EF" w:rsidP="000C17D6" w14:paraId="130E73A6" w14:textId="3AF2BB57">
            <w:pPr>
              <w:spacing w:after="120" w:line="240" w:lineRule="auto"/>
              <w:rPr>
                <w:rFonts w:ascii="Times New Roman" w:hAnsi="Times New Roman" w:cs="Times New Roman"/>
                <w:i/>
                <w:sz w:val="24"/>
                <w:szCs w:val="24"/>
              </w:rPr>
            </w:pPr>
            <w:r w:rsidRPr="001C27EF">
              <w:rPr>
                <w:rFonts w:ascii="Times New Roman" w:hAnsi="Times New Roman" w:cs="Times New Roman"/>
                <w:i/>
                <w:sz w:val="24"/>
                <w:szCs w:val="24"/>
              </w:rPr>
              <w:t>Estimated number of respondents</w:t>
            </w:r>
          </w:p>
        </w:tc>
        <w:tc>
          <w:tcPr>
            <w:tcW w:w="1306" w:type="pct"/>
            <w:tcBorders>
              <w:top w:val="single" w:sz="8" w:space="0" w:color="auto"/>
              <w:left w:val="nil"/>
              <w:bottom w:val="single" w:sz="8" w:space="0" w:color="auto"/>
              <w:right w:val="nil"/>
            </w:tcBorders>
            <w:tcMar>
              <w:left w:w="120" w:type="dxa"/>
              <w:right w:w="120" w:type="dxa"/>
            </w:tcMar>
            <w:vAlign w:val="center"/>
          </w:tcPr>
          <w:p w:rsidR="003820E6" w:rsidRPr="001C27EF" w:rsidP="000C17D6" w14:paraId="2C7768CB" w14:textId="77777777">
            <w:pPr>
              <w:spacing w:after="120" w:line="240" w:lineRule="auto"/>
              <w:rPr>
                <w:rFonts w:ascii="Times New Roman" w:hAnsi="Times New Roman" w:cs="Times New Roman"/>
                <w:i/>
                <w:sz w:val="24"/>
                <w:szCs w:val="24"/>
              </w:rPr>
            </w:pPr>
            <w:r w:rsidRPr="001C27EF">
              <w:rPr>
                <w:rFonts w:ascii="Times New Roman" w:hAnsi="Times New Roman" w:cs="Times New Roman"/>
                <w:i/>
                <w:sz w:val="24"/>
                <w:szCs w:val="24"/>
              </w:rPr>
              <w:t>Estimated frequency of response</w:t>
            </w:r>
          </w:p>
        </w:tc>
        <w:tc>
          <w:tcPr>
            <w:tcW w:w="844" w:type="pct"/>
            <w:tcBorders>
              <w:top w:val="single" w:sz="8" w:space="0" w:color="auto"/>
              <w:left w:val="nil"/>
              <w:bottom w:val="single" w:sz="8" w:space="0" w:color="auto"/>
              <w:right w:val="nil"/>
            </w:tcBorders>
            <w:tcMar>
              <w:left w:w="120" w:type="dxa"/>
              <w:right w:w="120" w:type="dxa"/>
            </w:tcMar>
            <w:vAlign w:val="center"/>
          </w:tcPr>
          <w:p w:rsidR="003820E6" w:rsidRPr="001C27EF" w:rsidP="000C17D6" w14:paraId="0F04D76D" w14:textId="5B016BE3">
            <w:pPr>
              <w:spacing w:after="120" w:line="240" w:lineRule="auto"/>
              <w:rPr>
                <w:rFonts w:ascii="Times New Roman" w:hAnsi="Times New Roman" w:cs="Times New Roman"/>
                <w:i/>
                <w:sz w:val="24"/>
                <w:szCs w:val="24"/>
              </w:rPr>
            </w:pPr>
            <w:r w:rsidRPr="001C27EF">
              <w:rPr>
                <w:rFonts w:ascii="Times New Roman" w:hAnsi="Times New Roman" w:cs="Times New Roman"/>
                <w:i/>
                <w:sz w:val="24"/>
                <w:szCs w:val="24"/>
              </w:rPr>
              <w:t>Estimated average hours per response</w:t>
            </w:r>
          </w:p>
        </w:tc>
        <w:tc>
          <w:tcPr>
            <w:tcW w:w="954" w:type="pct"/>
            <w:tcBorders>
              <w:top w:val="single" w:sz="8" w:space="0" w:color="auto"/>
              <w:left w:val="nil"/>
              <w:bottom w:val="single" w:sz="8" w:space="0" w:color="auto"/>
              <w:right w:val="nil"/>
            </w:tcBorders>
            <w:tcMar>
              <w:left w:w="120" w:type="dxa"/>
              <w:right w:w="120" w:type="dxa"/>
            </w:tcMar>
            <w:vAlign w:val="center"/>
          </w:tcPr>
          <w:p w:rsidR="003820E6" w:rsidRPr="001C27EF" w:rsidP="000C17D6" w14:paraId="6F4DC2A8" w14:textId="2550131D">
            <w:pPr>
              <w:spacing w:after="120" w:line="240" w:lineRule="auto"/>
              <w:rPr>
                <w:rFonts w:ascii="Times New Roman" w:hAnsi="Times New Roman" w:cs="Times New Roman"/>
                <w:i/>
                <w:sz w:val="24"/>
                <w:szCs w:val="24"/>
              </w:rPr>
            </w:pPr>
            <w:r w:rsidRPr="001C27EF">
              <w:rPr>
                <w:rFonts w:ascii="Times New Roman" w:hAnsi="Times New Roman" w:cs="Times New Roman"/>
                <w:i/>
                <w:sz w:val="24"/>
                <w:szCs w:val="24"/>
              </w:rPr>
              <w:t>Estimated annual burden hours</w:t>
            </w:r>
          </w:p>
        </w:tc>
        <w:tc>
          <w:tcPr>
            <w:tcW w:w="912" w:type="pct"/>
            <w:tcBorders>
              <w:top w:val="single" w:sz="8" w:space="0" w:color="auto"/>
              <w:left w:val="nil"/>
              <w:bottom w:val="single" w:sz="8" w:space="0" w:color="auto"/>
              <w:right w:val="nil"/>
            </w:tcBorders>
          </w:tcPr>
          <w:p w:rsidR="003820E6" w:rsidRPr="001C27EF" w:rsidP="000C17D6" w14:paraId="4A377BFC" w14:textId="4F5DE640">
            <w:pPr>
              <w:spacing w:after="120" w:line="240" w:lineRule="auto"/>
              <w:rPr>
                <w:rFonts w:ascii="Times New Roman" w:hAnsi="Times New Roman" w:cs="Times New Roman"/>
                <w:i/>
                <w:sz w:val="24"/>
                <w:szCs w:val="24"/>
              </w:rPr>
            </w:pPr>
            <w:r w:rsidRPr="001C27EF">
              <w:rPr>
                <w:rFonts w:ascii="Times New Roman" w:hAnsi="Times New Roman" w:cs="Times New Roman"/>
                <w:i/>
                <w:sz w:val="24"/>
                <w:szCs w:val="24"/>
              </w:rPr>
              <w:t>Estimated burden cost to respondent</w:t>
            </w:r>
          </w:p>
        </w:tc>
      </w:tr>
      <w:tr w14:paraId="6CF9C3DF" w14:textId="05736439" w:rsidTr="003820E6">
        <w:tblPrEx>
          <w:tblW w:w="3797" w:type="pct"/>
          <w:tblLook w:val="04A0"/>
        </w:tblPrEx>
        <w:trPr>
          <w:trHeight w:val="156"/>
        </w:trPr>
        <w:tc>
          <w:tcPr>
            <w:tcW w:w="985" w:type="pct"/>
            <w:tcMar>
              <w:left w:w="120" w:type="dxa"/>
              <w:right w:w="576" w:type="dxa"/>
            </w:tcMar>
          </w:tcPr>
          <w:p w:rsidR="003820E6" w:rsidRPr="001C27EF" w:rsidP="000C17D6" w14:paraId="66BA7237" w14:textId="18219C6C">
            <w:pPr>
              <w:spacing w:after="120" w:line="240" w:lineRule="auto"/>
              <w:rPr>
                <w:rFonts w:ascii="Times New Roman" w:hAnsi="Times New Roman" w:cs="Times New Roman"/>
                <w:sz w:val="24"/>
                <w:szCs w:val="24"/>
              </w:rPr>
            </w:pPr>
            <w:r>
              <w:rPr>
                <w:rFonts w:ascii="Times New Roman" w:hAnsi="Times New Roman" w:cs="Times New Roman"/>
                <w:sz w:val="24"/>
                <w:szCs w:val="24"/>
              </w:rPr>
              <w:t>200</w:t>
            </w:r>
          </w:p>
        </w:tc>
        <w:tc>
          <w:tcPr>
            <w:tcW w:w="1306" w:type="pct"/>
            <w:tcMar>
              <w:left w:w="120" w:type="dxa"/>
              <w:right w:w="576" w:type="dxa"/>
            </w:tcMar>
          </w:tcPr>
          <w:p w:rsidR="003820E6" w:rsidRPr="001C27EF" w:rsidP="000C17D6" w14:paraId="19BC8D49" w14:textId="6E4F0F5E">
            <w:pPr>
              <w:spacing w:after="120" w:line="240" w:lineRule="auto"/>
              <w:rPr>
                <w:rFonts w:ascii="Times New Roman" w:hAnsi="Times New Roman" w:cs="Times New Roman"/>
                <w:sz w:val="24"/>
                <w:szCs w:val="24"/>
              </w:rPr>
            </w:pPr>
            <w:r>
              <w:rPr>
                <w:rFonts w:ascii="Times New Roman" w:hAnsi="Times New Roman" w:cs="Times New Roman"/>
                <w:sz w:val="24"/>
                <w:szCs w:val="24"/>
              </w:rPr>
              <w:t>Periodically</w:t>
            </w:r>
          </w:p>
        </w:tc>
        <w:tc>
          <w:tcPr>
            <w:tcW w:w="844" w:type="pct"/>
            <w:tcMar>
              <w:left w:w="120" w:type="dxa"/>
              <w:right w:w="576" w:type="dxa"/>
            </w:tcMar>
          </w:tcPr>
          <w:p w:rsidR="003820E6" w:rsidRPr="001C27EF" w:rsidP="000C17D6" w14:paraId="7184F32C" w14:textId="1F89EB00">
            <w:pPr>
              <w:spacing w:after="120" w:line="240" w:lineRule="auto"/>
              <w:rPr>
                <w:rFonts w:ascii="Times New Roman" w:hAnsi="Times New Roman" w:cs="Times New Roman"/>
                <w:sz w:val="24"/>
                <w:szCs w:val="24"/>
              </w:rPr>
            </w:pPr>
            <w:r>
              <w:rPr>
                <w:rFonts w:ascii="Times New Roman" w:hAnsi="Times New Roman" w:cs="Times New Roman"/>
                <w:sz w:val="24"/>
                <w:szCs w:val="24"/>
              </w:rPr>
              <w:t>1</w:t>
            </w:r>
          </w:p>
        </w:tc>
        <w:tc>
          <w:tcPr>
            <w:tcW w:w="954" w:type="pct"/>
            <w:tcMar>
              <w:left w:w="120" w:type="dxa"/>
              <w:right w:w="576" w:type="dxa"/>
            </w:tcMar>
          </w:tcPr>
          <w:p w:rsidR="003820E6" w:rsidRPr="001C27EF" w:rsidP="000C17D6" w14:paraId="1471CE08" w14:textId="6BD1C533">
            <w:pPr>
              <w:spacing w:after="120" w:line="240" w:lineRule="auto"/>
              <w:rPr>
                <w:rFonts w:ascii="Times New Roman" w:hAnsi="Times New Roman" w:cs="Times New Roman"/>
                <w:sz w:val="24"/>
                <w:szCs w:val="24"/>
              </w:rPr>
            </w:pPr>
            <w:r>
              <w:rPr>
                <w:rFonts w:ascii="Times New Roman" w:hAnsi="Times New Roman" w:cs="Times New Roman"/>
                <w:sz w:val="24"/>
                <w:szCs w:val="24"/>
              </w:rPr>
              <w:t>200</w:t>
            </w:r>
          </w:p>
        </w:tc>
        <w:tc>
          <w:tcPr>
            <w:tcW w:w="912" w:type="pct"/>
          </w:tcPr>
          <w:p w:rsidR="003820E6" w:rsidRPr="001C27EF" w:rsidP="000C17D6" w14:paraId="36D88871" w14:textId="6835BCED">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w:t>
            </w:r>
            <w:r w:rsidR="006A50F9">
              <w:rPr>
                <w:rFonts w:ascii="Times New Roman" w:hAnsi="Times New Roman" w:cs="Times New Roman"/>
                <w:sz w:val="24"/>
                <w:szCs w:val="24"/>
              </w:rPr>
              <w:t>36,772</w:t>
            </w:r>
          </w:p>
        </w:tc>
      </w:tr>
    </w:tbl>
    <w:p w:rsidR="006A50F9" w:rsidP="000C17D6" w14:paraId="6C5944AD" w14:textId="77777777">
      <w:pPr>
        <w:spacing w:after="120" w:line="240" w:lineRule="auto"/>
        <w:rPr>
          <w:rFonts w:ascii="Times New Roman" w:hAnsi="Times New Roman" w:cs="Times New Roman"/>
          <w:sz w:val="24"/>
          <w:szCs w:val="24"/>
        </w:rPr>
      </w:pPr>
    </w:p>
    <w:p w:rsidR="00602B29" w:rsidRPr="001C27EF" w:rsidP="000C17D6" w14:paraId="2928E52C" w14:textId="709DAF41">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The estimated hourly labor cost is based on the salary of a GS-15, Step 5 Federal employee in the Washington, D</w:t>
      </w:r>
      <w:r w:rsidR="003820E6">
        <w:rPr>
          <w:rFonts w:ascii="Times New Roman" w:hAnsi="Times New Roman" w:cs="Times New Roman"/>
          <w:sz w:val="24"/>
          <w:szCs w:val="24"/>
        </w:rPr>
        <w:t>.</w:t>
      </w:r>
      <w:r w:rsidRPr="001C27EF">
        <w:rPr>
          <w:rFonts w:ascii="Times New Roman" w:hAnsi="Times New Roman" w:cs="Times New Roman"/>
          <w:sz w:val="24"/>
          <w:szCs w:val="24"/>
        </w:rPr>
        <w:t>C</w:t>
      </w:r>
      <w:r w:rsidR="003820E6">
        <w:rPr>
          <w:rFonts w:ascii="Times New Roman" w:hAnsi="Times New Roman" w:cs="Times New Roman"/>
          <w:sz w:val="24"/>
          <w:szCs w:val="24"/>
        </w:rPr>
        <w:t>.</w:t>
      </w:r>
      <w:r w:rsidRPr="001C27EF">
        <w:rPr>
          <w:rFonts w:ascii="Times New Roman" w:hAnsi="Times New Roman" w:cs="Times New Roman"/>
          <w:sz w:val="24"/>
          <w:szCs w:val="24"/>
        </w:rPr>
        <w:t xml:space="preserve"> locality pay area, which is comparable to the compensation of personnel expected to </w:t>
      </w:r>
      <w:r w:rsidR="003820E6">
        <w:rPr>
          <w:rFonts w:ascii="Times New Roman" w:hAnsi="Times New Roman" w:cs="Times New Roman"/>
          <w:sz w:val="24"/>
          <w:szCs w:val="24"/>
        </w:rPr>
        <w:t>conduct the recordkeeping</w:t>
      </w:r>
      <w:r w:rsidRPr="001C27EF">
        <w:rPr>
          <w:rFonts w:ascii="Times New Roman" w:hAnsi="Times New Roman" w:cs="Times New Roman"/>
          <w:sz w:val="24"/>
          <w:szCs w:val="24"/>
        </w:rPr>
        <w:t xml:space="preserve">. The hourly wage is approximately $91.93. Consistent with Federal regulatory analyses, the estimated total labor cost, including fringe benefits and overhead, is $183.86 per hour. </w:t>
      </w:r>
    </w:p>
    <w:p w:rsidR="007463B8" w:rsidRPr="001C27EF" w:rsidP="000C17D6" w14:paraId="40F46718"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13. Provide an estimate for the total annual cost burden to respondents or record-keepers not included in Item 12 and Item 14.</w:t>
      </w:r>
    </w:p>
    <w:p w:rsidR="007463B8" w:rsidRPr="001C27EF" w:rsidP="000C17D6" w14:paraId="7B23EC04" w14:textId="77777777">
      <w:pPr>
        <w:spacing w:after="120" w:line="240" w:lineRule="auto"/>
        <w:rPr>
          <w:rFonts w:ascii="Times New Roman" w:eastAsia="Times New Roman" w:hAnsi="Times New Roman" w:cs="Times New Roman"/>
          <w:b/>
          <w:bCs/>
          <w:spacing w:val="2"/>
          <w:sz w:val="24"/>
          <w:szCs w:val="24"/>
        </w:rPr>
      </w:pPr>
    </w:p>
    <w:p w:rsidR="007463B8" w:rsidRPr="001C27EF" w:rsidP="000C17D6" w14:paraId="2C224FAA" w14:textId="217A007B">
      <w:pPr>
        <w:tabs>
          <w:tab w:val="left" w:pos="540"/>
        </w:tabs>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Treasury </w:t>
      </w:r>
      <w:r w:rsidRPr="001C27EF">
        <w:rPr>
          <w:rFonts w:ascii="Times New Roman" w:eastAsia="Times New Roman" w:hAnsi="Times New Roman" w:cs="Times New Roman"/>
          <w:sz w:val="24"/>
          <w:szCs w:val="24"/>
        </w:rPr>
        <w:t xml:space="preserve">expects that any non-labor costs associated with </w:t>
      </w:r>
      <w:r>
        <w:rPr>
          <w:rFonts w:ascii="Times New Roman" w:eastAsia="Times New Roman" w:hAnsi="Times New Roman" w:cs="Times New Roman"/>
          <w:sz w:val="24"/>
          <w:szCs w:val="24"/>
        </w:rPr>
        <w:t xml:space="preserve">the recordkeeping </w:t>
      </w:r>
      <w:r w:rsidRPr="001C27EF">
        <w:rPr>
          <w:rFonts w:ascii="Times New Roman" w:eastAsia="Times New Roman" w:hAnsi="Times New Roman" w:cs="Times New Roman"/>
          <w:sz w:val="24"/>
          <w:szCs w:val="24"/>
        </w:rPr>
        <w:t>will be minimal.</w:t>
      </w:r>
    </w:p>
    <w:p w:rsidR="007463B8" w:rsidRPr="001C27EF" w:rsidP="000C17D6" w14:paraId="10609E67" w14:textId="77777777">
      <w:pPr>
        <w:keepNext/>
        <w:spacing w:after="120" w:line="240" w:lineRule="auto"/>
        <w:rPr>
          <w:rFonts w:ascii="Times New Roman" w:eastAsia="Times New Roman" w:hAnsi="Times New Roman" w:cs="Times New Roman"/>
          <w:b/>
          <w:bCs/>
          <w:sz w:val="24"/>
          <w:szCs w:val="24"/>
        </w:rPr>
      </w:pPr>
      <w:r w:rsidRPr="001C27EF">
        <w:rPr>
          <w:rFonts w:ascii="Times New Roman" w:eastAsia="Times New Roman" w:hAnsi="Times New Roman" w:cs="Times New Roman"/>
          <w:b/>
          <w:bCs/>
          <w:sz w:val="24"/>
          <w:szCs w:val="24"/>
        </w:rPr>
        <w:t>14. Provide estimates of annualized costs to the Federal Government.</w:t>
      </w:r>
    </w:p>
    <w:p w:rsidR="007B3BC6" w:rsidRPr="001C27EF" w:rsidP="000C17D6" w14:paraId="5CFCEBA4" w14:textId="5F38D703">
      <w:pPr>
        <w:spacing w:after="120" w:line="240" w:lineRule="auto"/>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Treasury </w:t>
      </w:r>
      <w:r w:rsidRPr="001C27EF">
        <w:rPr>
          <w:rFonts w:ascii="Times New Roman" w:eastAsia="Times New Roman" w:hAnsi="Times New Roman" w:cs="Times New Roman"/>
          <w:spacing w:val="2"/>
          <w:sz w:val="24"/>
          <w:szCs w:val="24"/>
        </w:rPr>
        <w:t xml:space="preserve">expects to use existing IT infrastructure for </w:t>
      </w:r>
      <w:r>
        <w:rPr>
          <w:rFonts w:ascii="Times New Roman" w:eastAsia="Times New Roman" w:hAnsi="Times New Roman" w:cs="Times New Roman"/>
          <w:spacing w:val="2"/>
          <w:sz w:val="24"/>
          <w:szCs w:val="24"/>
        </w:rPr>
        <w:t xml:space="preserve">its </w:t>
      </w:r>
      <w:r w:rsidRPr="001C27EF">
        <w:rPr>
          <w:rFonts w:ascii="Times New Roman" w:eastAsia="Times New Roman" w:hAnsi="Times New Roman" w:cs="Times New Roman"/>
          <w:spacing w:val="2"/>
          <w:sz w:val="24"/>
          <w:szCs w:val="24"/>
        </w:rPr>
        <w:t>responsibilities</w:t>
      </w:r>
      <w:r>
        <w:rPr>
          <w:rFonts w:ascii="Times New Roman" w:eastAsia="Times New Roman" w:hAnsi="Times New Roman" w:cs="Times New Roman"/>
          <w:spacing w:val="2"/>
          <w:sz w:val="24"/>
          <w:szCs w:val="24"/>
        </w:rPr>
        <w:t xml:space="preserve"> under section 1001 of the Act</w:t>
      </w:r>
      <w:r w:rsidRPr="001C27EF">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 xml:space="preserve">Treasury </w:t>
      </w:r>
      <w:r w:rsidRPr="001C27EF">
        <w:rPr>
          <w:rFonts w:ascii="Times New Roman" w:eastAsia="Times New Roman" w:hAnsi="Times New Roman" w:cs="Times New Roman"/>
          <w:spacing w:val="2"/>
          <w:sz w:val="24"/>
          <w:szCs w:val="24"/>
        </w:rPr>
        <w:t xml:space="preserve">does not currently have sufficiently precise information to estimate total annual Federal implementation costs but expects such costs to consist primarily of personnel expenses associated with carrying out </w:t>
      </w:r>
      <w:r>
        <w:rPr>
          <w:rFonts w:ascii="Times New Roman" w:eastAsia="Times New Roman" w:hAnsi="Times New Roman" w:cs="Times New Roman"/>
          <w:spacing w:val="2"/>
          <w:sz w:val="24"/>
          <w:szCs w:val="24"/>
        </w:rPr>
        <w:t xml:space="preserve">Treasury’s </w:t>
      </w:r>
      <w:r w:rsidRPr="001C27EF">
        <w:rPr>
          <w:rFonts w:ascii="Times New Roman" w:eastAsia="Times New Roman" w:hAnsi="Times New Roman" w:cs="Times New Roman"/>
          <w:spacing w:val="2"/>
          <w:sz w:val="24"/>
          <w:szCs w:val="24"/>
        </w:rPr>
        <w:t xml:space="preserve">statutory responsibilities under section </w:t>
      </w:r>
      <w:r>
        <w:rPr>
          <w:rFonts w:ascii="Times New Roman" w:eastAsia="Times New Roman" w:hAnsi="Times New Roman" w:cs="Times New Roman"/>
          <w:spacing w:val="2"/>
          <w:sz w:val="24"/>
          <w:szCs w:val="24"/>
        </w:rPr>
        <w:t>1001</w:t>
      </w:r>
      <w:r w:rsidRPr="001C27EF" w:rsidR="00063FFB">
        <w:rPr>
          <w:rFonts w:ascii="Times New Roman" w:eastAsia="Times New Roman" w:hAnsi="Times New Roman" w:cs="Times New Roman"/>
          <w:spacing w:val="2"/>
          <w:sz w:val="24"/>
          <w:szCs w:val="24"/>
        </w:rPr>
        <w:t>.</w:t>
      </w:r>
    </w:p>
    <w:p w:rsidR="007463B8" w:rsidRPr="001C27EF" w:rsidP="000C17D6" w14:paraId="36E89064" w14:textId="7D055AA2">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15. Explain the reasons for any program changes or adjustments.</w:t>
      </w:r>
    </w:p>
    <w:p w:rsidR="007463B8" w:rsidRPr="001C27EF" w:rsidP="000C17D6" w14:paraId="535EC27E" w14:textId="49AFAB23">
      <w:pPr>
        <w:tabs>
          <w:tab w:val="left" w:pos="540"/>
        </w:tabs>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 xml:space="preserve">This is </w:t>
      </w:r>
      <w:r w:rsidRPr="001C27EF" w:rsidR="004C0CCF">
        <w:rPr>
          <w:rFonts w:ascii="Times New Roman" w:eastAsia="Times New Roman" w:hAnsi="Times New Roman" w:cs="Times New Roman"/>
          <w:sz w:val="24"/>
          <w:szCs w:val="24"/>
        </w:rPr>
        <w:t>a request for a new OMB Control Numbe</w:t>
      </w:r>
      <w:r w:rsidRPr="001C27EF" w:rsidR="00DD1961">
        <w:rPr>
          <w:rFonts w:ascii="Times New Roman" w:eastAsia="Times New Roman" w:hAnsi="Times New Roman" w:cs="Times New Roman"/>
          <w:sz w:val="24"/>
          <w:szCs w:val="24"/>
        </w:rPr>
        <w:t>r</w:t>
      </w:r>
      <w:r w:rsidRPr="001C27EF" w:rsidR="00770907">
        <w:rPr>
          <w:rFonts w:ascii="Times New Roman" w:eastAsia="Times New Roman" w:hAnsi="Times New Roman" w:cs="Times New Roman"/>
          <w:sz w:val="24"/>
          <w:szCs w:val="24"/>
        </w:rPr>
        <w:t xml:space="preserve"> in connection with the </w:t>
      </w:r>
      <w:r w:rsidR="006A50F9">
        <w:rPr>
          <w:rFonts w:ascii="Times New Roman" w:hAnsi="Times New Roman" w:cs="Times New Roman"/>
          <w:sz w:val="24"/>
          <w:szCs w:val="24"/>
        </w:rPr>
        <w:t>NPR</w:t>
      </w:r>
      <w:r w:rsidRPr="001C27EF" w:rsidR="00DD1961">
        <w:rPr>
          <w:rFonts w:ascii="Times New Roman" w:eastAsia="Times New Roman" w:hAnsi="Times New Roman" w:cs="Times New Roman"/>
          <w:sz w:val="24"/>
          <w:szCs w:val="24"/>
        </w:rPr>
        <w:t>.</w:t>
      </w:r>
    </w:p>
    <w:p w:rsidR="007463B8" w:rsidRPr="001C27EF" w:rsidP="000C17D6" w14:paraId="09E4E111"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16. For collections of information whose results will be published, outline plans for tabulation and publication. Provide the time schedule for the entire project.</w:t>
      </w:r>
    </w:p>
    <w:p w:rsidR="007463B8" w:rsidRPr="001C27EF" w:rsidP="000C17D6" w14:paraId="4F1DD862" w14:textId="5EFACB8D">
      <w:pPr>
        <w:tabs>
          <w:tab w:val="left" w:pos="540"/>
        </w:tabs>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 xml:space="preserve">The information </w:t>
      </w:r>
      <w:r w:rsidR="00A562F9">
        <w:rPr>
          <w:rFonts w:ascii="Times New Roman" w:eastAsia="Times New Roman" w:hAnsi="Times New Roman" w:cs="Times New Roman"/>
          <w:sz w:val="24"/>
          <w:szCs w:val="24"/>
        </w:rPr>
        <w:t xml:space="preserve">is not anticipated to </w:t>
      </w:r>
      <w:r w:rsidRPr="001C27EF">
        <w:rPr>
          <w:rFonts w:ascii="Times New Roman" w:eastAsia="Times New Roman" w:hAnsi="Times New Roman" w:cs="Times New Roman"/>
          <w:sz w:val="24"/>
          <w:szCs w:val="24"/>
        </w:rPr>
        <w:t>be published</w:t>
      </w:r>
      <w:r w:rsidRPr="001C27EF" w:rsidR="00054400">
        <w:rPr>
          <w:rFonts w:ascii="Times New Roman" w:eastAsia="Times New Roman" w:hAnsi="Times New Roman" w:cs="Times New Roman"/>
          <w:sz w:val="24"/>
          <w:szCs w:val="24"/>
        </w:rPr>
        <w:t>.</w:t>
      </w:r>
      <w:r w:rsidRPr="001C27EF" w:rsidR="005B217D">
        <w:rPr>
          <w:rFonts w:ascii="Times New Roman" w:eastAsia="Times New Roman" w:hAnsi="Times New Roman" w:cs="Times New Roman"/>
          <w:sz w:val="24"/>
          <w:szCs w:val="24"/>
        </w:rPr>
        <w:t xml:space="preserve"> </w:t>
      </w:r>
    </w:p>
    <w:p w:rsidR="007463B8" w:rsidRPr="001C27EF" w:rsidP="000C17D6" w14:paraId="5D07136E"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17. If seeking approval to not display the expiration date for OMB approval, explain the reasons that display would be inappropriate.</w:t>
      </w:r>
    </w:p>
    <w:p w:rsidR="007463B8" w:rsidRPr="001C27EF" w:rsidP="000C17D6" w14:paraId="44F9FD1D" w14:textId="15350E24">
      <w:pPr>
        <w:tabs>
          <w:tab w:val="left" w:pos="540"/>
        </w:tabs>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No such approval is sought.</w:t>
      </w:r>
    </w:p>
    <w:p w:rsidR="007463B8" w:rsidRPr="001C27EF" w:rsidP="000C17D6" w14:paraId="76A39CE4" w14:textId="77777777">
      <w:pPr>
        <w:spacing w:after="120" w:line="240" w:lineRule="auto"/>
        <w:rPr>
          <w:rFonts w:ascii="Times New Roman" w:eastAsia="Times New Roman" w:hAnsi="Times New Roman" w:cs="Times New Roman"/>
          <w:b/>
          <w:bCs/>
          <w:spacing w:val="2"/>
          <w:sz w:val="24"/>
          <w:szCs w:val="24"/>
        </w:rPr>
      </w:pPr>
      <w:r w:rsidRPr="001C27EF">
        <w:rPr>
          <w:rFonts w:ascii="Times New Roman" w:eastAsia="Times New Roman" w:hAnsi="Times New Roman" w:cs="Times New Roman"/>
          <w:b/>
          <w:bCs/>
          <w:spacing w:val="2"/>
          <w:sz w:val="24"/>
          <w:szCs w:val="24"/>
        </w:rPr>
        <w:t>18. Explain each exception to the certification statement.</w:t>
      </w:r>
    </w:p>
    <w:p w:rsidR="007463B8" w:rsidRPr="001C27EF" w:rsidP="000C17D6" w14:paraId="7DC6D8AD" w14:textId="77777777">
      <w:pPr>
        <w:spacing w:after="120" w:line="240" w:lineRule="auto"/>
        <w:rPr>
          <w:rFonts w:ascii="Times New Roman" w:eastAsia="Times New Roman" w:hAnsi="Times New Roman" w:cs="Times New Roman"/>
          <w:sz w:val="24"/>
          <w:szCs w:val="24"/>
        </w:rPr>
      </w:pPr>
      <w:r w:rsidRPr="001C27EF">
        <w:rPr>
          <w:rFonts w:ascii="Times New Roman" w:eastAsia="Times New Roman" w:hAnsi="Times New Roman" w:cs="Times New Roman"/>
          <w:sz w:val="24"/>
          <w:szCs w:val="24"/>
        </w:rPr>
        <w:t>There are no exceptions.</w:t>
      </w:r>
    </w:p>
    <w:p w:rsidR="007E4142" w:rsidRPr="001C27EF" w:rsidP="000C17D6" w14:paraId="3CC85428" w14:textId="77777777">
      <w:pPr>
        <w:spacing w:after="120" w:line="240" w:lineRule="auto"/>
        <w:rPr>
          <w:rFonts w:ascii="Times New Roman" w:hAnsi="Times New Roman" w:cs="Times New Roman"/>
          <w:sz w:val="24"/>
          <w:szCs w:val="24"/>
        </w:rPr>
      </w:pPr>
    </w:p>
    <w:p w:rsidR="007E4142" w:rsidRPr="001C27EF" w:rsidP="000C17D6" w14:paraId="7DEBC762" w14:textId="34C39B46">
      <w:pPr>
        <w:spacing w:after="120" w:line="240" w:lineRule="auto"/>
        <w:rPr>
          <w:rFonts w:ascii="Times New Roman" w:hAnsi="Times New Roman" w:cs="Times New Roman"/>
          <w:b/>
          <w:bCs/>
          <w:sz w:val="24"/>
          <w:szCs w:val="24"/>
        </w:rPr>
      </w:pPr>
      <w:r w:rsidRPr="001C27EF">
        <w:rPr>
          <w:rFonts w:ascii="Times New Roman" w:hAnsi="Times New Roman" w:cs="Times New Roman"/>
          <w:b/>
          <w:bCs/>
          <w:sz w:val="24"/>
          <w:szCs w:val="24"/>
        </w:rPr>
        <w:t xml:space="preserve">PART B. COLLECTIONS OF INFORMATION EMPLOYING STATISTICAL METHODS </w:t>
      </w:r>
    </w:p>
    <w:p w:rsidR="007463B8" w:rsidRPr="001C27EF" w:rsidP="000C17D6" w14:paraId="44F95A61" w14:textId="5049ED68">
      <w:pPr>
        <w:spacing w:after="120" w:line="240" w:lineRule="auto"/>
        <w:rPr>
          <w:rFonts w:ascii="Times New Roman" w:hAnsi="Times New Roman" w:cs="Times New Roman"/>
          <w:sz w:val="24"/>
          <w:szCs w:val="24"/>
        </w:rPr>
      </w:pPr>
      <w:r w:rsidRPr="001C27EF">
        <w:rPr>
          <w:rFonts w:ascii="Times New Roman" w:hAnsi="Times New Roman" w:cs="Times New Roman"/>
          <w:sz w:val="24"/>
          <w:szCs w:val="24"/>
        </w:rPr>
        <w:t>This collection does not employ statistical methods.</w:t>
      </w:r>
    </w:p>
    <w:sectPr>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7882748"/>
      <w:docPartObj>
        <w:docPartGallery w:val="Page Numbers (Bottom of Page)"/>
        <w:docPartUnique/>
      </w:docPartObj>
    </w:sdtPr>
    <w:sdtEndPr>
      <w:rPr>
        <w:rFonts w:ascii="Times New Roman" w:hAnsi="Times New Roman" w:cs="Times New Roman"/>
        <w:noProof/>
        <w:sz w:val="24"/>
        <w:szCs w:val="24"/>
      </w:rPr>
    </w:sdtEndPr>
    <w:sdtContent>
      <w:p w:rsidR="00DB3F00" w:rsidRPr="00DB3F00" w14:paraId="1A06A75E" w14:textId="3AE58FE6">
        <w:pPr>
          <w:pStyle w:val="Footer"/>
          <w:jc w:val="center"/>
          <w:rPr>
            <w:rFonts w:ascii="Times New Roman" w:hAnsi="Times New Roman" w:cs="Times New Roman"/>
            <w:sz w:val="24"/>
            <w:szCs w:val="24"/>
          </w:rPr>
        </w:pPr>
        <w:r w:rsidRPr="00DB3F00">
          <w:rPr>
            <w:rFonts w:ascii="Times New Roman" w:hAnsi="Times New Roman" w:cs="Times New Roman"/>
            <w:sz w:val="24"/>
            <w:szCs w:val="24"/>
          </w:rPr>
          <w:fldChar w:fldCharType="begin"/>
        </w:r>
        <w:r w:rsidRPr="00DB3F00">
          <w:rPr>
            <w:rFonts w:ascii="Times New Roman" w:hAnsi="Times New Roman" w:cs="Times New Roman"/>
            <w:sz w:val="24"/>
            <w:szCs w:val="24"/>
          </w:rPr>
          <w:instrText xml:space="preserve"> PAGE   \* MERGEFORMAT </w:instrText>
        </w:r>
        <w:r w:rsidRPr="00DB3F00">
          <w:rPr>
            <w:rFonts w:ascii="Times New Roman" w:hAnsi="Times New Roman" w:cs="Times New Roman"/>
            <w:sz w:val="24"/>
            <w:szCs w:val="24"/>
          </w:rPr>
          <w:fldChar w:fldCharType="separate"/>
        </w:r>
        <w:r w:rsidRPr="00DB3F00">
          <w:rPr>
            <w:rFonts w:ascii="Times New Roman" w:hAnsi="Times New Roman" w:cs="Times New Roman"/>
            <w:noProof/>
            <w:sz w:val="24"/>
            <w:szCs w:val="24"/>
          </w:rPr>
          <w:t>2</w:t>
        </w:r>
        <w:r w:rsidRPr="00DB3F00">
          <w:rPr>
            <w:rFonts w:ascii="Times New Roman" w:hAnsi="Times New Roman" w:cs="Times New Roman"/>
            <w:noProof/>
            <w:sz w:val="24"/>
            <w:szCs w:val="24"/>
          </w:rPr>
          <w:fldChar w:fldCharType="end"/>
        </w:r>
      </w:p>
    </w:sdtContent>
  </w:sdt>
  <w:p w:rsidR="00DB3F00" w14:paraId="0205DD9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62A4" w14:paraId="7AE50BB8" w14:textId="77777777">
      <w:pPr>
        <w:spacing w:after="0" w:line="240" w:lineRule="auto"/>
      </w:pPr>
      <w:r>
        <w:separator/>
      </w:r>
    </w:p>
  </w:footnote>
  <w:footnote w:type="continuationSeparator" w:id="1">
    <w:p w:rsidR="006162A4" w14:paraId="49D4F0A4" w14:textId="77777777">
      <w:pPr>
        <w:spacing w:after="0" w:line="240" w:lineRule="auto"/>
      </w:pPr>
      <w:r>
        <w:continuationSeparator/>
      </w:r>
    </w:p>
  </w:footnote>
  <w:footnote w:id="2">
    <w:p w:rsidR="000C17D6" w:rsidRPr="00C12EB3" w:rsidP="000C17D6" w14:paraId="5F32D397"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42 U.S.C. 19521.</w:t>
      </w:r>
    </w:p>
  </w:footnote>
  <w:footnote w:id="3">
    <w:p w:rsidR="000C17D6" w:rsidRPr="00C12EB3" w:rsidP="000C17D6" w14:paraId="3BEC3B52"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These and other terms are defined in section 1001(a) of the ROAD Act.</w:t>
      </w:r>
    </w:p>
  </w:footnote>
  <w:footnote w:id="4">
    <w:p w:rsidR="000C17D6" w:rsidRPr="00C12EB3" w:rsidP="000C17D6" w14:paraId="70AC8F1B"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w:t>
      </w:r>
      <w:r w:rsidRPr="00C12EB3">
        <w:rPr>
          <w:rFonts w:ascii="Times New Roman" w:hAnsi="Times New Roman" w:cs="Times New Roman"/>
          <w:i/>
          <w:iCs/>
        </w:rPr>
        <w:t>See</w:t>
      </w:r>
      <w:r w:rsidRPr="00C12EB3">
        <w:rPr>
          <w:rFonts w:ascii="Times New Roman" w:hAnsi="Times New Roman" w:cs="Times New Roman"/>
        </w:rPr>
        <w:t xml:space="preserve"> Section 1001(a)(2) of the ROAD Act</w:t>
      </w:r>
    </w:p>
  </w:footnote>
  <w:footnote w:id="5">
    <w:p w:rsidR="000C17D6" w:rsidRPr="00C12EB3" w:rsidP="000C17D6" w14:paraId="26FAE23E"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w:t>
      </w:r>
      <w:r w:rsidRPr="00C12EB3">
        <w:rPr>
          <w:rFonts w:ascii="Times New Roman" w:hAnsi="Times New Roman" w:cs="Times New Roman"/>
          <w:i/>
          <w:iCs/>
        </w:rPr>
        <w:t>Id.</w:t>
      </w:r>
      <w:r w:rsidRPr="00C12EB3">
        <w:rPr>
          <w:rFonts w:ascii="Times New Roman" w:hAnsi="Times New Roman" w:cs="Times New Roman"/>
        </w:rPr>
        <w:t xml:space="preserve"> at section 1001(b)(4)(A).</w:t>
      </w:r>
    </w:p>
  </w:footnote>
  <w:footnote w:id="6">
    <w:p w:rsidR="000C17D6" w:rsidRPr="00C12EB3" w:rsidP="000C17D6" w14:paraId="01C61980"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w:t>
      </w:r>
      <w:r w:rsidRPr="00C12EB3">
        <w:rPr>
          <w:rFonts w:ascii="Times New Roman" w:hAnsi="Times New Roman" w:cs="Times New Roman"/>
          <w:i/>
          <w:iCs/>
        </w:rPr>
        <w:t>Id.</w:t>
      </w:r>
      <w:r w:rsidRPr="00C12EB3">
        <w:rPr>
          <w:rFonts w:ascii="Times New Roman" w:hAnsi="Times New Roman" w:cs="Times New Roman"/>
        </w:rPr>
        <w:t xml:space="preserve"> at section 1001(b)(4)(B).</w:t>
      </w:r>
    </w:p>
  </w:footnote>
  <w:footnote w:id="7">
    <w:p w:rsidR="000C17D6" w:rsidRPr="00C12EB3" w:rsidP="000C17D6" w14:paraId="7660D06E" w14:textId="77777777">
      <w:pPr>
        <w:pStyle w:val="FootnoteText"/>
        <w:rPr>
          <w:rFonts w:ascii="Times New Roman" w:hAnsi="Times New Roman" w:cs="Times New Roman"/>
        </w:rPr>
      </w:pPr>
      <w:r w:rsidRPr="00C12EB3">
        <w:rPr>
          <w:rStyle w:val="FootnoteReference"/>
          <w:rFonts w:ascii="Times New Roman" w:hAnsi="Times New Roman" w:cs="Times New Roman"/>
        </w:rPr>
        <w:footnoteRef/>
      </w:r>
      <w:r w:rsidRPr="00C12EB3">
        <w:rPr>
          <w:rFonts w:ascii="Times New Roman" w:hAnsi="Times New Roman" w:cs="Times New Roman"/>
        </w:rPr>
        <w:t xml:space="preserve"> S</w:t>
      </w:r>
      <w:r w:rsidRPr="00C12EB3">
        <w:rPr>
          <w:rStyle w:val="eop"/>
          <w:rFonts w:ascii="Times New Roman" w:hAnsi="Times New Roman" w:cs="Times New Roman"/>
          <w:color w:val="000000" w:themeColor="text1"/>
        </w:rPr>
        <w:t>ection 1001(c)(8) of the Act requires a large institutional investor to submit an annual notice to the Department of Housing and Urban Development (HUD) with certain information about single-family homes over which the large institutional investor has direct or indirect investment control. HUD will prescribe the form and manner of that notice, which this proposed rule does not address.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A3495B"/>
    <w:multiLevelType w:val="hybridMultilevel"/>
    <w:tmpl w:val="E2D6E6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7D54EFC"/>
    <w:multiLevelType w:val="hybridMultilevel"/>
    <w:tmpl w:val="D15AF7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00B47DF"/>
    <w:multiLevelType w:val="hybridMultilevel"/>
    <w:tmpl w:val="D7AC7128"/>
    <w:lvl w:ilvl="0">
      <w:start w:val="0"/>
      <w:numFmt w:val="bullet"/>
      <w:lvlText w:val="•"/>
      <w:lvlJc w:val="left"/>
      <w:pPr>
        <w:ind w:left="1080" w:hanging="72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07A709C"/>
    <w:multiLevelType w:val="hybridMultilevel"/>
    <w:tmpl w:val="9F809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F1602FD"/>
    <w:multiLevelType w:val="hybridMultilevel"/>
    <w:tmpl w:val="9692FD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490D45EF"/>
    <w:multiLevelType w:val="hybridMultilevel"/>
    <w:tmpl w:val="48A07BE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4FB34ECA"/>
    <w:multiLevelType w:val="hybridMultilevel"/>
    <w:tmpl w:val="B63CA772"/>
    <w:lvl w:ilvl="0">
      <w:start w:val="0"/>
      <w:numFmt w:val="bullet"/>
      <w:lvlText w:val="•"/>
      <w:lvlJc w:val="left"/>
      <w:pPr>
        <w:ind w:left="1080" w:hanging="72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8C428C"/>
    <w:multiLevelType w:val="hybridMultilevel"/>
    <w:tmpl w:val="58648F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A4B3C47"/>
    <w:multiLevelType w:val="hybridMultilevel"/>
    <w:tmpl w:val="E66C41C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DE96BF5"/>
    <w:multiLevelType w:val="hybridMultilevel"/>
    <w:tmpl w:val="5672BC72"/>
    <w:lvl w:ilvl="0">
      <w:start w:val="0"/>
      <w:numFmt w:val="bullet"/>
      <w:lvlText w:val="•"/>
      <w:lvlJc w:val="left"/>
      <w:pPr>
        <w:ind w:left="1080" w:hanging="72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EDC7101"/>
    <w:multiLevelType w:val="hybridMultilevel"/>
    <w:tmpl w:val="2CCE201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1">
    <w:nsid w:val="6B6C5474"/>
    <w:multiLevelType w:val="hybridMultilevel"/>
    <w:tmpl w:val="5394D0CA"/>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53370081">
    <w:abstractNumId w:val="3"/>
  </w:num>
  <w:num w:numId="2" w16cid:durableId="151652047">
    <w:abstractNumId w:val="4"/>
  </w:num>
  <w:num w:numId="3" w16cid:durableId="11385738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62782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68610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3911424">
    <w:abstractNumId w:val="5"/>
  </w:num>
  <w:num w:numId="7" w16cid:durableId="772700206">
    <w:abstractNumId w:val="10"/>
  </w:num>
  <w:num w:numId="8" w16cid:durableId="492794674">
    <w:abstractNumId w:val="0"/>
  </w:num>
  <w:num w:numId="9" w16cid:durableId="895748578">
    <w:abstractNumId w:val="7"/>
  </w:num>
  <w:num w:numId="10" w16cid:durableId="1088691269">
    <w:abstractNumId w:val="1"/>
  </w:num>
  <w:num w:numId="11" w16cid:durableId="294877964">
    <w:abstractNumId w:val="9"/>
  </w:num>
  <w:num w:numId="12" w16cid:durableId="575365777">
    <w:abstractNumId w:val="2"/>
  </w:num>
  <w:num w:numId="13" w16cid:durableId="9991150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683"/>
    <w:rsid w:val="0000583E"/>
    <w:rsid w:val="000176EF"/>
    <w:rsid w:val="0001778E"/>
    <w:rsid w:val="00023BD2"/>
    <w:rsid w:val="00031928"/>
    <w:rsid w:val="00035D7E"/>
    <w:rsid w:val="00036F75"/>
    <w:rsid w:val="00040EF9"/>
    <w:rsid w:val="00041910"/>
    <w:rsid w:val="00052166"/>
    <w:rsid w:val="0005404A"/>
    <w:rsid w:val="00054400"/>
    <w:rsid w:val="00055AB1"/>
    <w:rsid w:val="000608A7"/>
    <w:rsid w:val="00063FFB"/>
    <w:rsid w:val="0008120F"/>
    <w:rsid w:val="00081704"/>
    <w:rsid w:val="00083EE5"/>
    <w:rsid w:val="00083FF8"/>
    <w:rsid w:val="00085FD2"/>
    <w:rsid w:val="0008677B"/>
    <w:rsid w:val="00091A06"/>
    <w:rsid w:val="000B3279"/>
    <w:rsid w:val="000B7A5B"/>
    <w:rsid w:val="000C17D6"/>
    <w:rsid w:val="000C3A62"/>
    <w:rsid w:val="000D6475"/>
    <w:rsid w:val="0010504A"/>
    <w:rsid w:val="001065E6"/>
    <w:rsid w:val="00117572"/>
    <w:rsid w:val="00137426"/>
    <w:rsid w:val="00142C06"/>
    <w:rsid w:val="001508D8"/>
    <w:rsid w:val="001546A9"/>
    <w:rsid w:val="00162F40"/>
    <w:rsid w:val="00165EC2"/>
    <w:rsid w:val="00180DB3"/>
    <w:rsid w:val="0018379F"/>
    <w:rsid w:val="00183907"/>
    <w:rsid w:val="001A3EAF"/>
    <w:rsid w:val="001B6E99"/>
    <w:rsid w:val="001C27EF"/>
    <w:rsid w:val="001C28C9"/>
    <w:rsid w:val="001C29C7"/>
    <w:rsid w:val="001C3E93"/>
    <w:rsid w:val="001D0EF3"/>
    <w:rsid w:val="001E0369"/>
    <w:rsid w:val="001E1076"/>
    <w:rsid w:val="001E127D"/>
    <w:rsid w:val="001E3260"/>
    <w:rsid w:val="001F05B0"/>
    <w:rsid w:val="001F07E7"/>
    <w:rsid w:val="001F614A"/>
    <w:rsid w:val="001F6611"/>
    <w:rsid w:val="00204A4A"/>
    <w:rsid w:val="00207866"/>
    <w:rsid w:val="002250B5"/>
    <w:rsid w:val="002272C0"/>
    <w:rsid w:val="0023681E"/>
    <w:rsid w:val="002432D6"/>
    <w:rsid w:val="00276A12"/>
    <w:rsid w:val="00277735"/>
    <w:rsid w:val="00294776"/>
    <w:rsid w:val="00297871"/>
    <w:rsid w:val="002B0658"/>
    <w:rsid w:val="002B524D"/>
    <w:rsid w:val="002C5349"/>
    <w:rsid w:val="002D01E5"/>
    <w:rsid w:val="002D0DD0"/>
    <w:rsid w:val="002E1AFD"/>
    <w:rsid w:val="002F42F4"/>
    <w:rsid w:val="002F6F15"/>
    <w:rsid w:val="002F7719"/>
    <w:rsid w:val="0030078A"/>
    <w:rsid w:val="00302F66"/>
    <w:rsid w:val="0030389C"/>
    <w:rsid w:val="00311CF0"/>
    <w:rsid w:val="00321F24"/>
    <w:rsid w:val="0032544E"/>
    <w:rsid w:val="0032746A"/>
    <w:rsid w:val="00330B60"/>
    <w:rsid w:val="00333FDB"/>
    <w:rsid w:val="003353D0"/>
    <w:rsid w:val="00352FBF"/>
    <w:rsid w:val="003602BC"/>
    <w:rsid w:val="0036087E"/>
    <w:rsid w:val="00362F3C"/>
    <w:rsid w:val="003778BC"/>
    <w:rsid w:val="003820E6"/>
    <w:rsid w:val="0038706D"/>
    <w:rsid w:val="003A180D"/>
    <w:rsid w:val="003A2E32"/>
    <w:rsid w:val="003B1575"/>
    <w:rsid w:val="003C4441"/>
    <w:rsid w:val="003D4317"/>
    <w:rsid w:val="004133DD"/>
    <w:rsid w:val="00415A2E"/>
    <w:rsid w:val="004171F6"/>
    <w:rsid w:val="00422692"/>
    <w:rsid w:val="00425B89"/>
    <w:rsid w:val="00436876"/>
    <w:rsid w:val="0043763B"/>
    <w:rsid w:val="004554A6"/>
    <w:rsid w:val="00455E9D"/>
    <w:rsid w:val="00455F2B"/>
    <w:rsid w:val="00464CF8"/>
    <w:rsid w:val="00465688"/>
    <w:rsid w:val="004722C1"/>
    <w:rsid w:val="004746C5"/>
    <w:rsid w:val="004870A1"/>
    <w:rsid w:val="004A116E"/>
    <w:rsid w:val="004A74E8"/>
    <w:rsid w:val="004B2D24"/>
    <w:rsid w:val="004B5344"/>
    <w:rsid w:val="004C0BA7"/>
    <w:rsid w:val="004C0CCF"/>
    <w:rsid w:val="004D71CA"/>
    <w:rsid w:val="00503023"/>
    <w:rsid w:val="00505E75"/>
    <w:rsid w:val="00521017"/>
    <w:rsid w:val="00525297"/>
    <w:rsid w:val="0053012A"/>
    <w:rsid w:val="00532CFA"/>
    <w:rsid w:val="00543F32"/>
    <w:rsid w:val="00552A29"/>
    <w:rsid w:val="00554CFB"/>
    <w:rsid w:val="00571B5C"/>
    <w:rsid w:val="00580545"/>
    <w:rsid w:val="00580C07"/>
    <w:rsid w:val="00584DB4"/>
    <w:rsid w:val="00585646"/>
    <w:rsid w:val="00587190"/>
    <w:rsid w:val="005A2585"/>
    <w:rsid w:val="005A284C"/>
    <w:rsid w:val="005A79EE"/>
    <w:rsid w:val="005B171B"/>
    <w:rsid w:val="005B217D"/>
    <w:rsid w:val="005C4A1C"/>
    <w:rsid w:val="005E01E0"/>
    <w:rsid w:val="005E73E6"/>
    <w:rsid w:val="005F3C8B"/>
    <w:rsid w:val="005F76DA"/>
    <w:rsid w:val="00602B29"/>
    <w:rsid w:val="006040AB"/>
    <w:rsid w:val="00606180"/>
    <w:rsid w:val="00606456"/>
    <w:rsid w:val="006064B6"/>
    <w:rsid w:val="00613BC1"/>
    <w:rsid w:val="006159D2"/>
    <w:rsid w:val="006162A4"/>
    <w:rsid w:val="00617AE7"/>
    <w:rsid w:val="00621511"/>
    <w:rsid w:val="00631486"/>
    <w:rsid w:val="00635F88"/>
    <w:rsid w:val="00641893"/>
    <w:rsid w:val="00655F50"/>
    <w:rsid w:val="0065647F"/>
    <w:rsid w:val="00672829"/>
    <w:rsid w:val="00673E4A"/>
    <w:rsid w:val="006759DF"/>
    <w:rsid w:val="00677A6A"/>
    <w:rsid w:val="00680492"/>
    <w:rsid w:val="00682653"/>
    <w:rsid w:val="00684E2F"/>
    <w:rsid w:val="00687039"/>
    <w:rsid w:val="00693C13"/>
    <w:rsid w:val="006A087F"/>
    <w:rsid w:val="006A18D1"/>
    <w:rsid w:val="006A3699"/>
    <w:rsid w:val="006A50F9"/>
    <w:rsid w:val="006B3F33"/>
    <w:rsid w:val="006D2800"/>
    <w:rsid w:val="006D4081"/>
    <w:rsid w:val="006F4D21"/>
    <w:rsid w:val="006F4D23"/>
    <w:rsid w:val="00711A0D"/>
    <w:rsid w:val="00720154"/>
    <w:rsid w:val="007263E9"/>
    <w:rsid w:val="00741858"/>
    <w:rsid w:val="00744CC2"/>
    <w:rsid w:val="00745B60"/>
    <w:rsid w:val="0074636F"/>
    <w:rsid w:val="007463B8"/>
    <w:rsid w:val="00766A47"/>
    <w:rsid w:val="00770907"/>
    <w:rsid w:val="00780337"/>
    <w:rsid w:val="00781901"/>
    <w:rsid w:val="00790D26"/>
    <w:rsid w:val="007927B2"/>
    <w:rsid w:val="00795237"/>
    <w:rsid w:val="0079596C"/>
    <w:rsid w:val="007B3BC6"/>
    <w:rsid w:val="007C37E3"/>
    <w:rsid w:val="007C3DA7"/>
    <w:rsid w:val="007D0CD9"/>
    <w:rsid w:val="007D4BDC"/>
    <w:rsid w:val="007E21CB"/>
    <w:rsid w:val="007E4142"/>
    <w:rsid w:val="007E78E8"/>
    <w:rsid w:val="008033C1"/>
    <w:rsid w:val="00815109"/>
    <w:rsid w:val="0084462C"/>
    <w:rsid w:val="0084538F"/>
    <w:rsid w:val="008506AE"/>
    <w:rsid w:val="00877F94"/>
    <w:rsid w:val="00885139"/>
    <w:rsid w:val="008873B1"/>
    <w:rsid w:val="00895DE8"/>
    <w:rsid w:val="008A370E"/>
    <w:rsid w:val="008A4745"/>
    <w:rsid w:val="008B0F19"/>
    <w:rsid w:val="008B17CE"/>
    <w:rsid w:val="008B6256"/>
    <w:rsid w:val="008D156C"/>
    <w:rsid w:val="008E2E30"/>
    <w:rsid w:val="008F10A7"/>
    <w:rsid w:val="0090702E"/>
    <w:rsid w:val="00907669"/>
    <w:rsid w:val="00910705"/>
    <w:rsid w:val="00910734"/>
    <w:rsid w:val="0091553D"/>
    <w:rsid w:val="009338FC"/>
    <w:rsid w:val="0094301E"/>
    <w:rsid w:val="0096779A"/>
    <w:rsid w:val="00982D35"/>
    <w:rsid w:val="0098532D"/>
    <w:rsid w:val="009953DF"/>
    <w:rsid w:val="009A63B2"/>
    <w:rsid w:val="009D30E4"/>
    <w:rsid w:val="009D5550"/>
    <w:rsid w:val="009E44B8"/>
    <w:rsid w:val="009F34D9"/>
    <w:rsid w:val="009F5A2F"/>
    <w:rsid w:val="009F70A8"/>
    <w:rsid w:val="00A007D0"/>
    <w:rsid w:val="00A0336B"/>
    <w:rsid w:val="00A23457"/>
    <w:rsid w:val="00A25520"/>
    <w:rsid w:val="00A25B2F"/>
    <w:rsid w:val="00A427EC"/>
    <w:rsid w:val="00A4307B"/>
    <w:rsid w:val="00A4322F"/>
    <w:rsid w:val="00A52AEC"/>
    <w:rsid w:val="00A562F9"/>
    <w:rsid w:val="00A75FFE"/>
    <w:rsid w:val="00AB1BDD"/>
    <w:rsid w:val="00AB649D"/>
    <w:rsid w:val="00AC72A1"/>
    <w:rsid w:val="00AD0559"/>
    <w:rsid w:val="00AD2555"/>
    <w:rsid w:val="00AE5535"/>
    <w:rsid w:val="00AE6699"/>
    <w:rsid w:val="00AF3D28"/>
    <w:rsid w:val="00B0333B"/>
    <w:rsid w:val="00B10E7A"/>
    <w:rsid w:val="00B25046"/>
    <w:rsid w:val="00B2565F"/>
    <w:rsid w:val="00B375B3"/>
    <w:rsid w:val="00B42604"/>
    <w:rsid w:val="00B50D4C"/>
    <w:rsid w:val="00B53CBA"/>
    <w:rsid w:val="00B65DC9"/>
    <w:rsid w:val="00B70CB2"/>
    <w:rsid w:val="00B81683"/>
    <w:rsid w:val="00B82816"/>
    <w:rsid w:val="00B85ADC"/>
    <w:rsid w:val="00B9129A"/>
    <w:rsid w:val="00BB3296"/>
    <w:rsid w:val="00BB3B86"/>
    <w:rsid w:val="00BD1635"/>
    <w:rsid w:val="00BD4694"/>
    <w:rsid w:val="00BE019F"/>
    <w:rsid w:val="00BE0731"/>
    <w:rsid w:val="00BE16B5"/>
    <w:rsid w:val="00BE2D5D"/>
    <w:rsid w:val="00BE3861"/>
    <w:rsid w:val="00C04B2E"/>
    <w:rsid w:val="00C12EB3"/>
    <w:rsid w:val="00C266FC"/>
    <w:rsid w:val="00C274A1"/>
    <w:rsid w:val="00C306CC"/>
    <w:rsid w:val="00C31865"/>
    <w:rsid w:val="00C34053"/>
    <w:rsid w:val="00C401B5"/>
    <w:rsid w:val="00C409E8"/>
    <w:rsid w:val="00C447E9"/>
    <w:rsid w:val="00C511E9"/>
    <w:rsid w:val="00C531BE"/>
    <w:rsid w:val="00C55203"/>
    <w:rsid w:val="00C56A3B"/>
    <w:rsid w:val="00C61D07"/>
    <w:rsid w:val="00C644CC"/>
    <w:rsid w:val="00C81BE9"/>
    <w:rsid w:val="00C84567"/>
    <w:rsid w:val="00C91D83"/>
    <w:rsid w:val="00CA3733"/>
    <w:rsid w:val="00CA4197"/>
    <w:rsid w:val="00CB6407"/>
    <w:rsid w:val="00CB7BFC"/>
    <w:rsid w:val="00CC3DB1"/>
    <w:rsid w:val="00CC467B"/>
    <w:rsid w:val="00CC5405"/>
    <w:rsid w:val="00CC755D"/>
    <w:rsid w:val="00CD0B78"/>
    <w:rsid w:val="00CD1E54"/>
    <w:rsid w:val="00CD4912"/>
    <w:rsid w:val="00CE0A43"/>
    <w:rsid w:val="00CF09F3"/>
    <w:rsid w:val="00D01FEC"/>
    <w:rsid w:val="00D04C7F"/>
    <w:rsid w:val="00D24931"/>
    <w:rsid w:val="00D2501F"/>
    <w:rsid w:val="00D27863"/>
    <w:rsid w:val="00D333D9"/>
    <w:rsid w:val="00D4087A"/>
    <w:rsid w:val="00D63FBC"/>
    <w:rsid w:val="00D71042"/>
    <w:rsid w:val="00D72677"/>
    <w:rsid w:val="00D73866"/>
    <w:rsid w:val="00D767CD"/>
    <w:rsid w:val="00D84BE4"/>
    <w:rsid w:val="00D855D5"/>
    <w:rsid w:val="00D902C9"/>
    <w:rsid w:val="00D96866"/>
    <w:rsid w:val="00DA4968"/>
    <w:rsid w:val="00DA7C83"/>
    <w:rsid w:val="00DB3F00"/>
    <w:rsid w:val="00DD14F1"/>
    <w:rsid w:val="00DD1961"/>
    <w:rsid w:val="00DD1C2E"/>
    <w:rsid w:val="00DE25B1"/>
    <w:rsid w:val="00DF24D0"/>
    <w:rsid w:val="00DF3160"/>
    <w:rsid w:val="00DF3390"/>
    <w:rsid w:val="00DF4569"/>
    <w:rsid w:val="00DF57DE"/>
    <w:rsid w:val="00E005DE"/>
    <w:rsid w:val="00E12663"/>
    <w:rsid w:val="00E14ABF"/>
    <w:rsid w:val="00E30C2D"/>
    <w:rsid w:val="00E4353E"/>
    <w:rsid w:val="00E50299"/>
    <w:rsid w:val="00E5211D"/>
    <w:rsid w:val="00E62C43"/>
    <w:rsid w:val="00E771F8"/>
    <w:rsid w:val="00E77CCC"/>
    <w:rsid w:val="00E87BB7"/>
    <w:rsid w:val="00E92C15"/>
    <w:rsid w:val="00E948CB"/>
    <w:rsid w:val="00E94C51"/>
    <w:rsid w:val="00EA37C0"/>
    <w:rsid w:val="00EB471E"/>
    <w:rsid w:val="00EB63AD"/>
    <w:rsid w:val="00EC4DC9"/>
    <w:rsid w:val="00ED138E"/>
    <w:rsid w:val="00ED4F34"/>
    <w:rsid w:val="00EE039C"/>
    <w:rsid w:val="00EE03D8"/>
    <w:rsid w:val="00EE7071"/>
    <w:rsid w:val="00EF6842"/>
    <w:rsid w:val="00F07ADE"/>
    <w:rsid w:val="00F14D18"/>
    <w:rsid w:val="00F216DD"/>
    <w:rsid w:val="00F26C84"/>
    <w:rsid w:val="00F27399"/>
    <w:rsid w:val="00F34F9E"/>
    <w:rsid w:val="00F4268A"/>
    <w:rsid w:val="00F54802"/>
    <w:rsid w:val="00F6058F"/>
    <w:rsid w:val="00F63747"/>
    <w:rsid w:val="00F76C59"/>
    <w:rsid w:val="00F83D19"/>
    <w:rsid w:val="00F83DB2"/>
    <w:rsid w:val="00F84623"/>
    <w:rsid w:val="00F87C15"/>
    <w:rsid w:val="00F930C0"/>
    <w:rsid w:val="00F94FDA"/>
    <w:rsid w:val="00FA00EE"/>
    <w:rsid w:val="00FB0078"/>
    <w:rsid w:val="00FB316C"/>
    <w:rsid w:val="00FC0322"/>
    <w:rsid w:val="00FC224F"/>
    <w:rsid w:val="00FC4D89"/>
    <w:rsid w:val="00FE31D7"/>
    <w:rsid w:val="00FF144B"/>
    <w:rsid w:val="565A70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2EDA71"/>
  <w15:chartTrackingRefBased/>
  <w15:docId w15:val="{5DB78172-EFF6-4A1D-9BD7-2A5D9D13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404A"/>
    <w:rPr>
      <w:color w:val="0563C1" w:themeColor="hyperlink"/>
      <w:u w:val="single"/>
    </w:rPr>
  </w:style>
  <w:style w:type="character" w:styleId="UnresolvedMention">
    <w:name w:val="Unresolved Mention"/>
    <w:basedOn w:val="DefaultParagraphFont"/>
    <w:uiPriority w:val="99"/>
    <w:semiHidden/>
    <w:unhideWhenUsed/>
    <w:rsid w:val="0005404A"/>
    <w:rPr>
      <w:color w:val="605E5C"/>
      <w:shd w:val="clear" w:color="auto" w:fill="E1DFDD"/>
    </w:rPr>
  </w:style>
  <w:style w:type="paragraph" w:styleId="ListParagraph">
    <w:name w:val="List Paragraph"/>
    <w:aliases w:val="3,Bullet,Bullet 1,Bullet Points,Colorful List - Accent 11,Dot pt,F5 List Paragraph,Indicator Text,Issue Action POC,List Paragraph Char Char Char,List Paragraph1,List Paragraph2,MAIN CONTENT,No Spacing1,Normal numbered,Numbered Para 1,列出段落"/>
    <w:basedOn w:val="Normal"/>
    <w:link w:val="ListParagraphChar"/>
    <w:uiPriority w:val="34"/>
    <w:qFormat/>
    <w:rsid w:val="00CD4912"/>
    <w:pPr>
      <w:ind w:left="720"/>
      <w:contextualSpacing/>
    </w:pPr>
  </w:style>
  <w:style w:type="paragraph" w:styleId="FootnoteText">
    <w:name w:val="footnote text"/>
    <w:aliases w:val=" Char,ALTS FOOTNOTE,Car,Char,Footnote Text Char Char,Footnote Text Char Char Char Char,Footnote Text Char Char Char Char Char Char Char Char Char Char Char Char Char Char Char Char Char,Footnote Text Char1 Char Char,Fußnote,Style 15,fn,ft"/>
    <w:basedOn w:val="Normal"/>
    <w:link w:val="FootnoteTextChar"/>
    <w:uiPriority w:val="99"/>
    <w:unhideWhenUsed/>
    <w:qFormat/>
    <w:rsid w:val="00CD4912"/>
    <w:pPr>
      <w:spacing w:after="0" w:line="240" w:lineRule="auto"/>
    </w:pPr>
    <w:rPr>
      <w:sz w:val="20"/>
      <w:szCs w:val="20"/>
    </w:rPr>
  </w:style>
  <w:style w:type="character" w:customStyle="1" w:styleId="FootnoteTextChar">
    <w:name w:val="Footnote Text Char"/>
    <w:aliases w:val=" Char Char,ALTS FOOTNOTE Char,Car Char,Char Char,Footnote Text Char Char Char,Footnote Text Char Char Char Char Char,Footnote Text Char Char Char Char Char Char Char Char Char Char Char Char Char Char Char Char Char Char,Fußnote Char"/>
    <w:basedOn w:val="DefaultParagraphFont"/>
    <w:link w:val="FootnoteText"/>
    <w:uiPriority w:val="99"/>
    <w:rsid w:val="00CD4912"/>
    <w:rPr>
      <w:sz w:val="20"/>
      <w:szCs w:val="20"/>
    </w:rPr>
  </w:style>
  <w:style w:type="character" w:styleId="FootnoteReference">
    <w:name w:val="footnote reference"/>
    <w:aliases w:val=" BVI fnr,(Footnote Reference),12,Appel note de bas de p,BVI fnr,EN Footnote Reference,Footnote,Footnote Reference Superscript,Footnote reference number,Footnote symbol,Nota,Ref,SUPERS,Style 16,Style 19,Voetnootverwijzing,fr,note TESI"/>
    <w:basedOn w:val="DefaultParagraphFont"/>
    <w:uiPriority w:val="99"/>
    <w:unhideWhenUsed/>
    <w:qFormat/>
    <w:rsid w:val="00CD4912"/>
    <w:rPr>
      <w:vertAlign w:val="superscript"/>
    </w:rPr>
  </w:style>
  <w:style w:type="paragraph" w:styleId="CommentText">
    <w:name w:val="annotation text"/>
    <w:basedOn w:val="Normal"/>
    <w:link w:val="CommentTextChar"/>
    <w:uiPriority w:val="99"/>
    <w:unhideWhenUsed/>
    <w:rsid w:val="00142C06"/>
    <w:pPr>
      <w:spacing w:line="240" w:lineRule="auto"/>
    </w:pPr>
    <w:rPr>
      <w:sz w:val="20"/>
      <w:szCs w:val="20"/>
    </w:rPr>
  </w:style>
  <w:style w:type="character" w:customStyle="1" w:styleId="CommentTextChar">
    <w:name w:val="Comment Text Char"/>
    <w:basedOn w:val="DefaultParagraphFont"/>
    <w:link w:val="CommentText"/>
    <w:uiPriority w:val="99"/>
    <w:rsid w:val="00142C06"/>
    <w:rPr>
      <w:sz w:val="20"/>
      <w:szCs w:val="20"/>
    </w:rPr>
  </w:style>
  <w:style w:type="paragraph" w:styleId="BodyText">
    <w:name w:val="Body Text"/>
    <w:basedOn w:val="Normal"/>
    <w:link w:val="BodyTextChar"/>
    <w:uiPriority w:val="99"/>
    <w:semiHidden/>
    <w:unhideWhenUsed/>
    <w:rsid w:val="00142C06"/>
    <w:pPr>
      <w:spacing w:after="120"/>
    </w:pPr>
  </w:style>
  <w:style w:type="character" w:customStyle="1" w:styleId="BodyTextChar">
    <w:name w:val="Body Text Char"/>
    <w:basedOn w:val="DefaultParagraphFont"/>
    <w:link w:val="BodyText"/>
    <w:uiPriority w:val="99"/>
    <w:semiHidden/>
    <w:rsid w:val="00142C06"/>
  </w:style>
  <w:style w:type="paragraph" w:styleId="BodyTextFirstIndent">
    <w:name w:val="Body Text First Indent"/>
    <w:basedOn w:val="Normal"/>
    <w:link w:val="BodyTextFirstIndentChar"/>
    <w:uiPriority w:val="99"/>
    <w:semiHidden/>
    <w:unhideWhenUsed/>
    <w:rsid w:val="00142C06"/>
    <w:pPr>
      <w:spacing w:after="240" w:line="240" w:lineRule="auto"/>
      <w:ind w:firstLine="720"/>
    </w:pPr>
    <w:rPr>
      <w:rFonts w:ascii="Times New Roman" w:hAnsi="Times New Roman"/>
      <w:sz w:val="24"/>
      <w:szCs w:val="24"/>
    </w:rPr>
  </w:style>
  <w:style w:type="character" w:customStyle="1" w:styleId="BodyTextFirstIndentChar">
    <w:name w:val="Body Text First Indent Char"/>
    <w:basedOn w:val="BodyTextChar"/>
    <w:link w:val="BodyTextFirstIndent"/>
    <w:uiPriority w:val="99"/>
    <w:semiHidden/>
    <w:rsid w:val="00142C06"/>
    <w:rPr>
      <w:rFonts w:ascii="Times New Roman" w:hAnsi="Times New Roman"/>
      <w:sz w:val="24"/>
      <w:szCs w:val="24"/>
    </w:rPr>
  </w:style>
  <w:style w:type="character" w:customStyle="1" w:styleId="ListParagraphChar">
    <w:name w:val="List Paragraph Char"/>
    <w:aliases w:val="3 Char,Bullet 1 Char,Bullet Char,Bullet Points Char,Colorful List - Accent 11 Char,Dot pt Char,F5 List Paragraph Char,Indicator Text Char,Issue Action POC Char,List Paragraph Char Char Char Char,List Paragraph1 Char,MAIN CONTENT Char"/>
    <w:basedOn w:val="DefaultParagraphFont"/>
    <w:link w:val="ListParagraph"/>
    <w:uiPriority w:val="34"/>
    <w:qFormat/>
    <w:locked/>
    <w:rsid w:val="00142C06"/>
  </w:style>
  <w:style w:type="paragraph" w:customStyle="1" w:styleId="li3">
    <w:name w:val="li3"/>
    <w:basedOn w:val="Normal"/>
    <w:rsid w:val="00142C06"/>
    <w:pPr>
      <w:spacing w:before="100" w:beforeAutospacing="1" w:after="100" w:afterAutospacing="1" w:line="240" w:lineRule="auto"/>
    </w:pPr>
    <w:rPr>
      <w:rFonts w:ascii="Calibri" w:hAnsi="Calibri" w:cs="Calibri"/>
    </w:rPr>
  </w:style>
  <w:style w:type="character" w:styleId="CommentReference">
    <w:name w:val="annotation reference"/>
    <w:basedOn w:val="DefaultParagraphFont"/>
    <w:uiPriority w:val="99"/>
    <w:semiHidden/>
    <w:unhideWhenUsed/>
    <w:rsid w:val="00142C06"/>
    <w:rPr>
      <w:sz w:val="16"/>
      <w:szCs w:val="16"/>
    </w:rPr>
  </w:style>
  <w:style w:type="paragraph" w:styleId="CommentSubject">
    <w:name w:val="annotation subject"/>
    <w:basedOn w:val="CommentText"/>
    <w:next w:val="CommentText"/>
    <w:link w:val="CommentSubjectChar"/>
    <w:uiPriority w:val="99"/>
    <w:semiHidden/>
    <w:unhideWhenUsed/>
    <w:rsid w:val="00DB3F00"/>
    <w:rPr>
      <w:b/>
      <w:bCs/>
    </w:rPr>
  </w:style>
  <w:style w:type="character" w:customStyle="1" w:styleId="CommentSubjectChar">
    <w:name w:val="Comment Subject Char"/>
    <w:basedOn w:val="CommentTextChar"/>
    <w:link w:val="CommentSubject"/>
    <w:uiPriority w:val="99"/>
    <w:semiHidden/>
    <w:rsid w:val="00DB3F00"/>
    <w:rPr>
      <w:b/>
      <w:bCs/>
      <w:sz w:val="20"/>
      <w:szCs w:val="20"/>
    </w:rPr>
  </w:style>
  <w:style w:type="paragraph" w:styleId="Header">
    <w:name w:val="header"/>
    <w:basedOn w:val="Normal"/>
    <w:link w:val="HeaderChar"/>
    <w:uiPriority w:val="99"/>
    <w:unhideWhenUsed/>
    <w:rsid w:val="00DB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00"/>
  </w:style>
  <w:style w:type="paragraph" w:styleId="Footer">
    <w:name w:val="footer"/>
    <w:basedOn w:val="Normal"/>
    <w:link w:val="FooterChar"/>
    <w:uiPriority w:val="99"/>
    <w:unhideWhenUsed/>
    <w:rsid w:val="00DB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00"/>
  </w:style>
  <w:style w:type="table" w:styleId="TableGrid">
    <w:name w:val="Table Grid"/>
    <w:basedOn w:val="TableNormal"/>
    <w:rsid w:val="000608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0658"/>
    <w:pPr>
      <w:spacing w:after="0" w:line="240" w:lineRule="auto"/>
    </w:pPr>
  </w:style>
  <w:style w:type="character" w:customStyle="1" w:styleId="cf01">
    <w:name w:val="cf01"/>
    <w:basedOn w:val="DefaultParagraphFont"/>
    <w:rsid w:val="00165EC2"/>
    <w:rPr>
      <w:rFonts w:ascii="Segoe UI" w:hAnsi="Segoe UI" w:cs="Segoe UI" w:hint="default"/>
      <w:sz w:val="18"/>
      <w:szCs w:val="18"/>
    </w:rPr>
  </w:style>
  <w:style w:type="character" w:customStyle="1" w:styleId="cf11">
    <w:name w:val="cf11"/>
    <w:basedOn w:val="DefaultParagraphFont"/>
    <w:rsid w:val="00165EC2"/>
    <w:rPr>
      <w:rFonts w:ascii="Segoe UI" w:hAnsi="Segoe UI" w:cs="Segoe UI" w:hint="default"/>
      <w:sz w:val="18"/>
      <w:szCs w:val="18"/>
    </w:rPr>
  </w:style>
  <w:style w:type="paragraph" w:customStyle="1" w:styleId="paragraph">
    <w:name w:val="paragraph"/>
    <w:basedOn w:val="Normal"/>
    <w:rsid w:val="000C17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C17D6"/>
  </w:style>
  <w:style w:type="character" w:customStyle="1" w:styleId="eop">
    <w:name w:val="eop"/>
    <w:basedOn w:val="DefaultParagraphFont"/>
    <w:rsid w:val="000C1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42C6FDB6F4B4BB1C4EC0F5EE5CE82" ma:contentTypeVersion="2" ma:contentTypeDescription="Create a new document." ma:contentTypeScope="" ma:versionID="2b1a14e5a8e367b1da88993b926529da">
  <xsd:schema xmlns:xsd="http://www.w3.org/2001/XMLSchema" xmlns:xs="http://www.w3.org/2001/XMLSchema" xmlns:p="http://schemas.microsoft.com/office/2006/metadata/properties" xmlns:ns2="52222ef0-b167-44f5-92f7-438fda0857cd" xmlns:ns3="4bc1e596-cb10-46c3-bece-66d7f7609cad" targetNamespace="http://schemas.microsoft.com/office/2006/metadata/properties" ma:root="true" ma:fieldsID="2b90f7615e44a39dc869c74bbabea9fe" ns2:_="" ns3:_="">
    <xsd:import namespace="52222ef0-b167-44f5-92f7-438fda0857cd"/>
    <xsd:import namespace="4bc1e596-cb10-46c3-bece-66d7f7609cad"/>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22ef0-b167-44f5-92f7-438fda0857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c1e596-cb10-46c3-bece-66d7f7609ca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2222ef0-b167-44f5-92f7-438fda0857cd">DOOGC-133769832-852</_dlc_DocId>
    <_dlc_DocIdUrl xmlns="52222ef0-b167-44f5-92f7-438fda0857cd">
      <Url>https://my.treasury.gov/Collab/ogc/OGCDigitalAssets/_layouts/15/DocIdRedir.aspx?ID=DOOGC-133769832-852</Url>
      <Description>DOOGC-133769832-852</Description>
    </_dlc_DocIdUrl>
    <SharedWithUsers xmlns="4bc1e596-cb10-46c3-bece-66d7f7609cad">
      <UserInfo>
        <DisplayName>Cohen, Heidi</DisplayName>
        <AccountId>1351</AccountId>
        <AccountType/>
      </UserInfo>
    </SharedWithUsers>
  </documentManagement>
</p:properties>
</file>

<file path=customXml/itemProps1.xml><?xml version="1.0" encoding="utf-8"?>
<ds:datastoreItem xmlns:ds="http://schemas.openxmlformats.org/officeDocument/2006/customXml" ds:itemID="{F411FBDD-09D9-4890-8296-8838B8AF8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22ef0-b167-44f5-92f7-438fda0857cd"/>
    <ds:schemaRef ds:uri="4bc1e596-cb10-46c3-bece-66d7f7609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17A45-5FD1-40CC-8470-72CF17394E9B}">
  <ds:schemaRefs>
    <ds:schemaRef ds:uri="http://schemas.microsoft.com/sharepoint/events"/>
  </ds:schemaRefs>
</ds:datastoreItem>
</file>

<file path=customXml/itemProps3.xml><?xml version="1.0" encoding="utf-8"?>
<ds:datastoreItem xmlns:ds="http://schemas.openxmlformats.org/officeDocument/2006/customXml" ds:itemID="{E3EBF304-1E07-4F0E-8C74-21F63F8E2A77}">
  <ds:schemaRefs>
    <ds:schemaRef ds:uri="http://schemas.microsoft.com/sharepoint/v3/contenttype/forms"/>
  </ds:schemaRefs>
</ds:datastoreItem>
</file>

<file path=customXml/itemProps4.xml><?xml version="1.0" encoding="utf-8"?>
<ds:datastoreItem xmlns:ds="http://schemas.openxmlformats.org/officeDocument/2006/customXml" ds:itemID="{21C75BEE-C0D4-4D84-BF2E-DEBE227A3B09}">
  <ds:schemaRefs>
    <ds:schemaRef ds:uri="http://schemas.openxmlformats.org/officeDocument/2006/bibliography"/>
  </ds:schemaRefs>
</ds:datastoreItem>
</file>

<file path=customXml/itemProps5.xml><?xml version="1.0" encoding="utf-8"?>
<ds:datastoreItem xmlns:ds="http://schemas.openxmlformats.org/officeDocument/2006/customXml" ds:itemID="{FACD31E8-C9E5-4C1F-8675-B3124C952ECE}">
  <ds:schemaRefs>
    <ds:schemaRef ds:uri="http://schemas.microsoft.com/office/2006/metadata/properties"/>
    <ds:schemaRef ds:uri="http://schemas.microsoft.com/office/infopath/2007/PartnerControls"/>
    <ds:schemaRef ds:uri="52222ef0-b167-44f5-92f7-438fda0857cd"/>
    <ds:schemaRef ds:uri="4bc1e596-cb10-46c3-bece-66d7f7609ca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RFA Outbound</vt:lpstr>
    </vt:vector>
  </TitlesOfParts>
  <Company>United States Department of the Treasury</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Outbound</dc:title>
  <dc:creator>Harris, James</dc:creator>
  <cp:lastModifiedBy>Pearson, Juliana</cp:lastModifiedBy>
  <cp:revision>3</cp:revision>
  <dcterms:created xsi:type="dcterms:W3CDTF">2026-10-23T17:19:00Z</dcterms:created>
  <dcterms:modified xsi:type="dcterms:W3CDTF">2026-10-23T17:59:00Z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0x010100A7342C6FDB6F4B4BB1C4EC0F5EE5CE82</vt:lpwstr>
  </property>
  <property fmtid="{D5CDD505-2E9C-101B-9397-08002B2CF9AE}" pid="3" name="_dlc_DocIdItemGuid">
    <vt:lpwstr>554d36ba-41cb-4fe3-9892-7e55c9327f7e</vt:lpwstr>
  </property>
</Properties>
</file>