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11CB2" w:rsidP="00AD02D9" w14:paraId="0352BBE8" w14:textId="77777777">
      <w:pPr>
        <w:jc w:val="center"/>
        <w:rPr>
          <w:b/>
          <w:bCs/>
        </w:rPr>
      </w:pPr>
      <w:r>
        <w:rPr>
          <w:b/>
          <w:bCs/>
        </w:rPr>
        <w:t>Office of the Comptroller of the Currency</w:t>
      </w:r>
    </w:p>
    <w:p w:rsidR="00811CB2" w:rsidP="00AD02D9" w14:paraId="17FF5C58" w14:textId="77777777">
      <w:pPr>
        <w:jc w:val="center"/>
        <w:rPr>
          <w:b/>
          <w:bCs/>
        </w:rPr>
      </w:pPr>
      <w:r>
        <w:rPr>
          <w:b/>
          <w:bCs/>
        </w:rPr>
        <w:t>Supporting Statement</w:t>
      </w:r>
    </w:p>
    <w:p w:rsidR="00811CB2" w:rsidP="00AD02D9" w14:paraId="3A866421" w14:textId="56BA0C2B">
      <w:pPr>
        <w:jc w:val="center"/>
        <w:rPr>
          <w:b/>
          <w:bCs/>
        </w:rPr>
      </w:pPr>
      <w:r>
        <w:rPr>
          <w:b/>
          <w:bCs/>
        </w:rPr>
        <w:t xml:space="preserve">Reporting, Recordkeeping, and Disclosure Requirements Associated with </w:t>
      </w:r>
      <w:bookmarkStart w:id="0" w:name="_Hlk223711247"/>
      <w:r>
        <w:rPr>
          <w:b/>
          <w:bCs/>
        </w:rPr>
        <w:t xml:space="preserve">Guiding and Establishing National Innovation for U.S. Stablecoins Act </w:t>
      </w:r>
      <w:bookmarkEnd w:id="0"/>
      <w:r>
        <w:rPr>
          <w:b/>
          <w:bCs/>
        </w:rPr>
        <w:t>for the Issuance of Stablecoins by Entities Subject to the Jurisdiction of the Office of the Comptroller of the Currency</w:t>
      </w:r>
    </w:p>
    <w:p w:rsidR="00811CB2" w:rsidP="00AD02D9" w14:paraId="50BC0D65" w14:textId="2D5AB509">
      <w:pPr>
        <w:pStyle w:val="Heading6"/>
      </w:pPr>
      <w:r>
        <w:t>OMB Control No.</w:t>
      </w:r>
      <w:r>
        <w:t xml:space="preserve"> 1557-</w:t>
      </w:r>
      <w:r w:rsidR="0071389B">
        <w:t>NEW</w:t>
      </w:r>
    </w:p>
    <w:p w:rsidR="00811CB2" w:rsidP="00AD02D9" w14:paraId="595AB980" w14:textId="77777777">
      <w:pPr>
        <w:jc w:val="center"/>
      </w:pPr>
    </w:p>
    <w:p w:rsidR="00811CB2" w:rsidP="00AD02D9" w14:paraId="088B4D3A" w14:textId="77777777">
      <w:pPr>
        <w:jc w:val="center"/>
      </w:pPr>
    </w:p>
    <w:p w:rsidR="00811CB2" w:rsidP="007D2DF0" w14:paraId="631E68DC" w14:textId="77777777">
      <w:pPr>
        <w:pStyle w:val="Footer"/>
        <w:numPr>
          <w:ilvl w:val="0"/>
          <w:numId w:val="4"/>
        </w:numPr>
        <w:tabs>
          <w:tab w:val="clear" w:pos="4320"/>
          <w:tab w:val="clear" w:pos="8640"/>
        </w:tabs>
        <w:rPr>
          <w:b/>
        </w:rPr>
      </w:pPr>
      <w:r w:rsidRPr="005C2B31">
        <w:rPr>
          <w:b/>
        </w:rPr>
        <w:t>Justification</w:t>
      </w:r>
    </w:p>
    <w:p w:rsidR="00562EE5" w:rsidP="00092BD9" w14:paraId="20A9A201" w14:textId="77777777">
      <w:pPr>
        <w:pStyle w:val="Footer"/>
        <w:tabs>
          <w:tab w:val="clear" w:pos="4320"/>
          <w:tab w:val="clear" w:pos="8640"/>
        </w:tabs>
        <w:ind w:left="720"/>
        <w:rPr>
          <w:b/>
        </w:rPr>
      </w:pPr>
    </w:p>
    <w:p w:rsidR="00811CB2" w:rsidP="003C4513" w14:paraId="26B8D14A" w14:textId="1047A236">
      <w:pPr>
        <w:rPr>
          <w:b/>
          <w:bCs/>
          <w:i/>
        </w:rPr>
      </w:pPr>
      <w:r>
        <w:rPr>
          <w:b/>
          <w:bCs/>
          <w:i/>
        </w:rPr>
        <w:t xml:space="preserve">1. </w:t>
      </w:r>
      <w:r w:rsidRPr="005C2B31">
        <w:rPr>
          <w:b/>
          <w:bCs/>
          <w:i/>
        </w:rPr>
        <w:t>Circumstances that make the collection necessary</w:t>
      </w:r>
      <w:r w:rsidRPr="005C2B31" w:rsidR="00A75944">
        <w:rPr>
          <w:b/>
          <w:bCs/>
          <w:i/>
        </w:rPr>
        <w:t>:</w:t>
      </w:r>
    </w:p>
    <w:p w:rsidR="00D506C6" w:rsidP="00D506C6" w14:paraId="49CC44CF" w14:textId="3C78A087"/>
    <w:p w:rsidR="007013AF" w:rsidP="002B7F97" w14:paraId="059F568E" w14:textId="580C1103">
      <w:pPr>
        <w:ind w:firstLine="720"/>
      </w:pPr>
      <w:r w:rsidRPr="006F5E7E">
        <w:t>Th</w:t>
      </w:r>
      <w:r w:rsidR="00344DDD">
        <w:t xml:space="preserve">is supporting statement is being filed in connection with a </w:t>
      </w:r>
      <w:r w:rsidR="00450157">
        <w:t>final</w:t>
      </w:r>
      <w:r w:rsidR="00344DDD">
        <w:t xml:space="preserve"> rule</w:t>
      </w:r>
      <w:r w:rsidR="0074043A">
        <w:t xml:space="preserve"> that issue</w:t>
      </w:r>
      <w:r w:rsidR="00342014">
        <w:t>s</w:t>
      </w:r>
      <w:r w:rsidR="0074043A">
        <w:t xml:space="preserve"> regulations to implement the </w:t>
      </w:r>
      <w:r w:rsidRPr="0074043A" w:rsidR="0074043A">
        <w:t>Guiding and Establishing National Innovation for U.S. Stablecoins Act</w:t>
      </w:r>
      <w:r w:rsidR="00CF7585">
        <w:t xml:space="preserve"> (12 U.S.C. 5901 </w:t>
      </w:r>
      <w:r w:rsidRPr="00450157" w:rsidR="00CF7585">
        <w:rPr>
          <w:i/>
          <w:iCs/>
        </w:rPr>
        <w:t>et seq</w:t>
      </w:r>
      <w:r w:rsidR="00CF7585">
        <w:t xml:space="preserve">.) (GENIUS Act or the </w:t>
      </w:r>
      <w:r w:rsidR="005961CC">
        <w:t>Act) regarding</w:t>
      </w:r>
      <w:r w:rsidR="0074043A">
        <w:t xml:space="preserve"> the issuance of payment stablecoins and certain related activities by entities subject to the OCC’s jurisdiction.  </w:t>
      </w:r>
      <w:r>
        <w:t xml:space="preserve">The </w:t>
      </w:r>
      <w:r w:rsidR="00CF7585">
        <w:t>GENIUS</w:t>
      </w:r>
      <w:r>
        <w:t xml:space="preserve"> Act was enacted on July 18, 2025. </w:t>
      </w:r>
      <w:r w:rsidR="00296651">
        <w:t xml:space="preserve"> </w:t>
      </w:r>
      <w:r>
        <w:t>The Act establishes a regulatory framework for payment stablecoin activities.</w:t>
      </w:r>
    </w:p>
    <w:p w:rsidR="007013AF" w:rsidP="002B7F97" w14:paraId="35BB2995" w14:textId="77777777">
      <w:pPr>
        <w:ind w:firstLine="720"/>
      </w:pPr>
    </w:p>
    <w:p w:rsidR="007013AF" w:rsidP="002B7F97" w14:paraId="561AEE9B" w14:textId="32AE2B74">
      <w:pPr>
        <w:ind w:firstLine="720"/>
      </w:pPr>
      <w:r>
        <w:t>The Act generally prohibits any person other than a permitted payment stablecoin issuer from issuing a payment stablecoin in the United States.</w:t>
      </w:r>
      <w:r>
        <w:rPr>
          <w:rStyle w:val="FootnoteReference"/>
        </w:rPr>
        <w:footnoteReference w:id="2"/>
      </w:r>
      <w:r>
        <w:t xml:space="preserve">  It further prohibits digital asset service providers</w:t>
      </w:r>
      <w:r>
        <w:rPr>
          <w:rStyle w:val="FootnoteReference"/>
        </w:rPr>
        <w:footnoteReference w:id="3"/>
      </w:r>
      <w:r w:rsidR="005666FC">
        <w:t xml:space="preserve"> </w:t>
      </w:r>
      <w:r>
        <w:t>from offering or</w:t>
      </w:r>
      <w:r w:rsidR="005666FC">
        <w:t xml:space="preserve"> </w:t>
      </w:r>
      <w:r>
        <w:t>selling a payment stablecoin to a person</w:t>
      </w:r>
      <w:r w:rsidR="005666FC">
        <w:t xml:space="preserve"> </w:t>
      </w:r>
      <w:r>
        <w:t>in the United States unless the issuer is</w:t>
      </w:r>
      <w:r w:rsidR="005666FC">
        <w:t xml:space="preserve"> </w:t>
      </w:r>
      <w:r>
        <w:t>a permitted payment stablecoin issuer</w:t>
      </w:r>
      <w:r w:rsidR="005666FC">
        <w:t xml:space="preserve"> </w:t>
      </w:r>
      <w:r>
        <w:t>or the issuer is a foreign payment</w:t>
      </w:r>
      <w:r w:rsidR="005666FC">
        <w:t xml:space="preserve"> </w:t>
      </w:r>
      <w:r>
        <w:t>stablecoin issuer that meets certain</w:t>
      </w:r>
      <w:r w:rsidR="005666FC">
        <w:t xml:space="preserve"> </w:t>
      </w:r>
      <w:r>
        <w:t>requirements.</w:t>
      </w:r>
      <w:r>
        <w:rPr>
          <w:rStyle w:val="FootnoteReference"/>
        </w:rPr>
        <w:footnoteReference w:id="4"/>
      </w:r>
      <w:r>
        <w:t xml:space="preserve"> </w:t>
      </w:r>
      <w:r w:rsidR="00296651">
        <w:t xml:space="preserve"> </w:t>
      </w:r>
      <w:r>
        <w:t>The Act sets forth</w:t>
      </w:r>
      <w:r w:rsidR="005666FC">
        <w:t xml:space="preserve"> various regulatory and licensing requirements for permitted payment stablecoin issuers and foreign payment stablecoin issuers.</w:t>
      </w:r>
    </w:p>
    <w:p w:rsidR="00811CB2" w:rsidP="00EC3EE2" w14:paraId="528B0D47" w14:textId="77777777"/>
    <w:p w:rsidR="00562EE5" w:rsidP="003C4513" w14:paraId="1C26BDD3" w14:textId="0DA61F75">
      <w:pPr>
        <w:rPr>
          <w:b/>
          <w:bCs/>
          <w:i/>
        </w:rPr>
      </w:pPr>
      <w:r>
        <w:rPr>
          <w:b/>
          <w:bCs/>
          <w:i/>
        </w:rPr>
        <w:t xml:space="preserve">2. </w:t>
      </w:r>
      <w:r w:rsidRPr="005C2B31" w:rsidR="00811CB2">
        <w:rPr>
          <w:b/>
          <w:bCs/>
          <w:i/>
        </w:rPr>
        <w:t>Use of the information</w:t>
      </w:r>
      <w:r w:rsidRPr="005C2B31" w:rsidR="00A75944">
        <w:rPr>
          <w:b/>
          <w:bCs/>
          <w:i/>
        </w:rPr>
        <w:t>:</w:t>
      </w:r>
    </w:p>
    <w:p w:rsidR="00C3034C" w:rsidRPr="00C3034C" w:rsidP="003C4513" w14:paraId="1F9B07CB" w14:textId="77777777">
      <w:pPr>
        <w:rPr>
          <w:b/>
          <w:bCs/>
          <w:iCs/>
        </w:rPr>
      </w:pPr>
    </w:p>
    <w:p w:rsidR="005666FC" w:rsidRPr="005666FC" w:rsidP="00DE638F" w14:paraId="268E063C" w14:textId="2AFEAA0C">
      <w:pPr>
        <w:pStyle w:val="ListParagraph"/>
        <w:widowControl w:val="0"/>
        <w:autoSpaceDE w:val="0"/>
        <w:autoSpaceDN w:val="0"/>
        <w:adjustRightInd w:val="0"/>
        <w:spacing w:after="0"/>
        <w:ind w:left="0" w:firstLine="360"/>
        <w:rPr>
          <w:rFonts w:ascii="Times New Roman" w:eastAsia="Times New Roman" w:hAnsi="Times New Roman"/>
          <w:sz w:val="24"/>
          <w:szCs w:val="24"/>
        </w:rPr>
      </w:pPr>
      <w:r w:rsidRPr="005666FC">
        <w:rPr>
          <w:rFonts w:ascii="Times New Roman" w:eastAsia="Times New Roman" w:hAnsi="Times New Roman"/>
          <w:sz w:val="24"/>
          <w:szCs w:val="24"/>
        </w:rPr>
        <w:t>In many instances,</w:t>
      </w:r>
      <w:r>
        <w:rPr>
          <w:rFonts w:ascii="Times New Roman" w:eastAsia="Times New Roman" w:hAnsi="Times New Roman"/>
          <w:sz w:val="24"/>
          <w:szCs w:val="24"/>
        </w:rPr>
        <w:t xml:space="preserve"> </w:t>
      </w:r>
      <w:r w:rsidRPr="005666FC">
        <w:rPr>
          <w:rFonts w:ascii="Times New Roman" w:eastAsia="Times New Roman" w:hAnsi="Times New Roman"/>
          <w:sz w:val="24"/>
          <w:szCs w:val="24"/>
        </w:rPr>
        <w:t>the Act states that the specific</w:t>
      </w:r>
      <w:r>
        <w:rPr>
          <w:rFonts w:ascii="Times New Roman" w:eastAsia="Times New Roman" w:hAnsi="Times New Roman"/>
          <w:sz w:val="24"/>
          <w:szCs w:val="24"/>
        </w:rPr>
        <w:t xml:space="preserve"> </w:t>
      </w:r>
      <w:r w:rsidRPr="005666FC">
        <w:rPr>
          <w:rFonts w:ascii="Times New Roman" w:eastAsia="Times New Roman" w:hAnsi="Times New Roman"/>
          <w:sz w:val="24"/>
          <w:szCs w:val="24"/>
        </w:rPr>
        <w:t>requirements applicable to the</w:t>
      </w:r>
      <w:r w:rsidR="00754FD0">
        <w:rPr>
          <w:rFonts w:ascii="Times New Roman" w:eastAsia="Times New Roman" w:hAnsi="Times New Roman"/>
          <w:sz w:val="24"/>
          <w:szCs w:val="24"/>
        </w:rPr>
        <w:t xml:space="preserve"> </w:t>
      </w:r>
      <w:r w:rsidRPr="005666FC">
        <w:rPr>
          <w:rFonts w:ascii="Times New Roman" w:eastAsia="Times New Roman" w:hAnsi="Times New Roman"/>
          <w:sz w:val="24"/>
          <w:szCs w:val="24"/>
        </w:rPr>
        <w:t>entities</w:t>
      </w:r>
    </w:p>
    <w:p w:rsidR="003914EC" w:rsidP="00DE638F" w14:paraId="3128EE59" w14:textId="6F40CFC2">
      <w:pPr>
        <w:pStyle w:val="ListParagraph"/>
        <w:widowControl w:val="0"/>
        <w:autoSpaceDE w:val="0"/>
        <w:autoSpaceDN w:val="0"/>
        <w:adjustRightInd w:val="0"/>
        <w:spacing w:after="0"/>
        <w:ind w:left="0"/>
        <w:rPr>
          <w:rFonts w:ascii="Times New Roman" w:eastAsia="Times New Roman" w:hAnsi="Times New Roman"/>
          <w:sz w:val="24"/>
          <w:szCs w:val="24"/>
        </w:rPr>
      </w:pPr>
      <w:r w:rsidRPr="005666FC">
        <w:rPr>
          <w:rFonts w:ascii="Times New Roman" w:eastAsia="Times New Roman" w:hAnsi="Times New Roman"/>
          <w:sz w:val="24"/>
          <w:szCs w:val="24"/>
        </w:rPr>
        <w:t>(</w:t>
      </w:r>
      <w:r w:rsidRPr="00AB1885">
        <w:rPr>
          <w:rFonts w:ascii="Times New Roman" w:eastAsia="Times New Roman" w:hAnsi="Times New Roman"/>
          <w:i/>
          <w:iCs/>
          <w:sz w:val="24"/>
          <w:szCs w:val="24"/>
        </w:rPr>
        <w:t>e.g.</w:t>
      </w:r>
      <w:r w:rsidRPr="005666FC">
        <w:rPr>
          <w:rFonts w:ascii="Times New Roman" w:eastAsia="Times New Roman" w:hAnsi="Times New Roman"/>
          <w:sz w:val="24"/>
          <w:szCs w:val="24"/>
        </w:rPr>
        <w:t>, those related to capital, liquidity</w:t>
      </w:r>
      <w:r w:rsidR="00754FD0">
        <w:rPr>
          <w:rFonts w:ascii="Times New Roman" w:eastAsia="Times New Roman" w:hAnsi="Times New Roman"/>
          <w:sz w:val="24"/>
          <w:szCs w:val="24"/>
        </w:rPr>
        <w:t xml:space="preserve"> </w:t>
      </w:r>
      <w:r w:rsidRPr="00754FD0">
        <w:rPr>
          <w:rFonts w:ascii="Times New Roman" w:eastAsia="Times New Roman" w:hAnsi="Times New Roman"/>
          <w:sz w:val="24"/>
          <w:szCs w:val="24"/>
        </w:rPr>
        <w:t>operational risk management), shall be</w:t>
      </w:r>
      <w:r w:rsidR="00754FD0">
        <w:rPr>
          <w:rFonts w:ascii="Times New Roman" w:eastAsia="Times New Roman" w:hAnsi="Times New Roman"/>
          <w:sz w:val="24"/>
          <w:szCs w:val="24"/>
        </w:rPr>
        <w:t xml:space="preserve"> </w:t>
      </w:r>
      <w:r w:rsidRPr="00754FD0">
        <w:rPr>
          <w:rFonts w:ascii="Times New Roman" w:eastAsia="Times New Roman" w:hAnsi="Times New Roman"/>
          <w:sz w:val="24"/>
          <w:szCs w:val="24"/>
        </w:rPr>
        <w:t xml:space="preserve">set forth by </w:t>
      </w:r>
      <w:r w:rsidRPr="00754FD0">
        <w:rPr>
          <w:rFonts w:ascii="Times New Roman" w:eastAsia="Times New Roman" w:hAnsi="Times New Roman"/>
          <w:sz w:val="24"/>
          <w:szCs w:val="24"/>
        </w:rPr>
        <w:t>regulations issued by the</w:t>
      </w:r>
      <w:r w:rsidR="00754FD0">
        <w:rPr>
          <w:rFonts w:ascii="Times New Roman" w:eastAsia="Times New Roman" w:hAnsi="Times New Roman"/>
          <w:sz w:val="24"/>
          <w:szCs w:val="24"/>
        </w:rPr>
        <w:t xml:space="preserve"> </w:t>
      </w:r>
      <w:r w:rsidRPr="00754FD0">
        <w:rPr>
          <w:rFonts w:ascii="Times New Roman" w:eastAsia="Times New Roman" w:hAnsi="Times New Roman"/>
          <w:sz w:val="24"/>
          <w:szCs w:val="24"/>
        </w:rPr>
        <w:t>relevant primary Federal payment</w:t>
      </w:r>
      <w:r w:rsidR="00754FD0">
        <w:rPr>
          <w:rFonts w:ascii="Times New Roman" w:eastAsia="Times New Roman" w:hAnsi="Times New Roman"/>
          <w:sz w:val="24"/>
          <w:szCs w:val="24"/>
        </w:rPr>
        <w:t xml:space="preserve"> </w:t>
      </w:r>
      <w:r w:rsidRPr="00754FD0">
        <w:rPr>
          <w:rFonts w:ascii="Times New Roman" w:eastAsia="Times New Roman" w:hAnsi="Times New Roman"/>
          <w:sz w:val="24"/>
          <w:szCs w:val="24"/>
        </w:rPr>
        <w:t>stablecoin regulator, in</w:t>
      </w:r>
      <w:r w:rsidR="00754FD0">
        <w:rPr>
          <w:rFonts w:ascii="Times New Roman" w:eastAsia="Times New Roman" w:hAnsi="Times New Roman"/>
          <w:sz w:val="24"/>
          <w:szCs w:val="24"/>
        </w:rPr>
        <w:t xml:space="preserve"> </w:t>
      </w:r>
      <w:r w:rsidRPr="00754FD0">
        <w:rPr>
          <w:rFonts w:ascii="Times New Roman" w:eastAsia="Times New Roman" w:hAnsi="Times New Roman"/>
          <w:sz w:val="24"/>
          <w:szCs w:val="24"/>
        </w:rPr>
        <w:t>coordination</w:t>
      </w:r>
      <w:r w:rsidR="00754FD0">
        <w:rPr>
          <w:rFonts w:ascii="Times New Roman" w:eastAsia="Times New Roman" w:hAnsi="Times New Roman"/>
          <w:sz w:val="24"/>
          <w:szCs w:val="24"/>
        </w:rPr>
        <w:t xml:space="preserve"> </w:t>
      </w:r>
      <w:r w:rsidRPr="00754FD0">
        <w:rPr>
          <w:rFonts w:ascii="Times New Roman" w:eastAsia="Times New Roman" w:hAnsi="Times New Roman"/>
          <w:sz w:val="24"/>
          <w:szCs w:val="24"/>
        </w:rPr>
        <w:t>with other relevant agencies, as</w:t>
      </w:r>
      <w:r w:rsidR="00754FD0">
        <w:rPr>
          <w:rFonts w:ascii="Times New Roman" w:eastAsia="Times New Roman" w:hAnsi="Times New Roman"/>
          <w:sz w:val="24"/>
          <w:szCs w:val="24"/>
        </w:rPr>
        <w:t xml:space="preserve"> </w:t>
      </w:r>
      <w:r w:rsidRPr="00754FD0">
        <w:rPr>
          <w:rFonts w:ascii="Times New Roman" w:eastAsia="Times New Roman" w:hAnsi="Times New Roman"/>
          <w:sz w:val="24"/>
          <w:szCs w:val="24"/>
        </w:rPr>
        <w:t>appropriate.</w:t>
      </w:r>
      <w:r>
        <w:rPr>
          <w:rStyle w:val="FootnoteReference"/>
          <w:rFonts w:ascii="Times New Roman" w:eastAsia="Times New Roman" w:hAnsi="Times New Roman"/>
          <w:sz w:val="24"/>
          <w:szCs w:val="24"/>
        </w:rPr>
        <w:footnoteReference w:id="5"/>
      </w:r>
      <w:r w:rsidR="00754FD0">
        <w:rPr>
          <w:rFonts w:ascii="Times New Roman" w:eastAsia="Times New Roman" w:hAnsi="Times New Roman"/>
          <w:sz w:val="24"/>
          <w:szCs w:val="24"/>
        </w:rPr>
        <w:t xml:space="preserve">  </w:t>
      </w:r>
      <w:r w:rsidRPr="00754FD0" w:rsidR="00754FD0">
        <w:rPr>
          <w:rFonts w:ascii="Times New Roman" w:eastAsia="Times New Roman" w:hAnsi="Times New Roman"/>
          <w:sz w:val="24"/>
          <w:szCs w:val="24"/>
        </w:rPr>
        <w:t>Twelve CFR part 15 sets</w:t>
      </w:r>
      <w:r w:rsidR="002E17C6">
        <w:rPr>
          <w:rFonts w:ascii="Times New Roman" w:eastAsia="Times New Roman" w:hAnsi="Times New Roman"/>
          <w:sz w:val="24"/>
          <w:szCs w:val="24"/>
        </w:rPr>
        <w:t xml:space="preserve"> </w:t>
      </w:r>
      <w:r w:rsidRPr="00754FD0" w:rsidR="00754FD0">
        <w:rPr>
          <w:rFonts w:ascii="Times New Roman" w:eastAsia="Times New Roman" w:hAnsi="Times New Roman"/>
          <w:sz w:val="24"/>
          <w:szCs w:val="24"/>
        </w:rPr>
        <w:t>forth OCC</w:t>
      </w:r>
      <w:r w:rsidR="00976EAA">
        <w:rPr>
          <w:rFonts w:ascii="Times New Roman" w:eastAsia="Times New Roman" w:hAnsi="Times New Roman"/>
          <w:sz w:val="24"/>
          <w:szCs w:val="24"/>
        </w:rPr>
        <w:t xml:space="preserve"> regulations implementing the</w:t>
      </w:r>
      <w:r w:rsidR="00516481">
        <w:rPr>
          <w:rFonts w:ascii="Times New Roman" w:eastAsia="Times New Roman" w:hAnsi="Times New Roman"/>
          <w:sz w:val="24"/>
          <w:szCs w:val="24"/>
        </w:rPr>
        <w:t xml:space="preserve"> </w:t>
      </w:r>
      <w:r w:rsidR="00754FD0">
        <w:rPr>
          <w:rFonts w:ascii="Times New Roman" w:eastAsia="Times New Roman" w:hAnsi="Times New Roman"/>
          <w:sz w:val="24"/>
          <w:szCs w:val="24"/>
        </w:rPr>
        <w:t xml:space="preserve">GENIUS Act.  </w:t>
      </w:r>
      <w:r w:rsidRPr="00754FD0" w:rsidR="00754FD0">
        <w:rPr>
          <w:rFonts w:ascii="Times New Roman" w:eastAsia="Times New Roman" w:hAnsi="Times New Roman"/>
          <w:sz w:val="24"/>
          <w:szCs w:val="24"/>
        </w:rPr>
        <w:t>The information collection</w:t>
      </w:r>
      <w:r w:rsidR="00754FD0">
        <w:rPr>
          <w:rFonts w:ascii="Times New Roman" w:eastAsia="Times New Roman" w:hAnsi="Times New Roman"/>
          <w:sz w:val="24"/>
          <w:szCs w:val="24"/>
        </w:rPr>
        <w:t xml:space="preserve"> </w:t>
      </w:r>
      <w:r w:rsidRPr="00754FD0" w:rsidR="00754FD0">
        <w:rPr>
          <w:rFonts w:ascii="Times New Roman" w:eastAsia="Times New Roman" w:hAnsi="Times New Roman"/>
          <w:sz w:val="24"/>
          <w:szCs w:val="24"/>
        </w:rPr>
        <w:t>requirements in the rule are as</w:t>
      </w:r>
      <w:r w:rsidR="00754FD0">
        <w:rPr>
          <w:rFonts w:ascii="Times New Roman" w:eastAsia="Times New Roman" w:hAnsi="Times New Roman"/>
          <w:sz w:val="24"/>
          <w:szCs w:val="24"/>
        </w:rPr>
        <w:t xml:space="preserve"> </w:t>
      </w:r>
      <w:r w:rsidRPr="00754FD0" w:rsidR="00754FD0">
        <w:rPr>
          <w:rFonts w:ascii="Times New Roman" w:eastAsia="Times New Roman" w:hAnsi="Times New Roman"/>
          <w:sz w:val="24"/>
          <w:szCs w:val="24"/>
        </w:rPr>
        <w:t>follows:</w:t>
      </w:r>
    </w:p>
    <w:p w:rsidR="003954DF" w:rsidP="003954DF" w14:paraId="65854151" w14:textId="77777777">
      <w:pPr>
        <w:tabs>
          <w:tab w:val="left" w:pos="720"/>
          <w:tab w:val="left" w:pos="8640"/>
        </w:tabs>
        <w:spacing w:line="360" w:lineRule="auto"/>
        <w:rPr>
          <w:szCs w:val="24"/>
        </w:rPr>
      </w:pPr>
      <w:r>
        <w:rPr>
          <w:szCs w:val="24"/>
        </w:rPr>
        <w:tab/>
      </w:r>
    </w:p>
    <w:p w:rsidR="00EA4371" w:rsidRPr="00712717" w:rsidP="003954DF" w14:paraId="4CF6AFB9" w14:textId="5F47EE13">
      <w:pPr>
        <w:tabs>
          <w:tab w:val="left" w:pos="720"/>
          <w:tab w:val="left" w:pos="8640"/>
        </w:tabs>
        <w:spacing w:line="360" w:lineRule="auto"/>
        <w:rPr>
          <w:i/>
          <w:iCs/>
          <w:szCs w:val="24"/>
        </w:rPr>
      </w:pPr>
      <w:r w:rsidRPr="00712717">
        <w:rPr>
          <w:i/>
          <w:iCs/>
          <w:szCs w:val="24"/>
        </w:rPr>
        <w:t>Reporting Requirements</w:t>
      </w:r>
    </w:p>
    <w:p w:rsidR="00450157" w:rsidP="00450157" w14:paraId="7787D35E" w14:textId="3431F7DF">
      <w:pPr>
        <w:tabs>
          <w:tab w:val="left" w:pos="720"/>
          <w:tab w:val="left" w:pos="8640"/>
        </w:tabs>
        <w:rPr>
          <w:rFonts w:eastAsia="Aptos"/>
          <w:kern w:val="2"/>
          <w:szCs w:val="24"/>
          <w14:ligatures w14:val="standardContextual"/>
        </w:rPr>
      </w:pPr>
      <w:r w:rsidRPr="00712717">
        <w:rPr>
          <w:szCs w:val="24"/>
        </w:rPr>
        <w:tab/>
      </w:r>
      <w:bookmarkStart w:id="1" w:name="_Hlk219310582"/>
      <w:r w:rsidRPr="00450157">
        <w:rPr>
          <w:szCs w:val="24"/>
        </w:rPr>
        <w:t>Section 15.10(c) sets forth prohibitions that apply to permitted payment stablecoin issuers, including a prohibition on paying interest or yield to payment stablecoin holders solely in connection with the holding, use, or retention of a payment stablecoin and a general prohibition against pledging, rehypothecating, or reusing reserve assets.</w:t>
      </w:r>
      <w:r w:rsidR="00296651">
        <w:rPr>
          <w:szCs w:val="24"/>
        </w:rPr>
        <w:t xml:space="preserve"> </w:t>
      </w:r>
      <w:r w:rsidRPr="00450157">
        <w:rPr>
          <w:szCs w:val="24"/>
        </w:rPr>
        <w:t xml:space="preserve"> </w:t>
      </w:r>
      <w:bookmarkEnd w:id="1"/>
      <w:r w:rsidRPr="00450157">
        <w:rPr>
          <w:rFonts w:eastAsia="Aptos"/>
          <w:kern w:val="2"/>
          <w:szCs w:val="24"/>
          <w14:ligatures w14:val="standardContextual"/>
        </w:rPr>
        <w:t>Section 15.10(c)(5)(iii)(B) permits creating liquidity to meet reasonable expectations of requests to redeem payment stablecoins, such that reserves in the form of Treasury bills with a maturity of 93 days or less may be sold as purchased securities in repurchase agreements, after receiving the prior approval from the OCC, notwithstanding a general prohibition against pledging, rehypothecating, or reusing reserve assets.</w:t>
      </w:r>
    </w:p>
    <w:p w:rsidR="00AD20A9" w:rsidRPr="00450157" w:rsidP="00450157" w14:paraId="55486A63" w14:textId="77777777">
      <w:pPr>
        <w:tabs>
          <w:tab w:val="left" w:pos="720"/>
          <w:tab w:val="left" w:pos="8640"/>
        </w:tabs>
        <w:rPr>
          <w:rFonts w:eastAsia="Aptos"/>
          <w:kern w:val="2"/>
          <w:szCs w:val="24"/>
          <w14:ligatures w14:val="standardContextual"/>
        </w:rPr>
      </w:pPr>
    </w:p>
    <w:p w:rsidR="00450157" w:rsidP="00450157" w14:paraId="30C4B4E3" w14:textId="77777777">
      <w:pPr>
        <w:ind w:firstLine="720"/>
        <w:rPr>
          <w:rFonts w:eastAsia="Aptos"/>
          <w:kern w:val="2"/>
          <w:szCs w:val="24"/>
          <w14:ligatures w14:val="standardContextual"/>
        </w:rPr>
      </w:pPr>
      <w:r w:rsidRPr="00450157">
        <w:rPr>
          <w:rFonts w:eastAsia="Aptos"/>
          <w:kern w:val="2"/>
          <w:szCs w:val="24"/>
          <w14:ligatures w14:val="standardContextual"/>
        </w:rPr>
        <w:t>Section 15.11(a)(2) requires permitted payment stablecoin issuers to demonstrate the operational capability to access and monetize the identifiable reserve assets to meet redemptions, in both normal and adverse economic, liquidity, market, and interest rate conditions, commensurate with the permitted payment stablecoin issuer’s risk profile and business model, taking into account, among other relevant factors, market access, financing channels, haircut assumptions, and operational readiness.</w:t>
      </w:r>
    </w:p>
    <w:p w:rsidR="00AD20A9" w:rsidRPr="00450157" w:rsidP="00450157" w14:paraId="245582CF" w14:textId="77777777">
      <w:pPr>
        <w:ind w:firstLine="720"/>
        <w:rPr>
          <w:rFonts w:eastAsia="Aptos"/>
          <w:kern w:val="2"/>
          <w:szCs w:val="24"/>
          <w14:ligatures w14:val="standardContextual"/>
        </w:rPr>
      </w:pPr>
    </w:p>
    <w:p w:rsidR="00450157" w:rsidP="00450157" w14:paraId="055C2622" w14:textId="323B7CD1">
      <w:pPr>
        <w:ind w:firstLine="720"/>
        <w:rPr>
          <w:rFonts w:eastAsia="Aptos"/>
          <w:kern w:val="2"/>
          <w:szCs w:val="24"/>
          <w14:ligatures w14:val="standardContextual"/>
        </w:rPr>
      </w:pPr>
      <w:r w:rsidRPr="00450157">
        <w:rPr>
          <w:rFonts w:eastAsia="Aptos"/>
          <w:kern w:val="2"/>
          <w:szCs w:val="24"/>
          <w14:ligatures w14:val="standardContextual"/>
        </w:rPr>
        <w:t xml:space="preserve">Section 15.11(e) sets forth specific instructions for composition reports, including their preparation requirements. </w:t>
      </w:r>
      <w:r w:rsidR="00296651">
        <w:rPr>
          <w:rFonts w:eastAsia="Aptos"/>
          <w:kern w:val="2"/>
          <w:szCs w:val="24"/>
          <w14:ligatures w14:val="standardContextual"/>
        </w:rPr>
        <w:t xml:space="preserve"> </w:t>
      </w:r>
      <w:r w:rsidRPr="00450157">
        <w:rPr>
          <w:rFonts w:eastAsia="Aptos"/>
          <w:kern w:val="2"/>
          <w:szCs w:val="24"/>
          <w14:ligatures w14:val="standardContextual"/>
        </w:rPr>
        <w:t xml:space="preserve">Under § 15.11(e)(2) the composition report is required to use a format like the template provided in Table 1 of § 15.11(e) and contain the total number of outstanding </w:t>
      </w:r>
      <w:r w:rsidRPr="00450157">
        <w:rPr>
          <w:rFonts w:eastAsia="Aptos"/>
          <w:kern w:val="2"/>
          <w:szCs w:val="24"/>
          <w14:ligatures w14:val="standardContextual"/>
        </w:rPr>
        <w:t>payment</w:t>
      </w:r>
      <w:r w:rsidRPr="00450157">
        <w:rPr>
          <w:rFonts w:eastAsia="Aptos"/>
          <w:kern w:val="2"/>
          <w:szCs w:val="24"/>
          <w14:ligatures w14:val="standardContextual"/>
        </w:rPr>
        <w:t xml:space="preserve"> stablecoins issued by the issuer and the amount and composition of the reserves described in § 15.11(a), including the average tenor and geographic location of custody of each category of reserve instruments. </w:t>
      </w:r>
    </w:p>
    <w:p w:rsidR="00AD20A9" w:rsidRPr="00450157" w:rsidP="00450157" w14:paraId="2243F12C" w14:textId="77777777">
      <w:pPr>
        <w:ind w:firstLine="720"/>
        <w:rPr>
          <w:rFonts w:eastAsia="Aptos"/>
          <w:kern w:val="2"/>
          <w:szCs w:val="24"/>
          <w14:ligatures w14:val="standardContextual"/>
        </w:rPr>
      </w:pPr>
    </w:p>
    <w:p w:rsidR="00450157" w:rsidP="00450157" w14:paraId="3B2FACA3" w14:textId="210FAA1D">
      <w:pPr>
        <w:ind w:firstLine="720"/>
        <w:rPr>
          <w:rFonts w:eastAsia="Aptos"/>
          <w:kern w:val="2"/>
          <w:szCs w:val="24"/>
          <w14:ligatures w14:val="standardContextual"/>
        </w:rPr>
      </w:pPr>
      <w:r w:rsidRPr="00450157">
        <w:rPr>
          <w:rFonts w:eastAsia="Aptos"/>
          <w:kern w:val="2"/>
          <w:szCs w:val="24"/>
          <w14:ligatures w14:val="standardContextual"/>
        </w:rPr>
        <w:t>Section 15.11(g)(1) requires a permitted payment stablecoin issuer to notify the OCC, through its OCC supervisory office, on any day in which its reserve asset amount has fallen below the minimum reserve asset amount required by § 15.11(a).</w:t>
      </w:r>
      <w:r w:rsidR="00296651">
        <w:rPr>
          <w:rFonts w:eastAsia="Aptos"/>
          <w:kern w:val="2"/>
          <w:szCs w:val="24"/>
          <w14:ligatures w14:val="standardContextual"/>
        </w:rPr>
        <w:t xml:space="preserve"> </w:t>
      </w:r>
      <w:r w:rsidRPr="00450157">
        <w:rPr>
          <w:rFonts w:eastAsia="Aptos"/>
          <w:kern w:val="2"/>
          <w:szCs w:val="24"/>
          <w14:ligatures w14:val="standardContextual"/>
        </w:rPr>
        <w:t xml:space="preserve"> Under § 15.11(g)(4)(i), if the OCC determines that a permitted payment stablecoin issuer has not demonstrated that it meets the requirements of § 15.11(a), (b), (c), or (d), the OCC may require the issuer to submit a plan describing how the permitted payment stablecoin issuer will attain compliance and the timeline for the plan.</w:t>
      </w:r>
    </w:p>
    <w:p w:rsidR="00AD20A9" w:rsidRPr="00450157" w:rsidP="00450157" w14:paraId="2D9EF782" w14:textId="77777777">
      <w:pPr>
        <w:ind w:firstLine="720"/>
        <w:rPr>
          <w:rFonts w:eastAsia="Aptos"/>
          <w:kern w:val="2"/>
          <w:szCs w:val="24"/>
          <w14:ligatures w14:val="standardContextual"/>
        </w:rPr>
      </w:pPr>
    </w:p>
    <w:p w:rsidR="00450157" w:rsidP="00450157" w14:paraId="2EFEAB3A" w14:textId="65BE0DBF">
      <w:pPr>
        <w:ind w:firstLine="720"/>
        <w:rPr>
          <w:rFonts w:eastAsia="Aptos"/>
          <w:kern w:val="2"/>
          <w:szCs w:val="24"/>
          <w14:ligatures w14:val="standardContextual"/>
        </w:rPr>
      </w:pPr>
      <w:r w:rsidRPr="00450157">
        <w:rPr>
          <w:rFonts w:eastAsia="Aptos"/>
          <w:kern w:val="2"/>
          <w:szCs w:val="24"/>
          <w14:ligatures w14:val="standardContextual"/>
        </w:rPr>
        <w:t xml:space="preserve">Section 15.12(d)(1) requires a permitted payment stablecoin issuer to provide notice to the OCC within 24 hours if it receives redemption requests </w:t>
      </w:r>
      <w:r w:rsidRPr="00450157">
        <w:rPr>
          <w:rFonts w:eastAsia="Aptos"/>
          <w:kern w:val="2"/>
          <w:szCs w:val="24"/>
          <w14:ligatures w14:val="standardContextual"/>
        </w:rPr>
        <w:t>in excess of</w:t>
      </w:r>
      <w:r w:rsidRPr="00450157">
        <w:rPr>
          <w:rFonts w:eastAsia="Aptos"/>
          <w:kern w:val="2"/>
          <w:szCs w:val="24"/>
          <w14:ligatures w14:val="standardContextual"/>
        </w:rPr>
        <w:t xml:space="preserve"> 10 percent of the outstanding issuance value of any brand of payment stablecoin issued by the permitted payment stablecoin issuer in a single 24-hour period. </w:t>
      </w:r>
      <w:r w:rsidR="00296651">
        <w:rPr>
          <w:rFonts w:eastAsia="Aptos"/>
          <w:kern w:val="2"/>
          <w:szCs w:val="24"/>
          <w14:ligatures w14:val="standardContextual"/>
        </w:rPr>
        <w:t xml:space="preserve"> </w:t>
      </w:r>
      <w:r w:rsidRPr="00450157">
        <w:rPr>
          <w:rFonts w:eastAsia="Aptos"/>
          <w:kern w:val="2"/>
          <w:szCs w:val="24"/>
          <w14:ligatures w14:val="standardContextual"/>
        </w:rPr>
        <w:t xml:space="preserve">Under § 15.12(d)(2) a permitted payment stablecoin issuer that experiences redemption requests </w:t>
      </w:r>
      <w:r w:rsidRPr="00450157">
        <w:rPr>
          <w:rFonts w:eastAsia="Aptos"/>
          <w:kern w:val="2"/>
          <w:szCs w:val="24"/>
          <w14:ligatures w14:val="standardContextual"/>
        </w:rPr>
        <w:t>in excess of</w:t>
      </w:r>
      <w:r w:rsidRPr="00450157">
        <w:rPr>
          <w:rFonts w:eastAsia="Aptos"/>
          <w:kern w:val="2"/>
          <w:szCs w:val="24"/>
          <w14:ligatures w14:val="standardContextual"/>
        </w:rPr>
        <w:t xml:space="preserve"> 10 percent of the outstanding issuance </w:t>
      </w:r>
      <w:r w:rsidRPr="00450157">
        <w:rPr>
          <w:rFonts w:eastAsia="Aptos"/>
          <w:kern w:val="2"/>
          <w:szCs w:val="24"/>
          <w14:ligatures w14:val="standardContextual"/>
        </w:rPr>
        <w:t>value of any brand of payment stablecoin issued by the permitted payment stablecoin issuer in a single 24-hour period may request that the OCC extend the timeframe for timely redemption.</w:t>
      </w:r>
    </w:p>
    <w:p w:rsidR="00AD20A9" w:rsidRPr="00450157" w:rsidP="00450157" w14:paraId="34952787" w14:textId="77777777">
      <w:pPr>
        <w:ind w:firstLine="720"/>
        <w:rPr>
          <w:rFonts w:eastAsia="Aptos"/>
          <w:kern w:val="2"/>
          <w:szCs w:val="24"/>
          <w14:ligatures w14:val="standardContextual"/>
        </w:rPr>
      </w:pPr>
    </w:p>
    <w:p w:rsidR="00450157" w:rsidP="00450157" w14:paraId="7AFBAAE1" w14:textId="250D2C65">
      <w:pPr>
        <w:ind w:firstLine="720"/>
        <w:rPr>
          <w:rFonts w:eastAsia="Aptos"/>
          <w:kern w:val="2"/>
          <w:szCs w:val="24"/>
          <w14:ligatures w14:val="standardContextual"/>
        </w:rPr>
      </w:pPr>
      <w:r w:rsidRPr="00450157">
        <w:rPr>
          <w:rFonts w:eastAsia="Aptos"/>
          <w:kern w:val="2"/>
          <w:szCs w:val="24"/>
          <w14:ligatures w14:val="standardContextual"/>
        </w:rPr>
        <w:t xml:space="preserve">Section 15.13(a)(3)(i) requires a permitted payment stablecoin issuer to manage interest rate risk in a manner that is appropriate to the size and complexity of the permitted payment stablecoin issuer and the complexity of its assets and liabilities. </w:t>
      </w:r>
      <w:r w:rsidR="00296651">
        <w:rPr>
          <w:rFonts w:eastAsia="Aptos"/>
          <w:kern w:val="2"/>
          <w:szCs w:val="24"/>
          <w14:ligatures w14:val="standardContextual"/>
        </w:rPr>
        <w:t xml:space="preserve"> </w:t>
      </w:r>
      <w:r w:rsidRPr="00450157">
        <w:rPr>
          <w:rFonts w:eastAsia="Aptos"/>
          <w:kern w:val="2"/>
          <w:szCs w:val="24"/>
          <w14:ligatures w14:val="standardContextual"/>
        </w:rPr>
        <w:t xml:space="preserve">Section 15.13(a)(3)(ii) requires a permitted payment stablecoin issuer to </w:t>
      </w:r>
      <w:r w:rsidRPr="00450157">
        <w:rPr>
          <w:rFonts w:eastAsia="Aptos"/>
          <w:kern w:val="2"/>
          <w:szCs w:val="24"/>
          <w14:ligatures w14:val="standardContextual"/>
        </w:rPr>
        <w:t>provide for</w:t>
      </w:r>
      <w:r w:rsidRPr="00450157">
        <w:rPr>
          <w:rFonts w:eastAsia="Aptos"/>
          <w:kern w:val="2"/>
          <w:szCs w:val="24"/>
          <w14:ligatures w14:val="standardContextual"/>
        </w:rPr>
        <w:t xml:space="preserve"> periodic reporting to management and the board of directors regarding interest rate risk with information sufficient for management and the board of directors to assess, to an extent commensurate with their duties, the level of risk.</w:t>
      </w:r>
    </w:p>
    <w:p w:rsidR="00AD20A9" w:rsidRPr="00450157" w:rsidP="00450157" w14:paraId="5E7C197F" w14:textId="77777777">
      <w:pPr>
        <w:ind w:firstLine="720"/>
        <w:rPr>
          <w:rFonts w:eastAsia="Aptos"/>
          <w:kern w:val="2"/>
          <w:szCs w:val="24"/>
          <w14:ligatures w14:val="standardContextual"/>
        </w:rPr>
      </w:pPr>
    </w:p>
    <w:p w:rsidR="00450157" w:rsidP="00450157" w14:paraId="23D77FA3" w14:textId="17492797">
      <w:pPr>
        <w:ind w:firstLine="720"/>
        <w:rPr>
          <w:rFonts w:eastAsia="Aptos"/>
          <w:kern w:val="2"/>
          <w:szCs w:val="24"/>
          <w14:ligatures w14:val="standardContextual"/>
        </w:rPr>
      </w:pPr>
      <w:r w:rsidRPr="00450157">
        <w:rPr>
          <w:rFonts w:eastAsia="Aptos"/>
          <w:kern w:val="2"/>
          <w:szCs w:val="24"/>
          <w14:ligatures w14:val="standardContextual"/>
        </w:rPr>
        <w:t>Section 15.13(a)(9) provides monetization and stress testing requirements.</w:t>
      </w:r>
      <w:r w:rsidR="00296651">
        <w:rPr>
          <w:rFonts w:eastAsia="Aptos"/>
          <w:kern w:val="2"/>
          <w:szCs w:val="24"/>
          <w14:ligatures w14:val="standardContextual"/>
        </w:rPr>
        <w:t xml:space="preserve"> </w:t>
      </w:r>
      <w:r w:rsidRPr="00450157">
        <w:rPr>
          <w:rFonts w:eastAsia="Aptos"/>
          <w:kern w:val="2"/>
          <w:szCs w:val="24"/>
          <w14:ligatures w14:val="standardContextual"/>
        </w:rPr>
        <w:t xml:space="preserve"> Under section 15.13(a)(9)(i) a permitted payment stablecoin issuer is required to conduct analyses that consider a range of redemption scenarios to ensure that the reserve asset portfolio, taken as a whole, </w:t>
      </w:r>
      <w:r w:rsidRPr="00450157">
        <w:rPr>
          <w:rFonts w:eastAsia="Aptos"/>
          <w:kern w:val="2"/>
          <w:szCs w:val="24"/>
          <w14:ligatures w14:val="standardContextual"/>
        </w:rPr>
        <w:t>is capable of supporting</w:t>
      </w:r>
      <w:r w:rsidRPr="00450157">
        <w:rPr>
          <w:rFonts w:eastAsia="Aptos"/>
          <w:kern w:val="2"/>
          <w:szCs w:val="24"/>
          <w14:ligatures w14:val="standardContextual"/>
        </w:rPr>
        <w:t xml:space="preserve"> timely redemption under both normal and stressed conditions. </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Section 15.13(a)(9)(ii) further requires a permitted payment stablecoin issuer maintain and demonstrate to the OCC the ability to reliably access and monetize reserve assets necessary to meet redemption requests in normal and stressed conditions, </w:t>
      </w:r>
      <w:r w:rsidRPr="00450157">
        <w:rPr>
          <w:rFonts w:eastAsia="Aptos"/>
          <w:kern w:val="2"/>
          <w:szCs w:val="24"/>
          <w14:ligatures w14:val="standardContextual"/>
        </w:rPr>
        <w:t>taking into account</w:t>
      </w:r>
      <w:r w:rsidRPr="00450157">
        <w:rPr>
          <w:rFonts w:eastAsia="Aptos"/>
          <w:kern w:val="2"/>
          <w:szCs w:val="24"/>
          <w14:ligatures w14:val="standardContextual"/>
        </w:rPr>
        <w:t xml:space="preserve">: market access; financing channels; haircut assumptions; and operational readiness. </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Finally, § 15.13(a)(9)(iii) requires permitted payment stablecoin issuers to engage in regular stress testing of the reserve asset portfolio </w:t>
      </w:r>
      <w:r w:rsidRPr="00450157">
        <w:rPr>
          <w:rFonts w:eastAsia="Aptos"/>
          <w:kern w:val="2"/>
          <w:szCs w:val="24"/>
          <w14:ligatures w14:val="standardContextual"/>
        </w:rPr>
        <w:t>in order to</w:t>
      </w:r>
      <w:r w:rsidRPr="00450157">
        <w:rPr>
          <w:rFonts w:eastAsia="Aptos"/>
          <w:kern w:val="2"/>
          <w:szCs w:val="24"/>
          <w14:ligatures w14:val="standardContextual"/>
        </w:rPr>
        <w:t xml:space="preserve"> determine whether the portfolio of reserve assets will continue to equal or exceed outstanding issuance value in stressed conditions, including in significant positive interest rate scenarios.</w:t>
      </w:r>
    </w:p>
    <w:p w:rsidR="00AD20A9" w:rsidRPr="00450157" w:rsidP="00450157" w14:paraId="295EC079" w14:textId="77777777">
      <w:pPr>
        <w:ind w:firstLine="720"/>
        <w:rPr>
          <w:rFonts w:eastAsia="Aptos"/>
          <w:kern w:val="2"/>
          <w:szCs w:val="24"/>
          <w14:ligatures w14:val="standardContextual"/>
        </w:rPr>
      </w:pPr>
    </w:p>
    <w:p w:rsidR="00450157" w:rsidP="00450157" w14:paraId="1D485A79" w14:textId="71390F2C">
      <w:pPr>
        <w:ind w:firstLine="720"/>
        <w:rPr>
          <w:rFonts w:eastAsia="Aptos"/>
          <w:kern w:val="2"/>
          <w:szCs w:val="24"/>
          <w14:ligatures w14:val="standardContextual"/>
        </w:rPr>
      </w:pPr>
      <w:r w:rsidRPr="00450157">
        <w:rPr>
          <w:rFonts w:eastAsia="Aptos"/>
          <w:kern w:val="2"/>
          <w:szCs w:val="24"/>
          <w14:ligatures w14:val="standardContextual"/>
        </w:rPr>
        <w:t>Section 15.13(a)(10) covers foreign exchange risk.</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 Section 15.13(a)(10)(iii) requires, before engaging in foreign exchange risk management, that the permitted payment stablecoin issuer provide prior notice to the permitted payment stablecoin issuer’s supervisory office and receive the OCC’s approval.</w:t>
      </w:r>
    </w:p>
    <w:p w:rsidR="00AD20A9" w:rsidRPr="00450157" w:rsidP="00450157" w14:paraId="3A697A19" w14:textId="77777777">
      <w:pPr>
        <w:ind w:firstLine="720"/>
        <w:rPr>
          <w:rFonts w:eastAsia="Aptos"/>
          <w:kern w:val="2"/>
          <w:szCs w:val="24"/>
          <w14:ligatures w14:val="standardContextual"/>
        </w:rPr>
      </w:pPr>
    </w:p>
    <w:p w:rsidR="00450157" w:rsidP="00450157" w14:paraId="7BC387A7" w14:textId="32073DBC">
      <w:pPr>
        <w:ind w:firstLine="720"/>
        <w:rPr>
          <w:rFonts w:eastAsia="Aptos"/>
          <w:kern w:val="2"/>
          <w:szCs w:val="24"/>
          <w14:ligatures w14:val="standardContextual"/>
        </w:rPr>
      </w:pPr>
      <w:r w:rsidRPr="00450157">
        <w:rPr>
          <w:rFonts w:eastAsia="Aptos"/>
          <w:kern w:val="2"/>
          <w:szCs w:val="24"/>
          <w14:ligatures w14:val="standardContextual"/>
        </w:rPr>
        <w:t>Section 15.13(b)(7) sets forth notification of unauthorized access requirements that apply to permitted payment stablecoin issuers.</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 </w:t>
      </w:r>
      <w:r w:rsidRPr="00450157">
        <w:rPr>
          <w:rFonts w:eastAsia="Aptos"/>
          <w:kern w:val="2"/>
          <w:szCs w:val="24"/>
          <w14:ligatures w14:val="standardContextual"/>
        </w:rPr>
        <w:t xml:space="preserve">Section 15.13(b)(7)(i)(A) requires, when a permitted payment stablecoin issuer becomes aware of an incident of unauthorized access to sensitive customer information, including a customer’s private key, the permitted payment stablecoin issuer must conduct a reasonable investigation. </w:t>
      </w:r>
      <w:r w:rsidR="00B11ED6">
        <w:rPr>
          <w:rFonts w:eastAsia="Aptos"/>
          <w:kern w:val="2"/>
          <w:szCs w:val="24"/>
          <w14:ligatures w14:val="standardContextual"/>
        </w:rPr>
        <w:t xml:space="preserve"> </w:t>
      </w:r>
      <w:r w:rsidRPr="00450157">
        <w:rPr>
          <w:rFonts w:eastAsia="Aptos"/>
          <w:kern w:val="2"/>
          <w:szCs w:val="24"/>
          <w14:ligatures w14:val="standardContextual"/>
        </w:rPr>
        <w:t>Under § 15.13(b)(7)(i)(B)</w:t>
      </w:r>
      <w:r w:rsidRPr="00450157">
        <w:rPr>
          <w:rFonts w:eastAsia="Aptos"/>
          <w:kern w:val="2"/>
          <w:szCs w:val="24"/>
          <w14:ligatures w14:val="standardContextual"/>
        </w:rPr>
        <w:t xml:space="preserve"> </w:t>
      </w:r>
      <w:r w:rsidRPr="00450157">
        <w:rPr>
          <w:rFonts w:eastAsia="Aptos"/>
          <w:kern w:val="2"/>
          <w:szCs w:val="24"/>
          <w14:ligatures w14:val="standardContextual"/>
        </w:rPr>
        <w:t>if the permitted payment stablecoin issuer determines that misuse of its information about a customer has occurred or is reasonably possible to occur, notification to the affected or possibly affected customer and the OCC is required as soon as possible.</w:t>
      </w:r>
      <w:r w:rsidRPr="00450157">
        <w:rPr>
          <w:rFonts w:eastAsia="Aptos"/>
          <w:kern w:val="2"/>
          <w:szCs w:val="24"/>
          <w14:ligatures w14:val="standardContextual"/>
        </w:rPr>
        <w:t xml:space="preserve"> </w:t>
      </w:r>
      <w:r w:rsidR="00B11ED6">
        <w:rPr>
          <w:rFonts w:eastAsia="Aptos"/>
          <w:kern w:val="2"/>
          <w:szCs w:val="24"/>
          <w14:ligatures w14:val="standardContextual"/>
        </w:rPr>
        <w:t xml:space="preserve"> </w:t>
      </w:r>
      <w:r w:rsidRPr="00450157">
        <w:rPr>
          <w:rFonts w:eastAsia="Aptos"/>
          <w:kern w:val="2"/>
          <w:szCs w:val="24"/>
          <w14:ligatures w14:val="standardContextual"/>
        </w:rPr>
        <w:t>Customer notice must be delayed if an appropriate law enforcement agency determines that notification will interfere with a criminal investigation and the law enforcement agency provides the permitted payment stablecoin issuer with a written request for the delay.</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 Section 15.13(b)(7)(i)(C) requires the permitted payment stablecoin issuer to notify its customers </w:t>
      </w:r>
      <w:r w:rsidRPr="00450157">
        <w:rPr>
          <w:rFonts w:eastAsia="Aptos"/>
          <w:szCs w:val="24"/>
        </w:rPr>
        <w:t xml:space="preserve">of the misuse or possible misuse of customer information </w:t>
      </w:r>
      <w:r w:rsidRPr="00450157">
        <w:rPr>
          <w:rFonts w:eastAsia="Aptos"/>
          <w:kern w:val="2"/>
          <w:szCs w:val="24"/>
          <w14:ligatures w14:val="standardContextual"/>
        </w:rPr>
        <w:t>as soon as the law enforcement agency notifies the permitted payment stablecoin issuer that notification will no longer interfere with the investigation.</w:t>
      </w:r>
      <w:r w:rsidRPr="00450157">
        <w:rPr>
          <w:rFonts w:eastAsia="Aptos"/>
          <w:kern w:val="2"/>
          <w:szCs w:val="24"/>
          <w14:ligatures w14:val="standardContextual"/>
        </w:rPr>
        <w:t xml:space="preserve"> </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Under § 15.13(b)(7)(ii), if a permitted payment stablecoin issuer determines that the files of a group of customers have been accessed improperly but is unable to identify which specific customers’ information has been accessed and if the circumstances of the unauthorized access lead the permitted payment stablecoin issuer to </w:t>
      </w:r>
      <w:r w:rsidRPr="00450157">
        <w:rPr>
          <w:rFonts w:eastAsia="Aptos"/>
          <w:kern w:val="2"/>
          <w:szCs w:val="24"/>
          <w14:ligatures w14:val="standardContextual"/>
        </w:rPr>
        <w:t>determine that misuse of the information is reasonably possible, it must notify all customers in the group.</w:t>
      </w:r>
    </w:p>
    <w:p w:rsidR="00AD20A9" w:rsidRPr="00450157" w:rsidP="00450157" w14:paraId="269F08F2" w14:textId="77777777">
      <w:pPr>
        <w:ind w:firstLine="720"/>
        <w:rPr>
          <w:rFonts w:eastAsia="Aptos"/>
          <w:kern w:val="2"/>
          <w:szCs w:val="24"/>
          <w14:ligatures w14:val="standardContextual"/>
        </w:rPr>
      </w:pPr>
    </w:p>
    <w:p w:rsidR="00450157" w:rsidP="00450157" w14:paraId="17381E9C" w14:textId="21211C3E">
      <w:pPr>
        <w:ind w:firstLine="720"/>
        <w:rPr>
          <w:rFonts w:eastAsia="Aptos"/>
          <w:kern w:val="2"/>
          <w:szCs w:val="24"/>
          <w14:ligatures w14:val="standardContextual"/>
        </w:rPr>
      </w:pPr>
      <w:r w:rsidRPr="00450157">
        <w:rPr>
          <w:rFonts w:eastAsia="Aptos"/>
          <w:kern w:val="2"/>
          <w:szCs w:val="24"/>
          <w14:ligatures w14:val="standardContextual"/>
        </w:rPr>
        <w:t xml:space="preserve">Section 15.14(h) requires all permitted payment stablecoin issuers to submit to the OCC, on a weekly basis, in the manner and form specified by the OCC, a confidential report containing the information requested in the form available at </w:t>
      </w:r>
      <w:r w:rsidRPr="00AD20A9" w:rsidR="00AD20A9">
        <w:rPr>
          <w:rFonts w:eastAsia="Aptos"/>
          <w:i/>
          <w:iCs/>
          <w:kern w:val="2"/>
          <w:szCs w:val="24"/>
          <w14:ligatures w14:val="standardContextual"/>
        </w:rPr>
        <w:t>www.occ.gov</w:t>
      </w:r>
      <w:r w:rsidRPr="00450157">
        <w:rPr>
          <w:rFonts w:eastAsia="Aptos"/>
          <w:kern w:val="2"/>
          <w:szCs w:val="24"/>
          <w14:ligatures w14:val="standardContextual"/>
        </w:rPr>
        <w:t>.</w:t>
      </w:r>
    </w:p>
    <w:p w:rsidR="00AD20A9" w:rsidRPr="00450157" w:rsidP="00450157" w14:paraId="776E2D4E" w14:textId="77777777">
      <w:pPr>
        <w:ind w:firstLine="720"/>
        <w:rPr>
          <w:rFonts w:eastAsia="Aptos"/>
          <w:kern w:val="2"/>
          <w:szCs w:val="24"/>
          <w14:ligatures w14:val="standardContextual"/>
        </w:rPr>
      </w:pPr>
    </w:p>
    <w:p w:rsidR="00450157" w:rsidP="00450157" w14:paraId="5EFB13C6" w14:textId="39F04427">
      <w:pPr>
        <w:ind w:firstLine="720"/>
        <w:rPr>
          <w:rFonts w:eastAsia="Aptos"/>
          <w:kern w:val="2"/>
          <w:szCs w:val="24"/>
          <w14:ligatures w14:val="standardContextual"/>
        </w:rPr>
      </w:pPr>
      <w:r w:rsidRPr="00450157">
        <w:rPr>
          <w:rFonts w:eastAsia="Aptos"/>
          <w:kern w:val="2"/>
          <w:szCs w:val="24"/>
          <w14:ligatures w14:val="standardContextual"/>
        </w:rPr>
        <w:t>Section 15.14(i) covers the quarterly reports of financial condition and its required contents.</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 </w:t>
      </w:r>
      <w:r w:rsidRPr="00450157">
        <w:rPr>
          <w:rFonts w:eastAsia="Aptos"/>
          <w:kern w:val="2"/>
          <w:szCs w:val="24"/>
          <w14:ligatures w14:val="standardContextual"/>
        </w:rPr>
        <w:t>Under § 15.14(i)(1), all permitted payment stablecoin issuers subject to OCC supervision are required to submit to the OCC a quarterly report on the financial condition of the permitted payment stablecoin issuer, including, but not limited to, income statement, expenses, balance sheet, reserves, changes in equity, investments, capital, outstanding issuance value, and assets under custody, in a standardized format as prescribed by the OCC and within 30 days of the end of the prior quarter.</w:t>
      </w:r>
      <w:r w:rsidRPr="00450157">
        <w:rPr>
          <w:rFonts w:eastAsia="Aptos"/>
          <w:kern w:val="2"/>
          <w:szCs w:val="24"/>
          <w14:ligatures w14:val="standardContextual"/>
        </w:rPr>
        <w:t xml:space="preserve"> </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The forms and instructions are available at </w:t>
      </w:r>
      <w:r w:rsidRPr="00450157">
        <w:rPr>
          <w:rFonts w:eastAsia="Aptos"/>
          <w:i/>
          <w:iCs/>
          <w:kern w:val="2"/>
          <w:szCs w:val="24"/>
          <w14:ligatures w14:val="standardContextual"/>
        </w:rPr>
        <w:t>www.occ.gov</w:t>
      </w:r>
      <w:r w:rsidRPr="00450157">
        <w:rPr>
          <w:rFonts w:eastAsia="Aptos"/>
          <w:kern w:val="2"/>
          <w:szCs w:val="24"/>
          <w14:ligatures w14:val="standardContextual"/>
        </w:rPr>
        <w:t>.</w:t>
      </w:r>
      <w:r w:rsidRPr="00450157">
        <w:rPr>
          <w:rFonts w:eastAsia="Aptos"/>
          <w:kern w:val="2"/>
          <w:szCs w:val="24"/>
          <w14:ligatures w14:val="standardContextual"/>
        </w:rPr>
        <w:t xml:space="preserve"> </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Under § 15.14(i)(2), each report of financial condition is required to contain a declaration by the permitted payment stablecoin issuer’s Chief Financial Officer, or the individual performing an equivalent function, that the report is true and correct to the best of their knowledge and belief. </w:t>
      </w:r>
      <w:r w:rsidR="00B11ED6">
        <w:rPr>
          <w:rFonts w:eastAsia="Aptos"/>
          <w:kern w:val="2"/>
          <w:szCs w:val="24"/>
          <w14:ligatures w14:val="standardContextual"/>
        </w:rPr>
        <w:t xml:space="preserve"> </w:t>
      </w:r>
      <w:r w:rsidRPr="00450157">
        <w:rPr>
          <w:rFonts w:eastAsia="Aptos"/>
          <w:kern w:val="2"/>
          <w:szCs w:val="24"/>
          <w14:ligatures w14:val="standardContextual"/>
        </w:rPr>
        <w:t>Under § 15.14(i)(3), the correctness of the report of financial condition is required to be attested to by the signatures of the directors and senior management of the permitted payment stablecoin issuer other than the officer, or the individual performing an equivalent function, making such declaration, with the attestation stating that the report has been examined by them and, to the best of their knowledge and belief, is true and correct.</w:t>
      </w:r>
    </w:p>
    <w:p w:rsidR="00AD20A9" w:rsidRPr="00450157" w:rsidP="00450157" w14:paraId="10829B7E" w14:textId="77777777">
      <w:pPr>
        <w:ind w:firstLine="720"/>
        <w:rPr>
          <w:rFonts w:eastAsia="Aptos"/>
          <w:kern w:val="2"/>
          <w:szCs w:val="24"/>
          <w14:ligatures w14:val="standardContextual"/>
        </w:rPr>
      </w:pPr>
    </w:p>
    <w:p w:rsidR="00450157" w:rsidP="00450157" w14:paraId="6132693F" w14:textId="15A6BDE4">
      <w:pPr>
        <w:ind w:firstLine="720"/>
        <w:rPr>
          <w:rFonts w:eastAsia="Aptos"/>
          <w:kern w:val="2"/>
          <w:szCs w:val="24"/>
          <w14:ligatures w14:val="standardContextual"/>
        </w:rPr>
      </w:pPr>
      <w:r w:rsidRPr="00450157">
        <w:rPr>
          <w:rFonts w:eastAsia="Aptos"/>
          <w:kern w:val="2"/>
          <w:szCs w:val="24"/>
          <w14:ligatures w14:val="standardContextual"/>
        </w:rPr>
        <w:t>Section 15.14(j) covers the submission of other reports requested by the OCC.</w:t>
      </w:r>
      <w:r w:rsidRPr="00450157">
        <w:rPr>
          <w:rFonts w:eastAsia="Aptos"/>
          <w:kern w:val="2"/>
          <w:szCs w:val="24"/>
          <w14:ligatures w14:val="standardContextual"/>
        </w:rPr>
        <w:t xml:space="preserve"> </w:t>
      </w:r>
      <w:r w:rsidR="00B11ED6">
        <w:rPr>
          <w:rFonts w:eastAsia="Aptos"/>
          <w:kern w:val="2"/>
          <w:szCs w:val="24"/>
          <w14:ligatures w14:val="standardContextual"/>
        </w:rPr>
        <w:t xml:space="preserve"> </w:t>
      </w:r>
      <w:r w:rsidRPr="00450157">
        <w:rPr>
          <w:rFonts w:eastAsia="Aptos"/>
          <w:kern w:val="2"/>
          <w:szCs w:val="24"/>
          <w14:ligatures w14:val="standardContextual"/>
        </w:rPr>
        <w:t>Upon request, all permitted payment stablecoin issuers are required to submit to the OCC a report on the financial condition of the permitted payment stablecoin issuer; the systems of the permitted payment stablecoin issuer for monitoring and controlling financial and operational risks; compliance of the permitted payment stablecoin issuer and any subsidiary thereof with the GENIUS Act, and 12 CFR part 15; and in the case of a Federal qualified nonbank payment stablecoin issuer, compliance of the permitted payment stablecoin issuer with the requirements of the Bank Secrecy Act and with laws authorizing the imposition of sanctions and implemented by the Secretary of the Treasury.</w:t>
      </w:r>
    </w:p>
    <w:p w:rsidR="00AD20A9" w:rsidRPr="00450157" w:rsidP="00450157" w14:paraId="2D15A385" w14:textId="77777777">
      <w:pPr>
        <w:ind w:firstLine="720"/>
        <w:rPr>
          <w:rFonts w:eastAsia="Aptos"/>
          <w:kern w:val="2"/>
          <w:szCs w:val="24"/>
          <w14:ligatures w14:val="standardContextual"/>
        </w:rPr>
      </w:pPr>
    </w:p>
    <w:p w:rsidR="00450157" w:rsidP="00450157" w14:paraId="65FC7951" w14:textId="337530C2">
      <w:pPr>
        <w:ind w:firstLine="720"/>
        <w:rPr>
          <w:rFonts w:eastAsia="Aptos"/>
          <w:kern w:val="2"/>
          <w:szCs w:val="24"/>
          <w14:ligatures w14:val="standardContextual"/>
        </w:rPr>
      </w:pPr>
      <w:r w:rsidRPr="00450157">
        <w:rPr>
          <w:rFonts w:eastAsia="Aptos"/>
          <w:kern w:val="2"/>
          <w:szCs w:val="24"/>
          <w14:ligatures w14:val="standardContextual"/>
        </w:rPr>
        <w:t>Section 15.14(k) sets forth ongoing compliance reporting.</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 </w:t>
      </w:r>
      <w:r w:rsidRPr="00450157">
        <w:rPr>
          <w:rFonts w:eastAsia="Aptos"/>
          <w:kern w:val="2"/>
          <w:szCs w:val="24"/>
          <w14:ligatures w14:val="standardContextual"/>
        </w:rPr>
        <w:t xml:space="preserve">Section 15.14(k)(1) provides that no later than 180 days after the approval of an application, as set forth in § 15.30, and on an annual basis thereafter, a permitted payment stablecoin issuer subject to OCC supervision is required to submit to the OCC a certification that the permitted payment stablecoin issuer has implemented anti-money laundering and economic sanctions compliance programs. </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The programs are required to be reasonably designed to prevent the permitted payment stablecoin issuer from facilitating money laundering, specifically, facilitating money laundering for cartels and organizations designated as foreign terrorist organizations under section 219 of the Immigration and Nationality Act (8 U.S.C. 1189) and the financing of terrorist activities, consistent with the requirements of the GENIUS Act. </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Section 15.14(k)(2) additionally requires that the initial certification be provided by the permitted payment stablecoin issuer’s board of directors. Subsequent certifications may be provided by the permitted payment stablecoin </w:t>
      </w:r>
      <w:r w:rsidRPr="00450157">
        <w:rPr>
          <w:rFonts w:eastAsia="Aptos"/>
          <w:kern w:val="2"/>
          <w:szCs w:val="24"/>
          <w14:ligatures w14:val="standardContextual"/>
        </w:rPr>
        <w:t>issuer’s Bank Secrecy Act officer, the board of directors, or an appropriate committee of the board of directors.</w:t>
      </w:r>
    </w:p>
    <w:p w:rsidR="00AD20A9" w:rsidRPr="00450157" w:rsidP="00450157" w14:paraId="4CF19661" w14:textId="77777777">
      <w:pPr>
        <w:ind w:firstLine="720"/>
        <w:rPr>
          <w:rFonts w:eastAsia="Aptos"/>
          <w:kern w:val="2"/>
          <w:szCs w:val="24"/>
          <w14:ligatures w14:val="standardContextual"/>
        </w:rPr>
      </w:pPr>
    </w:p>
    <w:p w:rsidR="00450157" w:rsidP="00450157" w14:paraId="21C6F3B1" w14:textId="18250576">
      <w:pPr>
        <w:ind w:firstLine="720"/>
        <w:rPr>
          <w:rFonts w:eastAsia="Aptos"/>
          <w:kern w:val="2"/>
          <w:szCs w:val="24"/>
          <w14:ligatures w14:val="standardContextual"/>
        </w:rPr>
      </w:pPr>
      <w:r w:rsidRPr="00450157">
        <w:rPr>
          <w:rFonts w:eastAsia="Aptos"/>
          <w:kern w:val="2"/>
          <w:szCs w:val="24"/>
          <w14:ligatures w14:val="standardContextual"/>
        </w:rPr>
        <w:t>Section 15.14(l) sets forth audit requirements and requires a permitted payment stablecoin issuer with more than $50 billion in total consolidated outstanding issuance value, that is not subject to certain reporting requirements under the Securities Exchange Act of 1934, prepare, in accordance with GAAP, an annual financial statement.</w:t>
      </w:r>
      <w:r w:rsidRPr="00450157">
        <w:rPr>
          <w:rFonts w:eastAsia="Aptos"/>
          <w:kern w:val="2"/>
          <w:szCs w:val="24"/>
          <w14:ligatures w14:val="standardContextual"/>
        </w:rPr>
        <w:t xml:space="preserve"> </w:t>
      </w:r>
      <w:r w:rsidR="00B11ED6">
        <w:rPr>
          <w:rFonts w:eastAsia="Aptos"/>
          <w:kern w:val="2"/>
          <w:szCs w:val="24"/>
          <w14:ligatures w14:val="standardContextual"/>
        </w:rPr>
        <w:t xml:space="preserve"> </w:t>
      </w:r>
      <w:r w:rsidRPr="00450157">
        <w:rPr>
          <w:rFonts w:eastAsia="Aptos"/>
          <w:kern w:val="2"/>
          <w:szCs w:val="24"/>
          <w14:ligatures w14:val="standardContextual"/>
        </w:rPr>
        <w:t>Section 15.14(l)(2) sets forth the requirements for preparing and submitting the audited annual financial statements.</w:t>
      </w:r>
      <w:r w:rsidRPr="00450157">
        <w:rPr>
          <w:rFonts w:eastAsia="Aptos"/>
          <w:kern w:val="2"/>
          <w:szCs w:val="24"/>
          <w14:ligatures w14:val="standardContextual"/>
        </w:rPr>
        <w:t xml:space="preserve"> </w:t>
      </w:r>
      <w:r w:rsidR="00B11ED6">
        <w:rPr>
          <w:rFonts w:eastAsia="Aptos"/>
          <w:kern w:val="2"/>
          <w:szCs w:val="24"/>
          <w14:ligatures w14:val="standardContextual"/>
        </w:rPr>
        <w:t xml:space="preserve"> </w:t>
      </w:r>
      <w:r w:rsidRPr="00450157">
        <w:rPr>
          <w:rFonts w:eastAsia="Aptos"/>
          <w:kern w:val="2"/>
          <w:szCs w:val="24"/>
          <w14:ligatures w14:val="standardContextual"/>
        </w:rPr>
        <w:t>Section 15.14(l)(2)(ii) requires a permitted payment stablecoin issuer to submit the audited financial statements annually, within 120 days after the end of the permitted payment stablecoin issuer’s fiscal year, to the OCC.</w:t>
      </w:r>
    </w:p>
    <w:p w:rsidR="00AD20A9" w:rsidRPr="00450157" w:rsidP="00450157" w14:paraId="3552403B" w14:textId="77777777">
      <w:pPr>
        <w:ind w:firstLine="720"/>
        <w:rPr>
          <w:rFonts w:eastAsia="Aptos"/>
          <w:kern w:val="2"/>
          <w:szCs w:val="24"/>
          <w14:ligatures w14:val="standardContextual"/>
        </w:rPr>
      </w:pPr>
    </w:p>
    <w:p w:rsidR="00450157" w:rsidP="00450157" w14:paraId="687F89EA" w14:textId="455D6964">
      <w:pPr>
        <w:ind w:firstLine="720"/>
        <w:rPr>
          <w:rFonts w:eastAsia="Aptos"/>
          <w:kern w:val="2"/>
          <w:szCs w:val="24"/>
          <w14:ligatures w14:val="standardContextual"/>
        </w:rPr>
      </w:pPr>
      <w:r w:rsidRPr="00450157">
        <w:rPr>
          <w:rFonts w:eastAsia="Aptos"/>
          <w:kern w:val="2"/>
          <w:szCs w:val="24"/>
          <w14:ligatures w14:val="standardContextual"/>
        </w:rPr>
        <w:t>Section 15.14(l)(2)(iii) provides that if a permitted payment stablecoin issuer is unable to timely file all or any portion of the audited annual financial statement required under § 15.14(l)(2)(ii), it must submit a written notice of late filing to the OCC.</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 </w:t>
      </w:r>
      <w:r w:rsidRPr="00450157">
        <w:rPr>
          <w:rFonts w:eastAsia="Aptos"/>
          <w:kern w:val="2"/>
          <w:szCs w:val="24"/>
          <w14:ligatures w14:val="standardContextual"/>
        </w:rPr>
        <w:t>The notice is required to disclose the permitted payment stablecoin issuer’s inability to timely file all, or specified portions, of its annual financial statement and the reasons therefore in reasonable detail; include the date by which the financial statement will be filed; and be filed on or before the deadline for filing the financial statement.</w:t>
      </w:r>
    </w:p>
    <w:p w:rsidR="00AD20A9" w:rsidRPr="00450157" w:rsidP="00450157" w14:paraId="3032990B" w14:textId="77777777">
      <w:pPr>
        <w:ind w:firstLine="720"/>
        <w:rPr>
          <w:rFonts w:eastAsia="Aptos"/>
          <w:kern w:val="2"/>
          <w:szCs w:val="24"/>
          <w14:ligatures w14:val="standardContextual"/>
        </w:rPr>
      </w:pPr>
    </w:p>
    <w:p w:rsidR="00450157" w:rsidP="00450157" w14:paraId="7FDAD42F" w14:textId="42CC2606">
      <w:pPr>
        <w:ind w:firstLine="720"/>
        <w:rPr>
          <w:rFonts w:eastAsia="Aptos"/>
          <w:kern w:val="2"/>
          <w:szCs w:val="24"/>
          <w14:ligatures w14:val="standardContextual"/>
        </w:rPr>
      </w:pPr>
      <w:r w:rsidRPr="00450157">
        <w:rPr>
          <w:rFonts w:eastAsia="Aptos"/>
          <w:kern w:val="2"/>
          <w:szCs w:val="24"/>
          <w14:ligatures w14:val="standardContextual"/>
        </w:rPr>
        <w:t>Section 15.14(m) sets forth notice requirements for changes in control of the permitted payment stablecoin issuer.</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 Under this section, a person seeking to acquire control of a permitted payment stablecoin issuer is required to follow the requirements of 12 CFR 5.50 as if the permitted payment stablecoin issuer were a national bank.</w:t>
      </w:r>
    </w:p>
    <w:p w:rsidR="00AD20A9" w:rsidRPr="00450157" w:rsidP="00450157" w14:paraId="6C14B44A" w14:textId="77777777">
      <w:pPr>
        <w:ind w:firstLine="720"/>
        <w:rPr>
          <w:rFonts w:eastAsia="Aptos"/>
          <w:kern w:val="2"/>
          <w:szCs w:val="24"/>
          <w14:ligatures w14:val="standardContextual"/>
        </w:rPr>
      </w:pPr>
    </w:p>
    <w:p w:rsidR="00450157" w:rsidP="00450157" w14:paraId="090B0AC9" w14:textId="61F58ED5">
      <w:pPr>
        <w:ind w:firstLine="720"/>
        <w:rPr>
          <w:rFonts w:eastAsia="Aptos"/>
          <w:kern w:val="2"/>
          <w:szCs w:val="24"/>
          <w14:ligatures w14:val="standardContextual"/>
        </w:rPr>
      </w:pPr>
      <w:r w:rsidRPr="00450157">
        <w:rPr>
          <w:rFonts w:eastAsia="Aptos"/>
          <w:kern w:val="2"/>
          <w:szCs w:val="24"/>
          <w14:ligatures w14:val="standardContextual"/>
        </w:rPr>
        <w:t xml:space="preserve">Section 15.15(b)(2) sets forth initial notice requirements for State qualified payment stablecoin issuers that are nonbank entities with a total consolidated outstanding issuance value of more than $10 billion. </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Under the section, a State qualified payment stablecoin issuer with a total consolidated outstanding issuance value of more than $10 billion is required to provide written notification to the OCC within five calendar days after reaching such threshold. </w:t>
      </w:r>
      <w:r w:rsidR="00B11ED6">
        <w:rPr>
          <w:rFonts w:eastAsia="Aptos"/>
          <w:kern w:val="2"/>
          <w:szCs w:val="24"/>
          <w14:ligatures w14:val="standardContextual"/>
        </w:rPr>
        <w:t xml:space="preserve"> </w:t>
      </w:r>
      <w:r w:rsidRPr="00450157">
        <w:rPr>
          <w:rFonts w:eastAsia="Aptos"/>
          <w:kern w:val="2"/>
          <w:szCs w:val="24"/>
          <w14:ligatures w14:val="standardContextual"/>
        </w:rPr>
        <w:t>The written notification is required to include: the State or States that currently regulate the State qualified payment stablecoin issuer; the State qualified payment stablecoin issuer’s outstanding issuance value as of the date of the notice; the date that the State qualified payment stablecoin issuer first reached the $10 billion total consolidated outstanding issuance value threshold; and an indication of whether and when the State qualified payment stablecoin issuer ceased issuing, on a net basis, new payment stablecoins and whether the State qualified payment stablecoin issuer intends to seek a waiver pursuant to § 15.15(d).</w:t>
      </w:r>
    </w:p>
    <w:p w:rsidR="00AD20A9" w:rsidRPr="00450157" w:rsidP="00450157" w14:paraId="73241D91" w14:textId="77777777">
      <w:pPr>
        <w:ind w:firstLine="720"/>
        <w:rPr>
          <w:rFonts w:eastAsia="Aptos"/>
          <w:kern w:val="2"/>
          <w:szCs w:val="24"/>
          <w14:ligatures w14:val="standardContextual"/>
        </w:rPr>
      </w:pPr>
    </w:p>
    <w:p w:rsidR="00450157" w:rsidP="00450157" w14:paraId="07A9704E" w14:textId="2EF07B57">
      <w:pPr>
        <w:ind w:firstLine="720"/>
        <w:rPr>
          <w:rFonts w:eastAsia="Aptos"/>
          <w:kern w:val="2"/>
          <w:szCs w:val="24"/>
          <w14:ligatures w14:val="standardContextual"/>
        </w:rPr>
      </w:pPr>
      <w:r w:rsidRPr="00450157">
        <w:rPr>
          <w:rFonts w:eastAsia="Aptos"/>
          <w:kern w:val="2"/>
          <w:szCs w:val="24"/>
          <w14:ligatures w14:val="standardContextual"/>
        </w:rPr>
        <w:t xml:space="preserve">Section 15.15(b)(3) sets forth the capital analysis requirements for State qualified payment stablecoin issuers. </w:t>
      </w:r>
      <w:r w:rsidR="00B11ED6">
        <w:rPr>
          <w:rFonts w:eastAsia="Aptos"/>
          <w:kern w:val="2"/>
          <w:szCs w:val="24"/>
          <w14:ligatures w14:val="standardContextual"/>
        </w:rPr>
        <w:t xml:space="preserve"> </w:t>
      </w:r>
      <w:r w:rsidRPr="00450157">
        <w:rPr>
          <w:rFonts w:eastAsia="Aptos"/>
          <w:kern w:val="2"/>
          <w:szCs w:val="24"/>
          <w14:ligatures w14:val="standardContextual"/>
        </w:rPr>
        <w:t>Under the section, within 270 days of reaching the $10 billion total consolidated outstanding issuance value threshold, a State qualified payment stablecoin issuer is required to submit a capital analysis to the OCC.</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 The analysis is required to include an analysis of the issuer’s current capital position and anticipated capital needs, sufficient to ensure ongoing operations, based on its business model and risk profile.</w:t>
      </w:r>
      <w:r w:rsidRPr="00450157">
        <w:rPr>
          <w:rFonts w:eastAsia="Aptos"/>
          <w:kern w:val="2"/>
          <w:szCs w:val="24"/>
          <w14:ligatures w14:val="standardContextual"/>
        </w:rPr>
        <w:t xml:space="preserve"> </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A State qualified payment stablecoin issuer is not required to submit a capital analysis if the issuer has received a waiver pursuant to § </w:t>
      </w:r>
      <w:r w:rsidRPr="00450157">
        <w:rPr>
          <w:rFonts w:eastAsia="Aptos"/>
          <w:kern w:val="2"/>
          <w:szCs w:val="24"/>
          <w14:ligatures w14:val="standardContextual"/>
        </w:rPr>
        <w:t>15.15(d) or is not required to transition to the Federal regulatory framework pursuant to § 15.15(b)(1)(ii).</w:t>
      </w:r>
    </w:p>
    <w:p w:rsidR="00AD20A9" w:rsidRPr="00450157" w:rsidP="00450157" w14:paraId="51516A50" w14:textId="77777777">
      <w:pPr>
        <w:ind w:firstLine="720"/>
        <w:rPr>
          <w:rFonts w:eastAsia="Aptos"/>
          <w:kern w:val="2"/>
          <w:szCs w:val="24"/>
          <w14:ligatures w14:val="standardContextual"/>
        </w:rPr>
      </w:pPr>
    </w:p>
    <w:p w:rsidR="00450157" w:rsidP="00450157" w14:paraId="0A46050E" w14:textId="638E154E">
      <w:pPr>
        <w:ind w:firstLine="720"/>
        <w:rPr>
          <w:rFonts w:eastAsia="Aptos"/>
          <w:kern w:val="2"/>
          <w:szCs w:val="24"/>
          <w14:ligatures w14:val="standardContextual"/>
        </w:rPr>
      </w:pPr>
      <w:r w:rsidRPr="00450157">
        <w:rPr>
          <w:rFonts w:eastAsia="Aptos"/>
          <w:kern w:val="2"/>
          <w:szCs w:val="24"/>
          <w14:ligatures w14:val="standardContextual"/>
        </w:rPr>
        <w:t xml:space="preserve">Section 15.15(b)(4) sets forth compliance notice requirements for a State qualified payment stablecoin issuer. </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Under § 15.15(b)(4)(i), for purposes of complying with § 15.15(b)(1)(i), a State qualified payment stablecoin issuer is required to provide written notification to the OCC that it complies with the Federal regulatory framework under 12 CFR part 15 or, if the State qualified payment stablecoin issuer is not in compliance with the Federal regulatory framework under 12 CFR part 15, to provide written notice identifying the provisions with which the issuer does not comply, providing the issuer’s plan for remediating its noncompliance, and explaining why the issuer did not comply with the Federal regulatory framework within the 360-day transition period. </w:t>
      </w:r>
      <w:r w:rsidR="00B11ED6">
        <w:rPr>
          <w:rFonts w:eastAsia="Aptos"/>
          <w:kern w:val="2"/>
          <w:szCs w:val="24"/>
          <w14:ligatures w14:val="standardContextual"/>
        </w:rPr>
        <w:t xml:space="preserve"> </w:t>
      </w:r>
      <w:r w:rsidRPr="00450157">
        <w:rPr>
          <w:rFonts w:eastAsia="Aptos"/>
          <w:kern w:val="2"/>
          <w:szCs w:val="24"/>
          <w14:ligatures w14:val="standardContextual"/>
        </w:rPr>
        <w:t>Under § 15.15(b)(4)(ii) a State qualified payment stablecoin issuer that does not cease issuing new payment stablecoins in accordance with § 15.15(b)(1)(ii) is required to transition to the regulatory framework under 12 CFR part 15 on the earlier of 360 days after reaching the $10 billion total consolidated outstanding issuance value threshold or the date on which the State qualified payment stablecoin issuer provides written notification under paragraph (b)(4)(i) of this section.</w:t>
      </w:r>
    </w:p>
    <w:p w:rsidR="00AD20A9" w:rsidRPr="00450157" w:rsidP="00450157" w14:paraId="2F12F17A" w14:textId="77777777">
      <w:pPr>
        <w:ind w:firstLine="720"/>
        <w:rPr>
          <w:rFonts w:eastAsia="Aptos"/>
          <w:kern w:val="2"/>
          <w:szCs w:val="24"/>
          <w14:ligatures w14:val="standardContextual"/>
        </w:rPr>
      </w:pPr>
    </w:p>
    <w:p w:rsidR="00450157" w:rsidP="00450157" w14:paraId="3B3C9DB6" w14:textId="6ED44AD6">
      <w:pPr>
        <w:ind w:firstLine="720"/>
        <w:rPr>
          <w:rFonts w:eastAsia="Aptos"/>
          <w:kern w:val="2"/>
          <w:szCs w:val="24"/>
          <w14:ligatures w14:val="standardContextual"/>
        </w:rPr>
      </w:pPr>
      <w:r w:rsidRPr="00450157">
        <w:rPr>
          <w:rFonts w:eastAsia="Aptos"/>
          <w:kern w:val="2"/>
          <w:szCs w:val="24"/>
          <w14:ligatures w14:val="standardContextual"/>
        </w:rPr>
        <w:t xml:space="preserve">Section 15.15(d)(1)(i) requires a State qualified payment stablecoin issuer seeking to remain solely supervised by a State payment stablecoin regulator to submit to the OCC a written waiver request containing information necessary to evaluate such request under §§ 15.15(d)(2) and (3). </w:t>
      </w:r>
      <w:r w:rsidR="00B11ED6">
        <w:rPr>
          <w:rFonts w:eastAsia="Aptos"/>
          <w:kern w:val="2"/>
          <w:szCs w:val="24"/>
          <w14:ligatures w14:val="standardContextual"/>
        </w:rPr>
        <w:t xml:space="preserve"> </w:t>
      </w:r>
      <w:r w:rsidRPr="00450157">
        <w:rPr>
          <w:rFonts w:eastAsia="Aptos"/>
          <w:kern w:val="2"/>
          <w:szCs w:val="24"/>
          <w14:ligatures w14:val="standardContextual"/>
        </w:rPr>
        <w:t>In addition, § 15.15(d)(1)(ii) provides that a State qualified payment stablecoin issuer seeking to remain solely supervised by a State payment stablecoin regulator is required to submit a waiver request within 240 days of reaching the $10 billion total consolidated outstanding issuance value threshold.</w:t>
      </w:r>
    </w:p>
    <w:p w:rsidR="00AD20A9" w:rsidRPr="00450157" w:rsidP="00450157" w14:paraId="530A02C9" w14:textId="77777777">
      <w:pPr>
        <w:ind w:firstLine="720"/>
        <w:rPr>
          <w:rFonts w:eastAsia="Aptos"/>
          <w:kern w:val="2"/>
          <w:szCs w:val="24"/>
          <w14:ligatures w14:val="standardContextual"/>
        </w:rPr>
      </w:pPr>
    </w:p>
    <w:p w:rsidR="00450157" w:rsidP="00450157" w14:paraId="1F7B2EBA" w14:textId="24756D0E">
      <w:pPr>
        <w:ind w:firstLine="720"/>
        <w:rPr>
          <w:rFonts w:eastAsia="Aptos"/>
          <w:kern w:val="2"/>
          <w:szCs w:val="24"/>
          <w14:ligatures w14:val="standardContextual"/>
        </w:rPr>
      </w:pPr>
      <w:r w:rsidRPr="00450157">
        <w:rPr>
          <w:rFonts w:eastAsia="Aptos"/>
          <w:kern w:val="2"/>
          <w:szCs w:val="24"/>
          <w14:ligatures w14:val="standardContextual"/>
        </w:rPr>
        <w:t>Section 15.30(a)(1) sets forth application requirements for insured national banks, Federal savings associations, and insured Federal branches.</w:t>
      </w:r>
      <w:r w:rsidRPr="00450157">
        <w:rPr>
          <w:rFonts w:eastAsia="Aptos"/>
          <w:kern w:val="2"/>
          <w:szCs w:val="24"/>
          <w14:ligatures w14:val="standardContextual"/>
        </w:rPr>
        <w:t xml:space="preserve"> </w:t>
      </w:r>
      <w:r w:rsidR="00B11ED6">
        <w:rPr>
          <w:rFonts w:eastAsia="Aptos"/>
          <w:kern w:val="2"/>
          <w:szCs w:val="24"/>
          <w14:ligatures w14:val="standardContextual"/>
        </w:rPr>
        <w:t xml:space="preserve"> </w:t>
      </w:r>
      <w:r w:rsidRPr="00450157">
        <w:rPr>
          <w:rFonts w:eastAsia="Aptos"/>
          <w:kern w:val="2"/>
          <w:szCs w:val="24"/>
          <w14:ligatures w14:val="standardContextual"/>
        </w:rPr>
        <w:t>This section provides that any insured national bank, Federal savings association, or insured Federal branch that seeks to issue payment stablecoins through a subsidiary is required to file an application under this section and receive prior approval from the OCC before the subsidiary may issue payment stablecoins.</w:t>
      </w:r>
    </w:p>
    <w:p w:rsidR="00AD20A9" w:rsidRPr="00450157" w:rsidP="00450157" w14:paraId="6E9097DC" w14:textId="77777777">
      <w:pPr>
        <w:ind w:firstLine="720"/>
        <w:rPr>
          <w:rFonts w:eastAsia="Aptos"/>
          <w:kern w:val="2"/>
          <w:szCs w:val="24"/>
          <w14:ligatures w14:val="standardContextual"/>
        </w:rPr>
      </w:pPr>
    </w:p>
    <w:p w:rsidR="00450157" w:rsidP="00450157" w14:paraId="53BC66B7" w14:textId="23D2F993">
      <w:pPr>
        <w:ind w:firstLine="720"/>
        <w:rPr>
          <w:rFonts w:eastAsia="Aptos"/>
          <w:kern w:val="2"/>
          <w:szCs w:val="24"/>
          <w14:ligatures w14:val="standardContextual"/>
        </w:rPr>
      </w:pPr>
      <w:r w:rsidRPr="00450157">
        <w:rPr>
          <w:rFonts w:eastAsia="Aptos"/>
          <w:kern w:val="2"/>
          <w:szCs w:val="24"/>
          <w14:ligatures w14:val="standardContextual"/>
        </w:rPr>
        <w:t xml:space="preserve">Section 15.30(a)(2) sets forth application requirements for nonbank entities, uninsured national banks, and uninsured Federal branches. </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This section provides that any nonbank entity, uninsured national bank, or uninsured Federal branch that seeks to issue payment stablecoins as a Federal qualified payment stablecoin issuer is required to file an application under this section and receive prior approval from the OCC before issuing payment stablecoins. </w:t>
      </w:r>
    </w:p>
    <w:p w:rsidR="00AD20A9" w:rsidRPr="00450157" w:rsidP="00450157" w14:paraId="02E74336" w14:textId="77777777">
      <w:pPr>
        <w:ind w:firstLine="720"/>
        <w:rPr>
          <w:rFonts w:eastAsia="Aptos"/>
          <w:kern w:val="2"/>
          <w:szCs w:val="24"/>
          <w14:ligatures w14:val="standardContextual"/>
        </w:rPr>
      </w:pPr>
    </w:p>
    <w:p w:rsidR="00450157" w:rsidP="00450157" w14:paraId="7DBD6FD1" w14:textId="4BE32368">
      <w:pPr>
        <w:ind w:firstLine="720"/>
        <w:rPr>
          <w:rFonts w:eastAsia="Aptos"/>
          <w:kern w:val="2"/>
          <w:szCs w:val="24"/>
          <w14:ligatures w14:val="standardContextual"/>
        </w:rPr>
      </w:pPr>
      <w:r w:rsidRPr="00450157">
        <w:rPr>
          <w:rFonts w:eastAsia="Aptos"/>
          <w:kern w:val="2"/>
          <w:szCs w:val="24"/>
          <w14:ligatures w14:val="standardContextual"/>
        </w:rPr>
        <w:t xml:space="preserve">Section 15.30(b) sets forth the application process for insured national banks, Federal savings associations, insured Federal branches and nonbank entities, uninsured national banks, and uninsured Federal branches that seek to issue payment stablecoins. </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The process would require an applicant to submit all the information required by the form for an application under this section. </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The forms and instructions are available on the OCC’s website. </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Each director, executive officer, and principal shareholder of the applicant (or in the case of an applicant that is an insured national bank, Federal savings association, or insured Federal branch, of the subsidiary of the applicant) is required to submit the information prescribed in the Interagency </w:t>
      </w:r>
      <w:r w:rsidRPr="00450157">
        <w:rPr>
          <w:rFonts w:eastAsia="Aptos"/>
          <w:kern w:val="2"/>
          <w:szCs w:val="24"/>
          <w14:ligatures w14:val="standardContextual"/>
        </w:rPr>
        <w:t>Biographical and Financial Report and Corporate Background and Financial Report,</w:t>
      </w:r>
      <w:r>
        <w:rPr>
          <w:rFonts w:eastAsia="Aptos"/>
          <w:kern w:val="2"/>
          <w:szCs w:val="24"/>
          <w:vertAlign w:val="superscript"/>
          <w14:ligatures w14:val="standardContextual"/>
        </w:rPr>
        <w:footnoteReference w:id="6"/>
      </w:r>
      <w:r w:rsidRPr="00450157">
        <w:rPr>
          <w:rFonts w:eastAsia="Aptos"/>
          <w:kern w:val="2"/>
          <w:szCs w:val="24"/>
          <w14:ligatures w14:val="standardContextual"/>
        </w:rPr>
        <w:t xml:space="preserve"> available at the OCC’s website.</w:t>
      </w:r>
      <w:r w:rsidRPr="00450157">
        <w:rPr>
          <w:rFonts w:eastAsia="Aptos"/>
          <w:kern w:val="2"/>
          <w:szCs w:val="24"/>
          <w14:ligatures w14:val="standardContextual"/>
        </w:rPr>
        <w:t xml:space="preserve"> </w:t>
      </w:r>
      <w:r w:rsidR="00B11ED6">
        <w:rPr>
          <w:rFonts w:eastAsia="Aptos"/>
          <w:kern w:val="2"/>
          <w:szCs w:val="24"/>
          <w14:ligatures w14:val="standardContextual"/>
        </w:rPr>
        <w:t xml:space="preserve"> </w:t>
      </w:r>
      <w:r w:rsidRPr="00450157">
        <w:rPr>
          <w:rFonts w:eastAsia="Aptos"/>
          <w:kern w:val="2"/>
          <w:szCs w:val="24"/>
          <w14:ligatures w14:val="standardContextual"/>
        </w:rPr>
        <w:t>An applicant is required to certify that any filing or supporting material submitted to the OCC contains no material misrepresentations or omissions.</w:t>
      </w:r>
      <w:r w:rsidRPr="00450157">
        <w:rPr>
          <w:rFonts w:eastAsia="Aptos"/>
          <w:kern w:val="2"/>
          <w:szCs w:val="24"/>
          <w14:ligatures w14:val="standardContextual"/>
        </w:rPr>
        <w:t xml:space="preserve"> </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An applicant is also required to certify whether section 4(a)(12) of the GENIUS Act (12 U.S.C. 5903(a)(12)) applies to the applicant. </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The process provides that an applicant should address an application under this section to the appropriate OCC licensing office, unless the OCC advises an applicant otherwise. </w:t>
      </w:r>
      <w:r w:rsidR="00B11ED6">
        <w:rPr>
          <w:rFonts w:eastAsia="Aptos"/>
          <w:kern w:val="2"/>
          <w:szCs w:val="24"/>
          <w14:ligatures w14:val="standardContextual"/>
        </w:rPr>
        <w:t xml:space="preserve"> </w:t>
      </w:r>
      <w:r w:rsidRPr="00450157">
        <w:rPr>
          <w:rFonts w:eastAsia="Aptos"/>
          <w:kern w:val="2"/>
          <w:szCs w:val="24"/>
          <w14:ligatures w14:val="standardContextual"/>
        </w:rPr>
        <w:t>The OCC will consider an application substantially complete if it contains sufficient information for the OCC to render a decision on whether the applicant satisfies the factors set forth in § 15.30(d).</w:t>
      </w:r>
      <w:r w:rsidRPr="00450157">
        <w:rPr>
          <w:rFonts w:eastAsia="Aptos"/>
          <w:kern w:val="2"/>
          <w:szCs w:val="24"/>
          <w14:ligatures w14:val="standardContextual"/>
        </w:rPr>
        <w:t xml:space="preserve"> </w:t>
      </w:r>
      <w:r w:rsidR="00B11ED6">
        <w:rPr>
          <w:rFonts w:eastAsia="Aptos"/>
          <w:kern w:val="2"/>
          <w:szCs w:val="24"/>
          <w14:ligatures w14:val="standardContextual"/>
        </w:rPr>
        <w:t xml:space="preserve"> </w:t>
      </w:r>
      <w:r w:rsidRPr="00450157">
        <w:rPr>
          <w:rFonts w:eastAsia="Aptos"/>
          <w:kern w:val="2"/>
          <w:szCs w:val="24"/>
          <w14:ligatures w14:val="standardContextual"/>
        </w:rPr>
        <w:t>The OCC will notify applicants not later than 30 days after receipt of an application whether the application is substantially complete.</w:t>
      </w:r>
      <w:r w:rsidRPr="00450157">
        <w:rPr>
          <w:rFonts w:eastAsia="Aptos"/>
          <w:kern w:val="2"/>
          <w:szCs w:val="24"/>
          <w14:ligatures w14:val="standardContextual"/>
        </w:rPr>
        <w:t xml:space="preserve"> </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If the application is not substantially complete, the OCC will notify the applicant of the information required </w:t>
      </w:r>
      <w:r w:rsidRPr="00450157">
        <w:rPr>
          <w:rFonts w:eastAsia="Aptos"/>
          <w:kern w:val="2"/>
          <w:szCs w:val="24"/>
          <w14:ligatures w14:val="standardContextual"/>
        </w:rPr>
        <w:t>in order for</w:t>
      </w:r>
      <w:r w:rsidRPr="00450157">
        <w:rPr>
          <w:rFonts w:eastAsia="Aptos"/>
          <w:kern w:val="2"/>
          <w:szCs w:val="24"/>
          <w14:ligatures w14:val="standardContextual"/>
        </w:rPr>
        <w:t xml:space="preserve"> the application to be substantially complete.</w:t>
      </w:r>
    </w:p>
    <w:p w:rsidR="00AD20A9" w:rsidRPr="00450157" w:rsidP="00450157" w14:paraId="06D97AC5" w14:textId="77777777">
      <w:pPr>
        <w:ind w:firstLine="720"/>
        <w:rPr>
          <w:rFonts w:eastAsia="Aptos"/>
          <w:kern w:val="2"/>
          <w:szCs w:val="24"/>
          <w14:ligatures w14:val="standardContextual"/>
        </w:rPr>
      </w:pPr>
    </w:p>
    <w:p w:rsidR="00450157" w:rsidP="00450157" w14:paraId="67778FFF" w14:textId="6C213394">
      <w:pPr>
        <w:ind w:firstLine="720"/>
        <w:rPr>
          <w:rFonts w:eastAsia="Aptos"/>
          <w:kern w:val="2"/>
          <w:szCs w:val="24"/>
          <w14:ligatures w14:val="standardContextual"/>
        </w:rPr>
      </w:pPr>
      <w:r w:rsidRPr="00450157">
        <w:rPr>
          <w:rFonts w:eastAsia="Aptos"/>
          <w:kern w:val="2"/>
          <w:szCs w:val="24"/>
          <w14:ligatures w14:val="standardContextual"/>
        </w:rPr>
        <w:t xml:space="preserve">Section 15.30(f) sets forth the OCC’s appeal process following the agency’s denial of a substantially complete application. </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Section 15.30(f)(1) provides that an applicant may request a hearing to appeal the OCC’s denial of a substantially complete application within 30 days of receipt of the OCC’s notice of denial. </w:t>
      </w:r>
      <w:r w:rsidR="00B11ED6">
        <w:rPr>
          <w:rFonts w:eastAsia="Aptos"/>
          <w:kern w:val="2"/>
          <w:szCs w:val="24"/>
          <w14:ligatures w14:val="standardContextual"/>
        </w:rPr>
        <w:t xml:space="preserve"> </w:t>
      </w:r>
      <w:r w:rsidRPr="00450157">
        <w:rPr>
          <w:rFonts w:eastAsia="Aptos"/>
          <w:kern w:val="2"/>
          <w:szCs w:val="24"/>
          <w14:ligatures w14:val="standardContextual"/>
        </w:rPr>
        <w:t>The request for a hearing is required to be in writing.</w:t>
      </w:r>
      <w:r w:rsidR="00B11ED6">
        <w:rPr>
          <w:rFonts w:eastAsia="Aptos"/>
          <w:kern w:val="2"/>
          <w:szCs w:val="24"/>
          <w14:ligatures w14:val="standardContextual"/>
        </w:rPr>
        <w:t xml:space="preserve"> </w:t>
      </w:r>
      <w:r w:rsidRPr="00450157">
        <w:rPr>
          <w:rFonts w:eastAsia="Aptos"/>
          <w:kern w:val="2"/>
          <w:szCs w:val="24"/>
          <w14:ligatures w14:val="standardContextual"/>
        </w:rPr>
        <w:t xml:space="preserve"> The applicant may request the hearing be on the written record, oral testimony and oral argument, or both. </w:t>
      </w:r>
      <w:r w:rsidR="00D93AB8">
        <w:rPr>
          <w:rFonts w:eastAsia="Aptos"/>
          <w:kern w:val="2"/>
          <w:szCs w:val="24"/>
          <w14:ligatures w14:val="standardContextual"/>
        </w:rPr>
        <w:t xml:space="preserve"> </w:t>
      </w:r>
      <w:r w:rsidRPr="00450157">
        <w:rPr>
          <w:rFonts w:eastAsia="Aptos"/>
          <w:kern w:val="2"/>
          <w:szCs w:val="24"/>
          <w14:ligatures w14:val="standardContextual"/>
        </w:rPr>
        <w:t>Section 15.30(f)(3) further provides that if filing a written appeal, the applicant must submit in writing all documents and arguments that the applicant wishes to be considered.</w:t>
      </w:r>
    </w:p>
    <w:p w:rsidR="00A65CA1" w:rsidRPr="00450157" w:rsidP="00450157" w14:paraId="00904AE7" w14:textId="77777777">
      <w:pPr>
        <w:ind w:firstLine="720"/>
        <w:rPr>
          <w:rFonts w:eastAsia="Aptos"/>
          <w:kern w:val="2"/>
          <w:szCs w:val="24"/>
          <w14:ligatures w14:val="standardContextual"/>
        </w:rPr>
      </w:pPr>
    </w:p>
    <w:p w:rsidR="00450157" w:rsidP="00450157" w14:paraId="70DC1934" w14:textId="4DD26700">
      <w:pPr>
        <w:ind w:firstLine="720"/>
        <w:rPr>
          <w:rFonts w:eastAsia="Aptos"/>
          <w:kern w:val="2"/>
          <w:szCs w:val="24"/>
          <w14:ligatures w14:val="standardContextual"/>
        </w:rPr>
      </w:pPr>
      <w:r w:rsidRPr="00450157">
        <w:rPr>
          <w:rFonts w:eastAsia="Aptos"/>
          <w:kern w:val="2"/>
          <w:szCs w:val="24"/>
          <w14:ligatures w14:val="standardContextual"/>
        </w:rPr>
        <w:t xml:space="preserve">Section 15.30(g)(1) provides that an insured national bank, Federal savings association, or insured Federal branch that has a pending substantially complete application for a subsidiary to become a permitted payment stablecoin issuer may request that the OCC waive the requirements of the GENIUS Act (12 U.S.C. 5901 et seq.) or part 15 with respect to that subsidiary. </w:t>
      </w:r>
      <w:r w:rsidR="00D93AB8">
        <w:rPr>
          <w:rFonts w:eastAsia="Aptos"/>
          <w:kern w:val="2"/>
          <w:szCs w:val="24"/>
          <w14:ligatures w14:val="standardContextual"/>
        </w:rPr>
        <w:t xml:space="preserve"> </w:t>
      </w:r>
      <w:r w:rsidRPr="00450157">
        <w:rPr>
          <w:rFonts w:eastAsia="Aptos"/>
          <w:kern w:val="2"/>
          <w:szCs w:val="24"/>
          <w14:ligatures w14:val="standardContextual"/>
        </w:rPr>
        <w:t>The requests are required to be in writing.</w:t>
      </w:r>
    </w:p>
    <w:p w:rsidR="00AD20A9" w:rsidRPr="00450157" w:rsidP="00450157" w14:paraId="34AAEB4A" w14:textId="77777777">
      <w:pPr>
        <w:ind w:firstLine="720"/>
        <w:rPr>
          <w:rFonts w:eastAsia="Aptos"/>
          <w:kern w:val="2"/>
          <w:szCs w:val="24"/>
          <w14:ligatures w14:val="standardContextual"/>
        </w:rPr>
      </w:pPr>
    </w:p>
    <w:p w:rsidR="00450157" w:rsidP="00450157" w14:paraId="46BFCB7D" w14:textId="360AD5D1">
      <w:pPr>
        <w:ind w:firstLine="720"/>
        <w:rPr>
          <w:rFonts w:eastAsia="Aptos"/>
          <w:kern w:val="2"/>
          <w:szCs w:val="24"/>
          <w14:ligatures w14:val="standardContextual"/>
        </w:rPr>
      </w:pPr>
      <w:r w:rsidRPr="00450157">
        <w:rPr>
          <w:rFonts w:eastAsia="Aptos"/>
          <w:kern w:val="2"/>
          <w:szCs w:val="24"/>
          <w14:ligatures w14:val="standardContextual"/>
        </w:rPr>
        <w:t xml:space="preserve">Section 15.30(g)(2) provides that a nonbank entity, uninsured national bank, or uninsured Federal branch that has a pending substantially complete application to become a Federal qualified payment stablecoin issuer may request that the OCC waive the requirements of the GENIUS Act (12 U.S.C. 5901 et seq.) or part 15 with respect to that entity. </w:t>
      </w:r>
      <w:r w:rsidR="00D93AB8">
        <w:rPr>
          <w:rFonts w:eastAsia="Aptos"/>
          <w:kern w:val="2"/>
          <w:szCs w:val="24"/>
          <w14:ligatures w14:val="standardContextual"/>
        </w:rPr>
        <w:t xml:space="preserve"> </w:t>
      </w:r>
      <w:r w:rsidRPr="00450157">
        <w:rPr>
          <w:rFonts w:eastAsia="Aptos"/>
          <w:kern w:val="2"/>
          <w:szCs w:val="24"/>
          <w14:ligatures w14:val="standardContextual"/>
        </w:rPr>
        <w:t>The requests are required to be in writing.</w:t>
      </w:r>
    </w:p>
    <w:p w:rsidR="00A65CA1" w:rsidRPr="00450157" w:rsidP="00450157" w14:paraId="2FD114C5" w14:textId="77777777">
      <w:pPr>
        <w:ind w:firstLine="720"/>
        <w:rPr>
          <w:rFonts w:eastAsia="Aptos"/>
          <w:kern w:val="2"/>
          <w:szCs w:val="24"/>
          <w14:ligatures w14:val="standardContextual"/>
        </w:rPr>
      </w:pPr>
    </w:p>
    <w:p w:rsidR="00450157" w:rsidP="00450157" w14:paraId="46EE4DF5" w14:textId="7E3E8BEB">
      <w:pPr>
        <w:ind w:firstLine="720"/>
        <w:rPr>
          <w:rFonts w:eastAsia="Aptos"/>
          <w:kern w:val="2"/>
          <w:szCs w:val="24"/>
          <w14:ligatures w14:val="standardContextual"/>
        </w:rPr>
      </w:pPr>
      <w:r w:rsidRPr="00450157">
        <w:rPr>
          <w:rFonts w:eastAsia="Aptos"/>
          <w:kern w:val="2"/>
          <w:szCs w:val="24"/>
          <w14:ligatures w14:val="standardContextual"/>
        </w:rPr>
        <w:t>Section 15.31(a) provides that a foreign payment stablecoin issuer is not subject to the prohibitions of section 3 of the GENIUS Act (12 U.S.C. 5902) if it meets all the requirements provided in the paragraph.</w:t>
      </w:r>
      <w:r w:rsidR="00D93AB8">
        <w:rPr>
          <w:rFonts w:eastAsia="Aptos"/>
          <w:kern w:val="2"/>
          <w:szCs w:val="24"/>
          <w14:ligatures w14:val="standardContextual"/>
        </w:rPr>
        <w:t xml:space="preserve"> </w:t>
      </w:r>
      <w:r w:rsidRPr="00450157">
        <w:rPr>
          <w:rFonts w:eastAsia="Aptos"/>
          <w:kern w:val="2"/>
          <w:szCs w:val="24"/>
          <w14:ligatures w14:val="standardContextual"/>
        </w:rPr>
        <w:t xml:space="preserve"> Section 15.31(a)(3)(ii)(D)(</w:t>
      </w:r>
      <w:r w:rsidRPr="00450157">
        <w:rPr>
          <w:rFonts w:eastAsia="Aptos"/>
          <w:i/>
          <w:iCs/>
          <w:kern w:val="2"/>
          <w:szCs w:val="24"/>
          <w14:ligatures w14:val="standardContextual"/>
        </w:rPr>
        <w:t>1)</w:t>
      </w:r>
      <w:r w:rsidRPr="00450157">
        <w:rPr>
          <w:rFonts w:eastAsia="Aptos"/>
          <w:kern w:val="2"/>
          <w:szCs w:val="24"/>
          <w14:ligatures w14:val="standardContextual"/>
        </w:rPr>
        <w:t xml:space="preserve"> provides, as a condition of one of several methods of complying with § 15.31(a)(3)(i), a requirement for a foreign payment stablecoin issuer to submit for the OCC’s prior approval a detailed proposal to meet the requirements of § 15.31(a)(3)(i).</w:t>
      </w:r>
    </w:p>
    <w:p w:rsidR="00A65CA1" w:rsidRPr="00450157" w:rsidP="00450157" w14:paraId="156DEB21" w14:textId="77777777">
      <w:pPr>
        <w:ind w:firstLine="720"/>
        <w:rPr>
          <w:rFonts w:eastAsia="Aptos"/>
          <w:kern w:val="2"/>
          <w:szCs w:val="24"/>
          <w14:ligatures w14:val="standardContextual"/>
        </w:rPr>
      </w:pPr>
    </w:p>
    <w:p w:rsidR="00450157" w:rsidP="00450157" w14:paraId="3F3177C9" w14:textId="123AF957">
      <w:pPr>
        <w:ind w:firstLine="720"/>
        <w:rPr>
          <w:szCs w:val="24"/>
        </w:rPr>
      </w:pPr>
      <w:r w:rsidRPr="00450157">
        <w:rPr>
          <w:rFonts w:eastAsia="Aptos"/>
          <w:szCs w:val="24"/>
        </w:rPr>
        <w:t xml:space="preserve">Section 15.31(b)(2) sets forth reporting requirements for foreign payment stablecoin issuers registered with the OCC. </w:t>
      </w:r>
      <w:r w:rsidR="00D93AB8">
        <w:rPr>
          <w:rFonts w:eastAsia="Aptos"/>
          <w:szCs w:val="24"/>
        </w:rPr>
        <w:t xml:space="preserve"> </w:t>
      </w:r>
      <w:r w:rsidRPr="00450157">
        <w:rPr>
          <w:rFonts w:eastAsia="Aptos"/>
          <w:kern w:val="2"/>
          <w:szCs w:val="24"/>
          <w14:ligatures w14:val="standardContextual"/>
        </w:rPr>
        <w:t xml:space="preserve">Section 15.31(b)(2)(i) provides that </w:t>
      </w:r>
      <w:r w:rsidRPr="00450157">
        <w:rPr>
          <w:rFonts w:eastAsia="Aptos"/>
          <w:szCs w:val="24"/>
        </w:rPr>
        <w:t>a</w:t>
      </w:r>
      <w:r w:rsidRPr="00450157">
        <w:rPr>
          <w:rFonts w:eastAsia="Aptos"/>
          <w:kern w:val="2"/>
          <w:szCs w:val="24"/>
          <w14:ligatures w14:val="standardContextual"/>
        </w:rPr>
        <w:t xml:space="preserve"> foreign payment stablecoin issuer registered with the OCC pursuant to § 15.32 is required to produce the reports </w:t>
      </w:r>
      <w:r w:rsidRPr="00450157">
        <w:rPr>
          <w:rFonts w:eastAsia="Aptos"/>
          <w:kern w:val="2"/>
          <w:szCs w:val="24"/>
          <w14:ligatures w14:val="standardContextual"/>
        </w:rPr>
        <w:t>required of a permitted payment stablecoin issuer under § 15.14 as well as any other reports the OCC may require.</w:t>
      </w:r>
      <w:r w:rsidR="00D93AB8">
        <w:rPr>
          <w:rFonts w:eastAsia="Aptos"/>
          <w:kern w:val="2"/>
          <w:szCs w:val="24"/>
          <w14:ligatures w14:val="standardContextual"/>
        </w:rPr>
        <w:t xml:space="preserve"> </w:t>
      </w:r>
      <w:r w:rsidRPr="00450157">
        <w:rPr>
          <w:rFonts w:eastAsia="Aptos"/>
          <w:szCs w:val="24"/>
        </w:rPr>
        <w:t xml:space="preserve"> Section 15.31(b)(2)(ii) further provides that a</w:t>
      </w:r>
      <w:r w:rsidRPr="00450157">
        <w:rPr>
          <w:szCs w:val="24"/>
        </w:rPr>
        <w:t xml:space="preserve"> foreign payment stablecoin issuer may request, in writing, an exemption from any reporting requirement that would otherwise apply under § 15.14.</w:t>
      </w:r>
      <w:r w:rsidR="00D93AB8">
        <w:rPr>
          <w:szCs w:val="24"/>
        </w:rPr>
        <w:t xml:space="preserve"> </w:t>
      </w:r>
      <w:r w:rsidRPr="00450157">
        <w:rPr>
          <w:szCs w:val="24"/>
        </w:rPr>
        <w:t xml:space="preserve"> The OCC may grant an exemption in its sole discretion.</w:t>
      </w:r>
    </w:p>
    <w:p w:rsidR="00A65CA1" w:rsidRPr="00450157" w:rsidP="00450157" w14:paraId="60C90FC3" w14:textId="77777777">
      <w:pPr>
        <w:ind w:firstLine="720"/>
        <w:rPr>
          <w:kern w:val="2"/>
          <w:szCs w:val="24"/>
          <w14:ligatures w14:val="standardContextual"/>
        </w:rPr>
      </w:pPr>
    </w:p>
    <w:p w:rsidR="00450157" w:rsidP="00450157" w14:paraId="67CD344E" w14:textId="4D0FB796">
      <w:pPr>
        <w:ind w:firstLine="720"/>
        <w:rPr>
          <w:rFonts w:eastAsia="Aptos"/>
          <w:kern w:val="2"/>
          <w:szCs w:val="24"/>
          <w14:ligatures w14:val="standardContextual"/>
        </w:rPr>
      </w:pPr>
      <w:r w:rsidRPr="00450157">
        <w:rPr>
          <w:rFonts w:eastAsia="Aptos"/>
          <w:kern w:val="2"/>
          <w:szCs w:val="24"/>
          <w14:ligatures w14:val="standardContextual"/>
        </w:rPr>
        <w:t>Section 15.32(a) sets forth application requirements for a foreign payment stablecoin issuer.</w:t>
      </w:r>
      <w:r w:rsidR="00D93AB8">
        <w:rPr>
          <w:rFonts w:eastAsia="Aptos"/>
          <w:kern w:val="2"/>
          <w:szCs w:val="24"/>
          <w14:ligatures w14:val="standardContextual"/>
        </w:rPr>
        <w:t xml:space="preserve"> </w:t>
      </w:r>
      <w:r w:rsidRPr="00450157">
        <w:rPr>
          <w:rFonts w:eastAsia="Aptos"/>
          <w:kern w:val="2"/>
          <w:szCs w:val="24"/>
          <w14:ligatures w14:val="standardContextual"/>
        </w:rPr>
        <w:t xml:space="preserve"> This section provides that a foreign payment stablecoin issuer that seeks to be registered with the OCC under section 18(c) of the GENIUS Act (12 U.S.C. 5916(c)) is required to file an application under this section.</w:t>
      </w:r>
    </w:p>
    <w:p w:rsidR="00A65CA1" w:rsidRPr="00450157" w:rsidP="00450157" w14:paraId="594CFBE3" w14:textId="77777777">
      <w:pPr>
        <w:ind w:firstLine="720"/>
        <w:rPr>
          <w:rFonts w:eastAsia="Aptos"/>
          <w:kern w:val="2"/>
          <w:szCs w:val="24"/>
          <w14:ligatures w14:val="standardContextual"/>
        </w:rPr>
      </w:pPr>
    </w:p>
    <w:p w:rsidR="00450157" w:rsidP="00450157" w14:paraId="465C8FD1" w14:textId="2C55EEC8">
      <w:pPr>
        <w:ind w:firstLine="720"/>
        <w:rPr>
          <w:rFonts w:eastAsia="Aptos"/>
          <w:kern w:val="2"/>
          <w:szCs w:val="24"/>
          <w14:ligatures w14:val="standardContextual"/>
        </w:rPr>
      </w:pPr>
      <w:r w:rsidRPr="00450157">
        <w:rPr>
          <w:rFonts w:eastAsia="Aptos"/>
          <w:kern w:val="2"/>
          <w:szCs w:val="24"/>
          <w14:ligatures w14:val="standardContextual"/>
        </w:rPr>
        <w:t xml:space="preserve">Section 15.32(b) sets forth the application process for a foreign payment stablecoin issuer that seeks to be registered with the OCC under section 18(c) of the GENIUS Act (12 U.S.C. 5916(c)). </w:t>
      </w:r>
      <w:r w:rsidR="00D93AB8">
        <w:rPr>
          <w:rFonts w:eastAsia="Aptos"/>
          <w:kern w:val="2"/>
          <w:szCs w:val="24"/>
          <w14:ligatures w14:val="standardContextual"/>
        </w:rPr>
        <w:t xml:space="preserve"> </w:t>
      </w:r>
      <w:r w:rsidRPr="00450157">
        <w:rPr>
          <w:rFonts w:eastAsia="Aptos"/>
          <w:kern w:val="2"/>
          <w:szCs w:val="24"/>
          <w14:ligatures w14:val="standardContextual"/>
        </w:rPr>
        <w:t xml:space="preserve">The process requires an applicant to provide all the information required by the form for an application under this section; evidence that the Secretary of the Treasury has determined that the applicant is subject to a regulatory and supervisory regime comparable to the GENIUS Act with respect to payment stablecoins, under section 18 of the GENIUS Act (12 U.S.C. 5916); a certification that the applicant will make available to the OCC all information that the OCC deems necessary to determine and enforce compliance with the GENIUS Act and 12 CFR part 15; the applicant’s consent to United States jurisdiction relating to enforcement of the GENIUS Act and 12 CFR part 15; certification that any filing or supporting material submitted to the OCC contains no material misrepresentations or omissions; and certification as to the applicability of section 4(a)(12) of the GENIUS Act (12 U.S.C. 5903(a)(12)). </w:t>
      </w:r>
      <w:r w:rsidR="00D93AB8">
        <w:rPr>
          <w:rFonts w:eastAsia="Aptos"/>
          <w:kern w:val="2"/>
          <w:szCs w:val="24"/>
          <w14:ligatures w14:val="standardContextual"/>
        </w:rPr>
        <w:t xml:space="preserve"> </w:t>
      </w:r>
      <w:r w:rsidRPr="00450157">
        <w:rPr>
          <w:rFonts w:eastAsia="Aptos"/>
          <w:kern w:val="2"/>
          <w:szCs w:val="24"/>
          <w14:ligatures w14:val="standardContextual"/>
        </w:rPr>
        <w:t xml:space="preserve">The process provides that an applicant should address an application under this section to the appropriate OCC licensing office, unless the OCC advises an applicant otherwise. </w:t>
      </w:r>
      <w:r w:rsidR="00D93AB8">
        <w:rPr>
          <w:rFonts w:eastAsia="Aptos"/>
          <w:kern w:val="2"/>
          <w:szCs w:val="24"/>
          <w14:ligatures w14:val="standardContextual"/>
        </w:rPr>
        <w:t xml:space="preserve"> </w:t>
      </w:r>
      <w:r w:rsidRPr="00450157">
        <w:rPr>
          <w:rFonts w:eastAsia="Aptos"/>
          <w:kern w:val="2"/>
          <w:szCs w:val="24"/>
          <w14:ligatures w14:val="standardContextual"/>
        </w:rPr>
        <w:t xml:space="preserve">The forms and instructions will be available on </w:t>
      </w:r>
      <w:r w:rsidRPr="00450157">
        <w:rPr>
          <w:rFonts w:eastAsia="Aptos"/>
          <w:kern w:val="2"/>
          <w:szCs w:val="24"/>
          <w14:ligatures w14:val="standardContextual"/>
        </w:rPr>
        <w:t>the OCC’s</w:t>
      </w:r>
      <w:r w:rsidRPr="00450157">
        <w:rPr>
          <w:rFonts w:eastAsia="Aptos"/>
          <w:kern w:val="2"/>
          <w:szCs w:val="24"/>
          <w14:ligatures w14:val="standardContextual"/>
        </w:rPr>
        <w:t xml:space="preserve"> website.</w:t>
      </w:r>
    </w:p>
    <w:p w:rsidR="00A65CA1" w:rsidRPr="00450157" w:rsidP="00450157" w14:paraId="2A1AC0C2" w14:textId="77777777">
      <w:pPr>
        <w:ind w:firstLine="720"/>
        <w:rPr>
          <w:rFonts w:eastAsia="Aptos"/>
          <w:kern w:val="2"/>
          <w:szCs w:val="24"/>
          <w14:ligatures w14:val="standardContextual"/>
        </w:rPr>
      </w:pPr>
    </w:p>
    <w:p w:rsidR="00450157" w:rsidP="00450157" w14:paraId="68062BF3" w14:textId="0C315870">
      <w:pPr>
        <w:ind w:firstLine="720"/>
        <w:rPr>
          <w:rFonts w:eastAsia="Aptos"/>
          <w:kern w:val="2"/>
          <w:szCs w:val="24"/>
          <w14:ligatures w14:val="standardContextual"/>
        </w:rPr>
      </w:pPr>
      <w:r w:rsidRPr="00450157">
        <w:rPr>
          <w:rFonts w:eastAsia="Aptos"/>
          <w:kern w:val="2"/>
          <w:szCs w:val="24"/>
          <w14:ligatures w14:val="standardContextual"/>
        </w:rPr>
        <w:t>Section 15.32(e) sets forth the conditions of approval for foreign payment stablecoin issuers seeking to be registered with the OCC under section 18(c) of the GENIUS Act (12 U.S.C. 5916(c)).</w:t>
      </w:r>
      <w:r w:rsidR="00D93AB8">
        <w:rPr>
          <w:rFonts w:eastAsia="Aptos"/>
          <w:kern w:val="2"/>
          <w:szCs w:val="24"/>
          <w14:ligatures w14:val="standardContextual"/>
        </w:rPr>
        <w:t xml:space="preserve"> </w:t>
      </w:r>
      <w:r w:rsidRPr="00450157">
        <w:rPr>
          <w:rFonts w:eastAsia="Aptos"/>
          <w:kern w:val="2"/>
          <w:szCs w:val="24"/>
          <w14:ligatures w14:val="standardContextual"/>
        </w:rPr>
        <w:t xml:space="preserve"> Section 15.32(e)(3)(i) requires a foreign payment stablecoin issuer to provide evidence that it complies with § 15.31(a) by providing to the OCC, by noon on the last day of each month, a report describing the total number of outstanding payment stablecoins issued by the foreign payment stablecoin issuer held by United States customers and the amount and composition of the foreign payment stablecoin issuer’s reserves, including their geographic location and average tenor of reserve instruments.</w:t>
      </w:r>
      <w:r w:rsidR="00D93AB8">
        <w:rPr>
          <w:rFonts w:eastAsia="Aptos"/>
          <w:kern w:val="2"/>
          <w:szCs w:val="24"/>
          <w14:ligatures w14:val="standardContextual"/>
        </w:rPr>
        <w:t xml:space="preserve"> </w:t>
      </w:r>
      <w:r w:rsidRPr="00450157">
        <w:rPr>
          <w:rFonts w:eastAsia="Aptos"/>
          <w:kern w:val="2"/>
          <w:szCs w:val="24"/>
          <w14:ligatures w14:val="standardContextual"/>
        </w:rPr>
        <w:t xml:space="preserve"> Additionally, § 15.32(e)(3)(ii) requires the report to use a format like the template provided in Table 1 to § 15.32(e)(3)(ii). </w:t>
      </w:r>
      <w:r w:rsidR="00D93AB8">
        <w:rPr>
          <w:rFonts w:eastAsia="Aptos"/>
          <w:kern w:val="2"/>
          <w:szCs w:val="24"/>
          <w14:ligatures w14:val="standardContextual"/>
        </w:rPr>
        <w:t xml:space="preserve"> </w:t>
      </w:r>
      <w:r w:rsidRPr="00450157">
        <w:rPr>
          <w:rFonts w:eastAsia="Aptos"/>
          <w:kern w:val="2"/>
          <w:szCs w:val="24"/>
          <w14:ligatures w14:val="standardContextual"/>
        </w:rPr>
        <w:t>Section 15.32(e)(3)(iii) requires the foreign payment stablecoin issuer to promptly notify the OCC through its supervisory office on any day in which the issuer fails to meet the reserve asset requirements of § 15.32(e)(3).</w:t>
      </w:r>
    </w:p>
    <w:p w:rsidR="00A65CA1" w:rsidRPr="00450157" w:rsidP="00450157" w14:paraId="3C6AE728" w14:textId="77777777">
      <w:pPr>
        <w:ind w:firstLine="720"/>
        <w:rPr>
          <w:rFonts w:eastAsia="Aptos"/>
          <w:kern w:val="2"/>
          <w:szCs w:val="24"/>
          <w14:ligatures w14:val="standardContextual"/>
        </w:rPr>
      </w:pPr>
    </w:p>
    <w:p w:rsidR="00450157" w:rsidRPr="00450157" w:rsidP="00450157" w14:paraId="4FD1001D" w14:textId="43CECB45">
      <w:pPr>
        <w:ind w:firstLine="720"/>
        <w:rPr>
          <w:rFonts w:eastAsia="Aptos"/>
          <w:kern w:val="2"/>
          <w:szCs w:val="24"/>
          <w14:ligatures w14:val="standardContextual"/>
        </w:rPr>
      </w:pPr>
      <w:r w:rsidRPr="00450157">
        <w:rPr>
          <w:rFonts w:eastAsia="Aptos"/>
          <w:kern w:val="2"/>
          <w:szCs w:val="24"/>
          <w14:ligatures w14:val="standardContextual"/>
        </w:rPr>
        <w:t xml:space="preserve">Section 15.32(g) sets forth the OCC’s appeal of rejection processes for foreign payment stablecoin issuers. </w:t>
      </w:r>
      <w:r w:rsidR="00D93AB8">
        <w:rPr>
          <w:rFonts w:eastAsia="Aptos"/>
          <w:kern w:val="2"/>
          <w:szCs w:val="24"/>
          <w14:ligatures w14:val="standardContextual"/>
        </w:rPr>
        <w:t xml:space="preserve"> </w:t>
      </w:r>
      <w:r w:rsidRPr="00450157">
        <w:rPr>
          <w:rFonts w:eastAsia="Aptos"/>
          <w:kern w:val="2"/>
          <w:szCs w:val="24"/>
          <w14:ligatures w14:val="standardContextual"/>
        </w:rPr>
        <w:t xml:space="preserve">A foreign payment stablecoin issuer may request a hearing to appeal the OCC’s rejection of an application for registration within 30 days of receipt of the OCC’s notice of rejection. </w:t>
      </w:r>
      <w:r w:rsidR="00D93AB8">
        <w:rPr>
          <w:rFonts w:eastAsia="Aptos"/>
          <w:kern w:val="2"/>
          <w:szCs w:val="24"/>
          <w14:ligatures w14:val="standardContextual"/>
        </w:rPr>
        <w:t xml:space="preserve"> </w:t>
      </w:r>
      <w:r w:rsidRPr="00450157">
        <w:rPr>
          <w:rFonts w:eastAsia="Aptos"/>
          <w:kern w:val="2"/>
          <w:szCs w:val="24"/>
          <w14:ligatures w14:val="standardContextual"/>
        </w:rPr>
        <w:t>Section 15.32(g)(2) requires the request for a written or oral hearing to be in writing.</w:t>
      </w:r>
      <w:r w:rsidR="00D93AB8">
        <w:rPr>
          <w:rFonts w:eastAsia="Aptos"/>
          <w:kern w:val="2"/>
          <w:szCs w:val="24"/>
          <w14:ligatures w14:val="standardContextual"/>
        </w:rPr>
        <w:t xml:space="preserve"> </w:t>
      </w:r>
      <w:r w:rsidRPr="00450157">
        <w:rPr>
          <w:rFonts w:eastAsia="Aptos"/>
          <w:kern w:val="2"/>
          <w:szCs w:val="24"/>
          <w14:ligatures w14:val="standardContextual"/>
        </w:rPr>
        <w:t xml:space="preserve"> Under § 15.32(g)(3), the foreign payment stablecoin issuer may request the hearing be on the written record, oral testimony and oral argument, or both. </w:t>
      </w:r>
      <w:r w:rsidR="00D93AB8">
        <w:rPr>
          <w:rFonts w:eastAsia="Aptos"/>
          <w:kern w:val="2"/>
          <w:szCs w:val="24"/>
          <w14:ligatures w14:val="standardContextual"/>
        </w:rPr>
        <w:t xml:space="preserve"> </w:t>
      </w:r>
      <w:r w:rsidRPr="00450157">
        <w:rPr>
          <w:rFonts w:eastAsia="Aptos"/>
          <w:kern w:val="2"/>
          <w:szCs w:val="24"/>
          <w14:ligatures w14:val="standardContextual"/>
        </w:rPr>
        <w:t>Section 15.32(g)(5) further provides that if filing a written appeal, the foreign payment stablecoin issuer must submit in writing all documents and arguments that the applicant wishes to be considered.</w:t>
      </w:r>
    </w:p>
    <w:p w:rsidR="00450157" w:rsidP="00450157" w14:paraId="1FFE3586" w14:textId="47E5663C">
      <w:pPr>
        <w:ind w:firstLine="720"/>
        <w:rPr>
          <w:rFonts w:eastAsia="Aptos"/>
          <w:kern w:val="2"/>
          <w:szCs w:val="24"/>
          <w14:ligatures w14:val="standardContextual"/>
        </w:rPr>
      </w:pPr>
      <w:r w:rsidRPr="00450157">
        <w:rPr>
          <w:rFonts w:eastAsia="Aptos"/>
          <w:kern w:val="2"/>
          <w:szCs w:val="24"/>
          <w14:ligatures w14:val="standardContextual"/>
        </w:rPr>
        <w:t xml:space="preserve">Section 15.40(c) describes operational backstop debt which may consist of debt instruments in an amount that in total does not exceed 50 percent of the operational backstop requirement in § 15.41(b) and where each debt instrument meets specific criteria. </w:t>
      </w:r>
      <w:r w:rsidR="00D93AB8">
        <w:rPr>
          <w:rFonts w:eastAsia="Aptos"/>
          <w:kern w:val="2"/>
          <w:szCs w:val="24"/>
          <w14:ligatures w14:val="standardContextual"/>
        </w:rPr>
        <w:t xml:space="preserve"> </w:t>
      </w:r>
      <w:r w:rsidRPr="00450157">
        <w:rPr>
          <w:rFonts w:eastAsia="Aptos"/>
          <w:kern w:val="2"/>
          <w:szCs w:val="24"/>
          <w14:ligatures w14:val="standardContextual"/>
        </w:rPr>
        <w:t xml:space="preserve">Under § 15.40(c)(5), a debt instrument may be callable by its terms only after a minimum of five years after issuance and only with prior approval of the OCC. </w:t>
      </w:r>
      <w:r w:rsidR="00D93AB8">
        <w:rPr>
          <w:rFonts w:eastAsia="Aptos"/>
          <w:kern w:val="2"/>
          <w:szCs w:val="24"/>
          <w14:ligatures w14:val="standardContextual"/>
        </w:rPr>
        <w:t xml:space="preserve"> </w:t>
      </w:r>
      <w:r w:rsidRPr="00450157">
        <w:rPr>
          <w:rFonts w:eastAsia="Aptos"/>
          <w:kern w:val="2"/>
          <w:szCs w:val="24"/>
          <w14:ligatures w14:val="standardContextual"/>
        </w:rPr>
        <w:t>In addition, the permitted payment stablecoin issuer is required to either replace the instrument to be called with an equivalent amount of a new instrument meeting the criteria for operational backstop debt or demonstrate to the OCC that the permitted payment stablecoin issuer has sufficient capital to meet its minimum capital requirement in § 15.41.</w:t>
      </w:r>
    </w:p>
    <w:p w:rsidR="00A65CA1" w:rsidRPr="00450157" w:rsidP="00450157" w14:paraId="71DCEC6C" w14:textId="77777777">
      <w:pPr>
        <w:ind w:firstLine="720"/>
        <w:rPr>
          <w:rFonts w:eastAsia="Aptos"/>
          <w:kern w:val="2"/>
          <w:szCs w:val="24"/>
          <w14:ligatures w14:val="standardContextual"/>
        </w:rPr>
      </w:pPr>
    </w:p>
    <w:p w:rsidR="00450157" w:rsidP="00450157" w14:paraId="7658191D" w14:textId="69EDAF6B">
      <w:pPr>
        <w:ind w:firstLine="720"/>
        <w:rPr>
          <w:rFonts w:eastAsia="Aptos"/>
          <w:kern w:val="2"/>
          <w:szCs w:val="24"/>
          <w14:ligatures w14:val="standardContextual"/>
        </w:rPr>
      </w:pPr>
      <w:r w:rsidRPr="00450157">
        <w:rPr>
          <w:rFonts w:eastAsia="Aptos"/>
          <w:kern w:val="2"/>
          <w:szCs w:val="24"/>
          <w14:ligatures w14:val="standardContextual"/>
        </w:rPr>
        <w:t>Section 15.41 sets forth minimum capital and backstop requirements for permitted payment stablecoin issuers.</w:t>
      </w:r>
      <w:r w:rsidRPr="00450157">
        <w:rPr>
          <w:rFonts w:eastAsia="Aptos"/>
          <w:kern w:val="2"/>
          <w:szCs w:val="24"/>
          <w14:ligatures w14:val="standardContextual"/>
        </w:rPr>
        <w:t xml:space="preserve"> </w:t>
      </w:r>
      <w:r w:rsidR="00D93AB8">
        <w:rPr>
          <w:rFonts w:eastAsia="Aptos"/>
          <w:kern w:val="2"/>
          <w:szCs w:val="24"/>
          <w14:ligatures w14:val="standardContextual"/>
        </w:rPr>
        <w:t xml:space="preserve"> </w:t>
      </w:r>
      <w:r w:rsidRPr="00450157">
        <w:rPr>
          <w:rFonts w:eastAsia="Aptos"/>
          <w:kern w:val="2"/>
          <w:szCs w:val="24"/>
          <w14:ligatures w14:val="standardContextual"/>
        </w:rPr>
        <w:t>Section 15.41(b)(1)(iii) provides that a permitted payment stablecoin issuer may exclude one-time expenses that are wholly unrelated to the continuing operation of the permitted payment stablecoin issuer from the calculation under §§ 15.41(b)(1)(i) or (ii) with prior written approval of the OCC.</w:t>
      </w:r>
    </w:p>
    <w:p w:rsidR="00A65CA1" w:rsidRPr="00450157" w:rsidP="00450157" w14:paraId="5E6E78EA" w14:textId="77777777">
      <w:pPr>
        <w:ind w:firstLine="720"/>
        <w:rPr>
          <w:rFonts w:eastAsia="Aptos"/>
          <w:kern w:val="2"/>
          <w:szCs w:val="24"/>
          <w14:ligatures w14:val="standardContextual"/>
        </w:rPr>
      </w:pPr>
    </w:p>
    <w:p w:rsidR="00450157" w:rsidP="00450157" w14:paraId="2CC859A8" w14:textId="6A3D4008">
      <w:pPr>
        <w:ind w:firstLine="720"/>
        <w:rPr>
          <w:rFonts w:eastAsia="Aptos"/>
          <w:kern w:val="2"/>
          <w:szCs w:val="24"/>
          <w14:ligatures w14:val="standardContextual"/>
        </w:rPr>
      </w:pPr>
      <w:r w:rsidRPr="00450157">
        <w:rPr>
          <w:rFonts w:eastAsia="Aptos"/>
          <w:kern w:val="2"/>
          <w:szCs w:val="24"/>
          <w14:ligatures w14:val="standardContextual"/>
        </w:rPr>
        <w:t>Section 15.41(c)(1)(i) requires a permitted payment stablecoin issuer to notify the OCC within 24 hours if it fails to meet either the minimum capital or backstop requirement during a quarter.</w:t>
      </w:r>
      <w:r w:rsidR="00D93AB8">
        <w:rPr>
          <w:rFonts w:eastAsia="Aptos"/>
          <w:kern w:val="2"/>
          <w:szCs w:val="24"/>
          <w14:ligatures w14:val="standardContextual"/>
        </w:rPr>
        <w:t xml:space="preserve"> </w:t>
      </w:r>
      <w:r w:rsidRPr="00450157">
        <w:rPr>
          <w:rFonts w:eastAsia="Aptos"/>
          <w:kern w:val="2"/>
          <w:szCs w:val="24"/>
          <w14:ligatures w14:val="standardContextual"/>
        </w:rPr>
        <w:t xml:space="preserve"> Section 15.41(c)(1)(ii) further instructs a permitted payment stablecoin issuer to publicly report whether it has complied with the minimum capital and backstop requirements during the quarter on the report required under § 15.14.</w:t>
      </w:r>
      <w:r>
        <w:rPr>
          <w:rFonts w:eastAsia="Aptos"/>
          <w:kern w:val="2"/>
          <w:szCs w:val="24"/>
          <w:vertAlign w:val="superscript"/>
          <w14:ligatures w14:val="standardContextual"/>
        </w:rPr>
        <w:footnoteReference w:id="7"/>
      </w:r>
    </w:p>
    <w:p w:rsidR="00A65CA1" w:rsidRPr="00450157" w:rsidP="00450157" w14:paraId="57E6FF7D" w14:textId="77777777">
      <w:pPr>
        <w:ind w:firstLine="720"/>
        <w:rPr>
          <w:rFonts w:eastAsia="Aptos"/>
          <w:kern w:val="2"/>
          <w:szCs w:val="24"/>
          <w14:ligatures w14:val="standardContextual"/>
        </w:rPr>
      </w:pPr>
    </w:p>
    <w:p w:rsidR="00450157" w:rsidP="00450157" w14:paraId="1D246012" w14:textId="657A1F7D">
      <w:pPr>
        <w:ind w:firstLine="720"/>
        <w:rPr>
          <w:rFonts w:eastAsia="Aptos"/>
          <w:kern w:val="2"/>
          <w:szCs w:val="24"/>
          <w14:ligatures w14:val="standardContextual"/>
        </w:rPr>
      </w:pPr>
      <w:r w:rsidRPr="00450157">
        <w:rPr>
          <w:rFonts w:eastAsia="Aptos"/>
          <w:kern w:val="2"/>
          <w:szCs w:val="24"/>
          <w14:ligatures w14:val="standardContextual"/>
        </w:rPr>
        <w:t xml:space="preserve">Section 15.41(d) sets forth uninsured national trust banks’ minimum capital requirements. </w:t>
      </w:r>
      <w:r w:rsidR="00D93AB8">
        <w:rPr>
          <w:rFonts w:eastAsia="Aptos"/>
          <w:kern w:val="2"/>
          <w:szCs w:val="24"/>
          <w14:ligatures w14:val="standardContextual"/>
        </w:rPr>
        <w:t xml:space="preserve"> </w:t>
      </w:r>
      <w:r w:rsidRPr="00450157">
        <w:rPr>
          <w:rFonts w:eastAsia="Aptos"/>
          <w:kern w:val="2"/>
          <w:szCs w:val="24"/>
          <w14:ligatures w14:val="standardContextual"/>
        </w:rPr>
        <w:t xml:space="preserve">Under § 15.41(d)(1), an uninsured national trust bank, </w:t>
      </w:r>
      <w:r w:rsidRPr="00450157">
        <w:rPr>
          <w:rFonts w:eastAsia="Aptos"/>
          <w:kern w:val="2"/>
          <w:szCs w:val="24"/>
          <w14:ligatures w14:val="standardContextual"/>
        </w:rPr>
        <w:t>whether or not</w:t>
      </w:r>
      <w:r w:rsidRPr="00450157">
        <w:rPr>
          <w:rFonts w:eastAsia="Aptos"/>
          <w:kern w:val="2"/>
          <w:szCs w:val="24"/>
          <w14:ligatures w14:val="standardContextual"/>
        </w:rPr>
        <w:t xml:space="preserve"> it is a permitted payment stablecoin issuer, may elect to comply with </w:t>
      </w:r>
      <w:r w:rsidRPr="00450157">
        <w:rPr>
          <w:rFonts w:eastAsia="Aptos"/>
          <w:kern w:val="2"/>
          <w:szCs w:val="24"/>
          <w14:ligatures w14:val="standardContextual"/>
        </w:rPr>
        <w:t>all of</w:t>
      </w:r>
      <w:r w:rsidRPr="00450157">
        <w:rPr>
          <w:rFonts w:eastAsia="Aptos"/>
          <w:kern w:val="2"/>
          <w:szCs w:val="24"/>
          <w14:ligatures w14:val="standardContextual"/>
        </w:rPr>
        <w:t xml:space="preserve"> the requirements in §§ 15.40 through 15.42 in lieu of complying with the requirements in 12 CFR part 3 upon receipt of the OCC’s prior approval. </w:t>
      </w:r>
      <w:r w:rsidR="00D93AB8">
        <w:rPr>
          <w:rFonts w:eastAsia="Aptos"/>
          <w:kern w:val="2"/>
          <w:szCs w:val="24"/>
          <w14:ligatures w14:val="standardContextual"/>
        </w:rPr>
        <w:t xml:space="preserve"> </w:t>
      </w:r>
      <w:r w:rsidRPr="00450157">
        <w:rPr>
          <w:rFonts w:eastAsia="Aptos"/>
          <w:kern w:val="2"/>
          <w:szCs w:val="24"/>
          <w14:ligatures w14:val="standardContextual"/>
        </w:rPr>
        <w:t>Section 15.41(d)(2) instructs that, to make the election described in § 15.41(d)(1), an uninsured national trust bank must submit a written request for prior approval to the appropriate OCC supervisory office, along with documentation sufficient to support the bank’s minimum capital and operational backstop amounts.</w:t>
      </w:r>
      <w:r w:rsidR="00D93AB8">
        <w:rPr>
          <w:rFonts w:eastAsia="Aptos"/>
          <w:kern w:val="2"/>
          <w:szCs w:val="24"/>
          <w14:ligatures w14:val="standardContextual"/>
        </w:rPr>
        <w:t xml:space="preserve"> </w:t>
      </w:r>
      <w:r w:rsidRPr="00450157">
        <w:rPr>
          <w:rFonts w:eastAsia="Aptos"/>
          <w:kern w:val="2"/>
          <w:szCs w:val="24"/>
          <w14:ligatures w14:val="standardContextual"/>
        </w:rPr>
        <w:t xml:space="preserve"> Section 15.41(d)(4) further provides that an uninsured national trust bank may rescind an approved election under § 15.41(d) by submitting a notice to the appropriate OCC supervisory office.</w:t>
      </w:r>
    </w:p>
    <w:p w:rsidR="00A65CA1" w:rsidRPr="00450157" w:rsidP="00450157" w14:paraId="76E40EAF" w14:textId="77777777">
      <w:pPr>
        <w:ind w:firstLine="720"/>
        <w:rPr>
          <w:rFonts w:eastAsia="Aptos"/>
          <w:kern w:val="2"/>
          <w:szCs w:val="24"/>
          <w14:ligatures w14:val="standardContextual"/>
        </w:rPr>
      </w:pPr>
    </w:p>
    <w:p w:rsidR="00450157" w:rsidRPr="00450157" w:rsidP="00450157" w14:paraId="17864472" w14:textId="1BD653F4">
      <w:pPr>
        <w:ind w:firstLine="720"/>
        <w:rPr>
          <w:rFonts w:eastAsia="Aptos"/>
          <w:kern w:val="2"/>
          <w:szCs w:val="24"/>
          <w14:ligatures w14:val="standardContextual"/>
        </w:rPr>
      </w:pPr>
      <w:r w:rsidRPr="00450157">
        <w:rPr>
          <w:rFonts w:eastAsia="Aptos"/>
          <w:kern w:val="2"/>
          <w:szCs w:val="24"/>
          <w14:ligatures w14:val="standardContextual"/>
        </w:rPr>
        <w:t>Section 15.42 sets forth individual additional capital or operational backstop requirements for permitted payment stablecoin issuers.</w:t>
      </w:r>
      <w:r w:rsidR="00D93AB8">
        <w:rPr>
          <w:rFonts w:eastAsia="Aptos"/>
          <w:kern w:val="2"/>
          <w:szCs w:val="24"/>
          <w14:ligatures w14:val="standardContextual"/>
        </w:rPr>
        <w:t xml:space="preserve"> </w:t>
      </w:r>
      <w:r w:rsidRPr="00450157">
        <w:rPr>
          <w:rFonts w:eastAsia="Aptos"/>
          <w:kern w:val="2"/>
          <w:szCs w:val="24"/>
          <w14:ligatures w14:val="standardContextual"/>
        </w:rPr>
        <w:t xml:space="preserve"> </w:t>
      </w:r>
      <w:r w:rsidRPr="00450157">
        <w:rPr>
          <w:rFonts w:eastAsia="Aptos"/>
          <w:kern w:val="2"/>
          <w:szCs w:val="24"/>
          <w14:ligatures w14:val="standardContextual"/>
        </w:rPr>
        <w:t>Section 15.42(c)(2)(i) provides that a permitted payment stablecoin issuer may respond to any or all of the items in the notice sent by the OCC notifying the permitted payment stablecoin issuer in writing of the proposed additional capital or backstop requirement and the date by which it should be reached (if applicable).</w:t>
      </w:r>
      <w:r w:rsidR="00D93AB8">
        <w:rPr>
          <w:rFonts w:eastAsia="Aptos"/>
          <w:kern w:val="2"/>
          <w:szCs w:val="24"/>
          <w14:ligatures w14:val="standardContextual"/>
        </w:rPr>
        <w:t xml:space="preserve"> </w:t>
      </w:r>
      <w:r w:rsidRPr="00450157">
        <w:rPr>
          <w:rFonts w:eastAsia="Aptos"/>
          <w:kern w:val="2"/>
          <w:szCs w:val="24"/>
          <w14:ligatures w14:val="standardContextual"/>
        </w:rPr>
        <w:t xml:space="preserve"> The response is required to be in writing and delivered to the OCC within 30 days after the date on which the permitted payment stablecoin issuer received the notice or such other </w:t>
      </w:r>
      <w:r w:rsidRPr="00450157">
        <w:rPr>
          <w:rFonts w:eastAsia="Aptos"/>
          <w:kern w:val="2"/>
          <w:szCs w:val="24"/>
          <w14:ligatures w14:val="standardContextual"/>
        </w:rPr>
        <w:t>time period</w:t>
      </w:r>
      <w:r w:rsidRPr="00450157">
        <w:rPr>
          <w:rFonts w:eastAsia="Aptos"/>
          <w:kern w:val="2"/>
          <w:szCs w:val="24"/>
          <w14:ligatures w14:val="standardContextual"/>
        </w:rPr>
        <w:t xml:space="preserve"> as the OCC determines appropriate based on the condition of the permitted payment stablecoin issuer.</w:t>
      </w:r>
    </w:p>
    <w:p w:rsidR="00450157" w:rsidP="00450157" w14:paraId="14FC7BD8" w14:textId="6D5E19B4">
      <w:pPr>
        <w:ind w:firstLine="720"/>
        <w:rPr>
          <w:rFonts w:eastAsia="Aptos"/>
          <w:kern w:val="2"/>
          <w:szCs w:val="24"/>
          <w14:ligatures w14:val="standardContextual"/>
        </w:rPr>
      </w:pPr>
      <w:r w:rsidRPr="00450157">
        <w:rPr>
          <w:rFonts w:eastAsia="Aptos"/>
          <w:kern w:val="2"/>
          <w:szCs w:val="24"/>
          <w14:ligatures w14:val="standardContextual"/>
        </w:rPr>
        <w:t xml:space="preserve">Section 15.42(c)(3) sets forth the OCC’s decision process in determining whether the individual additional capital or backstop requirement should be established for a permitted payment stablecoin issuer and, if so, the requirement and the date the requirement will become </w:t>
      </w:r>
      <w:r w:rsidRPr="00450157">
        <w:rPr>
          <w:rFonts w:eastAsia="Aptos"/>
          <w:kern w:val="2"/>
          <w:szCs w:val="24"/>
          <w14:ligatures w14:val="standardContextual"/>
        </w:rPr>
        <w:t>effective.</w:t>
      </w:r>
      <w:r w:rsidR="00D93AB8">
        <w:rPr>
          <w:rFonts w:eastAsia="Aptos"/>
          <w:kern w:val="2"/>
          <w:szCs w:val="24"/>
          <w14:ligatures w14:val="standardContextual"/>
        </w:rPr>
        <w:t xml:space="preserve"> </w:t>
      </w:r>
      <w:r w:rsidRPr="00450157">
        <w:rPr>
          <w:rFonts w:eastAsia="Aptos"/>
          <w:kern w:val="2"/>
          <w:szCs w:val="24"/>
          <w14:ligatures w14:val="standardContextual"/>
        </w:rPr>
        <w:t xml:space="preserve"> </w:t>
      </w:r>
      <w:r w:rsidRPr="00450157">
        <w:rPr>
          <w:rFonts w:eastAsia="Aptos"/>
          <w:kern w:val="2"/>
          <w:szCs w:val="24"/>
          <w14:ligatures w14:val="standardContextual"/>
        </w:rPr>
        <w:t xml:space="preserve">Section 15.42(c)(4) provides that the OCC’s decision may require the permitted payment stablecoin issuer to develop and submit to the OCC, within </w:t>
      </w:r>
      <w:r w:rsidRPr="00450157">
        <w:rPr>
          <w:rFonts w:eastAsia="Aptos"/>
          <w:kern w:val="2"/>
          <w:szCs w:val="24"/>
          <w14:ligatures w14:val="standardContextual"/>
        </w:rPr>
        <w:t>a time period</w:t>
      </w:r>
      <w:r w:rsidRPr="00450157">
        <w:rPr>
          <w:rFonts w:eastAsia="Aptos"/>
          <w:kern w:val="2"/>
          <w:szCs w:val="24"/>
          <w14:ligatures w14:val="standardContextual"/>
        </w:rPr>
        <w:t xml:space="preserve"> specified, an acceptable plan to reach the additional capital or backstop requirement established for the permitted payment stablecoin issuer by the date required.</w:t>
      </w:r>
    </w:p>
    <w:p w:rsidR="00A65CA1" w:rsidRPr="00450157" w:rsidP="00450157" w14:paraId="735C8196" w14:textId="77777777">
      <w:pPr>
        <w:ind w:firstLine="720"/>
        <w:rPr>
          <w:rFonts w:eastAsia="Aptos"/>
          <w:kern w:val="2"/>
          <w:szCs w:val="24"/>
          <w14:ligatures w14:val="standardContextual"/>
        </w:rPr>
      </w:pPr>
    </w:p>
    <w:p w:rsidR="00450157" w:rsidP="00450157" w14:paraId="3527CA50" w14:textId="77777777">
      <w:pPr>
        <w:ind w:firstLine="720"/>
        <w:rPr>
          <w:rFonts w:eastAsia="Aptos"/>
          <w:i/>
          <w:iCs/>
          <w:kern w:val="2"/>
          <w:szCs w:val="24"/>
          <w14:ligatures w14:val="standardContextual"/>
        </w:rPr>
      </w:pPr>
      <w:r w:rsidRPr="00450157">
        <w:rPr>
          <w:rFonts w:eastAsia="Aptos"/>
          <w:i/>
          <w:iCs/>
          <w:kern w:val="2"/>
          <w:szCs w:val="24"/>
          <w14:ligatures w14:val="standardContextual"/>
        </w:rPr>
        <w:t>Recordkeeping Requirements</w:t>
      </w:r>
    </w:p>
    <w:p w:rsidR="00A65CA1" w:rsidRPr="00450157" w:rsidP="00450157" w14:paraId="5952B5FE" w14:textId="77777777">
      <w:pPr>
        <w:ind w:firstLine="720"/>
        <w:rPr>
          <w:rFonts w:eastAsia="Aptos"/>
          <w:i/>
          <w:iCs/>
          <w:kern w:val="2"/>
          <w:szCs w:val="24"/>
          <w14:ligatures w14:val="standardContextual"/>
        </w:rPr>
      </w:pPr>
    </w:p>
    <w:p w:rsidR="00450157" w:rsidP="00450157" w14:paraId="5289256B" w14:textId="77777777">
      <w:pPr>
        <w:ind w:firstLine="720"/>
        <w:rPr>
          <w:rFonts w:eastAsia="Aptos"/>
          <w:kern w:val="2"/>
          <w:szCs w:val="24"/>
          <w14:ligatures w14:val="standardContextual"/>
        </w:rPr>
      </w:pPr>
      <w:r w:rsidRPr="00450157">
        <w:rPr>
          <w:rFonts w:eastAsia="Aptos"/>
          <w:kern w:val="2"/>
          <w:szCs w:val="24"/>
          <w14:ligatures w14:val="standardContextual"/>
        </w:rPr>
        <w:t>Section 15.11(a)(1) requires a permitted payment stablecoin issuer to maintain reserve assets that are identifiable, are segregated from and not commingled with other assets owned or held by the permitted payment stablecoin issuer, at all times have a reserve asset value that equals or exceeds the outstanding issuance value of the permitted payment stablecoin issuer, and are either held directly by the permitted payment stablecoin issuer or within the custody of an eligible financial institution.</w:t>
      </w:r>
    </w:p>
    <w:p w:rsidR="00A65CA1" w:rsidRPr="00450157" w:rsidP="00450157" w14:paraId="4A754B55" w14:textId="77777777">
      <w:pPr>
        <w:ind w:firstLine="720"/>
        <w:rPr>
          <w:rFonts w:eastAsia="Aptos"/>
          <w:kern w:val="2"/>
          <w:szCs w:val="24"/>
          <w14:ligatures w14:val="standardContextual"/>
        </w:rPr>
      </w:pPr>
    </w:p>
    <w:p w:rsidR="00450157" w:rsidP="00450157" w14:paraId="726D6936" w14:textId="61C5F651">
      <w:pPr>
        <w:ind w:firstLine="720"/>
        <w:rPr>
          <w:rFonts w:eastAsia="Aptos"/>
          <w:kern w:val="2"/>
          <w:szCs w:val="24"/>
          <w14:ligatures w14:val="standardContextual"/>
        </w:rPr>
      </w:pPr>
      <w:r w:rsidRPr="00450157">
        <w:rPr>
          <w:rFonts w:eastAsia="Aptos"/>
          <w:kern w:val="2"/>
          <w:szCs w:val="24"/>
          <w14:ligatures w14:val="standardContextual"/>
        </w:rPr>
        <w:t>Section 15.11(f)(1) requires a permitted payment stablecoin issuer to, each month, have the information disclosed in the previous month-end report required under § 15.11(e) examined by a registered public accounting firm.</w:t>
      </w:r>
      <w:r w:rsidR="00D93AB8">
        <w:rPr>
          <w:rFonts w:eastAsia="Aptos"/>
          <w:kern w:val="2"/>
          <w:szCs w:val="24"/>
          <w14:ligatures w14:val="standardContextual"/>
        </w:rPr>
        <w:t xml:space="preserve"> </w:t>
      </w:r>
      <w:r w:rsidRPr="00450157">
        <w:rPr>
          <w:rFonts w:eastAsia="Aptos"/>
          <w:kern w:val="2"/>
          <w:szCs w:val="24"/>
          <w14:ligatures w14:val="standardContextual"/>
        </w:rPr>
        <w:t xml:space="preserve"> Section 15.11(f)(2) requires that each month, the Chief Executive Officer and Chief Financial Officer (or the persons performing the equivalent functions) of a permitted payment stablecoin issuer submit to the OCC a certification that the monthly report required under § 15.11(e) is accurate.</w:t>
      </w:r>
    </w:p>
    <w:p w:rsidR="00A65CA1" w:rsidRPr="00450157" w:rsidP="00450157" w14:paraId="442E9A01" w14:textId="77777777">
      <w:pPr>
        <w:ind w:firstLine="720"/>
        <w:rPr>
          <w:rFonts w:eastAsia="Aptos"/>
          <w:kern w:val="2"/>
          <w:szCs w:val="24"/>
          <w14:ligatures w14:val="standardContextual"/>
        </w:rPr>
      </w:pPr>
    </w:p>
    <w:p w:rsidR="00450157" w:rsidP="00450157" w14:paraId="6A6A39AC" w14:textId="25314C6E">
      <w:pPr>
        <w:ind w:firstLine="720"/>
        <w:rPr>
          <w:rFonts w:eastAsia="Aptos"/>
          <w:kern w:val="2"/>
          <w:szCs w:val="24"/>
          <w14:ligatures w14:val="standardContextual"/>
        </w:rPr>
      </w:pPr>
      <w:r w:rsidRPr="00450157">
        <w:rPr>
          <w:rFonts w:eastAsia="Aptos"/>
          <w:kern w:val="2"/>
          <w:szCs w:val="24"/>
          <w14:ligatures w14:val="standardContextual"/>
        </w:rPr>
        <w:t>Section 15.12(c) requires a permitted payment stablecoin issuer’s redemption policy to provide clear and conspicuous procedures for timely redemption of outstanding payment stablecoins.</w:t>
      </w:r>
      <w:r w:rsidR="00D93AB8">
        <w:rPr>
          <w:rFonts w:eastAsia="Aptos"/>
          <w:kern w:val="2"/>
          <w:szCs w:val="24"/>
          <w14:ligatures w14:val="standardContextual"/>
        </w:rPr>
        <w:t xml:space="preserve"> </w:t>
      </w:r>
      <w:r w:rsidRPr="00450157">
        <w:rPr>
          <w:rFonts w:eastAsia="Aptos"/>
          <w:kern w:val="2"/>
          <w:szCs w:val="24"/>
          <w14:ligatures w14:val="standardContextual"/>
        </w:rPr>
        <w:t xml:space="preserve"> Timely redemption may not exceed two business days following the date of the requested redemption and any discretionary limitations on timely redemptions can only be imposed by the OCC or, in the case of </w:t>
      </w:r>
      <w:r w:rsidRPr="00450157">
        <w:rPr>
          <w:rFonts w:eastAsia="Aptos"/>
          <w:kern w:val="2"/>
          <w:szCs w:val="24"/>
          <w14:ligatures w14:val="standardContextual"/>
        </w:rPr>
        <w:t>a State</w:t>
      </w:r>
      <w:r w:rsidRPr="00450157">
        <w:rPr>
          <w:rFonts w:eastAsia="Aptos"/>
          <w:kern w:val="2"/>
          <w:szCs w:val="24"/>
          <w14:ligatures w14:val="standardContextual"/>
        </w:rPr>
        <w:t xml:space="preserve"> qualified payment stablecoin issuer, by the OCC, Board, or the State payment stablecoin regulator, as applicable.</w:t>
      </w:r>
    </w:p>
    <w:p w:rsidR="00A65CA1" w:rsidRPr="00450157" w:rsidP="00450157" w14:paraId="358C0A3E" w14:textId="77777777">
      <w:pPr>
        <w:ind w:firstLine="720"/>
        <w:rPr>
          <w:rFonts w:eastAsia="Aptos"/>
          <w:kern w:val="2"/>
          <w:szCs w:val="24"/>
          <w14:ligatures w14:val="standardContextual"/>
        </w:rPr>
      </w:pPr>
    </w:p>
    <w:p w:rsidR="00450157" w:rsidP="00450157" w14:paraId="08335B79" w14:textId="5C4AA255">
      <w:pPr>
        <w:ind w:firstLine="720"/>
        <w:rPr>
          <w:rFonts w:eastAsia="Aptos"/>
          <w:kern w:val="2"/>
          <w:szCs w:val="24"/>
          <w14:ligatures w14:val="standardContextual"/>
        </w:rPr>
      </w:pPr>
      <w:r w:rsidRPr="00450157">
        <w:rPr>
          <w:rFonts w:eastAsia="Aptos"/>
          <w:kern w:val="2"/>
          <w:szCs w:val="24"/>
          <w14:ligatures w14:val="standardContextual"/>
        </w:rPr>
        <w:t>Section 15.13(a)(1) covers internal controls and information systems.</w:t>
      </w:r>
      <w:r w:rsidR="00D93AB8">
        <w:rPr>
          <w:rFonts w:eastAsia="Aptos"/>
          <w:kern w:val="2"/>
          <w:szCs w:val="24"/>
          <w14:ligatures w14:val="standardContextual"/>
        </w:rPr>
        <w:t xml:space="preserve"> </w:t>
      </w:r>
      <w:r w:rsidRPr="00450157">
        <w:rPr>
          <w:rFonts w:eastAsia="Aptos"/>
          <w:kern w:val="2"/>
          <w:szCs w:val="24"/>
          <w14:ligatures w14:val="standardContextual"/>
        </w:rPr>
        <w:t xml:space="preserve"> A permitted payment stablecoin issuer is required to have internal controls and information systems to support effective risk management that are appropriate for the size and complexity of the permitted payment stablecoin issuer and the nature, scope, and risk of its activities. </w:t>
      </w:r>
      <w:r w:rsidR="00D93AB8">
        <w:rPr>
          <w:rFonts w:eastAsia="Aptos"/>
          <w:kern w:val="2"/>
          <w:szCs w:val="24"/>
          <w14:ligatures w14:val="standardContextual"/>
        </w:rPr>
        <w:t xml:space="preserve"> </w:t>
      </w:r>
      <w:r w:rsidRPr="00450157">
        <w:rPr>
          <w:rFonts w:eastAsia="Aptos"/>
          <w:kern w:val="2"/>
          <w:szCs w:val="24"/>
          <w14:ligatures w14:val="standardContextual"/>
        </w:rPr>
        <w:t>The internal controls are required to provide for: an organizational structure that establishes clear lines of authority and responsibility for monitoring adherence to established policies, including appropriate segregation of duties and dual controls; effective risk assessment; timely and accurate financial, operational, and regulatory reporting, including with respect to the reports required under 12 CFR part 15; adequate procedures to monitor, safeguard, manage, control, and monetize assets, including reserve assets; and compliance with applicable laws and regulations.</w:t>
      </w:r>
    </w:p>
    <w:p w:rsidR="00A65CA1" w:rsidRPr="00450157" w:rsidP="00450157" w14:paraId="1CBD3306" w14:textId="77777777">
      <w:pPr>
        <w:ind w:firstLine="720"/>
        <w:rPr>
          <w:rFonts w:eastAsia="Aptos"/>
          <w:kern w:val="2"/>
          <w:szCs w:val="24"/>
          <w14:ligatures w14:val="standardContextual"/>
        </w:rPr>
      </w:pPr>
    </w:p>
    <w:p w:rsidR="00450157" w:rsidP="00450157" w14:paraId="3548D838" w14:textId="53FA6AF5">
      <w:pPr>
        <w:ind w:firstLine="720"/>
        <w:rPr>
          <w:rFonts w:eastAsia="Aptos"/>
          <w:kern w:val="2"/>
          <w:szCs w:val="24"/>
          <w14:ligatures w14:val="standardContextual"/>
        </w:rPr>
      </w:pPr>
      <w:r w:rsidRPr="00450157">
        <w:rPr>
          <w:rFonts w:eastAsia="Aptos"/>
          <w:kern w:val="2"/>
          <w:szCs w:val="24"/>
          <w14:ligatures w14:val="standardContextual"/>
        </w:rPr>
        <w:t>Section 15.13(a)(2) covers internal audit systems.</w:t>
      </w:r>
      <w:r w:rsidR="006F61A0">
        <w:rPr>
          <w:rFonts w:eastAsia="Aptos"/>
          <w:kern w:val="2"/>
          <w:szCs w:val="24"/>
          <w14:ligatures w14:val="standardContextual"/>
        </w:rPr>
        <w:t xml:space="preserve"> </w:t>
      </w:r>
      <w:r w:rsidRPr="00450157">
        <w:rPr>
          <w:rFonts w:eastAsia="Aptos"/>
          <w:kern w:val="2"/>
          <w:szCs w:val="24"/>
          <w14:ligatures w14:val="standardContextual"/>
        </w:rPr>
        <w:t xml:space="preserve"> A permitted payment stablecoin issuer is required to have an internal audit system that is appropriate to the size and complexity of the permitted payment stablecoin issuer and the nature, scope, and risk of its activities.</w:t>
      </w:r>
      <w:r w:rsidRPr="00450157">
        <w:rPr>
          <w:rFonts w:eastAsia="Aptos"/>
          <w:kern w:val="2"/>
          <w:szCs w:val="24"/>
          <w14:ligatures w14:val="standardContextual"/>
        </w:rPr>
        <w:t xml:space="preserve"> </w:t>
      </w:r>
      <w:r w:rsidR="006F61A0">
        <w:rPr>
          <w:rFonts w:eastAsia="Aptos"/>
          <w:kern w:val="2"/>
          <w:szCs w:val="24"/>
          <w14:ligatures w14:val="standardContextual"/>
        </w:rPr>
        <w:t xml:space="preserve"> </w:t>
      </w:r>
      <w:r w:rsidRPr="00450157">
        <w:rPr>
          <w:rFonts w:eastAsia="Aptos"/>
          <w:kern w:val="2"/>
          <w:szCs w:val="24"/>
          <w14:ligatures w14:val="standardContextual"/>
        </w:rPr>
        <w:t>The internal audit system is required to provide for adequate monitoring of the system of internal controls through an internal audit function or if the size, complexity, or scope of operations of the permitted payment stablecoin issuer does not warrant a full-scale internal audit function, a system of independent reviews of key internal controls.</w:t>
      </w:r>
      <w:r w:rsidRPr="00450157">
        <w:rPr>
          <w:rFonts w:eastAsia="Aptos"/>
          <w:kern w:val="2"/>
          <w:szCs w:val="24"/>
          <w14:ligatures w14:val="standardContextual"/>
        </w:rPr>
        <w:t xml:space="preserve"> </w:t>
      </w:r>
      <w:r w:rsidR="006F61A0">
        <w:rPr>
          <w:rFonts w:eastAsia="Aptos"/>
          <w:kern w:val="2"/>
          <w:szCs w:val="24"/>
          <w14:ligatures w14:val="standardContextual"/>
        </w:rPr>
        <w:t xml:space="preserve"> </w:t>
      </w:r>
      <w:r w:rsidRPr="00450157">
        <w:rPr>
          <w:rFonts w:eastAsia="Aptos"/>
          <w:kern w:val="2"/>
          <w:szCs w:val="24"/>
          <w14:ligatures w14:val="standardContextual"/>
        </w:rPr>
        <w:t xml:space="preserve">Additionally, the internal audit system is </w:t>
      </w:r>
      <w:r w:rsidRPr="00450157">
        <w:rPr>
          <w:rFonts w:eastAsia="Aptos"/>
          <w:kern w:val="2"/>
          <w:szCs w:val="24"/>
          <w14:ligatures w14:val="standardContextual"/>
        </w:rPr>
        <w:t xml:space="preserve">required to </w:t>
      </w:r>
      <w:r w:rsidRPr="00450157">
        <w:rPr>
          <w:rFonts w:eastAsia="Aptos"/>
          <w:kern w:val="2"/>
          <w:szCs w:val="24"/>
          <w14:ligatures w14:val="standardContextual"/>
        </w:rPr>
        <w:t>provide:</w:t>
      </w:r>
      <w:r w:rsidRPr="00450157">
        <w:rPr>
          <w:rFonts w:eastAsia="Aptos"/>
          <w:kern w:val="2"/>
          <w:szCs w:val="24"/>
          <w14:ligatures w14:val="standardContextual"/>
        </w:rPr>
        <w:t xml:space="preserve"> independence and objectivity; qualified persons responsible for the audit function; and adequate independent testing and review of internal controls and information systems, verification of published information available to customers, calculations for required reserves, and regulatory filings.</w:t>
      </w:r>
      <w:r w:rsidRPr="00450157">
        <w:rPr>
          <w:rFonts w:eastAsia="Aptos"/>
          <w:kern w:val="2"/>
          <w:szCs w:val="24"/>
          <w14:ligatures w14:val="standardContextual"/>
        </w:rPr>
        <w:t xml:space="preserve"> </w:t>
      </w:r>
      <w:r w:rsidR="006F61A0">
        <w:rPr>
          <w:rFonts w:eastAsia="Aptos"/>
          <w:kern w:val="2"/>
          <w:szCs w:val="24"/>
          <w14:ligatures w14:val="standardContextual"/>
        </w:rPr>
        <w:t xml:space="preserve"> </w:t>
      </w:r>
      <w:r w:rsidRPr="00450157">
        <w:rPr>
          <w:rFonts w:eastAsia="Aptos"/>
          <w:kern w:val="2"/>
          <w:szCs w:val="24"/>
          <w14:ligatures w14:val="standardContextual"/>
        </w:rPr>
        <w:t>The internal audit system must also provide for adequate documentation of tests and findings and any corrective actions; verification and review of management actions to address deficiencies; and review by the permitted payment stablecoin issuer’s audit committee or board of directors of the effectiveness of the internal audit systems.</w:t>
      </w:r>
    </w:p>
    <w:p w:rsidR="00A65CA1" w:rsidRPr="00450157" w:rsidP="00450157" w14:paraId="430B9BA8" w14:textId="77777777">
      <w:pPr>
        <w:ind w:firstLine="720"/>
        <w:rPr>
          <w:rFonts w:eastAsia="Aptos"/>
          <w:kern w:val="2"/>
          <w:szCs w:val="24"/>
          <w14:ligatures w14:val="standardContextual"/>
        </w:rPr>
      </w:pPr>
    </w:p>
    <w:p w:rsidR="00450157" w:rsidP="00450157" w14:paraId="469BBD13" w14:textId="77777777">
      <w:pPr>
        <w:ind w:firstLine="720"/>
        <w:rPr>
          <w:rFonts w:eastAsia="Aptos"/>
          <w:kern w:val="2"/>
          <w:szCs w:val="24"/>
          <w14:ligatures w14:val="standardContextual"/>
        </w:rPr>
      </w:pPr>
      <w:r w:rsidRPr="00450157">
        <w:rPr>
          <w:rFonts w:eastAsia="Aptos"/>
          <w:kern w:val="2"/>
          <w:szCs w:val="24"/>
          <w14:ligatures w14:val="standardContextual"/>
        </w:rPr>
        <w:t>Section 15.13(a)(5) requires a permitted payment stablecoin issuer to establish and maintain a system that is commensurate with the permitted payment stablecoin issuer’s size and complexity and the nature and scope of its operations to evaluate and monitor earnings and ensure that earnings are sufficient to support operations and maintain the capital levels required by subpart E of 12 CFR part 15.</w:t>
      </w:r>
    </w:p>
    <w:p w:rsidR="00A65CA1" w:rsidRPr="00450157" w:rsidP="00450157" w14:paraId="76B905D4" w14:textId="77777777">
      <w:pPr>
        <w:ind w:firstLine="720"/>
        <w:rPr>
          <w:rFonts w:eastAsia="Aptos"/>
          <w:kern w:val="2"/>
          <w:szCs w:val="24"/>
          <w14:ligatures w14:val="standardContextual"/>
        </w:rPr>
      </w:pPr>
    </w:p>
    <w:p w:rsidR="00450157" w:rsidP="00450157" w14:paraId="5FB16ED9" w14:textId="77777777">
      <w:pPr>
        <w:ind w:firstLine="720"/>
        <w:rPr>
          <w:rFonts w:eastAsia="Aptos"/>
          <w:kern w:val="2"/>
          <w:szCs w:val="24"/>
          <w14:ligatures w14:val="standardContextual"/>
        </w:rPr>
      </w:pPr>
      <w:r w:rsidRPr="00450157">
        <w:rPr>
          <w:rFonts w:eastAsia="Aptos"/>
          <w:kern w:val="2"/>
          <w:szCs w:val="24"/>
          <w14:ligatures w14:val="standardContextual"/>
        </w:rPr>
        <w:t xml:space="preserve">Section 15.13(a)(6)(i)(D) requires that a permitted payment stablecoin issuer ensure that transactions </w:t>
      </w:r>
      <w:r w:rsidRPr="00450157">
        <w:rPr>
          <w:rFonts w:eastAsia="Aptos"/>
          <w:szCs w:val="24"/>
        </w:rPr>
        <w:t xml:space="preserve">between the permitted payment stablecoin issuer and </w:t>
      </w:r>
      <w:r w:rsidRPr="00450157">
        <w:rPr>
          <w:rFonts w:eastAsia="Aptos"/>
          <w:kern w:val="2"/>
          <w:szCs w:val="24"/>
          <w14:ligatures w14:val="standardContextual"/>
        </w:rPr>
        <w:t>insiders or affiliates alone, or in the aggregate, are appropriately documented and reviewed by the board of directors.</w:t>
      </w:r>
    </w:p>
    <w:p w:rsidR="000A3180" w:rsidRPr="00450157" w:rsidP="00450157" w14:paraId="13086F51" w14:textId="77777777">
      <w:pPr>
        <w:ind w:firstLine="720"/>
        <w:rPr>
          <w:rFonts w:eastAsia="Aptos"/>
          <w:kern w:val="2"/>
          <w:szCs w:val="24"/>
          <w14:ligatures w14:val="standardContextual"/>
        </w:rPr>
      </w:pPr>
    </w:p>
    <w:p w:rsidR="00450157" w:rsidP="00450157" w14:paraId="34F658B8" w14:textId="43BE357A">
      <w:pPr>
        <w:ind w:firstLine="720"/>
        <w:rPr>
          <w:rFonts w:eastAsia="Aptos"/>
          <w:szCs w:val="24"/>
        </w:rPr>
      </w:pPr>
      <w:r w:rsidRPr="00450157">
        <w:rPr>
          <w:rFonts w:eastAsia="Aptos"/>
          <w:szCs w:val="24"/>
        </w:rPr>
        <w:t>Section 15.13(a)(10)(ii)(D) requires a permitted payment stablecoin issuer to have in place policies and procedures that appropriately manage its foreign exchange risk and any attendant risks, including risks related to the posting or collection of margin, foreign exchange counterparties, and basis risk.</w:t>
      </w:r>
      <w:r w:rsidR="006F61A0">
        <w:rPr>
          <w:rFonts w:eastAsia="Aptos"/>
          <w:szCs w:val="24"/>
        </w:rPr>
        <w:t xml:space="preserve"> </w:t>
      </w:r>
      <w:r w:rsidRPr="00450157">
        <w:rPr>
          <w:rFonts w:eastAsia="Aptos"/>
          <w:szCs w:val="24"/>
        </w:rPr>
        <w:t xml:space="preserve"> The policies and procedures must include adherence to §§ 15.13(a)(10)(iii) and (iv). </w:t>
      </w:r>
    </w:p>
    <w:p w:rsidR="00A65CA1" w:rsidRPr="00450157" w:rsidP="00450157" w14:paraId="29256455" w14:textId="77777777">
      <w:pPr>
        <w:ind w:firstLine="720"/>
        <w:rPr>
          <w:rFonts w:eastAsia="Aptos"/>
          <w:szCs w:val="24"/>
        </w:rPr>
      </w:pPr>
    </w:p>
    <w:p w:rsidR="00450157" w:rsidP="00450157" w14:paraId="69B6552C" w14:textId="574A7266">
      <w:pPr>
        <w:ind w:firstLine="720"/>
        <w:rPr>
          <w:rFonts w:eastAsia="Aptos"/>
          <w:kern w:val="2"/>
          <w:szCs w:val="24"/>
          <w14:ligatures w14:val="standardContextual"/>
        </w:rPr>
      </w:pPr>
      <w:r w:rsidRPr="00450157">
        <w:rPr>
          <w:rFonts w:eastAsia="Aptos"/>
          <w:kern w:val="2"/>
          <w:szCs w:val="24"/>
          <w14:ligatures w14:val="standardContextual"/>
        </w:rPr>
        <w:t>Section 15.13(b) covers information technology and security programs.</w:t>
      </w:r>
      <w:r w:rsidRPr="00450157">
        <w:rPr>
          <w:rFonts w:eastAsia="Aptos"/>
          <w:kern w:val="2"/>
          <w:szCs w:val="24"/>
          <w14:ligatures w14:val="standardContextual"/>
        </w:rPr>
        <w:t xml:space="preserve"> </w:t>
      </w:r>
      <w:r w:rsidR="006F61A0">
        <w:rPr>
          <w:rFonts w:eastAsia="Aptos"/>
          <w:kern w:val="2"/>
          <w:szCs w:val="24"/>
          <w14:ligatures w14:val="standardContextual"/>
        </w:rPr>
        <w:t xml:space="preserve"> </w:t>
      </w:r>
      <w:r w:rsidRPr="00450157">
        <w:rPr>
          <w:rFonts w:eastAsia="Aptos"/>
          <w:kern w:val="2"/>
          <w:szCs w:val="24"/>
          <w14:ligatures w14:val="standardContextual"/>
        </w:rPr>
        <w:t>Section 15.13(b)(1) requires a permitted payment stablecoin issuer to implement a comprehensive written information security risk and control framework, including a program that assesses and manages information technology and information security risks.</w:t>
      </w:r>
      <w:r w:rsidR="006F61A0">
        <w:rPr>
          <w:rFonts w:eastAsia="Aptos"/>
          <w:kern w:val="2"/>
          <w:szCs w:val="24"/>
          <w14:ligatures w14:val="standardContextual"/>
        </w:rPr>
        <w:t xml:space="preserve"> </w:t>
      </w:r>
      <w:r w:rsidRPr="00450157">
        <w:rPr>
          <w:rFonts w:eastAsia="Aptos"/>
          <w:kern w:val="2"/>
          <w:szCs w:val="24"/>
          <w14:ligatures w14:val="standardContextual"/>
        </w:rPr>
        <w:t xml:space="preserve"> Section 15.13(b)(2) requires the board of directors or an appropriate board committee to approve the information technology and security program and oversee the development, implementation, and maintenance of the program, including the appointment of a qualified individual responsible for the program.</w:t>
      </w:r>
      <w:r w:rsidR="006F61A0">
        <w:rPr>
          <w:rFonts w:eastAsia="Aptos"/>
          <w:kern w:val="2"/>
          <w:szCs w:val="24"/>
          <w14:ligatures w14:val="standardContextual"/>
        </w:rPr>
        <w:t xml:space="preserve"> </w:t>
      </w:r>
      <w:r w:rsidRPr="00450157">
        <w:rPr>
          <w:rFonts w:eastAsia="Aptos"/>
          <w:kern w:val="2"/>
          <w:szCs w:val="24"/>
          <w14:ligatures w14:val="standardContextual"/>
        </w:rPr>
        <w:t xml:space="preserve"> </w:t>
      </w:r>
      <w:r w:rsidRPr="00450157">
        <w:rPr>
          <w:rFonts w:eastAsia="Aptos"/>
          <w:kern w:val="2"/>
          <w:szCs w:val="24"/>
          <w14:ligatures w14:val="standardContextual"/>
        </w:rPr>
        <w:t>Such oversight includes assigning specific responsibility for program implementation and review of program-related reports.</w:t>
      </w:r>
      <w:r w:rsidRPr="00450157">
        <w:rPr>
          <w:rFonts w:eastAsia="Aptos"/>
          <w:kern w:val="2"/>
          <w:szCs w:val="24"/>
          <w14:ligatures w14:val="standardContextual"/>
        </w:rPr>
        <w:t xml:space="preserve"> </w:t>
      </w:r>
      <w:r w:rsidR="006F61A0">
        <w:rPr>
          <w:rFonts w:eastAsia="Aptos"/>
          <w:kern w:val="2"/>
          <w:szCs w:val="24"/>
          <w14:ligatures w14:val="standardContextual"/>
        </w:rPr>
        <w:t xml:space="preserve"> </w:t>
      </w:r>
      <w:r w:rsidRPr="00450157">
        <w:rPr>
          <w:rFonts w:eastAsia="Aptos"/>
          <w:kern w:val="2"/>
          <w:szCs w:val="24"/>
          <w14:ligatures w14:val="standardContextual"/>
        </w:rPr>
        <w:t>Section 15.13(b)(3) requires a permitted payment stablecoin issuer’s information technology and security program include: an inventory and classification of assets, processes, and sensitivity of data; controls supporting and safeguarding sensitive information and processes; evaluation, validation, and reporting processes to ensure that key information technology systems and controls, including smart contracts, are operating as intended; periodic independent testing; and a comprehensive and effective incident identification and assessment process and incident response program.</w:t>
      </w:r>
      <w:r w:rsidR="006F61A0">
        <w:rPr>
          <w:rFonts w:eastAsia="Aptos"/>
          <w:kern w:val="2"/>
          <w:szCs w:val="24"/>
          <w14:ligatures w14:val="standardContextual"/>
        </w:rPr>
        <w:t xml:space="preserve"> </w:t>
      </w:r>
      <w:r w:rsidRPr="00450157">
        <w:rPr>
          <w:rFonts w:eastAsia="Aptos"/>
          <w:kern w:val="2"/>
          <w:szCs w:val="24"/>
          <w14:ligatures w14:val="standardContextual"/>
        </w:rPr>
        <w:t xml:space="preserve"> Section 15.13(b)(4) requires that a permitted payment stablecoin issuer’s information technology and security program includes administrative, technical, and physical safeguards designed to ensure the security and confidentiality of records containing nonpublic personal information about a customer or sensitive customer information.</w:t>
      </w:r>
      <w:r w:rsidR="006F61A0">
        <w:rPr>
          <w:rFonts w:eastAsia="Aptos"/>
          <w:kern w:val="2"/>
          <w:szCs w:val="24"/>
          <w14:ligatures w14:val="standardContextual"/>
        </w:rPr>
        <w:t xml:space="preserve"> </w:t>
      </w:r>
      <w:r w:rsidRPr="00450157">
        <w:rPr>
          <w:rFonts w:eastAsia="Aptos"/>
          <w:kern w:val="2"/>
          <w:szCs w:val="24"/>
          <w14:ligatures w14:val="standardContextual"/>
        </w:rPr>
        <w:t xml:space="preserve"> </w:t>
      </w:r>
      <w:r w:rsidRPr="00450157">
        <w:rPr>
          <w:rFonts w:eastAsia="Aptos"/>
          <w:kern w:val="2"/>
          <w:szCs w:val="24"/>
          <w14:ligatures w14:val="standardContextual"/>
        </w:rPr>
        <w:t xml:space="preserve">The program must also protect against any anticipated threats or hazards to the security or integrity of such records, protect against unauthorized access to or use of such records that could result in substantial harm or inconvenience to any customer, and </w:t>
      </w:r>
      <w:r w:rsidRPr="00450157">
        <w:rPr>
          <w:rFonts w:eastAsia="Aptos"/>
          <w:kern w:val="2"/>
          <w:szCs w:val="24"/>
          <w14:ligatures w14:val="standardContextual"/>
        </w:rPr>
        <w:t>to ensure</w:t>
      </w:r>
      <w:r w:rsidRPr="00450157">
        <w:rPr>
          <w:rFonts w:eastAsia="Aptos"/>
          <w:kern w:val="2"/>
          <w:szCs w:val="24"/>
          <w14:ligatures w14:val="standardContextual"/>
        </w:rPr>
        <w:t xml:space="preserve"> the proper disposal of such records.</w:t>
      </w:r>
      <w:r w:rsidR="006F61A0">
        <w:rPr>
          <w:rFonts w:eastAsia="Aptos"/>
          <w:kern w:val="2"/>
          <w:szCs w:val="24"/>
          <w14:ligatures w14:val="standardContextual"/>
        </w:rPr>
        <w:t xml:space="preserve"> </w:t>
      </w:r>
      <w:r w:rsidRPr="00450157">
        <w:rPr>
          <w:rFonts w:eastAsia="Aptos"/>
          <w:kern w:val="2"/>
          <w:szCs w:val="24"/>
          <w14:ligatures w14:val="standardContextual"/>
        </w:rPr>
        <w:t xml:space="preserve"> </w:t>
      </w:r>
      <w:r w:rsidRPr="00450157">
        <w:rPr>
          <w:rFonts w:eastAsia="Aptos"/>
          <w:kern w:val="2"/>
          <w:szCs w:val="24"/>
          <w14:ligatures w14:val="standardContextual"/>
        </w:rPr>
        <w:t xml:space="preserve">Section 15.13(b)(6)(i) provides that a permitted payment stablecoin issuer must </w:t>
      </w:r>
      <w:r w:rsidRPr="00450157">
        <w:rPr>
          <w:rFonts w:eastAsia="Aptos"/>
          <w:kern w:val="2"/>
          <w:szCs w:val="24"/>
          <w14:ligatures w14:val="standardContextual"/>
        </w:rPr>
        <w:t xml:space="preserve">monitor any relevant changes in technology, the sensitivity of its customer information, internal or external threats, and the permitted payment stablecoin issuer’s own changing business arrangements, such as mergers and acquisitions, alliances and joint ventures, third-party arrangements, and changes to applicable information systems. </w:t>
      </w:r>
      <w:r w:rsidR="006F61A0">
        <w:rPr>
          <w:rFonts w:eastAsia="Aptos"/>
          <w:kern w:val="2"/>
          <w:szCs w:val="24"/>
          <w14:ligatures w14:val="standardContextual"/>
        </w:rPr>
        <w:t xml:space="preserve"> </w:t>
      </w:r>
      <w:r w:rsidRPr="00450157">
        <w:rPr>
          <w:rFonts w:eastAsia="Aptos"/>
          <w:kern w:val="2"/>
          <w:szCs w:val="24"/>
          <w14:ligatures w14:val="standardContextual"/>
        </w:rPr>
        <w:t xml:space="preserve">Under § 15.13(b)(6)(ii), a permitted payment stablecoin issuer is required to evaluate and adjust its information technology and security program, as appropriate, based on the monitoring required by § 15.13(b)(6)(i). </w:t>
      </w:r>
      <w:r w:rsidR="006F61A0">
        <w:rPr>
          <w:rFonts w:eastAsia="Aptos"/>
          <w:kern w:val="2"/>
          <w:szCs w:val="24"/>
          <w14:ligatures w14:val="standardContextual"/>
        </w:rPr>
        <w:t xml:space="preserve"> </w:t>
      </w:r>
      <w:r w:rsidRPr="00450157">
        <w:rPr>
          <w:rFonts w:eastAsia="Aptos"/>
          <w:kern w:val="2"/>
          <w:szCs w:val="24"/>
          <w14:ligatures w14:val="standardContextual"/>
        </w:rPr>
        <w:t>Finally, § 15.13(b)(8) requires a permitted payment stablecoin issuer’s information technology and security program include measures to ensure continuity of operations and recovery of critical functions, including by conducting business impact analyses, testing for vulnerabilities, and testing with critical service providers.</w:t>
      </w:r>
    </w:p>
    <w:p w:rsidR="00A65CA1" w:rsidRPr="00450157" w:rsidP="00450157" w14:paraId="43A29521" w14:textId="77777777">
      <w:pPr>
        <w:ind w:firstLine="720"/>
        <w:rPr>
          <w:rFonts w:eastAsia="Aptos"/>
          <w:kern w:val="2"/>
          <w:szCs w:val="24"/>
          <w14:ligatures w14:val="standardContextual"/>
        </w:rPr>
      </w:pPr>
    </w:p>
    <w:p w:rsidR="00450157" w:rsidP="00450157" w14:paraId="12EE5A05" w14:textId="77777777">
      <w:pPr>
        <w:ind w:firstLine="720"/>
        <w:rPr>
          <w:rFonts w:eastAsia="Aptos"/>
          <w:szCs w:val="24"/>
        </w:rPr>
      </w:pPr>
      <w:r w:rsidRPr="00450157">
        <w:rPr>
          <w:rFonts w:eastAsia="Aptos"/>
          <w:kern w:val="2"/>
          <w:szCs w:val="24"/>
          <w14:ligatures w14:val="standardContextual"/>
        </w:rPr>
        <w:t>Section 15.13(b)(5) requires a permitted payment stablecoin issuer to develop, implement, and maintain appropriate measures to ensure secure handling of digital assets, including private key management, backup, and recovery</w:t>
      </w:r>
      <w:r w:rsidRPr="00450157">
        <w:rPr>
          <w:rFonts w:eastAsia="Aptos"/>
          <w:szCs w:val="24"/>
        </w:rPr>
        <w:t xml:space="preserve"> incorporating: (i) relevant technical, operational, strategic, market, legal, and compliance considerations relating to each digital asset and its underlying ledger; and (ii) material developments specifically related to supported digital assets and their underlying ledgers.</w:t>
      </w:r>
      <w:r>
        <w:rPr>
          <w:rFonts w:eastAsia="Aptos"/>
          <w:szCs w:val="24"/>
          <w:vertAlign w:val="superscript"/>
        </w:rPr>
        <w:footnoteReference w:id="8"/>
      </w:r>
    </w:p>
    <w:p w:rsidR="00A65CA1" w:rsidRPr="00450157" w:rsidP="00450157" w14:paraId="63282A48" w14:textId="77777777">
      <w:pPr>
        <w:ind w:firstLine="720"/>
        <w:rPr>
          <w:rFonts w:eastAsia="Aptos"/>
          <w:kern w:val="2"/>
          <w:szCs w:val="24"/>
          <w14:ligatures w14:val="standardContextual"/>
        </w:rPr>
      </w:pPr>
    </w:p>
    <w:p w:rsidR="00450157" w:rsidP="00450157" w14:paraId="5D002DE8" w14:textId="77777777">
      <w:pPr>
        <w:ind w:firstLine="720"/>
        <w:rPr>
          <w:rFonts w:eastAsia="Aptos"/>
          <w:kern w:val="2"/>
          <w:szCs w:val="24"/>
          <w14:ligatures w14:val="standardContextual"/>
        </w:rPr>
      </w:pPr>
      <w:r w:rsidRPr="00450157">
        <w:rPr>
          <w:rFonts w:eastAsia="Aptos"/>
          <w:kern w:val="2"/>
          <w:szCs w:val="24"/>
          <w14:ligatures w14:val="standardContextual"/>
        </w:rPr>
        <w:t>Section 15.14(f) requires all permitted payment stablecoin issuers to maintain a complete set of books and records in English.</w:t>
      </w:r>
    </w:p>
    <w:p w:rsidR="00A65CA1" w:rsidRPr="00450157" w:rsidP="00450157" w14:paraId="4C8ED8EC" w14:textId="77777777">
      <w:pPr>
        <w:ind w:firstLine="720"/>
        <w:rPr>
          <w:rFonts w:eastAsia="Aptos"/>
          <w:kern w:val="2"/>
          <w:szCs w:val="24"/>
          <w14:ligatures w14:val="standardContextual"/>
        </w:rPr>
      </w:pPr>
    </w:p>
    <w:p w:rsidR="00450157" w:rsidP="00450157" w14:paraId="6AEE110B" w14:textId="77777777">
      <w:pPr>
        <w:ind w:firstLine="720"/>
        <w:rPr>
          <w:rFonts w:eastAsia="Aptos"/>
          <w:kern w:val="2"/>
          <w:szCs w:val="24"/>
          <w14:ligatures w14:val="standardContextual"/>
        </w:rPr>
      </w:pPr>
      <w:r w:rsidRPr="00450157">
        <w:rPr>
          <w:rFonts w:eastAsia="Aptos"/>
          <w:kern w:val="2"/>
          <w:szCs w:val="24"/>
          <w14:ligatures w14:val="standardContextual"/>
        </w:rPr>
        <w:t>Section 15.14(g) requires all permitted payment stablecoin issuers to develop and implement a records retention policy that ensures the permitted payment stablecoin issuer can demonstrate compliance with the GENIUS Act, 12 CFR part 15, and all applicable laws and regulations.</w:t>
      </w:r>
    </w:p>
    <w:p w:rsidR="00A65CA1" w:rsidRPr="00450157" w:rsidP="00450157" w14:paraId="5B84E230" w14:textId="77777777">
      <w:pPr>
        <w:ind w:firstLine="720"/>
        <w:rPr>
          <w:rFonts w:eastAsia="Aptos"/>
          <w:kern w:val="2"/>
          <w:szCs w:val="24"/>
          <w14:ligatures w14:val="standardContextual"/>
        </w:rPr>
      </w:pPr>
    </w:p>
    <w:p w:rsidR="00450157" w:rsidP="00450157" w14:paraId="4A10C530" w14:textId="77777777">
      <w:pPr>
        <w:ind w:firstLine="720"/>
        <w:rPr>
          <w:rFonts w:eastAsia="Aptos"/>
          <w:kern w:val="2"/>
          <w:szCs w:val="24"/>
          <w14:ligatures w14:val="standardContextual"/>
        </w:rPr>
      </w:pPr>
      <w:r w:rsidRPr="00450157">
        <w:rPr>
          <w:rFonts w:eastAsia="Aptos"/>
          <w:kern w:val="2"/>
          <w:szCs w:val="24"/>
          <w14:ligatures w14:val="standardContextual"/>
        </w:rPr>
        <w:t>Section 15.14(l)(1) requires a registered public accounting firm to perform an audit of the financial statements described in § 15.14(l) and sets forth the auditing requirements.</w:t>
      </w:r>
    </w:p>
    <w:p w:rsidR="00A65CA1" w:rsidRPr="00450157" w:rsidP="00450157" w14:paraId="013EEECD" w14:textId="77777777">
      <w:pPr>
        <w:ind w:firstLine="720"/>
        <w:rPr>
          <w:rFonts w:eastAsia="Aptos"/>
          <w:kern w:val="2"/>
          <w:szCs w:val="24"/>
          <w14:ligatures w14:val="standardContextual"/>
        </w:rPr>
      </w:pPr>
    </w:p>
    <w:p w:rsidR="00450157" w:rsidP="00450157" w14:paraId="00699563" w14:textId="1CE3D502">
      <w:pPr>
        <w:ind w:firstLine="720"/>
        <w:rPr>
          <w:rFonts w:eastAsia="Aptos"/>
          <w:kern w:val="2"/>
          <w:szCs w:val="24"/>
          <w14:ligatures w14:val="standardContextual"/>
        </w:rPr>
      </w:pPr>
      <w:r w:rsidRPr="00450157">
        <w:rPr>
          <w:rFonts w:eastAsia="Aptos"/>
          <w:kern w:val="2"/>
          <w:szCs w:val="24"/>
          <w14:ligatures w14:val="standardContextual"/>
        </w:rPr>
        <w:t xml:space="preserve">Section 15.15(b) covers the requirements related to a State qualified payment stablecoin issuer that is a nonbank entity transitioning to the OCC’s regulatory framework pursuant to section 4 of the GENIUS Act (12 U.S.C. 5903). </w:t>
      </w:r>
      <w:r w:rsidR="006F61A0">
        <w:rPr>
          <w:rFonts w:eastAsia="Aptos"/>
          <w:kern w:val="2"/>
          <w:szCs w:val="24"/>
          <w14:ligatures w14:val="standardContextual"/>
        </w:rPr>
        <w:t xml:space="preserve"> </w:t>
      </w:r>
      <w:r w:rsidRPr="00450157">
        <w:rPr>
          <w:rFonts w:eastAsia="Aptos"/>
          <w:kern w:val="2"/>
          <w:szCs w:val="24"/>
          <w14:ligatures w14:val="standardContextual"/>
        </w:rPr>
        <w:t xml:space="preserve">Sections 15.15(b)(1)(i) and (ii) require a State qualified payment stablecoin issuer with a total consolidated outstanding issuance value of more than $10 billion to no later than 360 days after reaching such threshold, transition to the Federal regulatory framework under 12 CFR part 15 and comply with the provisions of this part applicable to Federal qualified payment stablecoin issuers or cease issuing, on a net basis, new payment stablecoins until the issuer is under the $10 billion total consolidated outstanding issuance value threshold. </w:t>
      </w:r>
      <w:r w:rsidR="006F61A0">
        <w:rPr>
          <w:rFonts w:eastAsia="Aptos"/>
          <w:kern w:val="2"/>
          <w:szCs w:val="24"/>
          <w14:ligatures w14:val="standardContextual"/>
        </w:rPr>
        <w:t xml:space="preserve"> </w:t>
      </w:r>
      <w:r w:rsidRPr="00450157">
        <w:rPr>
          <w:rFonts w:eastAsia="Aptos"/>
          <w:kern w:val="2"/>
          <w:szCs w:val="24"/>
          <w14:ligatures w14:val="standardContextual"/>
        </w:rPr>
        <w:t xml:space="preserve">Additionally, § 15.15(b)(4)(ii) provides that a State qualified payment stablecoin issuer that does not cease issuing new payment stablecoins in accordance with § 15.15(b)(1)(ii) would be required to transition to the regulatory framework under this part on the </w:t>
      </w:r>
      <w:r w:rsidRPr="00450157">
        <w:rPr>
          <w:rFonts w:eastAsia="Aptos"/>
          <w:kern w:val="2"/>
          <w:szCs w:val="24"/>
          <w14:ligatures w14:val="standardContextual"/>
        </w:rPr>
        <w:t>earlier of 360 days after reaching the $10 billion outstanding issuance value threshold or the date on which the State qualified payment stablecoin issuer provides written notification under § 15.15(b)(4)(i).</w:t>
      </w:r>
    </w:p>
    <w:p w:rsidR="00A65CA1" w:rsidRPr="00450157" w:rsidP="00450157" w14:paraId="6FDDC317" w14:textId="77777777">
      <w:pPr>
        <w:ind w:firstLine="720"/>
        <w:rPr>
          <w:rFonts w:eastAsia="Aptos"/>
          <w:kern w:val="2"/>
          <w:szCs w:val="24"/>
          <w14:ligatures w14:val="standardContextual"/>
        </w:rPr>
      </w:pPr>
    </w:p>
    <w:p w:rsidR="00450157" w:rsidP="00450157" w14:paraId="6D94AD5C" w14:textId="413A7543">
      <w:pPr>
        <w:ind w:firstLine="720"/>
        <w:rPr>
          <w:rFonts w:eastAsia="Aptos"/>
          <w:kern w:val="2"/>
          <w:szCs w:val="24"/>
          <w14:ligatures w14:val="standardContextual"/>
        </w:rPr>
      </w:pPr>
      <w:r w:rsidRPr="00450157">
        <w:rPr>
          <w:rFonts w:eastAsia="Aptos"/>
          <w:kern w:val="2"/>
          <w:szCs w:val="24"/>
          <w14:ligatures w14:val="standardContextual"/>
        </w:rPr>
        <w:t>Section 15.21 sets forth covered asset custodial property requirements.</w:t>
      </w:r>
      <w:r w:rsidRPr="00450157">
        <w:rPr>
          <w:rFonts w:eastAsia="Aptos"/>
          <w:kern w:val="2"/>
          <w:szCs w:val="24"/>
          <w14:ligatures w14:val="standardContextual"/>
        </w:rPr>
        <w:t xml:space="preserve"> </w:t>
      </w:r>
      <w:r w:rsidR="006F61A0">
        <w:rPr>
          <w:rFonts w:eastAsia="Aptos"/>
          <w:kern w:val="2"/>
          <w:szCs w:val="24"/>
          <w14:ligatures w14:val="standardContextual"/>
        </w:rPr>
        <w:t xml:space="preserve"> </w:t>
      </w:r>
      <w:r w:rsidRPr="00450157">
        <w:rPr>
          <w:rFonts w:eastAsia="Aptos"/>
          <w:kern w:val="2"/>
          <w:szCs w:val="24"/>
          <w14:ligatures w14:val="standardContextual"/>
        </w:rPr>
        <w:t>Section 15.21(b)(1) provides that a covered custodian is required to take appropriate steps to protect the covered assets of covered customers from the claims of creditors of the covered custodian and any sub-custodian, as applicable, through adopting, implementing, and maintaining written custody agreements and policies, procedures, and internal controls that are adequate to comply with applicable law and that are commensurate with the covered custodian’s size, complexity, and risk profile and with the nature of the applicable covered assets for which it provides custodial services or safekeeping services.</w:t>
      </w:r>
      <w:r w:rsidR="006F61A0">
        <w:rPr>
          <w:rFonts w:eastAsia="Aptos"/>
          <w:kern w:val="2"/>
          <w:szCs w:val="24"/>
          <w14:ligatures w14:val="standardContextual"/>
        </w:rPr>
        <w:t xml:space="preserve"> </w:t>
      </w:r>
      <w:r w:rsidRPr="00450157">
        <w:rPr>
          <w:rFonts w:eastAsia="Aptos"/>
          <w:kern w:val="2"/>
          <w:szCs w:val="24"/>
          <w14:ligatures w14:val="standardContextual"/>
        </w:rPr>
        <w:t xml:space="preserve"> Section 15.21(b)(2)(i) further provides that a covered custodian may maintain the covered assets of a covered customer through the use of a sub-custodian if consistent with applicable law, provided that the covered custodian maintains adequate safeguards and internal controls reasonably designed to provide the covered custodian with oversight of the sub-custodian’s compliance with the requirements of 12 CFR part 15, subpart C.</w:t>
      </w:r>
    </w:p>
    <w:p w:rsidR="00A65CA1" w:rsidRPr="00450157" w:rsidP="00450157" w14:paraId="6CE03BE6" w14:textId="77777777">
      <w:pPr>
        <w:ind w:firstLine="720"/>
        <w:rPr>
          <w:rFonts w:eastAsia="Aptos"/>
          <w:kern w:val="2"/>
          <w:szCs w:val="24"/>
          <w14:ligatures w14:val="standardContextual"/>
        </w:rPr>
      </w:pPr>
    </w:p>
    <w:p w:rsidR="00450157" w:rsidP="00450157" w14:paraId="7BCB9DAD" w14:textId="79A332D6">
      <w:pPr>
        <w:ind w:firstLine="720"/>
        <w:rPr>
          <w:rFonts w:eastAsia="Aptos"/>
          <w:kern w:val="2"/>
          <w:szCs w:val="24"/>
          <w14:ligatures w14:val="standardContextual"/>
        </w:rPr>
      </w:pPr>
      <w:r w:rsidRPr="00450157">
        <w:rPr>
          <w:rFonts w:eastAsia="Aptos"/>
          <w:kern w:val="2"/>
          <w:szCs w:val="24"/>
          <w14:ligatures w14:val="standardContextual"/>
        </w:rPr>
        <w:t xml:space="preserve">Section 15.22 sets forth the use of omnibus accounts. </w:t>
      </w:r>
      <w:r w:rsidR="006F61A0">
        <w:rPr>
          <w:rFonts w:eastAsia="Aptos"/>
          <w:kern w:val="2"/>
          <w:szCs w:val="24"/>
          <w14:ligatures w14:val="standardContextual"/>
        </w:rPr>
        <w:t xml:space="preserve"> </w:t>
      </w:r>
      <w:r w:rsidRPr="00450157">
        <w:rPr>
          <w:rFonts w:eastAsia="Aptos"/>
          <w:kern w:val="2"/>
          <w:szCs w:val="24"/>
          <w14:ligatures w14:val="standardContextual"/>
        </w:rPr>
        <w:t>Under § 15.22(c), a sub-custodian may, for convenience, commingle the covered custodian’s assets with the covered assets of its covered customers in one or more omnibus accounts of the sub-custodian; provided that the covered custodian maintains adequate safeguards and internal controls reasonably designed to ensure that the sub-custodian segregates all covered assets of the covered custodian’s covered customers from, and does not commingle such covered assets with, the assets of the sub-custodian.</w:t>
      </w:r>
    </w:p>
    <w:p w:rsidR="00A65CA1" w:rsidRPr="00450157" w:rsidP="00450157" w14:paraId="12E91B3A" w14:textId="77777777">
      <w:pPr>
        <w:ind w:firstLine="720"/>
        <w:rPr>
          <w:rFonts w:eastAsia="Aptos"/>
          <w:kern w:val="2"/>
          <w:szCs w:val="24"/>
          <w14:ligatures w14:val="standardContextual"/>
        </w:rPr>
      </w:pPr>
    </w:p>
    <w:p w:rsidR="00450157" w:rsidP="00450157" w14:paraId="4D6CFCCB" w14:textId="77777777">
      <w:pPr>
        <w:ind w:firstLine="720"/>
        <w:rPr>
          <w:rFonts w:eastAsia="Aptos"/>
          <w:kern w:val="2"/>
          <w:szCs w:val="24"/>
          <w14:ligatures w14:val="standardContextual"/>
        </w:rPr>
      </w:pPr>
      <w:r w:rsidRPr="00450157">
        <w:rPr>
          <w:rFonts w:eastAsia="Aptos"/>
          <w:kern w:val="2"/>
          <w:szCs w:val="24"/>
          <w14:ligatures w14:val="standardContextual"/>
        </w:rPr>
        <w:t>Section 15.41(a)(2)(ii) requires a permitted payment stablecoin issuer to have a process for assessing its overall capital adequacy in relation to its business model and risk profile and a comprehensive strategy for sustaining an appropriate level of capital to maintain ongoing operations.</w:t>
      </w:r>
    </w:p>
    <w:p w:rsidR="00A65CA1" w:rsidRPr="00450157" w:rsidP="00450157" w14:paraId="345B630D" w14:textId="77777777">
      <w:pPr>
        <w:ind w:firstLine="720"/>
        <w:rPr>
          <w:rFonts w:eastAsia="Aptos"/>
          <w:kern w:val="2"/>
          <w:szCs w:val="24"/>
          <w14:ligatures w14:val="standardContextual"/>
        </w:rPr>
      </w:pPr>
    </w:p>
    <w:p w:rsidR="00450157" w:rsidP="00450157" w14:paraId="692AD6D4" w14:textId="77777777">
      <w:pPr>
        <w:ind w:firstLine="720"/>
        <w:rPr>
          <w:rFonts w:eastAsia="Aptos"/>
          <w:kern w:val="2"/>
          <w:szCs w:val="24"/>
          <w14:ligatures w14:val="standardContextual"/>
        </w:rPr>
      </w:pPr>
      <w:r w:rsidRPr="00450157">
        <w:rPr>
          <w:rFonts w:eastAsia="Aptos"/>
          <w:kern w:val="2"/>
          <w:szCs w:val="24"/>
          <w14:ligatures w14:val="standardContextual"/>
        </w:rPr>
        <w:t>Section 15.41(c)(5) provides that among other criteria, the OCC may permit a permitted payment stablecoin issuer to continue operations while its operational backstop is below the required amount, if the permitted payment stablecoin issuer provides a plan within seven days to regain compliance with the operational backstop requirement within 90 days, and the OCC deems the plan viable.</w:t>
      </w:r>
    </w:p>
    <w:p w:rsidR="00A65CA1" w:rsidRPr="00450157" w:rsidP="00450157" w14:paraId="11F00501" w14:textId="77777777">
      <w:pPr>
        <w:ind w:firstLine="720"/>
        <w:rPr>
          <w:rFonts w:eastAsia="Aptos"/>
          <w:kern w:val="2"/>
          <w:szCs w:val="24"/>
          <w14:ligatures w14:val="standardContextual"/>
        </w:rPr>
      </w:pPr>
    </w:p>
    <w:p w:rsidR="00450157" w:rsidP="00450157" w14:paraId="2B80701D" w14:textId="77777777">
      <w:pPr>
        <w:ind w:firstLine="720"/>
        <w:rPr>
          <w:rFonts w:eastAsia="Aptos"/>
          <w:i/>
          <w:iCs/>
          <w:kern w:val="2"/>
          <w:szCs w:val="24"/>
          <w14:ligatures w14:val="standardContextual"/>
        </w:rPr>
      </w:pPr>
      <w:r w:rsidRPr="00450157">
        <w:rPr>
          <w:rFonts w:eastAsia="Aptos"/>
          <w:i/>
          <w:iCs/>
          <w:kern w:val="2"/>
          <w:szCs w:val="24"/>
          <w14:ligatures w14:val="standardContextual"/>
        </w:rPr>
        <w:t>Disclosure Requirements</w:t>
      </w:r>
    </w:p>
    <w:p w:rsidR="00A65CA1" w:rsidRPr="00450157" w:rsidP="00450157" w14:paraId="5EED20D7" w14:textId="77777777">
      <w:pPr>
        <w:ind w:firstLine="720"/>
        <w:rPr>
          <w:rFonts w:eastAsia="Aptos"/>
          <w:kern w:val="2"/>
          <w:szCs w:val="24"/>
          <w14:ligatures w14:val="standardContextual"/>
        </w:rPr>
      </w:pPr>
    </w:p>
    <w:p w:rsidR="00450157" w:rsidP="00450157" w14:paraId="7959CDFE" w14:textId="24090EC5">
      <w:pPr>
        <w:ind w:firstLine="720"/>
        <w:rPr>
          <w:rFonts w:eastAsia="Aptos"/>
          <w:kern w:val="2"/>
          <w:szCs w:val="24"/>
          <w14:ligatures w14:val="standardContextual"/>
        </w:rPr>
      </w:pPr>
      <w:r w:rsidRPr="00450157">
        <w:rPr>
          <w:rFonts w:eastAsia="Aptos"/>
          <w:kern w:val="2"/>
          <w:szCs w:val="24"/>
          <w14:ligatures w14:val="standardContextual"/>
        </w:rPr>
        <w:t xml:space="preserve">Section 15.11(e) sets forth the specific disclosure requirements for composition reports. </w:t>
      </w:r>
      <w:r w:rsidR="006F61A0">
        <w:rPr>
          <w:rFonts w:eastAsia="Aptos"/>
          <w:kern w:val="2"/>
          <w:szCs w:val="24"/>
          <w14:ligatures w14:val="standardContextual"/>
        </w:rPr>
        <w:t xml:space="preserve"> </w:t>
      </w:r>
      <w:r w:rsidRPr="00450157">
        <w:rPr>
          <w:rFonts w:eastAsia="Aptos"/>
          <w:kern w:val="2"/>
          <w:szCs w:val="24"/>
          <w14:ligatures w14:val="standardContextual"/>
        </w:rPr>
        <w:t xml:space="preserve">Section 15.11(e)(1) requires a permitted payment stablecoin issuer by noon on the last day of each month, to publish on the website of the issuer the monthly composition of the issuer’s reserves held pursuant to the GENIUS Act as of noon on the last day of the previous month. </w:t>
      </w:r>
    </w:p>
    <w:p w:rsidR="00A65CA1" w:rsidRPr="00450157" w:rsidP="00450157" w14:paraId="25C18D1F" w14:textId="77777777">
      <w:pPr>
        <w:ind w:firstLine="720"/>
        <w:rPr>
          <w:rFonts w:eastAsia="Aptos"/>
          <w:kern w:val="2"/>
          <w:szCs w:val="24"/>
          <w14:ligatures w14:val="standardContextual"/>
        </w:rPr>
      </w:pPr>
    </w:p>
    <w:p w:rsidR="00450157" w:rsidP="00450157" w14:paraId="054071BA" w14:textId="77777777">
      <w:pPr>
        <w:ind w:firstLine="720"/>
        <w:rPr>
          <w:rFonts w:eastAsia="Aptos"/>
          <w:kern w:val="2"/>
          <w:szCs w:val="24"/>
          <w14:ligatures w14:val="standardContextual"/>
        </w:rPr>
      </w:pPr>
      <w:bookmarkStart w:id="2" w:name="_Hlk219307498"/>
      <w:r w:rsidRPr="00450157">
        <w:rPr>
          <w:rFonts w:eastAsia="Aptos"/>
          <w:kern w:val="2"/>
          <w:szCs w:val="24"/>
          <w14:ligatures w14:val="standardContextual"/>
        </w:rPr>
        <w:t xml:space="preserve">Section 15.12(b) requires a permitted payment stablecoin issuer to publicly disclose its redemption policy and include: the timeframe in which the issuer will redeem payment </w:t>
      </w:r>
      <w:r w:rsidRPr="00450157">
        <w:rPr>
          <w:rFonts w:eastAsia="Aptos"/>
          <w:kern w:val="2"/>
          <w:szCs w:val="24"/>
          <w14:ligatures w14:val="standardContextual"/>
        </w:rPr>
        <w:t>stablecoins and the timeframe under which the issuer is required to redeem payment stablecoins under § 15.12(c)(1)(i); a statement explaining the limitation in §</w:t>
      </w:r>
      <w:r w:rsidRPr="00450157">
        <w:rPr>
          <w:rFonts w:eastAsia="Aptos"/>
          <w:sz w:val="22"/>
          <w:szCs w:val="22"/>
        </w:rPr>
        <w:t xml:space="preserve"> </w:t>
      </w:r>
      <w:r w:rsidRPr="00450157">
        <w:rPr>
          <w:rFonts w:eastAsia="Aptos"/>
          <w:kern w:val="2"/>
          <w:szCs w:val="24"/>
          <w14:ligatures w14:val="standardContextual"/>
        </w:rPr>
        <w:t>15.12(c)(1)(ii); a statement explaining the scenarios under which the redemption period may be extended as described in §</w:t>
      </w:r>
      <w:r w:rsidRPr="00450157">
        <w:rPr>
          <w:rFonts w:eastAsia="Aptos"/>
          <w:sz w:val="22"/>
          <w:szCs w:val="22"/>
        </w:rPr>
        <w:t xml:space="preserve"> </w:t>
      </w:r>
      <w:r w:rsidRPr="00450157">
        <w:rPr>
          <w:rFonts w:eastAsia="Aptos"/>
          <w:kern w:val="2"/>
          <w:szCs w:val="24"/>
          <w14:ligatures w14:val="standardContextual"/>
        </w:rPr>
        <w:t>15.12(d); a statement with clear instructions on how a payment stablecoin holder can redeem a payment stablecoin, including a link to the website(s) where a payment stablecoin holder can redeem the payment stablecoin; and the minimum number of payment stablecoins, if any, that the permitted payment stablecoin issuer will redeem, provided that the issuer must redeem any number greater than or equal to one payment stablecoin, subject to appropriate customer screening and onboarding.</w:t>
      </w:r>
      <w:bookmarkEnd w:id="2"/>
    </w:p>
    <w:p w:rsidR="00A65CA1" w:rsidRPr="00450157" w:rsidP="00450157" w14:paraId="417CC6FC" w14:textId="77777777">
      <w:pPr>
        <w:ind w:firstLine="720"/>
        <w:rPr>
          <w:rFonts w:eastAsia="Aptos"/>
          <w:kern w:val="2"/>
          <w:szCs w:val="24"/>
          <w14:ligatures w14:val="standardContextual"/>
        </w:rPr>
      </w:pPr>
    </w:p>
    <w:p w:rsidR="00450157" w:rsidP="00450157" w14:paraId="1457A824" w14:textId="7AA7BEDB">
      <w:pPr>
        <w:ind w:firstLine="720"/>
        <w:rPr>
          <w:rFonts w:eastAsia="Aptos"/>
          <w:kern w:val="2"/>
          <w:szCs w:val="24"/>
          <w14:ligatures w14:val="standardContextual"/>
        </w:rPr>
      </w:pPr>
      <w:r w:rsidRPr="00450157">
        <w:rPr>
          <w:rFonts w:eastAsia="Aptos"/>
          <w:kern w:val="2"/>
          <w:szCs w:val="24"/>
          <w14:ligatures w14:val="standardContextual"/>
        </w:rPr>
        <w:t>Section 15.12(e) sets forth purchase and redemption disclosures and fee requirements.</w:t>
      </w:r>
      <w:r w:rsidR="006F61A0">
        <w:rPr>
          <w:rFonts w:eastAsia="Aptos"/>
          <w:kern w:val="2"/>
          <w:szCs w:val="24"/>
          <w14:ligatures w14:val="standardContextual"/>
        </w:rPr>
        <w:t xml:space="preserve"> </w:t>
      </w:r>
      <w:r w:rsidRPr="00450157">
        <w:rPr>
          <w:rFonts w:eastAsia="Aptos"/>
          <w:kern w:val="2"/>
          <w:szCs w:val="24"/>
          <w14:ligatures w14:val="standardContextual"/>
        </w:rPr>
        <w:t xml:space="preserve"> Section 15.12(e)(1) requires a permitted payment stablecoin issuer to publicly, clearly, and conspicuously disclose in plain language and in a format that is readily noticeable to payment stablecoin holders, and segregated from other information: the name of the permitted payment stablecoin issuer that issues the payment stablecoin; that the permitted payment stablecoin issuer is the entity that is obligated to convert, redeem, or repurchase the payment stablecoin for a fixed amount of monetary value; the website that contains a link to the monthly composition report of the relevant permitted payment stablecoin issuer’s reserves required under § 15.11(e); all fees associated with purchasing or redeeming payment stablecoins; that the payment stablecoin is not legal tender, issued by the United States, or guaranteed or approved by the United States; and that payment stablecoins are not deposits, not backed by the full faith and credit of the United States, not subject to deposit insurance by the FDIC, and not subject to share insurance by the National Credit Union Administration. </w:t>
      </w:r>
      <w:r w:rsidR="006F61A0">
        <w:rPr>
          <w:rFonts w:eastAsia="Aptos"/>
          <w:kern w:val="2"/>
          <w:szCs w:val="24"/>
          <w14:ligatures w14:val="standardContextual"/>
        </w:rPr>
        <w:t xml:space="preserve"> </w:t>
      </w:r>
      <w:r w:rsidRPr="00450157">
        <w:rPr>
          <w:rFonts w:eastAsia="Aptos"/>
          <w:kern w:val="2"/>
          <w:szCs w:val="24"/>
          <w14:ligatures w14:val="standardContextual"/>
        </w:rPr>
        <w:t>Additionally, § 15.12(e)(2) requires the permitted payment stablecoin issuer to update the disclosures in § 15.12(e)(1)(iv) if there are any changes in fees associated with purchasing or redeeming payment stablecoins and provide payment stablecoin holders at least seven calendar days’ prior notice of the change, including by delivering the notice to customers with whom the permitted payment stablecoin issuer has a current relationship.</w:t>
      </w:r>
      <w:r w:rsidR="006F61A0">
        <w:rPr>
          <w:rFonts w:eastAsia="Aptos"/>
          <w:kern w:val="2"/>
          <w:szCs w:val="24"/>
          <w14:ligatures w14:val="standardContextual"/>
        </w:rPr>
        <w:t xml:space="preserve"> </w:t>
      </w:r>
      <w:r w:rsidRPr="00450157">
        <w:rPr>
          <w:rFonts w:eastAsia="Aptos"/>
          <w:kern w:val="2"/>
          <w:szCs w:val="24"/>
          <w14:ligatures w14:val="standardContextual"/>
        </w:rPr>
        <w:t xml:space="preserve"> Section 15.12(e)(3) also requires a permitted payment stablecoin issuer to publish the disclosures in § 15.12(e)(1) and any updates made in accordance with § 15.12(e)(2) on the permitted payment stablecoin issuer’s website. </w:t>
      </w:r>
      <w:r w:rsidR="006F61A0">
        <w:rPr>
          <w:rFonts w:eastAsia="Aptos"/>
          <w:kern w:val="2"/>
          <w:szCs w:val="24"/>
          <w14:ligatures w14:val="standardContextual"/>
        </w:rPr>
        <w:t xml:space="preserve"> </w:t>
      </w:r>
      <w:r w:rsidRPr="00450157">
        <w:rPr>
          <w:rFonts w:eastAsia="Aptos"/>
          <w:kern w:val="2"/>
          <w:szCs w:val="24"/>
          <w14:ligatures w14:val="standardContextual"/>
        </w:rPr>
        <w:t>Section 15.12(e)(4) also requires the permitted payment stablecoin issuer to include the disclosures in § 15.12(e)(1) and any updates made in accordance with § 15.12(e)(2) in any customer agreements.</w:t>
      </w:r>
    </w:p>
    <w:p w:rsidR="00A65CA1" w:rsidRPr="00450157" w:rsidP="00450157" w14:paraId="56ADCBBF" w14:textId="77777777">
      <w:pPr>
        <w:ind w:firstLine="720"/>
        <w:rPr>
          <w:rFonts w:eastAsia="Aptos"/>
          <w:kern w:val="2"/>
          <w:szCs w:val="24"/>
          <w14:ligatures w14:val="standardContextual"/>
        </w:rPr>
      </w:pPr>
    </w:p>
    <w:p w:rsidR="00450157" w:rsidP="00450157" w14:paraId="01DA3011" w14:textId="77777777">
      <w:pPr>
        <w:ind w:firstLine="720"/>
        <w:rPr>
          <w:rFonts w:eastAsia="Aptos"/>
          <w:kern w:val="2"/>
          <w:szCs w:val="24"/>
          <w14:ligatures w14:val="standardContextual"/>
        </w:rPr>
      </w:pPr>
      <w:r w:rsidRPr="00450157">
        <w:rPr>
          <w:rFonts w:eastAsia="Aptos"/>
          <w:kern w:val="2"/>
          <w:szCs w:val="24"/>
          <w14:ligatures w14:val="standardContextual"/>
        </w:rPr>
        <w:t>Section 15.14(l) requires that the described annual financial statement includes the disclosure of any related party transactions, as defined by GAAP.</w:t>
      </w:r>
    </w:p>
    <w:p w:rsidR="00A65CA1" w:rsidRPr="00450157" w:rsidP="00450157" w14:paraId="757B0334" w14:textId="77777777">
      <w:pPr>
        <w:ind w:firstLine="720"/>
        <w:rPr>
          <w:rFonts w:eastAsia="Aptos"/>
          <w:kern w:val="2"/>
          <w:szCs w:val="24"/>
          <w14:ligatures w14:val="standardContextual"/>
        </w:rPr>
      </w:pPr>
    </w:p>
    <w:p w:rsidR="00450157" w:rsidP="00450157" w14:paraId="2A72BE7D" w14:textId="77777777">
      <w:pPr>
        <w:ind w:firstLine="720"/>
        <w:rPr>
          <w:rFonts w:eastAsia="Aptos"/>
          <w:kern w:val="2"/>
          <w:szCs w:val="24"/>
          <w14:ligatures w14:val="standardContextual"/>
        </w:rPr>
      </w:pPr>
      <w:r w:rsidRPr="00450157">
        <w:rPr>
          <w:rFonts w:eastAsia="Aptos"/>
          <w:kern w:val="2"/>
          <w:szCs w:val="24"/>
          <w14:ligatures w14:val="standardContextual"/>
        </w:rPr>
        <w:t>Section 15.14(l)(2)(i) requires a permitted payment stablecoin issuer to make the audited financial statements under § 15.15(14)(l), publicly available on the permitted payment stablecoin issuer’s website.</w:t>
      </w:r>
    </w:p>
    <w:p w:rsidR="00A65CA1" w:rsidRPr="00450157" w:rsidP="00450157" w14:paraId="5050A9B6" w14:textId="77777777">
      <w:pPr>
        <w:ind w:firstLine="720"/>
        <w:rPr>
          <w:rFonts w:eastAsia="Aptos"/>
          <w:kern w:val="2"/>
          <w:szCs w:val="24"/>
          <w14:ligatures w14:val="standardContextual"/>
        </w:rPr>
      </w:pPr>
    </w:p>
    <w:p w:rsidR="00450157" w:rsidRPr="00450157" w:rsidP="00450157" w14:paraId="0F0291BD" w14:textId="77777777">
      <w:pPr>
        <w:ind w:firstLine="720"/>
        <w:rPr>
          <w:rFonts w:eastAsia="Aptos"/>
          <w:kern w:val="2"/>
          <w:szCs w:val="24"/>
          <w14:ligatures w14:val="standardContextual"/>
        </w:rPr>
      </w:pPr>
      <w:r w:rsidRPr="00450157">
        <w:rPr>
          <w:rFonts w:eastAsia="Aptos"/>
          <w:kern w:val="2"/>
          <w:szCs w:val="24"/>
          <w14:ligatures w14:val="standardContextual"/>
        </w:rPr>
        <w:t>Section 15.22(b) provides that a covered custodian may, for convenience, commingle the covered assets of multiple covered customers in one or more omnibus accounts to the extent that the steps it has taken pursuant to § 15.21(b) are adequate to maintain safe and sound practices for the use and terms of any omnibus account, and to the extent that the use of omnibus accounts is consistent with applicable law, and is fully disclosed in the applicable custody agreement.</w:t>
      </w:r>
    </w:p>
    <w:p w:rsidR="00297417" w:rsidRPr="00450157" w:rsidP="00450157" w14:paraId="5B0D20B4" w14:textId="3142F0D2">
      <w:pPr>
        <w:ind w:firstLine="720"/>
        <w:rPr>
          <w:rFonts w:eastAsia="Aptos"/>
          <w:kern w:val="2"/>
          <w:szCs w:val="24"/>
          <w14:ligatures w14:val="standardContextual"/>
        </w:rPr>
      </w:pPr>
      <w:r w:rsidRPr="00450157">
        <w:rPr>
          <w:rFonts w:eastAsia="Aptos"/>
          <w:kern w:val="2"/>
          <w:szCs w:val="24"/>
          <w14:ligatures w14:val="standardContextual"/>
        </w:rPr>
        <w:t>Section 15.32(e) sets forth the conditions of approval for foreign payment stablecoin issuers seeking to be registered with the OCC under section 18(c) of the GENIUS Act (12 U.S.C. 5916(c)).</w:t>
      </w:r>
      <w:r w:rsidRPr="00450157">
        <w:rPr>
          <w:rFonts w:eastAsia="Aptos"/>
          <w:kern w:val="2"/>
          <w:szCs w:val="24"/>
          <w14:ligatures w14:val="standardContextual"/>
        </w:rPr>
        <w:t xml:space="preserve"> </w:t>
      </w:r>
      <w:r w:rsidR="006F61A0">
        <w:rPr>
          <w:rFonts w:eastAsia="Aptos"/>
          <w:kern w:val="2"/>
          <w:szCs w:val="24"/>
          <w14:ligatures w14:val="standardContextual"/>
        </w:rPr>
        <w:t xml:space="preserve"> </w:t>
      </w:r>
      <w:r w:rsidRPr="00450157">
        <w:rPr>
          <w:rFonts w:eastAsia="Aptos"/>
          <w:kern w:val="2"/>
          <w:szCs w:val="24"/>
          <w14:ligatures w14:val="standardContextual"/>
        </w:rPr>
        <w:t>Sections 15.32(e)(1) and (2) provide that upon request by the OCC, foreign payment stablecoin issuers are required to grant the OCC prompt and complete access to all officers, directors, employees, and agents and to all relevant books, records, or documents of any type, in a form and location accessible to the OCC in the United States.</w:t>
      </w:r>
      <w:r w:rsidRPr="00450157">
        <w:rPr>
          <w:rFonts w:eastAsia="Aptos"/>
          <w:kern w:val="2"/>
          <w:szCs w:val="24"/>
          <w14:ligatures w14:val="standardContextual"/>
        </w:rPr>
        <w:t xml:space="preserve"> </w:t>
      </w:r>
      <w:r w:rsidR="00392BE8">
        <w:rPr>
          <w:rFonts w:eastAsia="Aptos"/>
          <w:kern w:val="2"/>
          <w:szCs w:val="24"/>
          <w14:ligatures w14:val="standardContextual"/>
        </w:rPr>
        <w:t xml:space="preserve"> </w:t>
      </w:r>
      <w:r w:rsidRPr="00450157">
        <w:rPr>
          <w:rFonts w:eastAsia="Aptos"/>
          <w:kern w:val="2"/>
          <w:szCs w:val="24"/>
          <w14:ligatures w14:val="standardContextual"/>
        </w:rPr>
        <w:t>The foreign payment stablecoin issuer is also required to make all information available to the OCC in English.</w:t>
      </w:r>
    </w:p>
    <w:p w:rsidR="00DE638F" w:rsidRPr="00297417" w:rsidP="00DE638F" w14:paraId="6ABCDFD4" w14:textId="77777777">
      <w:pPr>
        <w:pStyle w:val="ListParagraph"/>
        <w:widowControl w:val="0"/>
        <w:autoSpaceDE w:val="0"/>
        <w:autoSpaceDN w:val="0"/>
        <w:adjustRightInd w:val="0"/>
        <w:spacing w:after="0"/>
        <w:ind w:left="0" w:firstLine="720"/>
        <w:rPr>
          <w:rFonts w:ascii="Times New Roman" w:eastAsia="Times New Roman" w:hAnsi="Times New Roman"/>
          <w:sz w:val="24"/>
          <w:szCs w:val="24"/>
        </w:rPr>
      </w:pPr>
    </w:p>
    <w:p w:rsidR="00811CB2" w:rsidRPr="005C2B31" w:rsidP="003C4513" w14:paraId="4FF21997" w14:textId="77777777">
      <w:pPr>
        <w:rPr>
          <w:b/>
          <w:bCs/>
          <w:i/>
        </w:rPr>
      </w:pPr>
      <w:r w:rsidRPr="005C2B31">
        <w:rPr>
          <w:b/>
          <w:bCs/>
          <w:i/>
        </w:rPr>
        <w:t>3. Consideration of the use of improved information technology</w:t>
      </w:r>
      <w:r w:rsidRPr="005C2B31" w:rsidR="00A75944">
        <w:rPr>
          <w:b/>
          <w:bCs/>
          <w:i/>
        </w:rPr>
        <w:t>:</w:t>
      </w:r>
    </w:p>
    <w:p w:rsidR="00811CB2" w:rsidP="00AD02D9" w14:paraId="15CC8AD4" w14:textId="258D2C69"/>
    <w:p w:rsidR="000C737E" w:rsidP="000C737E" w14:paraId="7FF7CFBF" w14:textId="085F893E">
      <w:pPr>
        <w:ind w:firstLine="720"/>
      </w:pPr>
      <w:r>
        <w:t xml:space="preserve">The OCC uses information technology to reduce compliance burden </w:t>
      </w:r>
      <w:r w:rsidR="00325F37">
        <w:t xml:space="preserve">for </w:t>
      </w:r>
      <w:r>
        <w:t xml:space="preserve">entities that would be subject to </w:t>
      </w:r>
      <w:r>
        <w:t>part</w:t>
      </w:r>
      <w:r>
        <w:t xml:space="preserve"> 15 and </w:t>
      </w:r>
      <w:r>
        <w:t>the OCC</w:t>
      </w:r>
      <w:r>
        <w:t>.</w:t>
      </w:r>
      <w:r w:rsidR="00392BE8">
        <w:t xml:space="preserve"> </w:t>
      </w:r>
      <w:r>
        <w:t xml:space="preserve"> The rule includes provisions regard</w:t>
      </w:r>
      <w:r w:rsidR="00550CBB">
        <w:t>ing ongo</w:t>
      </w:r>
      <w:r w:rsidR="00E64128">
        <w:t>ing monitoring intended to reduce the need for other supervisory methods that may entail additional burden.</w:t>
      </w:r>
    </w:p>
    <w:p w:rsidR="00811CB2" w:rsidP="00AD02D9" w14:paraId="103AFA84" w14:textId="77777777"/>
    <w:p w:rsidR="00811CB2" w:rsidP="00C3034C" w14:paraId="15969773" w14:textId="1986AD72">
      <w:pPr>
        <w:rPr>
          <w:b/>
          <w:bCs/>
          <w:i/>
        </w:rPr>
      </w:pPr>
      <w:r w:rsidRPr="005C2B31">
        <w:rPr>
          <w:b/>
          <w:bCs/>
          <w:i/>
        </w:rPr>
        <w:t>4. Efforts to identify duplication</w:t>
      </w:r>
      <w:r w:rsidRPr="005C2B31" w:rsidR="00A75944">
        <w:rPr>
          <w:b/>
          <w:bCs/>
          <w:i/>
        </w:rPr>
        <w:t>:</w:t>
      </w:r>
    </w:p>
    <w:p w:rsidR="004C6CE2" w:rsidRPr="00C3034C" w:rsidP="00C3034C" w14:paraId="52C06E82" w14:textId="77777777">
      <w:pPr>
        <w:rPr>
          <w:b/>
          <w:bCs/>
          <w:i/>
        </w:rPr>
      </w:pPr>
    </w:p>
    <w:p w:rsidR="002C1203" w:rsidP="00C3034C" w14:paraId="558FB062" w14:textId="4D55383E">
      <w:pPr>
        <w:ind w:firstLine="720"/>
      </w:pPr>
      <w:r>
        <w:t xml:space="preserve">The rule states that the OCC will, to the fullest extent </w:t>
      </w:r>
      <w:r>
        <w:t>possible</w:t>
      </w:r>
      <w:r>
        <w:t xml:space="preserve"> avoid duplication of examination activities, reporting requirements, and requests for information</w:t>
      </w:r>
      <w:r w:rsidR="007073C8">
        <w:t xml:space="preserve">. </w:t>
      </w:r>
      <w:r w:rsidR="00392BE8">
        <w:t xml:space="preserve"> </w:t>
      </w:r>
      <w:r w:rsidR="007073C8">
        <w:t xml:space="preserve">The rule further states that the OCC will </w:t>
      </w:r>
      <w:r w:rsidR="007073C8">
        <w:t>use existing reports and other</w:t>
      </w:r>
      <w:r w:rsidR="009D31B1">
        <w:t xml:space="preserve"> </w:t>
      </w:r>
      <w:r w:rsidR="002216C2">
        <w:t>supervisory information to the fullest extent</w:t>
      </w:r>
      <w:r w:rsidR="002216C2">
        <w:t xml:space="preserve"> possible</w:t>
      </w:r>
      <w:r>
        <w:t xml:space="preserve">. </w:t>
      </w:r>
      <w:r w:rsidR="00392BE8">
        <w:t xml:space="preserve"> </w:t>
      </w:r>
      <w:r>
        <w:t>Consistent with this approach</w:t>
      </w:r>
      <w:r w:rsidR="002216C2">
        <w:t xml:space="preserve">, </w:t>
      </w:r>
      <w:r w:rsidR="005520BA">
        <w:t xml:space="preserve">for example, </w:t>
      </w:r>
      <w:r w:rsidR="002216C2">
        <w:t xml:space="preserve">the rule provides that certain permitted payment stablecoin issuers and foreign issuers that otherwise would be required to submit a notice under </w:t>
      </w:r>
      <w:r w:rsidR="00A12466">
        <w:t>§</w:t>
      </w:r>
      <w:r w:rsidR="005520BA">
        <w:t xml:space="preserve"> </w:t>
      </w:r>
      <w:r w:rsidR="00A12466">
        <w:t>15.14(m)</w:t>
      </w:r>
      <w:r w:rsidR="002216C2">
        <w:t xml:space="preserve"> </w:t>
      </w:r>
      <w:r w:rsidR="005520BA">
        <w:t>would not need to do so if the OCC received the required information pursuant to</w:t>
      </w:r>
      <w:r w:rsidR="00344408">
        <w:t xml:space="preserve"> notices filed under 12 CFR part 5 or § 15.30. </w:t>
      </w:r>
    </w:p>
    <w:p w:rsidR="00FA51DB" w:rsidP="003C4513" w14:paraId="2FE2F464" w14:textId="77777777">
      <w:pPr>
        <w:ind w:left="360"/>
        <w:rPr>
          <w:b/>
          <w:bCs/>
          <w:i/>
        </w:rPr>
      </w:pPr>
    </w:p>
    <w:p w:rsidR="00811CB2" w:rsidRPr="005C2B31" w:rsidP="003C4513" w14:paraId="30C66989" w14:textId="6F3B751D">
      <w:pPr>
        <w:rPr>
          <w:b/>
          <w:bCs/>
          <w:i/>
        </w:rPr>
      </w:pPr>
      <w:r w:rsidRPr="005C2B31">
        <w:rPr>
          <w:b/>
          <w:bCs/>
          <w:i/>
        </w:rPr>
        <w:t xml:space="preserve">5. Methods used to minimize burden </w:t>
      </w:r>
      <w:r w:rsidRPr="005C2B31" w:rsidR="00F37AA9">
        <w:rPr>
          <w:b/>
          <w:bCs/>
          <w:i/>
        </w:rPr>
        <w:t xml:space="preserve">if the collection has an impact </w:t>
      </w:r>
      <w:r w:rsidRPr="005C2B31">
        <w:rPr>
          <w:b/>
          <w:bCs/>
          <w:i/>
        </w:rPr>
        <w:t>on small entities</w:t>
      </w:r>
      <w:r w:rsidRPr="005C2B31" w:rsidR="00A75944">
        <w:rPr>
          <w:b/>
          <w:bCs/>
          <w:i/>
        </w:rPr>
        <w:t>:</w:t>
      </w:r>
    </w:p>
    <w:p w:rsidR="00811CB2" w:rsidP="00AD02D9" w14:paraId="46CB7201" w14:textId="77777777">
      <w:pPr>
        <w:rPr>
          <w:b/>
          <w:bCs/>
        </w:rPr>
      </w:pPr>
    </w:p>
    <w:p w:rsidR="00C26832" w:rsidRPr="00C3034C" w:rsidP="00AB1885" w14:paraId="5847098F" w14:textId="59099D38">
      <w:pPr>
        <w:ind w:firstLine="720"/>
      </w:pPr>
      <w:r>
        <w:t xml:space="preserve">At this time, the OCC does not anticipate that the rule will have a significant impact on small entities. </w:t>
      </w:r>
      <w:r w:rsidR="00392BE8">
        <w:t xml:space="preserve"> </w:t>
      </w:r>
      <w:r w:rsidR="004C3B22">
        <w:t>The rule seeks to minimize burden on all entities to which the rule would apply</w:t>
      </w:r>
      <w:r w:rsidR="00796645">
        <w:t xml:space="preserve">, and certain requirements would apply only to issuers with total outstanding issuance </w:t>
      </w:r>
      <w:r w:rsidR="00796645">
        <w:t>in excess of</w:t>
      </w:r>
      <w:r w:rsidR="00796645">
        <w:t xml:space="preserve"> $10 billion or </w:t>
      </w:r>
      <w:r w:rsidR="00A407C9">
        <w:t>$50 billion.</w:t>
      </w:r>
    </w:p>
    <w:p w:rsidR="00811CB2" w:rsidP="00AD02D9" w14:paraId="32C2A96D" w14:textId="77777777">
      <w:pPr>
        <w:ind w:firstLine="720"/>
        <w:rPr>
          <w:b/>
          <w:bCs/>
        </w:rPr>
      </w:pPr>
    </w:p>
    <w:p w:rsidR="00811CB2" w:rsidRPr="005C2B31" w:rsidP="00AD02D9" w14:paraId="70EA94E2" w14:textId="5708BB2A">
      <w:pPr>
        <w:rPr>
          <w:b/>
          <w:i/>
        </w:rPr>
      </w:pPr>
      <w:r>
        <w:rPr>
          <w:b/>
          <w:bCs/>
          <w:i/>
        </w:rPr>
        <w:t>6. Consequences to the F</w:t>
      </w:r>
      <w:r w:rsidRPr="005C2B31">
        <w:rPr>
          <w:b/>
          <w:bCs/>
          <w:i/>
        </w:rPr>
        <w:t>ederal</w:t>
      </w:r>
      <w:r w:rsidRPr="005C2B31" w:rsidR="00DC5578">
        <w:rPr>
          <w:b/>
          <w:bCs/>
          <w:i/>
        </w:rPr>
        <w:t xml:space="preserve"> program if the collection was </w:t>
      </w:r>
      <w:r w:rsidRPr="005C2B31">
        <w:rPr>
          <w:b/>
          <w:bCs/>
          <w:i/>
        </w:rPr>
        <w:t>conducted less frequently</w:t>
      </w:r>
      <w:r w:rsidRPr="005C2B31" w:rsidR="009B59E3">
        <w:rPr>
          <w:b/>
          <w:bCs/>
          <w:i/>
        </w:rPr>
        <w:t>:</w:t>
      </w:r>
    </w:p>
    <w:p w:rsidR="00811CB2" w:rsidP="00AD02D9" w14:paraId="725E9D95" w14:textId="77777777"/>
    <w:p w:rsidR="00AD7DD3" w:rsidP="00AB1885" w14:paraId="7AD38313" w14:textId="414BBB84">
      <w:pPr>
        <w:ind w:firstLine="720"/>
        <w:rPr>
          <w:bCs/>
        </w:rPr>
      </w:pPr>
      <w:r>
        <w:rPr>
          <w:bCs/>
        </w:rPr>
        <w:t xml:space="preserve">The timeline for certain requirements, </w:t>
      </w:r>
      <w:r w:rsidRPr="00AB1885">
        <w:rPr>
          <w:bCs/>
          <w:i/>
          <w:iCs/>
        </w:rPr>
        <w:t>e.g.</w:t>
      </w:r>
      <w:r>
        <w:rPr>
          <w:bCs/>
        </w:rPr>
        <w:t xml:space="preserve">, </w:t>
      </w:r>
      <w:r w:rsidR="00EC22D1">
        <w:rPr>
          <w:bCs/>
        </w:rPr>
        <w:t>that in § 15.14(k)</w:t>
      </w:r>
      <w:r w:rsidR="007943A5">
        <w:rPr>
          <w:bCs/>
        </w:rPr>
        <w:t>,</w:t>
      </w:r>
      <w:r w:rsidR="00EC22D1">
        <w:rPr>
          <w:bCs/>
        </w:rPr>
        <w:t xml:space="preserve"> are mandated by statute. </w:t>
      </w:r>
      <w:r w:rsidR="00392BE8">
        <w:rPr>
          <w:bCs/>
        </w:rPr>
        <w:t xml:space="preserve"> </w:t>
      </w:r>
      <w:r w:rsidR="00EC22D1">
        <w:rPr>
          <w:bCs/>
        </w:rPr>
        <w:t>For other information collections</w:t>
      </w:r>
      <w:r w:rsidR="007943A5">
        <w:rPr>
          <w:bCs/>
        </w:rPr>
        <w:t xml:space="preserve"> the OCC has determined that the frequency of collection is necessary to </w:t>
      </w:r>
      <w:r w:rsidR="00076595">
        <w:rPr>
          <w:bCs/>
        </w:rPr>
        <w:t>adequately supervise permitted payment stablecoin issuers and foreign payment stablecoin issuers.</w:t>
      </w:r>
      <w:r w:rsidR="00D755E5">
        <w:rPr>
          <w:bCs/>
        </w:rPr>
        <w:t xml:space="preserve"> </w:t>
      </w:r>
    </w:p>
    <w:p w:rsidR="007943A5" w:rsidP="00AD02D9" w14:paraId="5A6A4612" w14:textId="77777777">
      <w:pPr>
        <w:rPr>
          <w:bCs/>
        </w:rPr>
      </w:pPr>
    </w:p>
    <w:p w:rsidR="00811CB2" w:rsidRPr="005C2B31" w:rsidP="00AD02D9" w14:paraId="1F587A39" w14:textId="05012E2D">
      <w:pPr>
        <w:rPr>
          <w:b/>
          <w:bCs/>
          <w:i/>
        </w:rPr>
      </w:pPr>
      <w:r w:rsidRPr="005C2B31">
        <w:rPr>
          <w:b/>
          <w:bCs/>
          <w:i/>
        </w:rPr>
        <w:t xml:space="preserve">7. </w:t>
      </w:r>
      <w:r w:rsidRPr="005C2B31" w:rsidR="0029337C">
        <w:rPr>
          <w:b/>
          <w:i/>
        </w:rPr>
        <w:t xml:space="preserve">Special circumstances necessitating the collection to be conducted in a manner inconsistent with 5 CFR </w:t>
      </w:r>
      <w:r w:rsidRPr="005C2B31" w:rsidR="005C2B31">
        <w:rPr>
          <w:b/>
          <w:i/>
        </w:rPr>
        <w:t>p</w:t>
      </w:r>
      <w:r w:rsidRPr="005C2B31" w:rsidR="0029337C">
        <w:rPr>
          <w:b/>
          <w:i/>
        </w:rPr>
        <w:t>art 1320:</w:t>
      </w:r>
    </w:p>
    <w:p w:rsidR="00811CB2" w:rsidP="00AD02D9" w14:paraId="20559C2C" w14:textId="77777777"/>
    <w:p w:rsidR="00811CB2" w:rsidP="000A3180" w14:paraId="0F55180F" w14:textId="11659A63">
      <w:pPr>
        <w:ind w:firstLine="720"/>
      </w:pPr>
      <w:r w:rsidRPr="00484B82">
        <w:t xml:space="preserve">The information collection is conducted in accordance with the requirements of 5 CFR </w:t>
      </w:r>
      <w:r w:rsidR="000A3180">
        <w:t>p</w:t>
      </w:r>
      <w:r w:rsidRPr="00484B82">
        <w:t>art 1320.</w:t>
      </w:r>
    </w:p>
    <w:p w:rsidR="00811CB2" w:rsidRPr="003962BD" w:rsidP="00AD02D9" w14:paraId="4E88A348" w14:textId="77777777"/>
    <w:p w:rsidR="00811CB2" w:rsidRPr="005C2B31" w:rsidP="00AD02D9" w14:paraId="6AECE4F5" w14:textId="195527C0">
      <w:pPr>
        <w:rPr>
          <w:b/>
          <w:bCs/>
          <w:i/>
        </w:rPr>
      </w:pPr>
      <w:r w:rsidRPr="005C2B31">
        <w:rPr>
          <w:b/>
          <w:bCs/>
          <w:i/>
        </w:rPr>
        <w:t>8. Efforts to co</w:t>
      </w:r>
      <w:r w:rsidRPr="005C2B31" w:rsidR="00F24564">
        <w:rPr>
          <w:b/>
          <w:bCs/>
          <w:i/>
        </w:rPr>
        <w:t xml:space="preserve">nsult with </w:t>
      </w:r>
      <w:r w:rsidRPr="005C2B31" w:rsidR="00F24564">
        <w:rPr>
          <w:b/>
          <w:bCs/>
          <w:i/>
        </w:rPr>
        <w:t>persons</w:t>
      </w:r>
      <w:r w:rsidRPr="005C2B31" w:rsidR="00F24564">
        <w:rPr>
          <w:b/>
          <w:bCs/>
          <w:i/>
        </w:rPr>
        <w:t xml:space="preserve"> outside the a</w:t>
      </w:r>
      <w:r w:rsidRPr="005C2B31">
        <w:rPr>
          <w:b/>
          <w:bCs/>
          <w:i/>
        </w:rPr>
        <w:t>gency</w:t>
      </w:r>
      <w:r w:rsidRPr="005C2B31" w:rsidR="00A75944">
        <w:rPr>
          <w:b/>
          <w:bCs/>
          <w:i/>
        </w:rPr>
        <w:t>:</w:t>
      </w:r>
    </w:p>
    <w:p w:rsidR="00811CB2" w:rsidRPr="00162689" w:rsidP="00AD02D9" w14:paraId="1D18891C" w14:textId="77777777"/>
    <w:p w:rsidR="00221EAD" w:rsidRPr="00221EAD" w:rsidP="00221EAD" w14:paraId="0ABB6D66" w14:textId="277CDD6D">
      <w:pPr>
        <w:autoSpaceDE w:val="0"/>
        <w:autoSpaceDN w:val="0"/>
        <w:adjustRightInd w:val="0"/>
        <w:ind w:firstLine="720"/>
        <w:rPr>
          <w:spacing w:val="-1"/>
          <w:szCs w:val="24"/>
        </w:rPr>
      </w:pPr>
      <w:r w:rsidRPr="00162689">
        <w:rPr>
          <w:spacing w:val="-1"/>
          <w:szCs w:val="24"/>
        </w:rPr>
        <w:t xml:space="preserve">The </w:t>
      </w:r>
      <w:r w:rsidR="00D37986">
        <w:rPr>
          <w:spacing w:val="-1"/>
          <w:szCs w:val="24"/>
        </w:rPr>
        <w:t xml:space="preserve">OCC issued a </w:t>
      </w:r>
      <w:r w:rsidR="0071389B">
        <w:rPr>
          <w:spacing w:val="-1"/>
          <w:szCs w:val="24"/>
        </w:rPr>
        <w:t xml:space="preserve">notice </w:t>
      </w:r>
      <w:r w:rsidR="00E32AF7">
        <w:rPr>
          <w:spacing w:val="-1"/>
          <w:szCs w:val="24"/>
        </w:rPr>
        <w:t xml:space="preserve">of proposed rulemaking for the collection in the </w:t>
      </w:r>
      <w:r w:rsidRPr="00AB1885" w:rsidR="00E32AF7">
        <w:rPr>
          <w:i/>
          <w:iCs/>
          <w:spacing w:val="-1"/>
          <w:szCs w:val="24"/>
        </w:rPr>
        <w:t>Federal Register</w:t>
      </w:r>
      <w:r w:rsidR="00E32AF7">
        <w:rPr>
          <w:spacing w:val="-1"/>
          <w:szCs w:val="24"/>
        </w:rPr>
        <w:t xml:space="preserve"> March</w:t>
      </w:r>
      <w:r w:rsidR="00AC59C0">
        <w:rPr>
          <w:spacing w:val="-1"/>
          <w:szCs w:val="24"/>
        </w:rPr>
        <w:t xml:space="preserve"> </w:t>
      </w:r>
      <w:r w:rsidR="00E32AF7">
        <w:rPr>
          <w:spacing w:val="-1"/>
          <w:szCs w:val="24"/>
        </w:rPr>
        <w:t>2</w:t>
      </w:r>
      <w:r w:rsidR="00AC59C0">
        <w:rPr>
          <w:spacing w:val="-1"/>
          <w:szCs w:val="24"/>
        </w:rPr>
        <w:t>, 202</w:t>
      </w:r>
      <w:r w:rsidR="00E32AF7">
        <w:rPr>
          <w:spacing w:val="-1"/>
          <w:szCs w:val="24"/>
        </w:rPr>
        <w:t>6</w:t>
      </w:r>
      <w:r w:rsidR="00D37986">
        <w:rPr>
          <w:spacing w:val="-1"/>
          <w:szCs w:val="24"/>
        </w:rPr>
        <w:t xml:space="preserve"> </w:t>
      </w:r>
      <w:r w:rsidR="004D4D97">
        <w:rPr>
          <w:spacing w:val="-1"/>
          <w:szCs w:val="24"/>
        </w:rPr>
        <w:t>(</w:t>
      </w:r>
      <w:r w:rsidR="00E32AF7">
        <w:rPr>
          <w:spacing w:val="-1"/>
          <w:szCs w:val="24"/>
        </w:rPr>
        <w:t>91</w:t>
      </w:r>
      <w:r w:rsidR="00D37986">
        <w:rPr>
          <w:spacing w:val="-1"/>
          <w:szCs w:val="24"/>
        </w:rPr>
        <w:t xml:space="preserve"> FR </w:t>
      </w:r>
      <w:r w:rsidR="00E32AF7">
        <w:rPr>
          <w:spacing w:val="-1"/>
          <w:szCs w:val="24"/>
        </w:rPr>
        <w:t>10202</w:t>
      </w:r>
      <w:r w:rsidR="004D4D97">
        <w:rPr>
          <w:spacing w:val="-1"/>
          <w:szCs w:val="24"/>
        </w:rPr>
        <w:t>)</w:t>
      </w:r>
      <w:r w:rsidR="00D37986">
        <w:rPr>
          <w:spacing w:val="-1"/>
          <w:szCs w:val="24"/>
        </w:rPr>
        <w:t xml:space="preserve">. </w:t>
      </w:r>
      <w:r w:rsidR="00392BE8">
        <w:rPr>
          <w:spacing w:val="-1"/>
          <w:szCs w:val="24"/>
        </w:rPr>
        <w:t xml:space="preserve"> </w:t>
      </w:r>
      <w:r>
        <w:rPr>
          <w:spacing w:val="-1"/>
          <w:szCs w:val="24"/>
        </w:rPr>
        <w:t xml:space="preserve">The agency received several comments regarding the </w:t>
      </w:r>
      <w:r w:rsidR="00B72B9D">
        <w:rPr>
          <w:spacing w:val="-1"/>
          <w:szCs w:val="24"/>
        </w:rPr>
        <w:t>rules’</w:t>
      </w:r>
      <w:r>
        <w:rPr>
          <w:spacing w:val="-1"/>
          <w:szCs w:val="24"/>
        </w:rPr>
        <w:t xml:space="preserve"> reporting, recordkeeping, and disclosure requirements.  </w:t>
      </w:r>
      <w:r w:rsidRPr="00221EAD">
        <w:rPr>
          <w:spacing w:val="-1"/>
          <w:szCs w:val="24"/>
        </w:rPr>
        <w:t xml:space="preserve">Commenters urged the OCC to adopt a reporting framework that maintains regulatory differentiation between bank and nonbank stablecoin issuers. </w:t>
      </w:r>
      <w:r>
        <w:rPr>
          <w:spacing w:val="-1"/>
          <w:szCs w:val="24"/>
        </w:rPr>
        <w:t xml:space="preserve"> </w:t>
      </w:r>
      <w:r w:rsidRPr="00221EAD">
        <w:rPr>
          <w:spacing w:val="-1"/>
          <w:szCs w:val="24"/>
        </w:rPr>
        <w:t xml:space="preserve">The commenters stated that bank-affiliated issuers should be permitted to satisfy </w:t>
      </w:r>
      <w:r w:rsidRPr="00221EAD">
        <w:rPr>
          <w:spacing w:val="-1"/>
          <w:szCs w:val="24"/>
        </w:rPr>
        <w:t>stablecoin</w:t>
      </w:r>
      <w:r w:rsidRPr="00221EAD">
        <w:rPr>
          <w:spacing w:val="-1"/>
          <w:szCs w:val="24"/>
        </w:rPr>
        <w:t xml:space="preserve">-specific reporting obligations through streamlined, integrated disclosures—such as supplemental schedules to Call Reports, while nonbank issuers should be subject to more robust, standalone reporting and audit requirements commensurate with their risk profile and lack of prudential supervision. </w:t>
      </w:r>
      <w:r>
        <w:rPr>
          <w:spacing w:val="-1"/>
          <w:szCs w:val="24"/>
        </w:rPr>
        <w:t xml:space="preserve"> </w:t>
      </w:r>
      <w:r w:rsidRPr="00221EAD">
        <w:rPr>
          <w:spacing w:val="-1"/>
          <w:szCs w:val="24"/>
        </w:rPr>
        <w:t>Commenters stated that this approach would preserve safety and soundness, promote regulatory consistency, and support community bank participation in stablecoin activities without disadvantaging institutions that already operate under a rigorous supervisory framework.</w:t>
      </w:r>
    </w:p>
    <w:p w:rsidR="00221EAD" w:rsidRPr="00221EAD" w:rsidP="00221EAD" w14:paraId="53608934" w14:textId="77777777">
      <w:pPr>
        <w:autoSpaceDE w:val="0"/>
        <w:autoSpaceDN w:val="0"/>
        <w:adjustRightInd w:val="0"/>
        <w:ind w:firstLine="720"/>
        <w:rPr>
          <w:spacing w:val="-1"/>
          <w:szCs w:val="24"/>
        </w:rPr>
      </w:pPr>
    </w:p>
    <w:p w:rsidR="00221EAD" w:rsidRPr="00221EAD" w:rsidP="00221EAD" w14:paraId="397C795A" w14:textId="52665359">
      <w:pPr>
        <w:autoSpaceDE w:val="0"/>
        <w:autoSpaceDN w:val="0"/>
        <w:adjustRightInd w:val="0"/>
        <w:ind w:firstLine="720"/>
        <w:rPr>
          <w:spacing w:val="-1"/>
          <w:szCs w:val="24"/>
        </w:rPr>
      </w:pPr>
      <w:r w:rsidRPr="00221EAD">
        <w:rPr>
          <w:spacing w:val="-1"/>
          <w:szCs w:val="24"/>
        </w:rPr>
        <w:t xml:space="preserve">After careful consideration of the comments, the OCC has determined that all permitted payment stablecoin issuers should be subject to uniform reporting requirements. </w:t>
      </w:r>
      <w:r>
        <w:rPr>
          <w:spacing w:val="-1"/>
          <w:szCs w:val="24"/>
        </w:rPr>
        <w:t xml:space="preserve"> </w:t>
      </w:r>
      <w:r w:rsidRPr="00221EAD">
        <w:rPr>
          <w:spacing w:val="-1"/>
          <w:szCs w:val="24"/>
        </w:rPr>
        <w:t xml:space="preserve">This approach ensures that the OCC receives a consistent set of data across all permitted payment stablecoin issuers. </w:t>
      </w:r>
      <w:r>
        <w:rPr>
          <w:spacing w:val="-1"/>
          <w:szCs w:val="24"/>
        </w:rPr>
        <w:t xml:space="preserve"> </w:t>
      </w:r>
      <w:r w:rsidRPr="00221EAD">
        <w:rPr>
          <w:spacing w:val="-1"/>
          <w:szCs w:val="24"/>
        </w:rPr>
        <w:t>As discussed, the OCC considered the information to be collected to be an appropriate minimum amount of data for permitted payment stablecoin issuers.</w:t>
      </w:r>
      <w:r>
        <w:rPr>
          <w:spacing w:val="-1"/>
          <w:szCs w:val="24"/>
        </w:rPr>
        <w:t xml:space="preserve"> </w:t>
      </w:r>
      <w:r w:rsidRPr="00221EAD">
        <w:rPr>
          <w:spacing w:val="-1"/>
          <w:szCs w:val="24"/>
        </w:rPr>
        <w:t xml:space="preserve"> The receipt of this data will also allow the OCC to calibrate its supervisory approach to each permitted payment stablecoin issuer and minimize supervisory disruptions associated with limited and full-scope examinations. </w:t>
      </w:r>
      <w:r>
        <w:rPr>
          <w:spacing w:val="-1"/>
          <w:szCs w:val="24"/>
        </w:rPr>
        <w:t xml:space="preserve"> </w:t>
      </w:r>
      <w:r w:rsidRPr="00221EAD">
        <w:rPr>
          <w:spacing w:val="-1"/>
          <w:szCs w:val="24"/>
        </w:rPr>
        <w:t>Moreover, reporting consistency should help the OCC ensure comparability and better facilitate market oversight.</w:t>
      </w:r>
    </w:p>
    <w:p w:rsidR="00221EAD" w:rsidRPr="00221EAD" w:rsidP="00221EAD" w14:paraId="7748519A" w14:textId="77777777">
      <w:pPr>
        <w:autoSpaceDE w:val="0"/>
        <w:autoSpaceDN w:val="0"/>
        <w:adjustRightInd w:val="0"/>
        <w:ind w:firstLine="720"/>
        <w:rPr>
          <w:spacing w:val="-1"/>
          <w:szCs w:val="24"/>
        </w:rPr>
      </w:pPr>
    </w:p>
    <w:p w:rsidR="00221EAD" w:rsidRPr="00221EAD" w:rsidP="00221EAD" w14:paraId="5EACFD92" w14:textId="0A4B0531">
      <w:pPr>
        <w:autoSpaceDE w:val="0"/>
        <w:autoSpaceDN w:val="0"/>
        <w:adjustRightInd w:val="0"/>
        <w:ind w:firstLine="720"/>
        <w:rPr>
          <w:spacing w:val="-1"/>
          <w:szCs w:val="24"/>
        </w:rPr>
      </w:pPr>
      <w:r w:rsidRPr="00221EAD">
        <w:rPr>
          <w:spacing w:val="-1"/>
          <w:szCs w:val="24"/>
        </w:rPr>
        <w:t>A few commenters urged the OCC to focus reporting on primary market data, including primary market issuance, redemption activity, and reserve composition.</w:t>
      </w:r>
      <w:r>
        <w:rPr>
          <w:spacing w:val="-1"/>
          <w:szCs w:val="24"/>
        </w:rPr>
        <w:t xml:space="preserve"> </w:t>
      </w:r>
      <w:r w:rsidRPr="00221EAD">
        <w:rPr>
          <w:spacing w:val="-1"/>
          <w:szCs w:val="24"/>
        </w:rPr>
        <w:t xml:space="preserve"> One commenter emphasized that the proposed weekly reporting should focus on primary market data instead of secondary market data. </w:t>
      </w:r>
      <w:r>
        <w:rPr>
          <w:spacing w:val="-1"/>
          <w:szCs w:val="24"/>
        </w:rPr>
        <w:t xml:space="preserve"> </w:t>
      </w:r>
      <w:r w:rsidRPr="00221EAD">
        <w:rPr>
          <w:spacing w:val="-1"/>
          <w:szCs w:val="24"/>
        </w:rPr>
        <w:t>The commenters added that, if the OCC does require secondary market reporting, the data collected should focus on material secondary market indicators relevant to prudential supervision and market integrity.</w:t>
      </w:r>
      <w:r>
        <w:rPr>
          <w:spacing w:val="-1"/>
          <w:szCs w:val="24"/>
        </w:rPr>
        <w:t xml:space="preserve"> </w:t>
      </w:r>
      <w:r w:rsidRPr="00221EAD">
        <w:rPr>
          <w:spacing w:val="-1"/>
          <w:szCs w:val="24"/>
        </w:rPr>
        <w:t xml:space="preserve"> Some of the commenters also noted the challenges with reporting secondary market data since market activity occurs across multiple venues and through intermediaries where the permitted payment stablecoin issuer may lack full visibility.</w:t>
      </w:r>
      <w:r>
        <w:rPr>
          <w:spacing w:val="-1"/>
          <w:szCs w:val="24"/>
        </w:rPr>
        <w:t xml:space="preserve"> </w:t>
      </w:r>
      <w:r w:rsidRPr="00221EAD">
        <w:rPr>
          <w:spacing w:val="-1"/>
          <w:szCs w:val="24"/>
        </w:rPr>
        <w:t xml:space="preserve"> The OCC will consider this comment in conjunction with comments received on the draft reporting forms and revise the final forms accordingly.</w:t>
      </w:r>
    </w:p>
    <w:p w:rsidR="00221EAD" w:rsidRPr="00221EAD" w:rsidP="00221EAD" w14:paraId="2D88A754" w14:textId="77777777">
      <w:pPr>
        <w:autoSpaceDE w:val="0"/>
        <w:autoSpaceDN w:val="0"/>
        <w:adjustRightInd w:val="0"/>
        <w:ind w:firstLine="720"/>
        <w:rPr>
          <w:spacing w:val="-1"/>
          <w:szCs w:val="24"/>
        </w:rPr>
      </w:pPr>
    </w:p>
    <w:p w:rsidR="00221EAD" w:rsidRPr="00221EAD" w:rsidP="003C47FC" w14:paraId="22841A92" w14:textId="75B2E7D6">
      <w:pPr>
        <w:autoSpaceDE w:val="0"/>
        <w:autoSpaceDN w:val="0"/>
        <w:adjustRightInd w:val="0"/>
        <w:ind w:firstLine="720"/>
        <w:rPr>
          <w:spacing w:val="-1"/>
          <w:szCs w:val="24"/>
        </w:rPr>
      </w:pPr>
      <w:r w:rsidRPr="00221EAD">
        <w:rPr>
          <w:spacing w:val="-1"/>
          <w:szCs w:val="24"/>
        </w:rPr>
        <w:t>One commenter stated that a permitted payment stablecoin issuer</w:t>
      </w:r>
      <w:r>
        <w:rPr>
          <w:spacing w:val="-1"/>
          <w:szCs w:val="24"/>
        </w:rPr>
        <w:t>’</w:t>
      </w:r>
      <w:r w:rsidRPr="00221EAD">
        <w:rPr>
          <w:spacing w:val="-1"/>
          <w:szCs w:val="24"/>
        </w:rPr>
        <w:t xml:space="preserve">s reporting and risk management obligations are overly focused on primary market </w:t>
      </w:r>
      <w:r w:rsidRPr="00221EAD">
        <w:rPr>
          <w:spacing w:val="-1"/>
          <w:szCs w:val="24"/>
        </w:rPr>
        <w:t>activity—</w:t>
      </w:r>
      <w:r w:rsidRPr="0030156D">
        <w:rPr>
          <w:i/>
          <w:iCs/>
          <w:spacing w:val="-1"/>
          <w:szCs w:val="24"/>
        </w:rPr>
        <w:t>i</w:t>
      </w:r>
      <w:r w:rsidRPr="0030156D">
        <w:rPr>
          <w:i/>
          <w:iCs/>
          <w:spacing w:val="-1"/>
          <w:szCs w:val="24"/>
        </w:rPr>
        <w:t>.e.</w:t>
      </w:r>
      <w:r w:rsidRPr="00221EAD">
        <w:rPr>
          <w:spacing w:val="-1"/>
          <w:szCs w:val="24"/>
        </w:rPr>
        <w:t>,</w:t>
      </w:r>
      <w:r>
        <w:rPr>
          <w:spacing w:val="-1"/>
          <w:szCs w:val="24"/>
        </w:rPr>
        <w:t xml:space="preserve"> </w:t>
      </w:r>
      <w:r w:rsidRPr="00221EAD">
        <w:rPr>
          <w:spacing w:val="-1"/>
          <w:szCs w:val="24"/>
        </w:rPr>
        <w:t xml:space="preserve">issuance and redemption of payment stablecoins directly between the issuer and its customers. </w:t>
      </w:r>
      <w:r>
        <w:rPr>
          <w:spacing w:val="-1"/>
          <w:szCs w:val="24"/>
        </w:rPr>
        <w:t xml:space="preserve"> </w:t>
      </w:r>
      <w:r w:rsidRPr="00221EAD">
        <w:rPr>
          <w:spacing w:val="-1"/>
          <w:szCs w:val="24"/>
        </w:rPr>
        <w:t xml:space="preserve">The commenter claimed that this creates two distinct and serious gaps that the final rule should address: one in safety and soundness oversight and one in illicit finance compliance. </w:t>
      </w:r>
      <w:r>
        <w:rPr>
          <w:spacing w:val="-1"/>
          <w:szCs w:val="24"/>
        </w:rPr>
        <w:t xml:space="preserve"> </w:t>
      </w:r>
      <w:r w:rsidRPr="00221EAD">
        <w:rPr>
          <w:spacing w:val="-1"/>
          <w:szCs w:val="24"/>
        </w:rPr>
        <w:t xml:space="preserve">The commenter stated that permitted payment stablecoin issuers should be required to submit reporting when secondary market prices move below $1.00 and implement a real-time secondary market transaction monitoring program to detect unusual activity and report anomalies to the OCC. </w:t>
      </w:r>
      <w:r>
        <w:rPr>
          <w:spacing w:val="-1"/>
          <w:szCs w:val="24"/>
        </w:rPr>
        <w:t xml:space="preserve"> </w:t>
      </w:r>
      <w:r w:rsidRPr="00221EAD">
        <w:rPr>
          <w:spacing w:val="-1"/>
          <w:szCs w:val="24"/>
        </w:rPr>
        <w:t>The OCC will consider this comment along with the comments received on the draft reporting forms when deciding what modifications should be made in the final forms with respect to secondary market data.</w:t>
      </w:r>
    </w:p>
    <w:p w:rsidR="00221EAD" w:rsidRPr="00221EAD" w:rsidP="00221EAD" w14:paraId="40FC07A4" w14:textId="682A4FD2">
      <w:pPr>
        <w:autoSpaceDE w:val="0"/>
        <w:autoSpaceDN w:val="0"/>
        <w:adjustRightInd w:val="0"/>
        <w:ind w:firstLine="720"/>
        <w:rPr>
          <w:spacing w:val="-1"/>
          <w:szCs w:val="24"/>
        </w:rPr>
      </w:pPr>
      <w:r w:rsidRPr="00221EAD">
        <w:rPr>
          <w:spacing w:val="-1"/>
          <w:szCs w:val="24"/>
        </w:rPr>
        <w:t>One commenter stated that the proposed categories of information in the reporting forms would not require information about the protocol or set of protocols on which the stablecoins are deployed.</w:t>
      </w:r>
      <w:r w:rsidR="003C47FC">
        <w:rPr>
          <w:spacing w:val="-1"/>
          <w:szCs w:val="24"/>
        </w:rPr>
        <w:t xml:space="preserve"> </w:t>
      </w:r>
      <w:r w:rsidRPr="00221EAD">
        <w:rPr>
          <w:spacing w:val="-1"/>
          <w:szCs w:val="24"/>
        </w:rPr>
        <w:t xml:space="preserve"> The commenter added that the weekly reporting forms should, at a minimum, include a list of protocols on which the permitted payment stablecoin issuer</w:t>
      </w:r>
      <w:r w:rsidR="003C47FC">
        <w:rPr>
          <w:spacing w:val="-1"/>
          <w:szCs w:val="24"/>
        </w:rPr>
        <w:t>’</w:t>
      </w:r>
      <w:r w:rsidRPr="00221EAD">
        <w:rPr>
          <w:spacing w:val="-1"/>
          <w:szCs w:val="24"/>
        </w:rPr>
        <w:t xml:space="preserve">s stablecoins are deployed above a certain threshold. </w:t>
      </w:r>
      <w:r w:rsidR="003C47FC">
        <w:rPr>
          <w:spacing w:val="-1"/>
          <w:szCs w:val="24"/>
        </w:rPr>
        <w:t xml:space="preserve"> </w:t>
      </w:r>
      <w:r w:rsidRPr="00221EAD">
        <w:rPr>
          <w:spacing w:val="-1"/>
          <w:szCs w:val="24"/>
        </w:rPr>
        <w:t xml:space="preserve">The same commenter further added that the OCC should impose a similar reporting requirement for tokenized reserves. </w:t>
      </w:r>
      <w:r w:rsidR="003C47FC">
        <w:rPr>
          <w:spacing w:val="-1"/>
          <w:szCs w:val="24"/>
        </w:rPr>
        <w:t xml:space="preserve"> </w:t>
      </w:r>
      <w:r w:rsidRPr="00221EAD">
        <w:rPr>
          <w:spacing w:val="-1"/>
          <w:szCs w:val="24"/>
        </w:rPr>
        <w:t>The OCC will consider this comment along with comments received on the draft reporting forms when finalizing the reporting forms.</w:t>
      </w:r>
    </w:p>
    <w:p w:rsidR="00221EAD" w:rsidRPr="00221EAD" w:rsidP="00221EAD" w14:paraId="1FBDE5B0" w14:textId="77777777">
      <w:pPr>
        <w:autoSpaceDE w:val="0"/>
        <w:autoSpaceDN w:val="0"/>
        <w:adjustRightInd w:val="0"/>
        <w:ind w:firstLine="720"/>
        <w:rPr>
          <w:spacing w:val="-1"/>
          <w:szCs w:val="24"/>
        </w:rPr>
      </w:pPr>
    </w:p>
    <w:p w:rsidR="00221EAD" w:rsidRPr="00221EAD" w:rsidP="00221EAD" w14:paraId="532152E0" w14:textId="182CC2A6">
      <w:pPr>
        <w:autoSpaceDE w:val="0"/>
        <w:autoSpaceDN w:val="0"/>
        <w:adjustRightInd w:val="0"/>
        <w:ind w:firstLine="720"/>
        <w:rPr>
          <w:spacing w:val="-1"/>
          <w:szCs w:val="24"/>
        </w:rPr>
      </w:pPr>
      <w:r w:rsidRPr="00221EAD">
        <w:rPr>
          <w:spacing w:val="-1"/>
          <w:szCs w:val="24"/>
        </w:rPr>
        <w:t xml:space="preserve">One commenter recommended that the agency consider including a broader set of quality indicators in the final rule. </w:t>
      </w:r>
      <w:r w:rsidR="003C47FC">
        <w:rPr>
          <w:spacing w:val="-1"/>
          <w:szCs w:val="24"/>
        </w:rPr>
        <w:t xml:space="preserve"> </w:t>
      </w:r>
      <w:r w:rsidRPr="00221EAD">
        <w:rPr>
          <w:spacing w:val="-1"/>
          <w:szCs w:val="24"/>
        </w:rPr>
        <w:t>The commenter proposed including peg stability, price integrity, liquidity depth, exit feasibility, holder concentration, technical risk, and network and infrastructure dependencies.</w:t>
      </w:r>
    </w:p>
    <w:p w:rsidR="00221EAD" w:rsidRPr="00221EAD" w:rsidP="00221EAD" w14:paraId="40752F38" w14:textId="77777777">
      <w:pPr>
        <w:autoSpaceDE w:val="0"/>
        <w:autoSpaceDN w:val="0"/>
        <w:adjustRightInd w:val="0"/>
        <w:ind w:firstLine="720"/>
        <w:rPr>
          <w:spacing w:val="-1"/>
          <w:szCs w:val="24"/>
        </w:rPr>
      </w:pPr>
    </w:p>
    <w:p w:rsidR="003C47FC" w:rsidP="00221EAD" w14:paraId="55146C10" w14:textId="7E8F16F5">
      <w:pPr>
        <w:autoSpaceDE w:val="0"/>
        <w:autoSpaceDN w:val="0"/>
        <w:adjustRightInd w:val="0"/>
        <w:ind w:firstLine="720"/>
        <w:rPr>
          <w:spacing w:val="-1"/>
          <w:szCs w:val="24"/>
        </w:rPr>
      </w:pPr>
      <w:r w:rsidRPr="00221EAD">
        <w:rPr>
          <w:spacing w:val="-1"/>
          <w:szCs w:val="24"/>
        </w:rPr>
        <w:t xml:space="preserve">Several commenters stated that the OCC should require all reporting forms for weekly, monthly, and quarterly reporting to be in a standardized, machine-readable format, including </w:t>
      </w:r>
      <w:r w:rsidRPr="00221EAD">
        <w:rPr>
          <w:spacing w:val="-1"/>
          <w:szCs w:val="24"/>
        </w:rPr>
        <w:t>eXtensible</w:t>
      </w:r>
      <w:r w:rsidRPr="00221EAD">
        <w:rPr>
          <w:spacing w:val="-1"/>
          <w:szCs w:val="24"/>
        </w:rPr>
        <w:t xml:space="preserve"> Business Reporting Language (commonly known as “XBRL”) or ISO 20022-aligned structures. </w:t>
      </w:r>
      <w:r w:rsidR="00FD7538">
        <w:rPr>
          <w:spacing w:val="-1"/>
          <w:szCs w:val="24"/>
        </w:rPr>
        <w:t xml:space="preserve"> </w:t>
      </w:r>
      <w:r w:rsidRPr="00221EAD">
        <w:rPr>
          <w:spacing w:val="-1"/>
          <w:szCs w:val="24"/>
        </w:rPr>
        <w:t>The commenters generally stated that requiring reporting in a machine-readable format would allow for efficiencies including automated data extraction and the ability to easily compare reporting across permitted payment stablecoin issuers.</w:t>
      </w:r>
    </w:p>
    <w:p w:rsidR="008E3A5E" w:rsidP="00221EAD" w14:paraId="002FCB67" w14:textId="77777777">
      <w:pPr>
        <w:autoSpaceDE w:val="0"/>
        <w:autoSpaceDN w:val="0"/>
        <w:adjustRightInd w:val="0"/>
        <w:ind w:firstLine="720"/>
        <w:rPr>
          <w:spacing w:val="-1"/>
          <w:szCs w:val="24"/>
        </w:rPr>
      </w:pPr>
    </w:p>
    <w:p w:rsidR="008E3A5E" w:rsidP="008E3A5E" w14:paraId="561E3808" w14:textId="41CC88C6">
      <w:pPr>
        <w:autoSpaceDE w:val="0"/>
        <w:autoSpaceDN w:val="0"/>
        <w:adjustRightInd w:val="0"/>
        <w:ind w:firstLine="720"/>
        <w:rPr>
          <w:spacing w:val="-1"/>
          <w:szCs w:val="24"/>
        </w:rPr>
      </w:pPr>
      <w:r w:rsidRPr="008E3A5E">
        <w:rPr>
          <w:spacing w:val="-1"/>
          <w:szCs w:val="24"/>
        </w:rPr>
        <w:t>On June 25, 2026, pursuant to the</w:t>
      </w:r>
      <w:r>
        <w:rPr>
          <w:spacing w:val="-1"/>
          <w:szCs w:val="24"/>
        </w:rPr>
        <w:t xml:space="preserve"> </w:t>
      </w:r>
      <w:r w:rsidRPr="008E3A5E">
        <w:rPr>
          <w:spacing w:val="-1"/>
          <w:szCs w:val="24"/>
        </w:rPr>
        <w:t>Financial Data Transparency Act</w:t>
      </w:r>
      <w:r>
        <w:rPr>
          <w:spacing w:val="-1"/>
          <w:szCs w:val="24"/>
        </w:rPr>
        <w:t xml:space="preserve"> </w:t>
      </w:r>
      <w:r w:rsidRPr="008E3A5E">
        <w:rPr>
          <w:spacing w:val="-1"/>
          <w:szCs w:val="24"/>
        </w:rPr>
        <w:t>(FDTA)</w:t>
      </w:r>
      <w:r w:rsidR="00FD7538">
        <w:rPr>
          <w:spacing w:val="-1"/>
          <w:szCs w:val="24"/>
        </w:rPr>
        <w:t>,</w:t>
      </w:r>
      <w:r>
        <w:rPr>
          <w:rStyle w:val="FootnoteReference"/>
          <w:spacing w:val="-1"/>
          <w:szCs w:val="24"/>
        </w:rPr>
        <w:footnoteReference w:id="9"/>
      </w:r>
      <w:r w:rsidRPr="008E3A5E">
        <w:rPr>
          <w:spacing w:val="-1"/>
          <w:szCs w:val="24"/>
        </w:rPr>
        <w:t xml:space="preserve"> the OCC and other Federal</w:t>
      </w:r>
      <w:r>
        <w:rPr>
          <w:spacing w:val="-1"/>
          <w:szCs w:val="24"/>
        </w:rPr>
        <w:t xml:space="preserve"> </w:t>
      </w:r>
      <w:r w:rsidRPr="008E3A5E">
        <w:rPr>
          <w:spacing w:val="-1"/>
          <w:szCs w:val="24"/>
        </w:rPr>
        <w:t>agencies issued a joint final rule</w:t>
      </w:r>
      <w:r>
        <w:rPr>
          <w:spacing w:val="-1"/>
          <w:szCs w:val="24"/>
        </w:rPr>
        <w:t xml:space="preserve"> </w:t>
      </w:r>
      <w:r w:rsidRPr="008E3A5E">
        <w:rPr>
          <w:spacing w:val="-1"/>
          <w:szCs w:val="24"/>
        </w:rPr>
        <w:t>establishing joint data standards</w:t>
      </w:r>
      <w:r w:rsidR="00FD7538">
        <w:rPr>
          <w:spacing w:val="-1"/>
          <w:szCs w:val="24"/>
        </w:rPr>
        <w:t>.</w:t>
      </w:r>
      <w:r>
        <w:rPr>
          <w:rStyle w:val="FootnoteReference"/>
          <w:spacing w:val="-1"/>
          <w:szCs w:val="24"/>
        </w:rPr>
        <w:footnoteReference w:id="10"/>
      </w:r>
      <w:r w:rsidR="00FD7538">
        <w:rPr>
          <w:spacing w:val="-1"/>
          <w:szCs w:val="24"/>
        </w:rPr>
        <w:t xml:space="preserve"> </w:t>
      </w:r>
      <w:r w:rsidRPr="008E3A5E">
        <w:rPr>
          <w:spacing w:val="-1"/>
          <w:szCs w:val="24"/>
        </w:rPr>
        <w:t xml:space="preserve"> In</w:t>
      </w:r>
      <w:r>
        <w:rPr>
          <w:spacing w:val="-1"/>
          <w:szCs w:val="24"/>
        </w:rPr>
        <w:t xml:space="preserve"> </w:t>
      </w:r>
      <w:r w:rsidRPr="008E3A5E">
        <w:rPr>
          <w:spacing w:val="-1"/>
          <w:szCs w:val="24"/>
        </w:rPr>
        <w:t>addition to the joint rule, the FDTA also</w:t>
      </w:r>
      <w:r>
        <w:rPr>
          <w:spacing w:val="-1"/>
          <w:szCs w:val="24"/>
        </w:rPr>
        <w:t xml:space="preserve"> </w:t>
      </w:r>
      <w:r w:rsidRPr="008E3A5E">
        <w:rPr>
          <w:spacing w:val="-1"/>
          <w:szCs w:val="24"/>
        </w:rPr>
        <w:t>directs each agency to issue individual</w:t>
      </w:r>
      <w:r>
        <w:rPr>
          <w:spacing w:val="-1"/>
          <w:szCs w:val="24"/>
        </w:rPr>
        <w:t xml:space="preserve"> </w:t>
      </w:r>
      <w:r w:rsidRPr="008E3A5E">
        <w:rPr>
          <w:spacing w:val="-1"/>
          <w:szCs w:val="24"/>
        </w:rPr>
        <w:t>rules adopting applicable joint</w:t>
      </w:r>
      <w:r>
        <w:rPr>
          <w:spacing w:val="-1"/>
          <w:szCs w:val="24"/>
        </w:rPr>
        <w:t xml:space="preserve"> </w:t>
      </w:r>
      <w:r w:rsidRPr="008E3A5E">
        <w:rPr>
          <w:spacing w:val="-1"/>
          <w:szCs w:val="24"/>
        </w:rPr>
        <w:t>standards for certain collections of</w:t>
      </w:r>
      <w:r>
        <w:rPr>
          <w:spacing w:val="-1"/>
          <w:szCs w:val="24"/>
        </w:rPr>
        <w:t xml:space="preserve"> </w:t>
      </w:r>
      <w:r w:rsidRPr="008E3A5E">
        <w:rPr>
          <w:spacing w:val="-1"/>
          <w:szCs w:val="24"/>
        </w:rPr>
        <w:t>information under their respective</w:t>
      </w:r>
      <w:r>
        <w:rPr>
          <w:spacing w:val="-1"/>
          <w:szCs w:val="24"/>
        </w:rPr>
        <w:t xml:space="preserve"> </w:t>
      </w:r>
      <w:r w:rsidRPr="008E3A5E">
        <w:rPr>
          <w:spacing w:val="-1"/>
          <w:szCs w:val="24"/>
        </w:rPr>
        <w:t xml:space="preserve">purview. </w:t>
      </w:r>
      <w:r w:rsidR="00FD7538">
        <w:rPr>
          <w:spacing w:val="-1"/>
          <w:szCs w:val="24"/>
        </w:rPr>
        <w:t xml:space="preserve"> </w:t>
      </w:r>
      <w:r w:rsidRPr="008E3A5E">
        <w:rPr>
          <w:spacing w:val="-1"/>
          <w:szCs w:val="24"/>
        </w:rPr>
        <w:t>The OCC has not issued its</w:t>
      </w:r>
      <w:r>
        <w:rPr>
          <w:spacing w:val="-1"/>
          <w:szCs w:val="24"/>
        </w:rPr>
        <w:t xml:space="preserve"> </w:t>
      </w:r>
      <w:r w:rsidRPr="008E3A5E">
        <w:rPr>
          <w:spacing w:val="-1"/>
          <w:szCs w:val="24"/>
        </w:rPr>
        <w:t>agency-specific rulemaking adopting</w:t>
      </w:r>
      <w:r>
        <w:rPr>
          <w:spacing w:val="-1"/>
          <w:szCs w:val="24"/>
        </w:rPr>
        <w:t xml:space="preserve"> </w:t>
      </w:r>
      <w:r w:rsidRPr="008E3A5E">
        <w:rPr>
          <w:spacing w:val="-1"/>
          <w:szCs w:val="24"/>
        </w:rPr>
        <w:t xml:space="preserve">applicable joint standards. </w:t>
      </w:r>
      <w:r w:rsidR="00FD7538">
        <w:rPr>
          <w:spacing w:val="-1"/>
          <w:szCs w:val="24"/>
        </w:rPr>
        <w:t xml:space="preserve"> </w:t>
      </w:r>
      <w:r w:rsidRPr="008E3A5E">
        <w:rPr>
          <w:spacing w:val="-1"/>
          <w:szCs w:val="24"/>
        </w:rPr>
        <w:t>In</w:t>
      </w:r>
      <w:r>
        <w:rPr>
          <w:spacing w:val="-1"/>
          <w:szCs w:val="24"/>
        </w:rPr>
        <w:t xml:space="preserve"> </w:t>
      </w:r>
      <w:r w:rsidRPr="008E3A5E">
        <w:rPr>
          <w:spacing w:val="-1"/>
          <w:szCs w:val="24"/>
        </w:rPr>
        <w:t>developing and finalizing the weekly,</w:t>
      </w:r>
      <w:r>
        <w:rPr>
          <w:spacing w:val="-1"/>
          <w:szCs w:val="24"/>
        </w:rPr>
        <w:t xml:space="preserve"> </w:t>
      </w:r>
      <w:r w:rsidRPr="008E3A5E">
        <w:rPr>
          <w:spacing w:val="-1"/>
          <w:szCs w:val="24"/>
        </w:rPr>
        <w:t>monthly, and quarterly reporting forms,</w:t>
      </w:r>
      <w:r>
        <w:rPr>
          <w:spacing w:val="-1"/>
          <w:szCs w:val="24"/>
        </w:rPr>
        <w:t xml:space="preserve"> </w:t>
      </w:r>
      <w:r w:rsidRPr="008E3A5E">
        <w:rPr>
          <w:spacing w:val="-1"/>
          <w:szCs w:val="24"/>
        </w:rPr>
        <w:t>the OCC will ensure that the reporting</w:t>
      </w:r>
      <w:r>
        <w:rPr>
          <w:spacing w:val="-1"/>
          <w:szCs w:val="24"/>
        </w:rPr>
        <w:t xml:space="preserve"> </w:t>
      </w:r>
      <w:r w:rsidRPr="008E3A5E">
        <w:rPr>
          <w:spacing w:val="-1"/>
          <w:szCs w:val="24"/>
        </w:rPr>
        <w:t>forms are consistent with the FDTA and</w:t>
      </w:r>
      <w:r>
        <w:rPr>
          <w:spacing w:val="-1"/>
          <w:szCs w:val="24"/>
        </w:rPr>
        <w:t xml:space="preserve"> </w:t>
      </w:r>
      <w:r w:rsidRPr="008E3A5E">
        <w:rPr>
          <w:spacing w:val="-1"/>
          <w:szCs w:val="24"/>
        </w:rPr>
        <w:t>the agencies’ joint rule.</w:t>
      </w:r>
      <w:r w:rsidR="00FD7538">
        <w:rPr>
          <w:spacing w:val="-1"/>
          <w:szCs w:val="24"/>
        </w:rPr>
        <w:t xml:space="preserve"> </w:t>
      </w:r>
      <w:r w:rsidRPr="008E3A5E">
        <w:rPr>
          <w:spacing w:val="-1"/>
          <w:szCs w:val="24"/>
        </w:rPr>
        <w:t xml:space="preserve"> Of note, the</w:t>
      </w:r>
      <w:r>
        <w:rPr>
          <w:spacing w:val="-1"/>
          <w:szCs w:val="24"/>
        </w:rPr>
        <w:t xml:space="preserve"> </w:t>
      </w:r>
      <w:r w:rsidRPr="008E3A5E">
        <w:rPr>
          <w:spacing w:val="-1"/>
          <w:szCs w:val="24"/>
        </w:rPr>
        <w:t>OCC will be able to accept some ISO</w:t>
      </w:r>
      <w:r>
        <w:rPr>
          <w:spacing w:val="-1"/>
          <w:szCs w:val="24"/>
        </w:rPr>
        <w:t xml:space="preserve"> </w:t>
      </w:r>
      <w:r w:rsidRPr="008E3A5E">
        <w:rPr>
          <w:spacing w:val="-1"/>
          <w:szCs w:val="24"/>
        </w:rPr>
        <w:t xml:space="preserve">20022 structures, such as </w:t>
      </w:r>
      <w:r w:rsidRPr="008E3A5E">
        <w:rPr>
          <w:spacing w:val="-1"/>
          <w:szCs w:val="24"/>
        </w:rPr>
        <w:t>eXtensible</w:t>
      </w:r>
      <w:r>
        <w:rPr>
          <w:spacing w:val="-1"/>
          <w:szCs w:val="24"/>
        </w:rPr>
        <w:t xml:space="preserve"> </w:t>
      </w:r>
      <w:r w:rsidRPr="008E3A5E">
        <w:rPr>
          <w:spacing w:val="-1"/>
          <w:szCs w:val="24"/>
        </w:rPr>
        <w:t>Markup Language (commonly known as</w:t>
      </w:r>
      <w:r>
        <w:rPr>
          <w:spacing w:val="-1"/>
          <w:szCs w:val="24"/>
        </w:rPr>
        <w:t xml:space="preserve"> </w:t>
      </w:r>
      <w:r w:rsidRPr="008E3A5E">
        <w:rPr>
          <w:spacing w:val="-1"/>
          <w:szCs w:val="24"/>
        </w:rPr>
        <w:t>‘‘XML’’).</w:t>
      </w:r>
    </w:p>
    <w:p w:rsidR="003C47FC" w:rsidP="00221EAD" w14:paraId="3603928F" w14:textId="77777777">
      <w:pPr>
        <w:autoSpaceDE w:val="0"/>
        <w:autoSpaceDN w:val="0"/>
        <w:adjustRightInd w:val="0"/>
        <w:ind w:firstLine="720"/>
        <w:rPr>
          <w:spacing w:val="-1"/>
          <w:szCs w:val="24"/>
        </w:rPr>
      </w:pPr>
    </w:p>
    <w:p w:rsidR="00050E5A" w:rsidRPr="00050E5A" w:rsidP="00221EAD" w14:paraId="7139CC8D" w14:textId="05CD74B9">
      <w:pPr>
        <w:autoSpaceDE w:val="0"/>
        <w:autoSpaceDN w:val="0"/>
        <w:adjustRightInd w:val="0"/>
        <w:ind w:firstLine="720"/>
        <w:rPr>
          <w:spacing w:val="-1"/>
          <w:szCs w:val="24"/>
        </w:rPr>
      </w:pPr>
      <w:r w:rsidRPr="00050E5A">
        <w:rPr>
          <w:spacing w:val="-1"/>
          <w:szCs w:val="24"/>
        </w:rPr>
        <w:t xml:space="preserve">The agency received several comments concerning whether the agency should implement real-time reporting. </w:t>
      </w:r>
      <w:r>
        <w:rPr>
          <w:spacing w:val="-1"/>
          <w:szCs w:val="24"/>
        </w:rPr>
        <w:t xml:space="preserve"> </w:t>
      </w:r>
      <w:r w:rsidRPr="00050E5A">
        <w:rPr>
          <w:spacing w:val="-1"/>
          <w:szCs w:val="24"/>
        </w:rPr>
        <w:t xml:space="preserve">A few commenters expressed support for real-time reporting. </w:t>
      </w:r>
      <w:r>
        <w:rPr>
          <w:spacing w:val="-1"/>
          <w:szCs w:val="24"/>
        </w:rPr>
        <w:t xml:space="preserve"> </w:t>
      </w:r>
      <w:r w:rsidRPr="00050E5A">
        <w:rPr>
          <w:spacing w:val="-1"/>
          <w:szCs w:val="24"/>
        </w:rPr>
        <w:t xml:space="preserve">One commenter noted that some relevant data exists on-chain and can be extracted in real time. </w:t>
      </w:r>
      <w:r>
        <w:rPr>
          <w:spacing w:val="-1"/>
          <w:szCs w:val="24"/>
        </w:rPr>
        <w:t xml:space="preserve"> </w:t>
      </w:r>
      <w:r w:rsidRPr="00050E5A">
        <w:rPr>
          <w:spacing w:val="-1"/>
          <w:szCs w:val="24"/>
        </w:rPr>
        <w:t>Another commenter stated that the implementation of real-time reporting could meaningfully reduce the frequency of on-site examinations.</w:t>
      </w:r>
    </w:p>
    <w:p w:rsidR="00050E5A" w:rsidRPr="00050E5A" w:rsidP="00050E5A" w14:paraId="516943F1" w14:textId="77777777">
      <w:pPr>
        <w:autoSpaceDE w:val="0"/>
        <w:autoSpaceDN w:val="0"/>
        <w:adjustRightInd w:val="0"/>
        <w:ind w:firstLine="720"/>
        <w:rPr>
          <w:spacing w:val="-1"/>
          <w:szCs w:val="24"/>
        </w:rPr>
      </w:pPr>
    </w:p>
    <w:p w:rsidR="00050E5A" w:rsidRPr="00050E5A" w:rsidP="00050E5A" w14:paraId="4E60652B" w14:textId="50C00849">
      <w:pPr>
        <w:autoSpaceDE w:val="0"/>
        <w:autoSpaceDN w:val="0"/>
        <w:adjustRightInd w:val="0"/>
        <w:ind w:firstLine="720"/>
        <w:rPr>
          <w:spacing w:val="-1"/>
          <w:szCs w:val="24"/>
        </w:rPr>
      </w:pPr>
      <w:r w:rsidRPr="00050E5A">
        <w:rPr>
          <w:spacing w:val="-1"/>
          <w:szCs w:val="24"/>
        </w:rPr>
        <w:t xml:space="preserve">Conversely, several commenters opposed the adoption of real-time reporting and stated that it should not be required in the final rule. </w:t>
      </w:r>
      <w:r>
        <w:rPr>
          <w:spacing w:val="-1"/>
          <w:szCs w:val="24"/>
        </w:rPr>
        <w:t xml:space="preserve"> </w:t>
      </w:r>
      <w:r w:rsidRPr="00050E5A">
        <w:rPr>
          <w:spacing w:val="-1"/>
          <w:szCs w:val="24"/>
        </w:rPr>
        <w:t>The commenters generally claimed that real-time reporting would be unnecessary or overly burdensome.</w:t>
      </w:r>
      <w:r>
        <w:rPr>
          <w:spacing w:val="-1"/>
          <w:szCs w:val="24"/>
        </w:rPr>
        <w:t xml:space="preserve"> </w:t>
      </w:r>
      <w:r w:rsidRPr="00050E5A">
        <w:rPr>
          <w:spacing w:val="-1"/>
          <w:szCs w:val="24"/>
        </w:rPr>
        <w:t xml:space="preserve"> One commenter stated that while permitted payment stablecoin issuers may track certain data in real time, translating such data into a form ready for supervisory reporting often requires reconciliation, validation, and normalization processes that would make real-time external reporting unnecessarily burdensome. </w:t>
      </w:r>
      <w:r>
        <w:rPr>
          <w:spacing w:val="-1"/>
          <w:szCs w:val="24"/>
        </w:rPr>
        <w:t xml:space="preserve"> </w:t>
      </w:r>
      <w:r w:rsidRPr="00050E5A">
        <w:rPr>
          <w:spacing w:val="-1"/>
          <w:szCs w:val="24"/>
        </w:rPr>
        <w:t xml:space="preserve">Another commenter stated that some data fields are not observable in real time and that a weekly reporting cadence is more aligned with the operational rhythm already used by issuers. </w:t>
      </w:r>
      <w:r>
        <w:rPr>
          <w:spacing w:val="-1"/>
          <w:szCs w:val="24"/>
        </w:rPr>
        <w:t xml:space="preserve"> </w:t>
      </w:r>
      <w:r w:rsidRPr="00050E5A">
        <w:rPr>
          <w:spacing w:val="-1"/>
          <w:szCs w:val="24"/>
        </w:rPr>
        <w:t xml:space="preserve">Another commenter </w:t>
      </w:r>
      <w:r w:rsidRPr="00050E5A">
        <w:rPr>
          <w:spacing w:val="-1"/>
          <w:szCs w:val="24"/>
        </w:rPr>
        <w:t>stated that a weekly reporting cadence is preferable to real-time reporting and suggested that the weekly reporting framework could be supplemented with event-driven reporting.</w:t>
      </w:r>
    </w:p>
    <w:p w:rsidR="00050E5A" w:rsidRPr="00050E5A" w:rsidP="00050E5A" w14:paraId="6315FCAF" w14:textId="77777777">
      <w:pPr>
        <w:autoSpaceDE w:val="0"/>
        <w:autoSpaceDN w:val="0"/>
        <w:adjustRightInd w:val="0"/>
        <w:ind w:firstLine="720"/>
        <w:rPr>
          <w:spacing w:val="-1"/>
          <w:szCs w:val="24"/>
        </w:rPr>
      </w:pPr>
    </w:p>
    <w:p w:rsidR="00050E5A" w:rsidRPr="00050E5A" w:rsidP="00050E5A" w14:paraId="5D8BAC26" w14:textId="0A703367">
      <w:pPr>
        <w:autoSpaceDE w:val="0"/>
        <w:autoSpaceDN w:val="0"/>
        <w:adjustRightInd w:val="0"/>
        <w:ind w:firstLine="720"/>
        <w:rPr>
          <w:spacing w:val="-1"/>
          <w:szCs w:val="24"/>
        </w:rPr>
      </w:pPr>
      <w:r w:rsidRPr="00050E5A">
        <w:rPr>
          <w:spacing w:val="-1"/>
          <w:szCs w:val="24"/>
        </w:rPr>
        <w:t>Upon consideration, the OCC has declined to incorporate a real-time reporting component into the reporting framework for permitted payment stablecoin issuers.</w:t>
      </w:r>
      <w:r w:rsidR="00FD7538">
        <w:rPr>
          <w:spacing w:val="-1"/>
          <w:szCs w:val="24"/>
        </w:rPr>
        <w:t xml:space="preserve"> </w:t>
      </w:r>
      <w:r w:rsidRPr="00050E5A">
        <w:rPr>
          <w:spacing w:val="-1"/>
          <w:szCs w:val="24"/>
        </w:rPr>
        <w:t xml:space="preserve"> The OCC has determined that a weekly and quarterly reporting cadence will provide the agency with sufficient data and supervisory visibility into the stablecoin market. </w:t>
      </w:r>
      <w:r>
        <w:rPr>
          <w:spacing w:val="-1"/>
          <w:szCs w:val="24"/>
        </w:rPr>
        <w:t xml:space="preserve"> </w:t>
      </w:r>
      <w:r w:rsidRPr="00050E5A">
        <w:rPr>
          <w:spacing w:val="-1"/>
          <w:szCs w:val="24"/>
        </w:rPr>
        <w:t xml:space="preserve">Further, the agency is sensitive to the increased operational expense and burden that the implementation of real-time reporting would impose on permitted payment stablecoin issuers. </w:t>
      </w:r>
      <w:r>
        <w:rPr>
          <w:spacing w:val="-1"/>
          <w:szCs w:val="24"/>
        </w:rPr>
        <w:t xml:space="preserve"> </w:t>
      </w:r>
      <w:r w:rsidRPr="00050E5A">
        <w:rPr>
          <w:spacing w:val="-1"/>
          <w:szCs w:val="24"/>
        </w:rPr>
        <w:t xml:space="preserve">For these reasons, the OCC has declined to impose a real-time reporting requirement on permitted payment stablecoin issuers. </w:t>
      </w:r>
      <w:r>
        <w:rPr>
          <w:spacing w:val="-1"/>
          <w:szCs w:val="24"/>
        </w:rPr>
        <w:t xml:space="preserve"> </w:t>
      </w:r>
      <w:r w:rsidRPr="00050E5A">
        <w:rPr>
          <w:spacing w:val="-1"/>
          <w:szCs w:val="24"/>
        </w:rPr>
        <w:t>The OCC may reconsider this position in the future if, for example, effective supervision of the stablecoin market demands the implementation of real-time reporting or future technological advances mean that implementing real-time reporting would not be overly burdensome for permitted payment stablecoin issuers.</w:t>
      </w:r>
    </w:p>
    <w:p w:rsidR="00050E5A" w:rsidRPr="00050E5A" w:rsidP="00050E5A" w14:paraId="52582132" w14:textId="77777777">
      <w:pPr>
        <w:autoSpaceDE w:val="0"/>
        <w:autoSpaceDN w:val="0"/>
        <w:adjustRightInd w:val="0"/>
        <w:ind w:firstLine="720"/>
        <w:rPr>
          <w:spacing w:val="-1"/>
          <w:szCs w:val="24"/>
        </w:rPr>
      </w:pPr>
    </w:p>
    <w:p w:rsidR="00050E5A" w:rsidRPr="00050E5A" w:rsidP="002F2828" w14:paraId="25841EF8" w14:textId="44556067">
      <w:pPr>
        <w:autoSpaceDE w:val="0"/>
        <w:autoSpaceDN w:val="0"/>
        <w:adjustRightInd w:val="0"/>
        <w:ind w:firstLine="720"/>
        <w:rPr>
          <w:spacing w:val="-1"/>
          <w:szCs w:val="24"/>
        </w:rPr>
      </w:pPr>
      <w:r w:rsidRPr="00050E5A">
        <w:rPr>
          <w:spacing w:val="-1"/>
          <w:szCs w:val="24"/>
        </w:rPr>
        <w:t xml:space="preserve">A few commenters stated that the OCC should publish and solicit comment on the weekly and quarterly reporting forms and instructions referenced in the proposal in advance of finalizing the reporting forms. </w:t>
      </w:r>
      <w:r>
        <w:rPr>
          <w:spacing w:val="-1"/>
          <w:szCs w:val="24"/>
        </w:rPr>
        <w:t xml:space="preserve"> </w:t>
      </w:r>
      <w:r w:rsidRPr="00050E5A">
        <w:rPr>
          <w:spacing w:val="-1"/>
          <w:szCs w:val="24"/>
        </w:rPr>
        <w:t xml:space="preserve">On June 12, 2026, the OCC published the weekly and quarterly reporting forms and instructions and requested public </w:t>
      </w:r>
      <w:r w:rsidRPr="00050E5A">
        <w:rPr>
          <w:spacing w:val="-1"/>
          <w:szCs w:val="24"/>
        </w:rPr>
        <w:t>comment</w:t>
      </w:r>
      <w:r w:rsidRPr="00050E5A">
        <w:rPr>
          <w:spacing w:val="-1"/>
          <w:szCs w:val="24"/>
        </w:rPr>
        <w:t xml:space="preserve"> on the forms and their instructions</w:t>
      </w:r>
      <w:r>
        <w:rPr>
          <w:spacing w:val="-1"/>
          <w:szCs w:val="24"/>
        </w:rPr>
        <w:t xml:space="preserve"> (91 FR 35795)</w:t>
      </w:r>
      <w:r w:rsidRPr="00050E5A">
        <w:rPr>
          <w:spacing w:val="-1"/>
          <w:szCs w:val="24"/>
        </w:rPr>
        <w:t>.</w:t>
      </w:r>
      <w:r w:rsidR="002F2828">
        <w:rPr>
          <w:spacing w:val="-1"/>
          <w:szCs w:val="24"/>
        </w:rPr>
        <w:t xml:space="preserve">  </w:t>
      </w:r>
      <w:r w:rsidRPr="00050E5A">
        <w:rPr>
          <w:spacing w:val="-1"/>
          <w:szCs w:val="24"/>
        </w:rPr>
        <w:t>The OCC will consider the comments on these forms, as well as those described above, when finalizing the reporting forms for permitted payment stablecoin issuers.</w:t>
      </w:r>
    </w:p>
    <w:p w:rsidR="00050E5A" w:rsidRPr="00050E5A" w:rsidP="00050E5A" w14:paraId="58A4D03B" w14:textId="77777777">
      <w:pPr>
        <w:autoSpaceDE w:val="0"/>
        <w:autoSpaceDN w:val="0"/>
        <w:adjustRightInd w:val="0"/>
        <w:ind w:firstLine="720"/>
        <w:rPr>
          <w:spacing w:val="-1"/>
          <w:szCs w:val="24"/>
        </w:rPr>
      </w:pPr>
    </w:p>
    <w:p w:rsidR="00050E5A" w:rsidRPr="00050E5A" w:rsidP="00050E5A" w14:paraId="45D553DB" w14:textId="4F5E35F3">
      <w:pPr>
        <w:autoSpaceDE w:val="0"/>
        <w:autoSpaceDN w:val="0"/>
        <w:adjustRightInd w:val="0"/>
        <w:ind w:firstLine="720"/>
        <w:rPr>
          <w:spacing w:val="-1"/>
          <w:szCs w:val="24"/>
        </w:rPr>
      </w:pPr>
      <w:r w:rsidRPr="00050E5A">
        <w:rPr>
          <w:spacing w:val="-1"/>
          <w:szCs w:val="24"/>
        </w:rPr>
        <w:t xml:space="preserve">One commenter stated that the OCC should specify the reporting categories and their required level of detail in the rule text itself. </w:t>
      </w:r>
      <w:r w:rsidR="002F2828">
        <w:rPr>
          <w:spacing w:val="-1"/>
          <w:szCs w:val="24"/>
        </w:rPr>
        <w:t xml:space="preserve"> </w:t>
      </w:r>
      <w:r w:rsidRPr="00050E5A">
        <w:rPr>
          <w:spacing w:val="-1"/>
          <w:szCs w:val="24"/>
        </w:rPr>
        <w:t>The commenter expressed concern that if the reporting categories and the required level of detail are not included in the rule, the OCC could modify the reporting forms without proceeding through the formal rulemaking process, which would include notice and comment.</w:t>
      </w:r>
    </w:p>
    <w:p w:rsidR="00050E5A" w:rsidRPr="00050E5A" w:rsidP="00050E5A" w14:paraId="23FECC08" w14:textId="77777777">
      <w:pPr>
        <w:autoSpaceDE w:val="0"/>
        <w:autoSpaceDN w:val="0"/>
        <w:adjustRightInd w:val="0"/>
        <w:ind w:firstLine="720"/>
        <w:rPr>
          <w:spacing w:val="-1"/>
          <w:szCs w:val="24"/>
        </w:rPr>
      </w:pPr>
    </w:p>
    <w:p w:rsidR="00050E5A" w:rsidRPr="00050E5A" w:rsidP="002F2828" w14:paraId="4D7CFDBE" w14:textId="39000807">
      <w:pPr>
        <w:autoSpaceDE w:val="0"/>
        <w:autoSpaceDN w:val="0"/>
        <w:adjustRightInd w:val="0"/>
        <w:ind w:firstLine="720"/>
        <w:rPr>
          <w:spacing w:val="-1"/>
          <w:szCs w:val="24"/>
        </w:rPr>
      </w:pPr>
      <w:r w:rsidRPr="00050E5A">
        <w:rPr>
          <w:spacing w:val="-1"/>
          <w:szCs w:val="24"/>
        </w:rPr>
        <w:t xml:space="preserve">The final rule does not incorporate or specify the reporting fields or the required level of detail. </w:t>
      </w:r>
      <w:r w:rsidR="002F2828">
        <w:rPr>
          <w:spacing w:val="-1"/>
          <w:szCs w:val="24"/>
        </w:rPr>
        <w:t xml:space="preserve"> </w:t>
      </w:r>
      <w:r w:rsidRPr="00050E5A">
        <w:rPr>
          <w:spacing w:val="-1"/>
          <w:szCs w:val="24"/>
        </w:rPr>
        <w:t xml:space="preserve">Inclusion of such language is unnecessary to provide the public with prior notice and opportunity to comment on the reports. </w:t>
      </w:r>
      <w:r w:rsidR="002F2828">
        <w:rPr>
          <w:spacing w:val="-1"/>
          <w:szCs w:val="24"/>
        </w:rPr>
        <w:t xml:space="preserve"> </w:t>
      </w:r>
      <w:r w:rsidRPr="00050E5A">
        <w:rPr>
          <w:spacing w:val="-1"/>
          <w:szCs w:val="24"/>
        </w:rPr>
        <w:t>As with the proposed reporting forms, the agency has solicited public comments on both the reporting framework (</w:t>
      </w:r>
      <w:r w:rsidRPr="0030156D">
        <w:rPr>
          <w:i/>
          <w:iCs/>
          <w:spacing w:val="-1"/>
          <w:szCs w:val="24"/>
        </w:rPr>
        <w:t>i.e.</w:t>
      </w:r>
      <w:r w:rsidRPr="00050E5A">
        <w:rPr>
          <w:spacing w:val="-1"/>
          <w:szCs w:val="24"/>
        </w:rPr>
        <w:t>,</w:t>
      </w:r>
      <w:r w:rsidR="002F2828">
        <w:rPr>
          <w:spacing w:val="-1"/>
          <w:szCs w:val="24"/>
        </w:rPr>
        <w:t xml:space="preserve"> </w:t>
      </w:r>
      <w:r w:rsidRPr="00050E5A">
        <w:rPr>
          <w:spacing w:val="-1"/>
          <w:szCs w:val="24"/>
        </w:rPr>
        <w:t>weekly and quarterly reporting) through the notice of proposed rulemaking on March 2, 2026</w:t>
      </w:r>
      <w:r w:rsidR="002F2828">
        <w:rPr>
          <w:spacing w:val="-1"/>
          <w:szCs w:val="24"/>
        </w:rPr>
        <w:t xml:space="preserve"> (91 FR 10202) </w:t>
      </w:r>
      <w:r w:rsidRPr="00050E5A">
        <w:rPr>
          <w:spacing w:val="-1"/>
          <w:szCs w:val="24"/>
        </w:rPr>
        <w:t xml:space="preserve">and the reporting forms and instructions, which the agency published on June 12, 2026. </w:t>
      </w:r>
      <w:r w:rsidR="002F2828">
        <w:rPr>
          <w:spacing w:val="-1"/>
          <w:szCs w:val="24"/>
        </w:rPr>
        <w:t xml:space="preserve"> </w:t>
      </w:r>
      <w:r w:rsidRPr="00050E5A">
        <w:rPr>
          <w:spacing w:val="-1"/>
          <w:szCs w:val="24"/>
        </w:rPr>
        <w:t>In both adopting and amending the reporting forms, the OCC will adhere to administrative laws and regulations, including the Paperwork Reduction Act.</w:t>
      </w:r>
    </w:p>
    <w:p w:rsidR="00050E5A" w:rsidRPr="00050E5A" w:rsidP="00050E5A" w14:paraId="4F1F4FA5" w14:textId="77777777">
      <w:pPr>
        <w:autoSpaceDE w:val="0"/>
        <w:autoSpaceDN w:val="0"/>
        <w:adjustRightInd w:val="0"/>
        <w:ind w:firstLine="720"/>
        <w:rPr>
          <w:spacing w:val="-1"/>
          <w:szCs w:val="24"/>
        </w:rPr>
      </w:pPr>
    </w:p>
    <w:p w:rsidR="00050E5A" w:rsidRPr="00AB1885" w:rsidP="002F2828" w14:paraId="380CE987" w14:textId="4240F933">
      <w:pPr>
        <w:autoSpaceDE w:val="0"/>
        <w:autoSpaceDN w:val="0"/>
        <w:adjustRightInd w:val="0"/>
        <w:ind w:firstLine="720"/>
        <w:rPr>
          <w:b/>
          <w:bCs/>
          <w:spacing w:val="-1"/>
          <w:szCs w:val="24"/>
        </w:rPr>
      </w:pPr>
      <w:r w:rsidRPr="00AB1885">
        <w:rPr>
          <w:b/>
          <w:bCs/>
          <w:spacing w:val="-1"/>
          <w:szCs w:val="24"/>
        </w:rPr>
        <w:t>Weekly Reports</w:t>
      </w:r>
      <w:r w:rsidR="00675A72">
        <w:rPr>
          <w:b/>
          <w:bCs/>
          <w:spacing w:val="-1"/>
          <w:szCs w:val="24"/>
        </w:rPr>
        <w:t xml:space="preserve"> (§ 15.14 (h))</w:t>
      </w:r>
    </w:p>
    <w:p w:rsidR="002F2828" w:rsidRPr="00050E5A" w:rsidP="002F2828" w14:paraId="07181FFE" w14:textId="77777777">
      <w:pPr>
        <w:autoSpaceDE w:val="0"/>
        <w:autoSpaceDN w:val="0"/>
        <w:adjustRightInd w:val="0"/>
        <w:ind w:firstLine="720"/>
        <w:rPr>
          <w:spacing w:val="-1"/>
          <w:szCs w:val="24"/>
        </w:rPr>
      </w:pPr>
    </w:p>
    <w:p w:rsidR="00050E5A" w:rsidRPr="00050E5A" w:rsidP="00050E5A" w14:paraId="6267C485" w14:textId="50F9BFF8">
      <w:pPr>
        <w:autoSpaceDE w:val="0"/>
        <w:autoSpaceDN w:val="0"/>
        <w:adjustRightInd w:val="0"/>
        <w:ind w:firstLine="720"/>
        <w:rPr>
          <w:spacing w:val="-1"/>
          <w:szCs w:val="24"/>
        </w:rPr>
      </w:pPr>
      <w:r w:rsidRPr="00050E5A">
        <w:rPr>
          <w:spacing w:val="-1"/>
          <w:szCs w:val="24"/>
        </w:rPr>
        <w:t>As discussed above, proposed § 15.14(h) would have required all permitted payment stablecoin issuers to submit a confidential weekly report to the OCC in the manner and form specified by the agency.</w:t>
      </w:r>
      <w:r w:rsidR="002F2828">
        <w:rPr>
          <w:spacing w:val="-1"/>
          <w:szCs w:val="24"/>
        </w:rPr>
        <w:t xml:space="preserve"> </w:t>
      </w:r>
      <w:r w:rsidRPr="00050E5A">
        <w:rPr>
          <w:spacing w:val="-1"/>
          <w:szCs w:val="24"/>
        </w:rPr>
        <w:t xml:space="preserve"> Under the proposal, a permitted payment stablecoin issuer would have been required to provide information regarding stablecoin issuance and redemption, trading volume, and reserve assets for each payment </w:t>
      </w:r>
      <w:r w:rsidRPr="00050E5A">
        <w:rPr>
          <w:spacing w:val="-1"/>
          <w:szCs w:val="24"/>
        </w:rPr>
        <w:t>stablecoin it</w:t>
      </w:r>
      <w:r w:rsidRPr="00050E5A">
        <w:rPr>
          <w:spacing w:val="-1"/>
          <w:szCs w:val="24"/>
        </w:rPr>
        <w:t xml:space="preserve"> issues. </w:t>
      </w:r>
      <w:r w:rsidR="002F2828">
        <w:rPr>
          <w:spacing w:val="-1"/>
          <w:szCs w:val="24"/>
        </w:rPr>
        <w:t xml:space="preserve"> </w:t>
      </w:r>
      <w:r w:rsidRPr="00050E5A">
        <w:rPr>
          <w:spacing w:val="-1"/>
          <w:szCs w:val="24"/>
        </w:rPr>
        <w:t xml:space="preserve">The report would have included information relating to the blockchains on which the payment </w:t>
      </w:r>
      <w:r w:rsidRPr="00050E5A">
        <w:rPr>
          <w:spacing w:val="-1"/>
          <w:szCs w:val="24"/>
        </w:rPr>
        <w:t>stablecoin</w:t>
      </w:r>
      <w:r w:rsidRPr="00050E5A">
        <w:rPr>
          <w:spacing w:val="-1"/>
          <w:szCs w:val="24"/>
        </w:rPr>
        <w:t xml:space="preserve"> operates, outstanding issuance value, secondary market activity and price movements, redemption volume and timing, </w:t>
      </w:r>
      <w:r w:rsidRPr="00050E5A">
        <w:rPr>
          <w:spacing w:val="-1"/>
          <w:szCs w:val="24"/>
        </w:rPr>
        <w:t xml:space="preserve">detailed information regarding reserve assets, and other relevant information. </w:t>
      </w:r>
      <w:r w:rsidR="002F2828">
        <w:rPr>
          <w:spacing w:val="-1"/>
          <w:szCs w:val="24"/>
        </w:rPr>
        <w:t xml:space="preserve"> </w:t>
      </w:r>
      <w:r w:rsidRPr="00050E5A">
        <w:rPr>
          <w:spacing w:val="-1"/>
          <w:szCs w:val="24"/>
        </w:rPr>
        <w:t xml:space="preserve">As discussed above, the agency published </w:t>
      </w:r>
      <w:r w:rsidRPr="00050E5A">
        <w:rPr>
          <w:spacing w:val="-1"/>
          <w:szCs w:val="24"/>
        </w:rPr>
        <w:t>the weekly</w:t>
      </w:r>
      <w:r w:rsidRPr="00050E5A">
        <w:rPr>
          <w:spacing w:val="-1"/>
          <w:szCs w:val="24"/>
        </w:rPr>
        <w:t xml:space="preserve"> and quarterly reporting forms for notice and public comment on June 12, 2026. </w:t>
      </w:r>
      <w:r w:rsidR="002F2828">
        <w:rPr>
          <w:spacing w:val="-1"/>
          <w:szCs w:val="24"/>
        </w:rPr>
        <w:t xml:space="preserve"> </w:t>
      </w:r>
      <w:r w:rsidRPr="00050E5A">
        <w:rPr>
          <w:spacing w:val="-1"/>
          <w:szCs w:val="24"/>
        </w:rPr>
        <w:t>The following discussion includes comments received in response to the proposal's issuance on March 2, 2026, and the weekly reporting forms and instructions</w:t>
      </w:r>
      <w:r w:rsidR="002F2828">
        <w:rPr>
          <w:spacing w:val="-1"/>
          <w:szCs w:val="24"/>
        </w:rPr>
        <w:t>’</w:t>
      </w:r>
      <w:r w:rsidRPr="00050E5A">
        <w:rPr>
          <w:spacing w:val="-1"/>
          <w:szCs w:val="24"/>
        </w:rPr>
        <w:t xml:space="preserve"> issuance on June 12, 2026.</w:t>
      </w:r>
    </w:p>
    <w:p w:rsidR="00050E5A" w:rsidRPr="00050E5A" w:rsidP="00050E5A" w14:paraId="41EB1269" w14:textId="77777777">
      <w:pPr>
        <w:autoSpaceDE w:val="0"/>
        <w:autoSpaceDN w:val="0"/>
        <w:adjustRightInd w:val="0"/>
        <w:ind w:firstLine="720"/>
        <w:rPr>
          <w:spacing w:val="-1"/>
          <w:szCs w:val="24"/>
        </w:rPr>
      </w:pPr>
    </w:p>
    <w:p w:rsidR="00050E5A" w:rsidRPr="00050E5A" w:rsidP="00050E5A" w14:paraId="722E15CA" w14:textId="0A72111D">
      <w:pPr>
        <w:autoSpaceDE w:val="0"/>
        <w:autoSpaceDN w:val="0"/>
        <w:adjustRightInd w:val="0"/>
        <w:ind w:firstLine="720"/>
        <w:rPr>
          <w:spacing w:val="-1"/>
          <w:szCs w:val="24"/>
        </w:rPr>
      </w:pPr>
      <w:r w:rsidRPr="00050E5A">
        <w:rPr>
          <w:spacing w:val="-1"/>
          <w:szCs w:val="24"/>
        </w:rPr>
        <w:t xml:space="preserve">A few commenters expressed support for the weekly reporting cadence on the grounds that the reporting framework is generally well calibrated and directionally appropriate. </w:t>
      </w:r>
      <w:r w:rsidR="002F2828">
        <w:rPr>
          <w:spacing w:val="-1"/>
          <w:szCs w:val="24"/>
        </w:rPr>
        <w:t xml:space="preserve"> </w:t>
      </w:r>
      <w:r w:rsidRPr="00050E5A">
        <w:rPr>
          <w:spacing w:val="-1"/>
          <w:szCs w:val="24"/>
        </w:rPr>
        <w:t>However, the commenters also expressed a desire for the OCC to narrow the data fields to categories more closely tied to the statutory requirements and prudential oversight.</w:t>
      </w:r>
      <w:r w:rsidR="002F2828">
        <w:rPr>
          <w:spacing w:val="-1"/>
          <w:szCs w:val="24"/>
        </w:rPr>
        <w:t xml:space="preserve"> </w:t>
      </w:r>
      <w:r w:rsidRPr="00050E5A">
        <w:rPr>
          <w:spacing w:val="-1"/>
          <w:szCs w:val="24"/>
        </w:rPr>
        <w:t xml:space="preserve"> For example, commenters recommended recalibrating the data fields to focus on liquidity, reserve management, and redemptions.</w:t>
      </w:r>
    </w:p>
    <w:p w:rsidR="00050E5A" w:rsidRPr="00050E5A" w:rsidP="00050E5A" w14:paraId="6D06E9CE" w14:textId="77777777">
      <w:pPr>
        <w:autoSpaceDE w:val="0"/>
        <w:autoSpaceDN w:val="0"/>
        <w:adjustRightInd w:val="0"/>
        <w:ind w:firstLine="720"/>
        <w:rPr>
          <w:spacing w:val="-1"/>
          <w:szCs w:val="24"/>
        </w:rPr>
      </w:pPr>
    </w:p>
    <w:p w:rsidR="00050E5A" w:rsidRPr="00050E5A" w:rsidP="00050E5A" w14:paraId="3D4474C1" w14:textId="04E18F61">
      <w:pPr>
        <w:autoSpaceDE w:val="0"/>
        <w:autoSpaceDN w:val="0"/>
        <w:adjustRightInd w:val="0"/>
        <w:ind w:firstLine="720"/>
        <w:rPr>
          <w:spacing w:val="-1"/>
          <w:szCs w:val="24"/>
        </w:rPr>
      </w:pPr>
      <w:r w:rsidRPr="00050E5A">
        <w:rPr>
          <w:spacing w:val="-1"/>
          <w:szCs w:val="24"/>
        </w:rPr>
        <w:t xml:space="preserve">Several commenters also expressed opposition to the weekly reporting requirement. </w:t>
      </w:r>
      <w:r w:rsidR="002F2828">
        <w:rPr>
          <w:spacing w:val="-1"/>
          <w:szCs w:val="24"/>
        </w:rPr>
        <w:t xml:space="preserve"> </w:t>
      </w:r>
      <w:r w:rsidRPr="00050E5A">
        <w:rPr>
          <w:spacing w:val="-1"/>
          <w:szCs w:val="24"/>
        </w:rPr>
        <w:t xml:space="preserve">Generally, the commenters opposed the weekly reporting requirement on the grounds that it is overly burdensome, particularly for smaller issuers. </w:t>
      </w:r>
      <w:r w:rsidR="002F2828">
        <w:rPr>
          <w:spacing w:val="-1"/>
          <w:szCs w:val="24"/>
        </w:rPr>
        <w:t xml:space="preserve"> </w:t>
      </w:r>
      <w:r w:rsidRPr="00050E5A">
        <w:rPr>
          <w:spacing w:val="-1"/>
          <w:szCs w:val="24"/>
        </w:rPr>
        <w:t xml:space="preserve">In some cases, the commenters questioned the supervisory value of weekly reporting. </w:t>
      </w:r>
      <w:r w:rsidR="002F2828">
        <w:rPr>
          <w:spacing w:val="-1"/>
          <w:szCs w:val="24"/>
        </w:rPr>
        <w:t xml:space="preserve"> </w:t>
      </w:r>
      <w:r w:rsidRPr="00050E5A">
        <w:rPr>
          <w:spacing w:val="-1"/>
          <w:szCs w:val="24"/>
        </w:rPr>
        <w:t xml:space="preserve">The commenters also expressed a preference for a variety of reporting alternatives, including monthly reporting, monthly reporting accompanied by event-triggered reporting, and quarterly confidential reporting in addition to quarterly public reporting. </w:t>
      </w:r>
      <w:r w:rsidR="002F2828">
        <w:rPr>
          <w:spacing w:val="-1"/>
          <w:szCs w:val="24"/>
        </w:rPr>
        <w:t xml:space="preserve"> </w:t>
      </w:r>
      <w:r w:rsidRPr="00050E5A">
        <w:rPr>
          <w:spacing w:val="-1"/>
          <w:szCs w:val="24"/>
        </w:rPr>
        <w:t>One commenter added that if the OCC adopts weekly reporting, the data fields should be limited to the core data fields necessary to monitor a permitted payment stablecoin issuer for safety and soundness.</w:t>
      </w:r>
    </w:p>
    <w:p w:rsidR="00050E5A" w:rsidRPr="00050E5A" w:rsidP="00050E5A" w14:paraId="063FDFC4" w14:textId="77777777">
      <w:pPr>
        <w:autoSpaceDE w:val="0"/>
        <w:autoSpaceDN w:val="0"/>
        <w:adjustRightInd w:val="0"/>
        <w:ind w:firstLine="720"/>
        <w:rPr>
          <w:spacing w:val="-1"/>
          <w:szCs w:val="24"/>
        </w:rPr>
      </w:pPr>
    </w:p>
    <w:p w:rsidR="00050E5A" w:rsidRPr="00050E5A" w:rsidP="00050E5A" w14:paraId="5B7818E6" w14:textId="5C1B957A">
      <w:pPr>
        <w:autoSpaceDE w:val="0"/>
        <w:autoSpaceDN w:val="0"/>
        <w:adjustRightInd w:val="0"/>
        <w:ind w:firstLine="720"/>
        <w:rPr>
          <w:spacing w:val="-1"/>
          <w:szCs w:val="24"/>
        </w:rPr>
      </w:pPr>
      <w:r w:rsidRPr="00050E5A">
        <w:rPr>
          <w:spacing w:val="-1"/>
          <w:szCs w:val="24"/>
        </w:rPr>
        <w:t>Under proposed § 15.14(h), the weekly reporting submitted to the OCC would have been confidential.</w:t>
      </w:r>
      <w:r w:rsidR="00C33F04">
        <w:rPr>
          <w:spacing w:val="-1"/>
          <w:szCs w:val="24"/>
        </w:rPr>
        <w:t xml:space="preserve"> </w:t>
      </w:r>
      <w:r w:rsidRPr="00050E5A">
        <w:rPr>
          <w:spacing w:val="-1"/>
          <w:szCs w:val="24"/>
        </w:rPr>
        <w:t xml:space="preserve"> One commenter expressed the view that stablecoin holders would benefit from having access to weekly reporting and encouraged the OCC to make the weekly reporting available to the public. </w:t>
      </w:r>
      <w:r w:rsidR="00C33F04">
        <w:rPr>
          <w:spacing w:val="-1"/>
          <w:szCs w:val="24"/>
        </w:rPr>
        <w:t xml:space="preserve"> </w:t>
      </w:r>
      <w:r w:rsidRPr="00050E5A">
        <w:rPr>
          <w:spacing w:val="-1"/>
          <w:szCs w:val="24"/>
        </w:rPr>
        <w:t>Two commenters opposed the disclosure of weekly data on the grounds that it could create market distortions, reveal commercially sensitive information, and risk encouraging short-term market reactions to normal operational fluctuations that do not reflect underlying prudential concerns.</w:t>
      </w:r>
      <w:r w:rsidR="00C33F04">
        <w:rPr>
          <w:spacing w:val="-1"/>
          <w:szCs w:val="24"/>
        </w:rPr>
        <w:t xml:space="preserve"> </w:t>
      </w:r>
      <w:r w:rsidRPr="00050E5A">
        <w:rPr>
          <w:spacing w:val="-1"/>
          <w:szCs w:val="24"/>
        </w:rPr>
        <w:t xml:space="preserve"> Further, the commenters stated that disclosures should be focused on statutorily required disclosures such as reserve composition. </w:t>
      </w:r>
      <w:r w:rsidR="00C33F04">
        <w:rPr>
          <w:spacing w:val="-1"/>
          <w:szCs w:val="24"/>
        </w:rPr>
        <w:t xml:space="preserve"> </w:t>
      </w:r>
      <w:r w:rsidRPr="00050E5A">
        <w:rPr>
          <w:spacing w:val="-1"/>
          <w:szCs w:val="24"/>
        </w:rPr>
        <w:t>One of the commenters expressed an openness to the disclosure of aggregated statistics on payment stablecoin issuance and volumes, among other things, for payment stablecoins.</w:t>
      </w:r>
    </w:p>
    <w:p w:rsidR="00050E5A" w:rsidRPr="00050E5A" w:rsidP="00050E5A" w14:paraId="29602053" w14:textId="77777777">
      <w:pPr>
        <w:autoSpaceDE w:val="0"/>
        <w:autoSpaceDN w:val="0"/>
        <w:adjustRightInd w:val="0"/>
        <w:ind w:firstLine="720"/>
        <w:rPr>
          <w:spacing w:val="-1"/>
          <w:szCs w:val="24"/>
        </w:rPr>
      </w:pPr>
    </w:p>
    <w:p w:rsidR="00050E5A" w:rsidRPr="00050E5A" w:rsidP="00050E5A" w14:paraId="67C4D1CA" w14:textId="7C768D5F">
      <w:pPr>
        <w:autoSpaceDE w:val="0"/>
        <w:autoSpaceDN w:val="0"/>
        <w:adjustRightInd w:val="0"/>
        <w:ind w:firstLine="720"/>
        <w:rPr>
          <w:spacing w:val="-1"/>
          <w:szCs w:val="24"/>
        </w:rPr>
      </w:pPr>
      <w:r w:rsidRPr="00050E5A">
        <w:rPr>
          <w:spacing w:val="-1"/>
          <w:szCs w:val="24"/>
        </w:rPr>
        <w:t xml:space="preserve">One commenter stated that the weekly reporting under proposed § 15.14(h) is not designed to identify protocol-level exposure. </w:t>
      </w:r>
      <w:r w:rsidR="00C33F04">
        <w:rPr>
          <w:spacing w:val="-1"/>
          <w:szCs w:val="24"/>
        </w:rPr>
        <w:t xml:space="preserve"> </w:t>
      </w:r>
      <w:r w:rsidRPr="00050E5A">
        <w:rPr>
          <w:spacing w:val="-1"/>
          <w:szCs w:val="24"/>
        </w:rPr>
        <w:t>Specifically, the commenter stated that the data fields enumerated in proposed § 15.14(h) are appropriate for entity-level reserve and redemption oversight, but do not capture the protocol deployment of stablecoin-denominated assets where systemic risk is concentrated.</w:t>
      </w:r>
    </w:p>
    <w:p w:rsidR="00050E5A" w:rsidRPr="00050E5A" w:rsidP="00050E5A" w14:paraId="04B110B9" w14:textId="77777777">
      <w:pPr>
        <w:autoSpaceDE w:val="0"/>
        <w:autoSpaceDN w:val="0"/>
        <w:adjustRightInd w:val="0"/>
        <w:ind w:firstLine="720"/>
        <w:rPr>
          <w:spacing w:val="-1"/>
          <w:szCs w:val="24"/>
        </w:rPr>
      </w:pPr>
    </w:p>
    <w:p w:rsidR="00050E5A" w:rsidRPr="00050E5A" w:rsidP="00050E5A" w14:paraId="17DB309F" w14:textId="55D9CB46">
      <w:pPr>
        <w:autoSpaceDE w:val="0"/>
        <w:autoSpaceDN w:val="0"/>
        <w:adjustRightInd w:val="0"/>
        <w:ind w:firstLine="720"/>
        <w:rPr>
          <w:spacing w:val="-1"/>
          <w:szCs w:val="24"/>
        </w:rPr>
      </w:pPr>
      <w:r w:rsidRPr="00050E5A">
        <w:rPr>
          <w:spacing w:val="-1"/>
          <w:szCs w:val="24"/>
        </w:rPr>
        <w:t xml:space="preserve">Several commenters opposed the OCC's proposed weekly collection of “the 100 persons that hold or trade the stablecoin the most.” </w:t>
      </w:r>
      <w:r w:rsidR="00C33F04">
        <w:rPr>
          <w:spacing w:val="-1"/>
          <w:szCs w:val="24"/>
        </w:rPr>
        <w:t xml:space="preserve"> </w:t>
      </w:r>
      <w:r w:rsidRPr="00050E5A">
        <w:rPr>
          <w:spacing w:val="-1"/>
          <w:szCs w:val="24"/>
        </w:rPr>
        <w:t xml:space="preserve">Commenters generally opposed the collection of this information on several grounds. </w:t>
      </w:r>
      <w:r w:rsidR="00C33F04">
        <w:rPr>
          <w:spacing w:val="-1"/>
          <w:szCs w:val="24"/>
        </w:rPr>
        <w:t xml:space="preserve"> </w:t>
      </w:r>
      <w:r w:rsidRPr="00050E5A">
        <w:rPr>
          <w:spacing w:val="-1"/>
          <w:szCs w:val="24"/>
        </w:rPr>
        <w:t>First, commenters stated that the OCC has not articulated a clear supervisory rationale for collecting this data and that this information is not essential to understanding a permitted payment stablecoin issuer</w:t>
      </w:r>
      <w:r w:rsidR="00C33F04">
        <w:rPr>
          <w:spacing w:val="-1"/>
          <w:szCs w:val="24"/>
        </w:rPr>
        <w:t>’</w:t>
      </w:r>
      <w:r w:rsidRPr="00050E5A">
        <w:rPr>
          <w:spacing w:val="-1"/>
          <w:szCs w:val="24"/>
        </w:rPr>
        <w:t xml:space="preserve">s operations. </w:t>
      </w:r>
      <w:r w:rsidR="00C33F04">
        <w:rPr>
          <w:spacing w:val="-1"/>
          <w:szCs w:val="24"/>
        </w:rPr>
        <w:t xml:space="preserve"> </w:t>
      </w:r>
      <w:r w:rsidRPr="00050E5A">
        <w:rPr>
          <w:spacing w:val="-1"/>
          <w:szCs w:val="24"/>
        </w:rPr>
        <w:t xml:space="preserve">Second, commenters claimed that issuers cannot reliably produce this data because payment stablecoins frequently trade </w:t>
      </w:r>
      <w:r w:rsidRPr="00050E5A">
        <w:rPr>
          <w:spacing w:val="-1"/>
          <w:szCs w:val="24"/>
        </w:rPr>
        <w:t>through exchanges and intermediaries, which limits permitted payment stablecoin issuers</w:t>
      </w:r>
      <w:r w:rsidR="00C33F04">
        <w:rPr>
          <w:spacing w:val="-1"/>
          <w:szCs w:val="24"/>
        </w:rPr>
        <w:t>’</w:t>
      </w:r>
      <w:r w:rsidRPr="00050E5A">
        <w:rPr>
          <w:spacing w:val="-1"/>
          <w:szCs w:val="24"/>
        </w:rPr>
        <w:t xml:space="preserve"> ability to reliably identify the top 100 holders on a recurring basis. </w:t>
      </w:r>
      <w:r w:rsidR="00C33F04">
        <w:rPr>
          <w:spacing w:val="-1"/>
          <w:szCs w:val="24"/>
        </w:rPr>
        <w:t xml:space="preserve"> </w:t>
      </w:r>
      <w:r w:rsidRPr="00050E5A">
        <w:rPr>
          <w:spacing w:val="-1"/>
          <w:szCs w:val="24"/>
        </w:rPr>
        <w:t xml:space="preserve">Finally, the commenters claimed that the required disclosure of top-holder information raises significant privacy concerns. </w:t>
      </w:r>
      <w:r w:rsidR="00C33F04">
        <w:rPr>
          <w:spacing w:val="-1"/>
          <w:szCs w:val="24"/>
        </w:rPr>
        <w:t xml:space="preserve"> </w:t>
      </w:r>
      <w:r w:rsidRPr="00050E5A">
        <w:rPr>
          <w:spacing w:val="-1"/>
          <w:szCs w:val="24"/>
        </w:rPr>
        <w:t>Several commenters presented solutions ranging from removing the collection of this data from the weekly reporting form to focusing the collection on the top 100 wallets, which would not include any beneficial ownership information.</w:t>
      </w:r>
    </w:p>
    <w:p w:rsidR="00050E5A" w:rsidRPr="00050E5A" w:rsidP="00050E5A" w14:paraId="4EE50C11" w14:textId="77777777">
      <w:pPr>
        <w:autoSpaceDE w:val="0"/>
        <w:autoSpaceDN w:val="0"/>
        <w:adjustRightInd w:val="0"/>
        <w:ind w:firstLine="720"/>
        <w:rPr>
          <w:spacing w:val="-1"/>
          <w:szCs w:val="24"/>
        </w:rPr>
      </w:pPr>
    </w:p>
    <w:p w:rsidR="00050E5A" w:rsidRPr="00050E5A" w:rsidP="00C647F7" w14:paraId="79F3D028" w14:textId="28939BC3">
      <w:pPr>
        <w:autoSpaceDE w:val="0"/>
        <w:autoSpaceDN w:val="0"/>
        <w:adjustRightInd w:val="0"/>
        <w:ind w:firstLine="720"/>
        <w:rPr>
          <w:spacing w:val="-1"/>
          <w:szCs w:val="24"/>
        </w:rPr>
      </w:pPr>
      <w:r w:rsidRPr="00050E5A">
        <w:rPr>
          <w:spacing w:val="-1"/>
          <w:szCs w:val="24"/>
        </w:rPr>
        <w:t xml:space="preserve">Upon review of the comments, the OCC intends to keep the weekly reporting confidential. </w:t>
      </w:r>
      <w:r w:rsidR="00C33F04">
        <w:rPr>
          <w:spacing w:val="-1"/>
          <w:szCs w:val="24"/>
        </w:rPr>
        <w:t xml:space="preserve"> </w:t>
      </w:r>
      <w:r w:rsidRPr="00050E5A">
        <w:rPr>
          <w:spacing w:val="-1"/>
          <w:szCs w:val="24"/>
        </w:rPr>
        <w:t xml:space="preserve">The agency believes that the confidentiality of this reporting serves the interest of promoting the exchange of supervisory information between permitted payment stablecoin issuers and the OCC. </w:t>
      </w:r>
      <w:r w:rsidR="00C33F04">
        <w:rPr>
          <w:spacing w:val="-1"/>
          <w:szCs w:val="24"/>
        </w:rPr>
        <w:t xml:space="preserve"> </w:t>
      </w:r>
      <w:r w:rsidRPr="00050E5A">
        <w:rPr>
          <w:spacing w:val="-1"/>
          <w:szCs w:val="24"/>
        </w:rPr>
        <w:t xml:space="preserve">In the future, the OCC may consider publishing a limited set of data if it </w:t>
      </w:r>
      <w:r w:rsidRPr="00050E5A">
        <w:rPr>
          <w:spacing w:val="-1"/>
          <w:szCs w:val="24"/>
        </w:rPr>
        <w:t>would be</w:t>
      </w:r>
      <w:r w:rsidRPr="00050E5A">
        <w:rPr>
          <w:spacing w:val="-1"/>
          <w:szCs w:val="24"/>
        </w:rPr>
        <w:t xml:space="preserve"> useful to the public. </w:t>
      </w:r>
      <w:r w:rsidR="00C33F04">
        <w:rPr>
          <w:spacing w:val="-1"/>
          <w:szCs w:val="24"/>
        </w:rPr>
        <w:t xml:space="preserve"> </w:t>
      </w:r>
      <w:r w:rsidRPr="00050E5A">
        <w:rPr>
          <w:spacing w:val="-1"/>
          <w:szCs w:val="24"/>
        </w:rPr>
        <w:t xml:space="preserve">For example, the OCC may consider publishing a limited set of aggregate statistics based on </w:t>
      </w:r>
      <w:r w:rsidRPr="00050E5A">
        <w:rPr>
          <w:spacing w:val="-1"/>
          <w:szCs w:val="24"/>
        </w:rPr>
        <w:t>the weekly</w:t>
      </w:r>
      <w:r w:rsidRPr="00050E5A">
        <w:rPr>
          <w:spacing w:val="-1"/>
          <w:szCs w:val="24"/>
        </w:rPr>
        <w:t xml:space="preserve"> reporting. </w:t>
      </w:r>
      <w:r w:rsidR="00C33F04">
        <w:rPr>
          <w:spacing w:val="-1"/>
          <w:szCs w:val="24"/>
        </w:rPr>
        <w:t xml:space="preserve"> </w:t>
      </w:r>
      <w:r w:rsidRPr="00050E5A">
        <w:rPr>
          <w:spacing w:val="-1"/>
          <w:szCs w:val="24"/>
        </w:rPr>
        <w:t>The OCC published a draft weekly reporting form for comment that requests information on the top 100 payment stablecoin wallet addresses, not information identifying the top 100 individual persons holding payment stablecoins of an issuer</w:t>
      </w:r>
      <w:r w:rsidR="00C33F04">
        <w:rPr>
          <w:spacing w:val="-1"/>
          <w:szCs w:val="24"/>
        </w:rPr>
        <w:t xml:space="preserve"> (91 FR 35795)</w:t>
      </w:r>
      <w:r w:rsidRPr="00050E5A">
        <w:rPr>
          <w:spacing w:val="-1"/>
          <w:szCs w:val="24"/>
        </w:rPr>
        <w:t>.</w:t>
      </w:r>
      <w:r w:rsidR="00C647F7">
        <w:rPr>
          <w:spacing w:val="-1"/>
          <w:szCs w:val="24"/>
        </w:rPr>
        <w:t xml:space="preserve">  </w:t>
      </w:r>
      <w:r w:rsidRPr="00050E5A">
        <w:rPr>
          <w:spacing w:val="-1"/>
          <w:szCs w:val="24"/>
        </w:rPr>
        <w:t>The OCC believes the collection of this information will provide important supervisory data points related to concentration risk, payment stablecoin volatility, and other payment stablecoin characteristics that are important to the OCC's supervision of permitted payment stablecoin issuers.</w:t>
      </w:r>
      <w:r w:rsidR="00C647F7">
        <w:rPr>
          <w:spacing w:val="-1"/>
          <w:szCs w:val="24"/>
        </w:rPr>
        <w:t xml:space="preserve"> </w:t>
      </w:r>
      <w:r w:rsidRPr="00050E5A">
        <w:rPr>
          <w:spacing w:val="-1"/>
          <w:szCs w:val="24"/>
        </w:rPr>
        <w:t xml:space="preserve"> The OCC plans to </w:t>
      </w:r>
      <w:r w:rsidRPr="00050E5A">
        <w:rPr>
          <w:spacing w:val="-1"/>
          <w:szCs w:val="24"/>
        </w:rPr>
        <w:t>make adjustments to</w:t>
      </w:r>
      <w:r w:rsidRPr="00050E5A">
        <w:rPr>
          <w:spacing w:val="-1"/>
          <w:szCs w:val="24"/>
        </w:rPr>
        <w:t xml:space="preserve"> the reporting forms as appropriate to address comments received, as the market develops, and as the OCC gains experience supervising permitted payment stablecoin issuers.</w:t>
      </w:r>
    </w:p>
    <w:p w:rsidR="00050E5A" w:rsidRPr="00050E5A" w:rsidP="00050E5A" w14:paraId="19859315" w14:textId="77777777">
      <w:pPr>
        <w:autoSpaceDE w:val="0"/>
        <w:autoSpaceDN w:val="0"/>
        <w:adjustRightInd w:val="0"/>
        <w:ind w:firstLine="720"/>
        <w:rPr>
          <w:spacing w:val="-1"/>
          <w:szCs w:val="24"/>
        </w:rPr>
      </w:pPr>
    </w:p>
    <w:p w:rsidR="00050E5A" w:rsidRPr="00AB1885" w:rsidP="00050E5A" w14:paraId="34684C8B" w14:textId="140E9CB8">
      <w:pPr>
        <w:autoSpaceDE w:val="0"/>
        <w:autoSpaceDN w:val="0"/>
        <w:adjustRightInd w:val="0"/>
        <w:ind w:firstLine="720"/>
        <w:rPr>
          <w:b/>
          <w:bCs/>
          <w:spacing w:val="-1"/>
          <w:szCs w:val="24"/>
        </w:rPr>
      </w:pPr>
      <w:r w:rsidRPr="00AB1885">
        <w:rPr>
          <w:b/>
          <w:bCs/>
          <w:spacing w:val="-1"/>
          <w:szCs w:val="24"/>
        </w:rPr>
        <w:t>Quarterly Reports</w:t>
      </w:r>
      <w:r w:rsidR="00675A72">
        <w:rPr>
          <w:b/>
          <w:bCs/>
          <w:spacing w:val="-1"/>
          <w:szCs w:val="24"/>
        </w:rPr>
        <w:t xml:space="preserve"> (§ 15.14(i))</w:t>
      </w:r>
    </w:p>
    <w:p w:rsidR="00050E5A" w:rsidRPr="00050E5A" w:rsidP="00050E5A" w14:paraId="204D4804" w14:textId="77777777">
      <w:pPr>
        <w:autoSpaceDE w:val="0"/>
        <w:autoSpaceDN w:val="0"/>
        <w:adjustRightInd w:val="0"/>
        <w:ind w:firstLine="720"/>
        <w:rPr>
          <w:spacing w:val="-1"/>
          <w:szCs w:val="24"/>
        </w:rPr>
      </w:pPr>
    </w:p>
    <w:p w:rsidR="00050E5A" w:rsidRPr="00050E5A" w:rsidP="0037195E" w14:paraId="1F92D486" w14:textId="03CE5778">
      <w:pPr>
        <w:autoSpaceDE w:val="0"/>
        <w:autoSpaceDN w:val="0"/>
        <w:adjustRightInd w:val="0"/>
        <w:ind w:firstLine="720"/>
        <w:rPr>
          <w:spacing w:val="-1"/>
          <w:szCs w:val="24"/>
        </w:rPr>
      </w:pPr>
      <w:r w:rsidRPr="00050E5A">
        <w:rPr>
          <w:spacing w:val="-1"/>
          <w:szCs w:val="24"/>
        </w:rPr>
        <w:t>As discussed above, proposed § 15.14(i) would have required all permitted payment stablecoin issuers to submit a quarterly report of financial condition within 30 days after the end of the prior quarter and in a standardized format prescribed by the OCC.</w:t>
      </w:r>
      <w:r w:rsidR="0037195E">
        <w:rPr>
          <w:spacing w:val="-1"/>
          <w:szCs w:val="24"/>
        </w:rPr>
        <w:t xml:space="preserve"> </w:t>
      </w:r>
      <w:r w:rsidRPr="00050E5A">
        <w:rPr>
          <w:spacing w:val="-1"/>
          <w:szCs w:val="24"/>
        </w:rPr>
        <w:t xml:space="preserve"> Under the proposal, permitted payment stablecoin issuers would have been required to submit quarterly reports of financial condition to the OCC, including, but not limited to, an income statement, expenses, balance sheet, reserves, changes in equity, investments, capital, outstanding issuance value, and assets under custody, in a standardized format. </w:t>
      </w:r>
      <w:r w:rsidR="0037195E">
        <w:rPr>
          <w:spacing w:val="-1"/>
          <w:szCs w:val="24"/>
        </w:rPr>
        <w:t xml:space="preserve"> </w:t>
      </w:r>
      <w:r w:rsidRPr="00050E5A">
        <w:rPr>
          <w:spacing w:val="-1"/>
          <w:szCs w:val="24"/>
        </w:rPr>
        <w:t>The agency published the weekly and quarterly reporting forms for notice and public comment on June 12, 2026</w:t>
      </w:r>
      <w:r w:rsidR="0037195E">
        <w:rPr>
          <w:spacing w:val="-1"/>
          <w:szCs w:val="24"/>
        </w:rPr>
        <w:t xml:space="preserve"> (91 FR 35795)</w:t>
      </w:r>
      <w:r w:rsidRPr="00050E5A">
        <w:rPr>
          <w:spacing w:val="-1"/>
          <w:szCs w:val="24"/>
        </w:rPr>
        <w:t>.</w:t>
      </w:r>
      <w:r w:rsidR="0037195E">
        <w:rPr>
          <w:spacing w:val="-1"/>
          <w:szCs w:val="24"/>
        </w:rPr>
        <w:t xml:space="preserve">  </w:t>
      </w:r>
      <w:r w:rsidRPr="00050E5A">
        <w:rPr>
          <w:spacing w:val="-1"/>
          <w:szCs w:val="24"/>
        </w:rPr>
        <w:t>The following discussion includes comments received in response to the proposal</w:t>
      </w:r>
      <w:r w:rsidR="0037195E">
        <w:rPr>
          <w:spacing w:val="-1"/>
          <w:szCs w:val="24"/>
        </w:rPr>
        <w:t>’</w:t>
      </w:r>
      <w:r w:rsidRPr="00050E5A">
        <w:rPr>
          <w:spacing w:val="-1"/>
          <w:szCs w:val="24"/>
        </w:rPr>
        <w:t>s issuance on March 2, 2026</w:t>
      </w:r>
      <w:r w:rsidR="0037195E">
        <w:rPr>
          <w:spacing w:val="-1"/>
          <w:szCs w:val="24"/>
        </w:rPr>
        <w:t xml:space="preserve"> (91 FR 10202)</w:t>
      </w:r>
      <w:r w:rsidRPr="00050E5A">
        <w:rPr>
          <w:spacing w:val="-1"/>
          <w:szCs w:val="24"/>
        </w:rPr>
        <w:t>.</w:t>
      </w:r>
    </w:p>
    <w:p w:rsidR="00050E5A" w:rsidRPr="00050E5A" w:rsidP="00050E5A" w14:paraId="5EEFE5DB" w14:textId="77777777">
      <w:pPr>
        <w:autoSpaceDE w:val="0"/>
        <w:autoSpaceDN w:val="0"/>
        <w:adjustRightInd w:val="0"/>
        <w:ind w:firstLine="720"/>
        <w:rPr>
          <w:spacing w:val="-1"/>
          <w:szCs w:val="24"/>
        </w:rPr>
      </w:pPr>
    </w:p>
    <w:p w:rsidR="00050E5A" w:rsidRPr="00050E5A" w:rsidP="00050E5A" w14:paraId="3451DFD8" w14:textId="4FB91004">
      <w:pPr>
        <w:autoSpaceDE w:val="0"/>
        <w:autoSpaceDN w:val="0"/>
        <w:adjustRightInd w:val="0"/>
        <w:ind w:firstLine="720"/>
        <w:rPr>
          <w:spacing w:val="-1"/>
          <w:szCs w:val="24"/>
        </w:rPr>
      </w:pPr>
      <w:r w:rsidRPr="00050E5A">
        <w:rPr>
          <w:spacing w:val="-1"/>
          <w:szCs w:val="24"/>
        </w:rPr>
        <w:t xml:space="preserve">A few commenters expressed support for requiring permitted payment stablecoin issuers to provide quarterly reports </w:t>
      </w:r>
      <w:r w:rsidRPr="00050E5A">
        <w:rPr>
          <w:spacing w:val="-1"/>
          <w:szCs w:val="24"/>
        </w:rPr>
        <w:t>of</w:t>
      </w:r>
      <w:r w:rsidRPr="00050E5A">
        <w:rPr>
          <w:spacing w:val="-1"/>
          <w:szCs w:val="24"/>
        </w:rPr>
        <w:t xml:space="preserve"> financial condition. </w:t>
      </w:r>
      <w:r w:rsidR="0037195E">
        <w:rPr>
          <w:spacing w:val="-1"/>
          <w:szCs w:val="24"/>
        </w:rPr>
        <w:t xml:space="preserve"> </w:t>
      </w:r>
      <w:r w:rsidRPr="00050E5A">
        <w:rPr>
          <w:spacing w:val="-1"/>
          <w:szCs w:val="24"/>
        </w:rPr>
        <w:t>The commenters generally stated that quarterly reporting is an important tool to both compare permitted payment stablecoin issuers and prevent the deterioration of market confidence.</w:t>
      </w:r>
    </w:p>
    <w:p w:rsidR="00050E5A" w:rsidRPr="00050E5A" w:rsidP="00050E5A" w14:paraId="440540C7" w14:textId="77777777">
      <w:pPr>
        <w:autoSpaceDE w:val="0"/>
        <w:autoSpaceDN w:val="0"/>
        <w:adjustRightInd w:val="0"/>
        <w:ind w:firstLine="720"/>
        <w:rPr>
          <w:spacing w:val="-1"/>
          <w:szCs w:val="24"/>
        </w:rPr>
      </w:pPr>
    </w:p>
    <w:p w:rsidR="00050E5A" w:rsidRPr="00050E5A" w:rsidP="00050E5A" w14:paraId="1892EDEF" w14:textId="09420493">
      <w:pPr>
        <w:autoSpaceDE w:val="0"/>
        <w:autoSpaceDN w:val="0"/>
        <w:adjustRightInd w:val="0"/>
        <w:ind w:firstLine="720"/>
        <w:rPr>
          <w:spacing w:val="-1"/>
          <w:szCs w:val="24"/>
        </w:rPr>
      </w:pPr>
      <w:r w:rsidRPr="00050E5A">
        <w:rPr>
          <w:spacing w:val="-1"/>
          <w:szCs w:val="24"/>
        </w:rPr>
        <w:t xml:space="preserve">Several commenters stated that permitted payment stablecoin issuers that are subsidiaries of national banks that already file Call Reports should not be required to submit a separate quarterly report </w:t>
      </w:r>
      <w:r w:rsidRPr="00050E5A">
        <w:rPr>
          <w:spacing w:val="-1"/>
          <w:szCs w:val="24"/>
        </w:rPr>
        <w:t>in order to</w:t>
      </w:r>
      <w:r w:rsidRPr="00050E5A">
        <w:rPr>
          <w:spacing w:val="-1"/>
          <w:szCs w:val="24"/>
        </w:rPr>
        <w:t xml:space="preserve"> minimize duplicative reporting requirements, reduce reporting burden, and lower compliance costs. </w:t>
      </w:r>
      <w:r w:rsidR="009B589B">
        <w:rPr>
          <w:spacing w:val="-1"/>
          <w:szCs w:val="24"/>
        </w:rPr>
        <w:t xml:space="preserve"> </w:t>
      </w:r>
      <w:r w:rsidRPr="00050E5A">
        <w:rPr>
          <w:spacing w:val="-1"/>
          <w:szCs w:val="24"/>
        </w:rPr>
        <w:t>The commenters generally advocated that these permitted payment stablecoin issuers be allowed to submit a stablecoin-specific appendix or schedule.</w:t>
      </w:r>
    </w:p>
    <w:p w:rsidR="00050E5A" w:rsidRPr="00050E5A" w:rsidP="00050E5A" w14:paraId="57BEA2EB" w14:textId="77777777">
      <w:pPr>
        <w:autoSpaceDE w:val="0"/>
        <w:autoSpaceDN w:val="0"/>
        <w:adjustRightInd w:val="0"/>
        <w:ind w:firstLine="720"/>
        <w:rPr>
          <w:spacing w:val="-1"/>
          <w:szCs w:val="24"/>
        </w:rPr>
      </w:pPr>
    </w:p>
    <w:p w:rsidR="00050E5A" w:rsidRPr="00050E5A" w:rsidP="00050E5A" w14:paraId="477CFAF2" w14:textId="3F3008ED">
      <w:pPr>
        <w:autoSpaceDE w:val="0"/>
        <w:autoSpaceDN w:val="0"/>
        <w:adjustRightInd w:val="0"/>
        <w:ind w:firstLine="720"/>
        <w:rPr>
          <w:spacing w:val="-1"/>
          <w:szCs w:val="24"/>
        </w:rPr>
      </w:pPr>
      <w:r w:rsidRPr="00050E5A">
        <w:rPr>
          <w:spacing w:val="-1"/>
          <w:szCs w:val="24"/>
        </w:rPr>
        <w:t>Some commenters stated that the OCC should allow other executives, besides the Chief Financial Officer or the individual performing the equivalent function, to provide the quarterly report attestation.</w:t>
      </w:r>
      <w:r w:rsidR="00E552EF">
        <w:rPr>
          <w:spacing w:val="-1"/>
          <w:szCs w:val="24"/>
        </w:rPr>
        <w:t xml:space="preserve"> </w:t>
      </w:r>
      <w:r w:rsidRPr="00050E5A">
        <w:rPr>
          <w:spacing w:val="-1"/>
          <w:szCs w:val="24"/>
        </w:rPr>
        <w:t xml:space="preserve"> The commenters also recommended that the OCC </w:t>
      </w:r>
      <w:r w:rsidRPr="00050E5A">
        <w:rPr>
          <w:spacing w:val="-1"/>
          <w:szCs w:val="24"/>
        </w:rPr>
        <w:t>allow</w:t>
      </w:r>
      <w:r w:rsidRPr="00050E5A">
        <w:rPr>
          <w:spacing w:val="-1"/>
          <w:szCs w:val="24"/>
        </w:rPr>
        <w:t xml:space="preserve"> a subset of the board of directors and senior management, as opposed to all members of the board of directors and senior management, to attest to the correctness of quarterly reports. </w:t>
      </w:r>
      <w:r w:rsidR="00E552EF">
        <w:rPr>
          <w:spacing w:val="-1"/>
          <w:szCs w:val="24"/>
        </w:rPr>
        <w:t xml:space="preserve"> </w:t>
      </w:r>
      <w:r w:rsidRPr="00050E5A">
        <w:rPr>
          <w:spacing w:val="-1"/>
          <w:szCs w:val="24"/>
        </w:rPr>
        <w:t>The OCC believes that the Chief Financial Officer, or the individual performing the equivalent function, is the correct member of senior management to be accountable for providing an attestation to the accuracy of quarterly reports.</w:t>
      </w:r>
      <w:r w:rsidR="00E552EF">
        <w:rPr>
          <w:spacing w:val="-1"/>
          <w:szCs w:val="24"/>
        </w:rPr>
        <w:t xml:space="preserve"> </w:t>
      </w:r>
      <w:r w:rsidRPr="00050E5A">
        <w:rPr>
          <w:spacing w:val="-1"/>
          <w:szCs w:val="24"/>
        </w:rPr>
        <w:t xml:space="preserve"> A single accountable member of senior management will help ensure that a member of senior management has ownership of a permitted payment stablecoin issuer</w:t>
      </w:r>
      <w:r w:rsidR="00E552EF">
        <w:rPr>
          <w:spacing w:val="-1"/>
          <w:szCs w:val="24"/>
        </w:rPr>
        <w:t>’</w:t>
      </w:r>
      <w:r w:rsidRPr="00050E5A">
        <w:rPr>
          <w:spacing w:val="-1"/>
          <w:szCs w:val="24"/>
        </w:rPr>
        <w:t>s financial reporting function.</w:t>
      </w:r>
      <w:r w:rsidR="00E552EF">
        <w:rPr>
          <w:spacing w:val="-1"/>
          <w:szCs w:val="24"/>
        </w:rPr>
        <w:t xml:space="preserve"> </w:t>
      </w:r>
      <w:r w:rsidRPr="00050E5A">
        <w:rPr>
          <w:spacing w:val="-1"/>
          <w:szCs w:val="24"/>
        </w:rPr>
        <w:t xml:space="preserve"> Similarly, the OCC believes that requiring all members of the board of directors and senior management to attest to the correctness of quarterly reports will help ensure that the board of directors and senior management are engaged in the oversight of the permitted payment stablecoin issuer</w:t>
      </w:r>
      <w:r w:rsidR="00E552EF">
        <w:rPr>
          <w:spacing w:val="-1"/>
          <w:szCs w:val="24"/>
        </w:rPr>
        <w:t>’</w:t>
      </w:r>
      <w:r w:rsidRPr="00050E5A">
        <w:rPr>
          <w:spacing w:val="-1"/>
          <w:szCs w:val="24"/>
        </w:rPr>
        <w:t>s financial reporting function.</w:t>
      </w:r>
    </w:p>
    <w:p w:rsidR="00050E5A" w:rsidRPr="00050E5A" w:rsidP="00050E5A" w14:paraId="20B3ED22" w14:textId="77777777">
      <w:pPr>
        <w:autoSpaceDE w:val="0"/>
        <w:autoSpaceDN w:val="0"/>
        <w:adjustRightInd w:val="0"/>
        <w:ind w:firstLine="720"/>
        <w:rPr>
          <w:spacing w:val="-1"/>
          <w:szCs w:val="24"/>
        </w:rPr>
      </w:pPr>
    </w:p>
    <w:p w:rsidR="00E552EF" w:rsidP="00050E5A" w14:paraId="0F498250" w14:textId="359629B2">
      <w:pPr>
        <w:autoSpaceDE w:val="0"/>
        <w:autoSpaceDN w:val="0"/>
        <w:adjustRightInd w:val="0"/>
        <w:ind w:firstLine="720"/>
        <w:rPr>
          <w:spacing w:val="-1"/>
          <w:szCs w:val="24"/>
        </w:rPr>
      </w:pPr>
      <w:r w:rsidRPr="00050E5A">
        <w:rPr>
          <w:spacing w:val="-1"/>
          <w:szCs w:val="24"/>
        </w:rPr>
        <w:t xml:space="preserve">Upon consideration of the comments received, the OCC has elected to adopt the quarterly reporting provision as proposed with new subdivisions and other technical edits. </w:t>
      </w:r>
      <w:r>
        <w:rPr>
          <w:spacing w:val="-1"/>
          <w:szCs w:val="24"/>
        </w:rPr>
        <w:t xml:space="preserve"> </w:t>
      </w:r>
      <w:r w:rsidRPr="00050E5A">
        <w:rPr>
          <w:spacing w:val="-1"/>
          <w:szCs w:val="24"/>
        </w:rPr>
        <w:t>Final</w:t>
      </w:r>
      <w:r>
        <w:rPr>
          <w:spacing w:val="-1"/>
          <w:szCs w:val="24"/>
        </w:rPr>
        <w:t xml:space="preserve"> </w:t>
      </w:r>
      <w:r w:rsidRPr="00050E5A">
        <w:rPr>
          <w:spacing w:val="-1"/>
          <w:szCs w:val="24"/>
        </w:rPr>
        <w:t xml:space="preserve">§ 15.14(i)(1) requires a quarterly report on the financial condition, final § 15.14(i)(2) requires a declaration that the report is true and correct, and final § 15.14(i)(3) requires certain signatures of directors and senior management. </w:t>
      </w:r>
      <w:r>
        <w:rPr>
          <w:spacing w:val="-1"/>
          <w:szCs w:val="24"/>
        </w:rPr>
        <w:t xml:space="preserve"> </w:t>
      </w:r>
      <w:r w:rsidRPr="00050E5A">
        <w:rPr>
          <w:spacing w:val="-1"/>
          <w:szCs w:val="24"/>
        </w:rPr>
        <w:t>The technical edits involve the addition of “and” to final § 15.14(i)(1) for clarity and the addition of commas in final § 15.14(i)(3) for clarity.</w:t>
      </w:r>
      <w:r>
        <w:rPr>
          <w:spacing w:val="-1"/>
          <w:szCs w:val="24"/>
        </w:rPr>
        <w:t xml:space="preserve"> </w:t>
      </w:r>
      <w:r w:rsidRPr="00050E5A">
        <w:rPr>
          <w:spacing w:val="-1"/>
          <w:szCs w:val="24"/>
        </w:rPr>
        <w:t xml:space="preserve"> In the interest of promoting transparency, the OCC has determined that each permitted payment stablecoin issuer must submit a quarterly report of condition.</w:t>
      </w:r>
      <w:r>
        <w:rPr>
          <w:spacing w:val="-1"/>
          <w:szCs w:val="24"/>
        </w:rPr>
        <w:t xml:space="preserve"> </w:t>
      </w:r>
      <w:r w:rsidRPr="00050E5A">
        <w:rPr>
          <w:spacing w:val="-1"/>
          <w:szCs w:val="24"/>
        </w:rPr>
        <w:t xml:space="preserve"> The agency has adopted this approach because it establishes a uniform requirement across all permitted payment stablecoin issuers and will minimize public confusion about where to find quarterly reports of condition for permitted payment stablecoin issuers. </w:t>
      </w:r>
      <w:r>
        <w:rPr>
          <w:spacing w:val="-1"/>
          <w:szCs w:val="24"/>
        </w:rPr>
        <w:t xml:space="preserve"> </w:t>
      </w:r>
      <w:r w:rsidRPr="00050E5A">
        <w:rPr>
          <w:spacing w:val="-1"/>
          <w:szCs w:val="24"/>
        </w:rPr>
        <w:t xml:space="preserve">If some permitted payment stablecoin issuers were allowed to attach quarterly reports of condition to Call Reports, the public could find it challenging to locate stablecoin-specific quarterly reporting forms if it is not widely known or understood that a permitted payment stablecoin issuer is a subsidiary of an institution that is a Call Report filer. </w:t>
      </w:r>
      <w:r>
        <w:rPr>
          <w:spacing w:val="-1"/>
          <w:szCs w:val="24"/>
        </w:rPr>
        <w:t xml:space="preserve"> </w:t>
      </w:r>
      <w:r w:rsidRPr="00050E5A">
        <w:rPr>
          <w:spacing w:val="-1"/>
          <w:szCs w:val="24"/>
        </w:rPr>
        <w:t>Therefore, the OCC has elected to adopt a uniform quarterly reporting requirement for all permitted payment stablecoin issuers.</w:t>
      </w:r>
    </w:p>
    <w:p w:rsidR="004B35C3" w:rsidRPr="00050E5A" w:rsidP="00050E5A" w14:paraId="73EABE3C" w14:textId="77777777">
      <w:pPr>
        <w:autoSpaceDE w:val="0"/>
        <w:autoSpaceDN w:val="0"/>
        <w:adjustRightInd w:val="0"/>
        <w:ind w:firstLine="720"/>
        <w:rPr>
          <w:spacing w:val="-1"/>
          <w:szCs w:val="24"/>
        </w:rPr>
      </w:pPr>
    </w:p>
    <w:p w:rsidR="00050E5A" w:rsidRPr="00050E5A" w:rsidP="00E552EF" w14:paraId="19571322" w14:textId="4819B011">
      <w:pPr>
        <w:autoSpaceDE w:val="0"/>
        <w:autoSpaceDN w:val="0"/>
        <w:adjustRightInd w:val="0"/>
        <w:ind w:firstLine="720"/>
        <w:rPr>
          <w:spacing w:val="-1"/>
          <w:szCs w:val="24"/>
        </w:rPr>
      </w:pPr>
      <w:r w:rsidRPr="00050E5A">
        <w:rPr>
          <w:spacing w:val="-1"/>
          <w:szCs w:val="24"/>
        </w:rPr>
        <w:t>One commenter stated that large and complex permitted payment stablecoin issuers (</w:t>
      </w:r>
      <w:r w:rsidRPr="0030156D">
        <w:rPr>
          <w:i/>
          <w:iCs/>
          <w:spacing w:val="-1"/>
          <w:szCs w:val="24"/>
        </w:rPr>
        <w:t>e.g.</w:t>
      </w:r>
      <w:r w:rsidRPr="00050E5A">
        <w:rPr>
          <w:spacing w:val="-1"/>
          <w:szCs w:val="24"/>
        </w:rPr>
        <w:t>,</w:t>
      </w:r>
      <w:r w:rsidR="00E552EF">
        <w:rPr>
          <w:spacing w:val="-1"/>
          <w:szCs w:val="24"/>
        </w:rPr>
        <w:t xml:space="preserve"> </w:t>
      </w:r>
      <w:r w:rsidRPr="00050E5A">
        <w:rPr>
          <w:spacing w:val="-1"/>
          <w:szCs w:val="24"/>
        </w:rPr>
        <w:t xml:space="preserve">those above $10 billion in payment stablecoin issuance or that meet the other criteria cited above) should be required to report at a much higher frequency than quarterly, </w:t>
      </w:r>
      <w:r w:rsidRPr="00050E5A">
        <w:rPr>
          <w:spacing w:val="-1"/>
          <w:szCs w:val="24"/>
        </w:rPr>
        <w:t>similar to</w:t>
      </w:r>
      <w:r w:rsidRPr="00050E5A">
        <w:rPr>
          <w:spacing w:val="-1"/>
          <w:szCs w:val="24"/>
        </w:rPr>
        <w:t xml:space="preserve"> the prudential bank requirements for the largest banking organizations. </w:t>
      </w:r>
      <w:r w:rsidR="00E552EF">
        <w:rPr>
          <w:spacing w:val="-1"/>
          <w:szCs w:val="24"/>
        </w:rPr>
        <w:t xml:space="preserve"> </w:t>
      </w:r>
      <w:r w:rsidRPr="00050E5A">
        <w:rPr>
          <w:spacing w:val="-1"/>
          <w:szCs w:val="24"/>
        </w:rPr>
        <w:t>Under §</w:t>
      </w:r>
      <w:r w:rsidR="00E552EF">
        <w:rPr>
          <w:spacing w:val="-1"/>
          <w:szCs w:val="24"/>
        </w:rPr>
        <w:t xml:space="preserve"> </w:t>
      </w:r>
      <w:r w:rsidRPr="00050E5A">
        <w:rPr>
          <w:spacing w:val="-1"/>
          <w:szCs w:val="24"/>
        </w:rPr>
        <w:t>15.14(h) of the final rule, all permitted payment stablecoin issuers will be required to provide weekly confidential reporting to the OCC.</w:t>
      </w:r>
    </w:p>
    <w:p w:rsidR="00050E5A" w:rsidRPr="00050E5A" w:rsidP="00050E5A" w14:paraId="3C85D140" w14:textId="77777777">
      <w:pPr>
        <w:autoSpaceDE w:val="0"/>
        <w:autoSpaceDN w:val="0"/>
        <w:adjustRightInd w:val="0"/>
        <w:ind w:firstLine="720"/>
        <w:rPr>
          <w:spacing w:val="-1"/>
          <w:szCs w:val="24"/>
        </w:rPr>
      </w:pPr>
    </w:p>
    <w:p w:rsidR="00050E5A" w:rsidRPr="00050E5A" w:rsidP="00050E5A" w14:paraId="74B94C2E" w14:textId="1C84495B">
      <w:pPr>
        <w:autoSpaceDE w:val="0"/>
        <w:autoSpaceDN w:val="0"/>
        <w:adjustRightInd w:val="0"/>
        <w:ind w:firstLine="720"/>
        <w:rPr>
          <w:spacing w:val="-1"/>
          <w:szCs w:val="24"/>
        </w:rPr>
      </w:pPr>
      <w:r w:rsidRPr="00050E5A">
        <w:rPr>
          <w:spacing w:val="-1"/>
          <w:szCs w:val="24"/>
        </w:rPr>
        <w:t>One commenter stated that the quarterly reporting requirement in proposed §</w:t>
      </w:r>
      <w:r w:rsidR="00E552EF">
        <w:rPr>
          <w:spacing w:val="-1"/>
          <w:szCs w:val="24"/>
        </w:rPr>
        <w:t xml:space="preserve"> </w:t>
      </w:r>
      <w:r w:rsidRPr="00050E5A">
        <w:rPr>
          <w:spacing w:val="-1"/>
          <w:szCs w:val="24"/>
        </w:rPr>
        <w:t>15.14(i) should be tailored to ensure proportionality across the rulemaking and consistency across prudential regulators, to avoid unnecessary duplication and be consistent with a risk-based supervisory approach.</w:t>
      </w:r>
    </w:p>
    <w:p w:rsidR="00050E5A" w:rsidRPr="00050E5A" w:rsidP="00050E5A" w14:paraId="03AC68F1" w14:textId="77777777">
      <w:pPr>
        <w:autoSpaceDE w:val="0"/>
        <w:autoSpaceDN w:val="0"/>
        <w:adjustRightInd w:val="0"/>
        <w:ind w:firstLine="720"/>
        <w:rPr>
          <w:spacing w:val="-1"/>
          <w:szCs w:val="24"/>
        </w:rPr>
      </w:pPr>
    </w:p>
    <w:p w:rsidR="00050E5A" w:rsidRPr="00050E5A" w:rsidP="00050E5A" w14:paraId="08428C25" w14:textId="1BC151E4">
      <w:pPr>
        <w:autoSpaceDE w:val="0"/>
        <w:autoSpaceDN w:val="0"/>
        <w:adjustRightInd w:val="0"/>
        <w:ind w:firstLine="720"/>
        <w:rPr>
          <w:spacing w:val="-1"/>
          <w:szCs w:val="24"/>
        </w:rPr>
      </w:pPr>
      <w:r w:rsidRPr="00050E5A">
        <w:rPr>
          <w:spacing w:val="-1"/>
          <w:szCs w:val="24"/>
        </w:rPr>
        <w:t xml:space="preserve">One commenter recommended making quarterly reporting data publicly available as the reports are likely to contain material facts that are pertinent to stablecoin holders and other data </w:t>
      </w:r>
      <w:r w:rsidRPr="00050E5A">
        <w:rPr>
          <w:spacing w:val="-1"/>
          <w:szCs w:val="24"/>
        </w:rPr>
        <w:t>users.</w:t>
      </w:r>
      <w:r w:rsidR="00E552EF">
        <w:rPr>
          <w:spacing w:val="-1"/>
          <w:szCs w:val="24"/>
        </w:rPr>
        <w:t xml:space="preserve"> </w:t>
      </w:r>
      <w:r w:rsidRPr="00050E5A">
        <w:rPr>
          <w:spacing w:val="-1"/>
          <w:szCs w:val="24"/>
        </w:rPr>
        <w:t xml:space="preserve"> </w:t>
      </w:r>
      <w:r w:rsidRPr="00050E5A">
        <w:rPr>
          <w:spacing w:val="-1"/>
          <w:szCs w:val="24"/>
        </w:rPr>
        <w:t>Similar to</w:t>
      </w:r>
      <w:r w:rsidRPr="00050E5A">
        <w:rPr>
          <w:spacing w:val="-1"/>
          <w:szCs w:val="24"/>
        </w:rPr>
        <w:t xml:space="preserve"> the publication of Call Reports, the OCC intends to publish the quarterly reporting forms for OCC-supervised permitted payment stablecoin issuers.</w:t>
      </w:r>
    </w:p>
    <w:p w:rsidR="00050E5A" w:rsidRPr="00050E5A" w:rsidP="00050E5A" w14:paraId="7C070975" w14:textId="77777777">
      <w:pPr>
        <w:autoSpaceDE w:val="0"/>
        <w:autoSpaceDN w:val="0"/>
        <w:adjustRightInd w:val="0"/>
        <w:ind w:firstLine="720"/>
        <w:rPr>
          <w:spacing w:val="-1"/>
          <w:szCs w:val="24"/>
        </w:rPr>
      </w:pPr>
    </w:p>
    <w:p w:rsidR="00050E5A" w:rsidRPr="00AB1885" w:rsidP="00050E5A" w14:paraId="3502B92D" w14:textId="2325D547">
      <w:pPr>
        <w:autoSpaceDE w:val="0"/>
        <w:autoSpaceDN w:val="0"/>
        <w:adjustRightInd w:val="0"/>
        <w:ind w:firstLine="720"/>
        <w:rPr>
          <w:b/>
          <w:bCs/>
          <w:spacing w:val="-1"/>
          <w:szCs w:val="24"/>
        </w:rPr>
      </w:pPr>
      <w:r w:rsidRPr="00AB1885">
        <w:rPr>
          <w:b/>
          <w:bCs/>
          <w:spacing w:val="-1"/>
          <w:szCs w:val="24"/>
        </w:rPr>
        <w:t>Other Supervisory Reports</w:t>
      </w:r>
      <w:r w:rsidR="00675A72">
        <w:rPr>
          <w:b/>
          <w:bCs/>
          <w:spacing w:val="-1"/>
          <w:szCs w:val="24"/>
        </w:rPr>
        <w:t xml:space="preserve"> (§ 15.14(j))</w:t>
      </w:r>
    </w:p>
    <w:p w:rsidR="00050E5A" w:rsidRPr="00050E5A" w:rsidP="00050E5A" w14:paraId="4486CDF0" w14:textId="77777777">
      <w:pPr>
        <w:autoSpaceDE w:val="0"/>
        <w:autoSpaceDN w:val="0"/>
        <w:adjustRightInd w:val="0"/>
        <w:ind w:firstLine="720"/>
        <w:rPr>
          <w:spacing w:val="-1"/>
          <w:szCs w:val="24"/>
        </w:rPr>
      </w:pPr>
    </w:p>
    <w:p w:rsidR="00050E5A" w:rsidRPr="00050E5A" w:rsidP="00050E5A" w14:paraId="02973AD2" w14:textId="19FEDEFC">
      <w:pPr>
        <w:autoSpaceDE w:val="0"/>
        <w:autoSpaceDN w:val="0"/>
        <w:adjustRightInd w:val="0"/>
        <w:ind w:firstLine="720"/>
        <w:rPr>
          <w:spacing w:val="-1"/>
          <w:szCs w:val="24"/>
        </w:rPr>
      </w:pPr>
      <w:r w:rsidRPr="00050E5A">
        <w:rPr>
          <w:spacing w:val="-1"/>
          <w:szCs w:val="24"/>
        </w:rPr>
        <w:t>Proposed § 15.14(j) addressed section 6(a)(2) of the GENIUS Act (12 U.S.C. 5905(a)(2)) and would have required each permitted payment stablecoin issuer subject to the requirements of section 6(a)(1) of the Act to, upon request, submit to the OCC a report on: (1) the financial condition of the permitted payment stablecoin issuer; (2) the systems of the permitted payment stablecoin issuer for monitoring and controlling financial and operating risks; (3) compliance by the permitted payment stablecoin issuer (and any subsidiary thereof) with the GENIUS Act and proposed part 15; and (4) compliance of the permitted payment stablecoin issuer with the Bank Secrecy Act and with laws authorizing the imposition of sanctions and implemented by the Secretary of the Treasury</w:t>
      </w:r>
      <w:r w:rsidR="00E552EF">
        <w:rPr>
          <w:spacing w:val="-1"/>
          <w:szCs w:val="24"/>
        </w:rPr>
        <w:t xml:space="preserve"> (12 U.S.C. 5905(a)(2))</w:t>
      </w:r>
      <w:r w:rsidRPr="00050E5A">
        <w:rPr>
          <w:spacing w:val="-1"/>
          <w:szCs w:val="24"/>
        </w:rPr>
        <w:t>.</w:t>
      </w:r>
    </w:p>
    <w:p w:rsidR="00050E5A" w:rsidRPr="00050E5A" w:rsidP="00050E5A" w14:paraId="7EB83A77" w14:textId="77777777">
      <w:pPr>
        <w:autoSpaceDE w:val="0"/>
        <w:autoSpaceDN w:val="0"/>
        <w:adjustRightInd w:val="0"/>
        <w:ind w:firstLine="720"/>
        <w:rPr>
          <w:spacing w:val="-1"/>
          <w:szCs w:val="24"/>
        </w:rPr>
      </w:pPr>
    </w:p>
    <w:p w:rsidR="00050E5A" w:rsidRPr="00050E5A" w:rsidP="00050E5A" w14:paraId="7CA7DF90" w14:textId="61BD227E">
      <w:pPr>
        <w:autoSpaceDE w:val="0"/>
        <w:autoSpaceDN w:val="0"/>
        <w:adjustRightInd w:val="0"/>
        <w:ind w:firstLine="720"/>
        <w:rPr>
          <w:spacing w:val="-1"/>
          <w:szCs w:val="24"/>
        </w:rPr>
      </w:pPr>
      <w:r w:rsidRPr="00050E5A">
        <w:rPr>
          <w:spacing w:val="-1"/>
          <w:szCs w:val="24"/>
        </w:rPr>
        <w:t>In an effort to clarify the GENIUS Act</w:t>
      </w:r>
      <w:r w:rsidR="00B43D32">
        <w:rPr>
          <w:spacing w:val="-1"/>
          <w:szCs w:val="24"/>
        </w:rPr>
        <w:t>’</w:t>
      </w:r>
      <w:r w:rsidRPr="00050E5A">
        <w:rPr>
          <w:spacing w:val="-1"/>
          <w:szCs w:val="24"/>
        </w:rPr>
        <w:t>s requirements, the OCC proposed in § 15.14(j)(4) to expand the requirement in section 6(a)(2)(D) of the GENIUS Act (12 U.S.C. 5905(a)(2)(D)) that Federal qualified nonbank payment stablecoin issuers produce reports of compliance with the requirements of the Bank Secrecy Act and with laws authorizing the imposition of sanctions and implemented by the Secretary of the Treasury to all permitted payment stablecoin issuers.</w:t>
      </w:r>
    </w:p>
    <w:p w:rsidR="00050E5A" w:rsidRPr="00050E5A" w:rsidP="00050E5A" w14:paraId="4F38A3A7" w14:textId="77777777">
      <w:pPr>
        <w:autoSpaceDE w:val="0"/>
        <w:autoSpaceDN w:val="0"/>
        <w:adjustRightInd w:val="0"/>
        <w:ind w:firstLine="720"/>
        <w:rPr>
          <w:spacing w:val="-1"/>
          <w:szCs w:val="24"/>
        </w:rPr>
      </w:pPr>
    </w:p>
    <w:p w:rsidR="00050E5A" w:rsidRPr="00050E5A" w:rsidP="003104D7" w14:paraId="315684EF" w14:textId="3A0A9C71">
      <w:pPr>
        <w:autoSpaceDE w:val="0"/>
        <w:autoSpaceDN w:val="0"/>
        <w:adjustRightInd w:val="0"/>
        <w:ind w:firstLine="720"/>
        <w:rPr>
          <w:spacing w:val="-1"/>
          <w:szCs w:val="24"/>
        </w:rPr>
      </w:pPr>
      <w:r w:rsidRPr="00050E5A">
        <w:rPr>
          <w:spacing w:val="-1"/>
          <w:szCs w:val="24"/>
        </w:rPr>
        <w:t>The proposal also requested feedback on this expanded approach and whether the OCC should apply this requirement to all permitted payment stablecoin issuers.</w:t>
      </w:r>
      <w:r w:rsidR="00B43D32">
        <w:rPr>
          <w:spacing w:val="-1"/>
          <w:szCs w:val="24"/>
        </w:rPr>
        <w:t xml:space="preserve"> </w:t>
      </w:r>
      <w:r w:rsidRPr="00050E5A">
        <w:rPr>
          <w:spacing w:val="-1"/>
          <w:szCs w:val="24"/>
        </w:rPr>
        <w:t xml:space="preserve"> One commenter stated that the requirement should apply to all OCC-supervised permitted payment stablecoin issuers. </w:t>
      </w:r>
      <w:r w:rsidR="00B43D32">
        <w:rPr>
          <w:spacing w:val="-1"/>
          <w:szCs w:val="24"/>
        </w:rPr>
        <w:t xml:space="preserve"> </w:t>
      </w:r>
      <w:r w:rsidRPr="00050E5A">
        <w:rPr>
          <w:spacing w:val="-1"/>
          <w:szCs w:val="24"/>
        </w:rPr>
        <w:t xml:space="preserve">The commenter stated that BSA and sanctions risks are not meaningfully reduced by charter type. The commenter also claimed that stablecoin-specific AML and CFT expectations are being applied internationally across issuer categories rather than solely to nonbanks. </w:t>
      </w:r>
      <w:r w:rsidR="00B43D32">
        <w:rPr>
          <w:spacing w:val="-1"/>
          <w:szCs w:val="24"/>
        </w:rPr>
        <w:t xml:space="preserve"> </w:t>
      </w:r>
      <w:r w:rsidRPr="00050E5A">
        <w:rPr>
          <w:spacing w:val="-1"/>
          <w:szCs w:val="24"/>
        </w:rPr>
        <w:t xml:space="preserve">The commenter further recommended providing uniform substantive coverage with proportional, non-duplicative collection of </w:t>
      </w:r>
      <w:r w:rsidRPr="00050E5A">
        <w:rPr>
          <w:spacing w:val="-1"/>
          <w:szCs w:val="24"/>
        </w:rPr>
        <w:t>information—</w:t>
      </w:r>
      <w:r w:rsidRPr="0030156D">
        <w:rPr>
          <w:i/>
          <w:iCs/>
          <w:spacing w:val="-1"/>
          <w:szCs w:val="24"/>
        </w:rPr>
        <w:t>i</w:t>
      </w:r>
      <w:r w:rsidRPr="0030156D">
        <w:rPr>
          <w:i/>
          <w:iCs/>
          <w:spacing w:val="-1"/>
          <w:szCs w:val="24"/>
        </w:rPr>
        <w:t>.e.</w:t>
      </w:r>
      <w:r w:rsidRPr="00050E5A">
        <w:rPr>
          <w:spacing w:val="-1"/>
          <w:szCs w:val="24"/>
        </w:rPr>
        <w:t>,</w:t>
      </w:r>
      <w:r w:rsidR="00B43D32">
        <w:rPr>
          <w:spacing w:val="-1"/>
          <w:szCs w:val="24"/>
        </w:rPr>
        <w:t xml:space="preserve"> </w:t>
      </w:r>
      <w:r w:rsidRPr="00050E5A">
        <w:rPr>
          <w:spacing w:val="-1"/>
          <w:szCs w:val="24"/>
        </w:rPr>
        <w:t>if a bank subsidiary</w:t>
      </w:r>
      <w:r w:rsidR="00B43D32">
        <w:rPr>
          <w:spacing w:val="-1"/>
          <w:szCs w:val="24"/>
        </w:rPr>
        <w:t>’</w:t>
      </w:r>
      <w:r w:rsidRPr="00050E5A">
        <w:rPr>
          <w:spacing w:val="-1"/>
          <w:szCs w:val="24"/>
        </w:rPr>
        <w:t>s parent already provides equivalent</w:t>
      </w:r>
      <w:r w:rsidR="003104D7">
        <w:rPr>
          <w:spacing w:val="-1"/>
          <w:szCs w:val="24"/>
        </w:rPr>
        <w:t xml:space="preserve"> </w:t>
      </w:r>
      <w:r w:rsidRPr="00050E5A">
        <w:rPr>
          <w:spacing w:val="-1"/>
          <w:szCs w:val="24"/>
        </w:rPr>
        <w:t>information through existing supervisory channels, the OCC can rely on that information to avoid duplicate reporting.</w:t>
      </w:r>
      <w:r w:rsidR="003104D7">
        <w:rPr>
          <w:spacing w:val="-1"/>
          <w:szCs w:val="24"/>
        </w:rPr>
        <w:t xml:space="preserve"> </w:t>
      </w:r>
      <w:r w:rsidRPr="00050E5A">
        <w:rPr>
          <w:spacing w:val="-1"/>
          <w:szCs w:val="24"/>
        </w:rPr>
        <w:t xml:space="preserve"> Another commenter stated that the requirements to provide reports on compliance with the BSA should not be required for permitted payment stablecoin issuers that are already subject to the BSA, including national banks (whether insured or otherwise) and their subsidiaries.</w:t>
      </w:r>
    </w:p>
    <w:p w:rsidR="00050E5A" w:rsidRPr="00050E5A" w:rsidP="00050E5A" w14:paraId="5F3686AF" w14:textId="77777777">
      <w:pPr>
        <w:autoSpaceDE w:val="0"/>
        <w:autoSpaceDN w:val="0"/>
        <w:adjustRightInd w:val="0"/>
        <w:ind w:firstLine="720"/>
        <w:rPr>
          <w:spacing w:val="-1"/>
          <w:szCs w:val="24"/>
        </w:rPr>
      </w:pPr>
    </w:p>
    <w:p w:rsidR="00275DFB" w:rsidP="003104D7" w14:paraId="5F05FFD9" w14:textId="47692E91">
      <w:pPr>
        <w:autoSpaceDE w:val="0"/>
        <w:autoSpaceDN w:val="0"/>
        <w:adjustRightInd w:val="0"/>
        <w:ind w:firstLine="720"/>
        <w:rPr>
          <w:spacing w:val="-1"/>
          <w:szCs w:val="24"/>
        </w:rPr>
      </w:pPr>
      <w:r w:rsidRPr="00050E5A">
        <w:rPr>
          <w:spacing w:val="-1"/>
          <w:szCs w:val="24"/>
        </w:rPr>
        <w:t>After careful consideration of the comments, the OCC has elected to revise § 15.14(j) in the final rule to better reflect section 6(a)(2) of the GENIUS Act (12 U.S.C. 5905(a)(2)).</w:t>
      </w:r>
      <w:r w:rsidR="003104D7">
        <w:rPr>
          <w:spacing w:val="-1"/>
          <w:szCs w:val="24"/>
        </w:rPr>
        <w:t xml:space="preserve"> </w:t>
      </w:r>
      <w:r w:rsidRPr="00050E5A">
        <w:rPr>
          <w:spacing w:val="-1"/>
          <w:szCs w:val="24"/>
        </w:rPr>
        <w:t xml:space="preserve"> As a result, final § 15.14(j)(4) will apply only to Federal qualified nonbank payment stablecoin issuers</w:t>
      </w:r>
      <w:r>
        <w:rPr>
          <w:rStyle w:val="FootnoteReference"/>
          <w:spacing w:val="-1"/>
          <w:szCs w:val="24"/>
        </w:rPr>
        <w:footnoteReference w:id="11"/>
      </w:r>
      <w:r w:rsidRPr="00050E5A">
        <w:rPr>
          <w:spacing w:val="-1"/>
          <w:szCs w:val="24"/>
        </w:rPr>
        <w:t xml:space="preserve"> in the final rule, codifying the reporting requirements as provided for in the GENIUS Act and not expanding the requirement to all permitted payment stablecoin issuers.</w:t>
      </w:r>
      <w:r w:rsidR="003104D7">
        <w:rPr>
          <w:spacing w:val="-1"/>
          <w:szCs w:val="24"/>
        </w:rPr>
        <w:t xml:space="preserve"> </w:t>
      </w:r>
      <w:r w:rsidRPr="00050E5A">
        <w:rPr>
          <w:spacing w:val="-1"/>
          <w:szCs w:val="24"/>
        </w:rPr>
        <w:t xml:space="preserve"> The OCC notes that it may nevertheless obtain information relating to the compliance of a permitted payment stablecoin issuer with the requirements of the Bank Secrecy Act and laws authorizing the imposition of sanctions as part of ongoing supervision.</w:t>
      </w:r>
    </w:p>
    <w:p w:rsidR="00A60AA0" w:rsidP="003104D7" w14:paraId="0A0B6299" w14:textId="77777777">
      <w:pPr>
        <w:autoSpaceDE w:val="0"/>
        <w:autoSpaceDN w:val="0"/>
        <w:adjustRightInd w:val="0"/>
        <w:ind w:firstLine="720"/>
        <w:rPr>
          <w:spacing w:val="-1"/>
          <w:szCs w:val="24"/>
        </w:rPr>
      </w:pPr>
    </w:p>
    <w:p w:rsidR="00A60AA0" w:rsidP="003104D7" w14:paraId="37420C56" w14:textId="24E3E895">
      <w:pPr>
        <w:autoSpaceDE w:val="0"/>
        <w:autoSpaceDN w:val="0"/>
        <w:adjustRightInd w:val="0"/>
        <w:ind w:firstLine="720"/>
        <w:rPr>
          <w:b/>
          <w:bCs/>
          <w:spacing w:val="-1"/>
          <w:szCs w:val="24"/>
        </w:rPr>
      </w:pPr>
      <w:r w:rsidRPr="00AB1885">
        <w:rPr>
          <w:b/>
          <w:bCs/>
          <w:spacing w:val="-1"/>
          <w:szCs w:val="24"/>
        </w:rPr>
        <w:t>Application Process</w:t>
      </w:r>
      <w:r w:rsidR="00675A72">
        <w:rPr>
          <w:b/>
          <w:bCs/>
          <w:spacing w:val="-1"/>
          <w:szCs w:val="24"/>
        </w:rPr>
        <w:t xml:space="preserve"> (§ 15.30)</w:t>
      </w:r>
    </w:p>
    <w:p w:rsidR="00A60AA0" w:rsidP="003104D7" w14:paraId="290A3E8B" w14:textId="77777777">
      <w:pPr>
        <w:autoSpaceDE w:val="0"/>
        <w:autoSpaceDN w:val="0"/>
        <w:adjustRightInd w:val="0"/>
        <w:ind w:firstLine="720"/>
        <w:rPr>
          <w:b/>
          <w:bCs/>
          <w:spacing w:val="-1"/>
          <w:szCs w:val="24"/>
        </w:rPr>
      </w:pPr>
    </w:p>
    <w:p w:rsidR="00A60AA0" w:rsidP="003104D7" w14:paraId="0AA1B808" w14:textId="2CDBB13F">
      <w:pPr>
        <w:autoSpaceDE w:val="0"/>
        <w:autoSpaceDN w:val="0"/>
        <w:adjustRightInd w:val="0"/>
        <w:ind w:firstLine="720"/>
        <w:rPr>
          <w:b/>
          <w:bCs/>
          <w:spacing w:val="-1"/>
          <w:szCs w:val="24"/>
        </w:rPr>
      </w:pPr>
      <w:r w:rsidRPr="00A60AA0">
        <w:t xml:space="preserve">One commenter requested that the OCC provide, for notice and comment, application forms that market participants would have to submit to the OCC to become permitted payment stablecoin issuers under proposed § 15.30(b)(1)(i). </w:t>
      </w:r>
      <w:r w:rsidR="001F1806">
        <w:t xml:space="preserve"> </w:t>
      </w:r>
      <w:r w:rsidRPr="00A60AA0">
        <w:t xml:space="preserve">The commenter also requested these forms outline substantive information requirements and approval conditions which would not be subject to </w:t>
      </w:r>
      <w:r w:rsidRPr="00A60AA0">
        <w:t>change absent</w:t>
      </w:r>
      <w:r w:rsidRPr="00A60AA0">
        <w:t xml:space="preserve"> additional opportunity for notice and comment.</w:t>
      </w:r>
      <w:r w:rsidR="001F1806">
        <w:t xml:space="preserve"> </w:t>
      </w:r>
      <w:r w:rsidRPr="00A60AA0">
        <w:t xml:space="preserve"> Pursuant to the Paperwork Reduction Act of 1995, the OCC is soliciting comment on §</w:t>
      </w:r>
      <w:r w:rsidR="008F5C9D">
        <w:t xml:space="preserve"> </w:t>
      </w:r>
      <w:r w:rsidRPr="00A60AA0">
        <w:t>15.30 information collections that will be contained in the licensing forms and required applications</w:t>
      </w:r>
      <w:r>
        <w:t xml:space="preserve"> (91 FR 47032</w:t>
      </w:r>
      <w:r w:rsidR="008F5C9D">
        <w:t xml:space="preserve"> and 91 FR 68229</w:t>
      </w:r>
      <w:r>
        <w:t>).</w:t>
      </w:r>
    </w:p>
    <w:p w:rsidR="00A60AA0" w:rsidP="003104D7" w14:paraId="4D2AADA9" w14:textId="77777777">
      <w:pPr>
        <w:autoSpaceDE w:val="0"/>
        <w:autoSpaceDN w:val="0"/>
        <w:adjustRightInd w:val="0"/>
        <w:ind w:firstLine="720"/>
        <w:rPr>
          <w:b/>
          <w:bCs/>
          <w:spacing w:val="-1"/>
          <w:szCs w:val="24"/>
        </w:rPr>
      </w:pPr>
    </w:p>
    <w:p w:rsidR="00675A72" w:rsidRPr="00675A72" w:rsidP="003104D7" w14:paraId="672482F4" w14:textId="2A18373C">
      <w:pPr>
        <w:autoSpaceDE w:val="0"/>
        <w:autoSpaceDN w:val="0"/>
        <w:adjustRightInd w:val="0"/>
        <w:ind w:firstLine="720"/>
        <w:rPr>
          <w:spacing w:val="-1"/>
          <w:szCs w:val="24"/>
        </w:rPr>
      </w:pPr>
      <w:r w:rsidRPr="00AB1885">
        <w:rPr>
          <w:spacing w:val="-1"/>
          <w:szCs w:val="24"/>
        </w:rPr>
        <w:t>Several commenters suggested the types of information the OCC should require to be included in applications made pursuant to § 15.30.</w:t>
      </w:r>
      <w:r w:rsidR="001F1806">
        <w:rPr>
          <w:spacing w:val="-1"/>
          <w:szCs w:val="24"/>
        </w:rPr>
        <w:t xml:space="preserve"> </w:t>
      </w:r>
      <w:r w:rsidRPr="00AB1885">
        <w:rPr>
          <w:spacing w:val="-1"/>
          <w:szCs w:val="24"/>
        </w:rPr>
        <w:t xml:space="preserve"> Some commenters supported traditional data inputs such as unique identification numbers to optimize application tracking and business model descriptions including incentive structures associated with stablecoin use to ensure the GENIUS Act's prohibition on yield is observed. </w:t>
      </w:r>
      <w:r w:rsidR="001F1806">
        <w:rPr>
          <w:spacing w:val="-1"/>
          <w:szCs w:val="24"/>
        </w:rPr>
        <w:t xml:space="preserve"> </w:t>
      </w:r>
      <w:r w:rsidRPr="00AB1885">
        <w:rPr>
          <w:spacing w:val="-1"/>
          <w:szCs w:val="24"/>
        </w:rPr>
        <w:t xml:space="preserve">One of the commenters requested clarification on what information the OCC would require </w:t>
      </w:r>
      <w:r w:rsidRPr="00AB1885">
        <w:rPr>
          <w:spacing w:val="-1"/>
          <w:szCs w:val="24"/>
        </w:rPr>
        <w:t>to evaluate</w:t>
      </w:r>
      <w:r w:rsidRPr="00AB1885">
        <w:rPr>
          <w:spacing w:val="-1"/>
          <w:szCs w:val="24"/>
        </w:rPr>
        <w:t xml:space="preserve"> management competence and experience in the absence of direct regulatory stablecoin experience. </w:t>
      </w:r>
      <w:r w:rsidR="001F1806">
        <w:rPr>
          <w:spacing w:val="-1"/>
          <w:szCs w:val="24"/>
        </w:rPr>
        <w:t xml:space="preserve"> </w:t>
      </w:r>
      <w:r w:rsidRPr="00AB1885">
        <w:rPr>
          <w:spacing w:val="-1"/>
          <w:szCs w:val="24"/>
        </w:rPr>
        <w:t xml:space="preserve">The same commenter also requested clarification on what information the OCC will require with respect to in-kind capital contributions. </w:t>
      </w:r>
      <w:r w:rsidR="001F1806">
        <w:rPr>
          <w:spacing w:val="-1"/>
          <w:szCs w:val="24"/>
        </w:rPr>
        <w:t xml:space="preserve"> </w:t>
      </w:r>
      <w:r w:rsidRPr="00AB1885">
        <w:rPr>
          <w:spacing w:val="-1"/>
          <w:szCs w:val="24"/>
        </w:rPr>
        <w:t xml:space="preserve">Another commenter suggested that applicants seeking approval or waiver under § 15.30 provide a narrative description detailing stablecoin issuance and settlement, sustained operational capacity, governance and control structures, recovery procedures, sequencing dependencies, and material third-party operational relationships. </w:t>
      </w:r>
      <w:r w:rsidR="001F1806">
        <w:rPr>
          <w:spacing w:val="-1"/>
          <w:szCs w:val="24"/>
        </w:rPr>
        <w:t xml:space="preserve"> </w:t>
      </w:r>
      <w:r w:rsidRPr="00AB1885">
        <w:rPr>
          <w:spacing w:val="-1"/>
          <w:szCs w:val="24"/>
        </w:rPr>
        <w:t xml:space="preserve">A third commenter proposed that applications be prepared in a digital, machine-readable format to generate useful regulatory data and lower costs. </w:t>
      </w:r>
      <w:r w:rsidR="001F1806">
        <w:rPr>
          <w:spacing w:val="-1"/>
          <w:szCs w:val="24"/>
        </w:rPr>
        <w:t xml:space="preserve"> </w:t>
      </w:r>
      <w:r w:rsidRPr="00AB1885">
        <w:rPr>
          <w:spacing w:val="-1"/>
          <w:szCs w:val="24"/>
        </w:rPr>
        <w:t xml:space="preserve">Proposed § 15.30(c), consistent with section 5(c) of the GENIUS Act (12 U.S.C. 5904(c)), enumerated the criteria, including expectations for officers, directors, and principal shareholders, pursuant to which applications will be evaluated. </w:t>
      </w:r>
      <w:r w:rsidR="001F1806">
        <w:rPr>
          <w:spacing w:val="-1"/>
          <w:szCs w:val="24"/>
        </w:rPr>
        <w:t xml:space="preserve"> </w:t>
      </w:r>
      <w:r w:rsidRPr="00AB1885">
        <w:rPr>
          <w:spacing w:val="-1"/>
          <w:szCs w:val="24"/>
        </w:rPr>
        <w:t xml:space="preserve">Proposed subpart E, consistent with section 4(a)(4) of the GENIUS Act (12 U.S.C. 5903(a)(4)), discusses capital requirements. </w:t>
      </w:r>
      <w:r w:rsidR="001F1806">
        <w:rPr>
          <w:spacing w:val="-1"/>
          <w:szCs w:val="24"/>
        </w:rPr>
        <w:t xml:space="preserve"> </w:t>
      </w:r>
      <w:r w:rsidRPr="00AB1885">
        <w:rPr>
          <w:spacing w:val="-1"/>
          <w:szCs w:val="24"/>
        </w:rPr>
        <w:t xml:space="preserve">As discussed in greater detail below, the final rule adds as a review criterion, under § 15.30(d)(5), the ability of the applicant to conduct its proposed activities in a safe and sound manner, including whether the applicant's proposed structure adequately addresses run risks and adequately ensures the ability to redeem payment stablecoins. </w:t>
      </w:r>
      <w:r w:rsidR="001F1806">
        <w:rPr>
          <w:spacing w:val="-1"/>
          <w:szCs w:val="24"/>
        </w:rPr>
        <w:t xml:space="preserve"> </w:t>
      </w:r>
      <w:r w:rsidRPr="00AB1885">
        <w:rPr>
          <w:spacing w:val="-1"/>
          <w:szCs w:val="24"/>
        </w:rPr>
        <w:t>The required application information will be consistent with the enumerated criteria, and information submitted by an applicant should be sufficient to allow the OCC to render a decision on whether the applicant satisfies the enumerated criteria.</w:t>
      </w:r>
      <w:r w:rsidR="001F1806">
        <w:rPr>
          <w:spacing w:val="-1"/>
          <w:szCs w:val="24"/>
        </w:rPr>
        <w:t xml:space="preserve"> </w:t>
      </w:r>
      <w:r w:rsidRPr="00AB1885">
        <w:rPr>
          <w:spacing w:val="-1"/>
          <w:szCs w:val="24"/>
        </w:rPr>
        <w:t xml:space="preserve"> As the OCC gains additional experience and data from licensing permitted payment stablecoin issuers, it will consider updating required application information as well as the format in which it is submitted.</w:t>
      </w:r>
    </w:p>
    <w:p w:rsidR="00675A72" w:rsidP="0071389B" w14:paraId="5B068E79" w14:textId="77777777">
      <w:pPr>
        <w:autoSpaceDE w:val="0"/>
        <w:autoSpaceDN w:val="0"/>
        <w:adjustRightInd w:val="0"/>
        <w:ind w:firstLine="720"/>
        <w:rPr>
          <w:b/>
          <w:bCs/>
          <w:i/>
        </w:rPr>
      </w:pPr>
    </w:p>
    <w:p w:rsidR="00675A72" w:rsidP="0071389B" w14:paraId="6617DE8B" w14:textId="02E9BF51">
      <w:pPr>
        <w:autoSpaceDE w:val="0"/>
        <w:autoSpaceDN w:val="0"/>
        <w:adjustRightInd w:val="0"/>
        <w:ind w:firstLine="720"/>
        <w:rPr>
          <w:b/>
          <w:bCs/>
          <w:iCs/>
        </w:rPr>
      </w:pPr>
      <w:r w:rsidRPr="00675A72">
        <w:rPr>
          <w:b/>
          <w:bCs/>
          <w:iCs/>
        </w:rPr>
        <w:t xml:space="preserve">Registration </w:t>
      </w:r>
      <w:r w:rsidRPr="00675A72">
        <w:rPr>
          <w:b/>
          <w:bCs/>
          <w:iCs/>
        </w:rPr>
        <w:t>of</w:t>
      </w:r>
      <w:r w:rsidRPr="00675A72">
        <w:rPr>
          <w:b/>
          <w:bCs/>
          <w:iCs/>
        </w:rPr>
        <w:t xml:space="preserve"> Foreign Payment Stablecoin Issuers (§ 15.32)</w:t>
      </w:r>
    </w:p>
    <w:p w:rsidR="00675A72" w:rsidP="0071389B" w14:paraId="2CA6C67A" w14:textId="77777777">
      <w:pPr>
        <w:autoSpaceDE w:val="0"/>
        <w:autoSpaceDN w:val="0"/>
        <w:adjustRightInd w:val="0"/>
        <w:ind w:firstLine="720"/>
        <w:rPr>
          <w:iCs/>
        </w:rPr>
      </w:pPr>
    </w:p>
    <w:p w:rsidR="00675A72" w:rsidRPr="00AB1885" w:rsidP="0071389B" w14:paraId="1DB921FD" w14:textId="75C11B8C">
      <w:pPr>
        <w:autoSpaceDE w:val="0"/>
        <w:autoSpaceDN w:val="0"/>
        <w:adjustRightInd w:val="0"/>
        <w:ind w:firstLine="720"/>
        <w:rPr>
          <w:iCs/>
        </w:rPr>
      </w:pPr>
      <w:r w:rsidRPr="001F1806">
        <w:rPr>
          <w:iCs/>
        </w:rPr>
        <w:t xml:space="preserve">One commenter was generally supportive of the registration provision in § 15.32. </w:t>
      </w:r>
      <w:r>
        <w:rPr>
          <w:iCs/>
        </w:rPr>
        <w:t xml:space="preserve"> </w:t>
      </w:r>
      <w:r w:rsidRPr="001F1806">
        <w:rPr>
          <w:iCs/>
        </w:rPr>
        <w:t>One commenter suggested that the OCC should publish a clear checklist specifying the</w:t>
      </w:r>
      <w:r>
        <w:rPr>
          <w:iCs/>
        </w:rPr>
        <w:t xml:space="preserve"> </w:t>
      </w:r>
      <w:r w:rsidRPr="001F1806">
        <w:rPr>
          <w:iCs/>
        </w:rPr>
        <w:t>documentation necessary for a foreign registration application to be deemed complete.</w:t>
      </w:r>
      <w:r>
        <w:rPr>
          <w:iCs/>
        </w:rPr>
        <w:t xml:space="preserve"> </w:t>
      </w:r>
      <w:r w:rsidRPr="001F1806">
        <w:rPr>
          <w:iCs/>
        </w:rPr>
        <w:t xml:space="preserve"> Pursuant to the Paperwork Reduction Act of 1995, the OCC is</w:t>
      </w:r>
      <w:r>
        <w:rPr>
          <w:iCs/>
        </w:rPr>
        <w:t xml:space="preserve"> </w:t>
      </w:r>
      <w:r w:rsidRPr="001F1806">
        <w:rPr>
          <w:iCs/>
        </w:rPr>
        <w:t xml:space="preserve">soliciting </w:t>
      </w:r>
      <w:r w:rsidRPr="001F1806">
        <w:rPr>
          <w:iCs/>
        </w:rPr>
        <w:t>comment</w:t>
      </w:r>
      <w:r w:rsidRPr="001F1806">
        <w:rPr>
          <w:iCs/>
        </w:rPr>
        <w:t xml:space="preserve"> on information that will be collected in the forms required under subpart D</w:t>
      </w:r>
      <w:r>
        <w:rPr>
          <w:iCs/>
        </w:rPr>
        <w:t xml:space="preserve"> (91 FR 47032 and 91 FR </w:t>
      </w:r>
      <w:r w:rsidR="008F5C9D">
        <w:rPr>
          <w:iCs/>
        </w:rPr>
        <w:t>68229</w:t>
      </w:r>
      <w:r>
        <w:rPr>
          <w:iCs/>
        </w:rPr>
        <w:t>)</w:t>
      </w:r>
      <w:r w:rsidRPr="001F1806">
        <w:rPr>
          <w:iCs/>
        </w:rPr>
        <w:t>.</w:t>
      </w:r>
    </w:p>
    <w:p w:rsidR="00675A72" w:rsidP="0071389B" w14:paraId="34400158" w14:textId="77777777">
      <w:pPr>
        <w:autoSpaceDE w:val="0"/>
        <w:autoSpaceDN w:val="0"/>
        <w:adjustRightInd w:val="0"/>
        <w:ind w:firstLine="720"/>
        <w:rPr>
          <w:b/>
          <w:bCs/>
          <w:iCs/>
        </w:rPr>
      </w:pPr>
    </w:p>
    <w:p w:rsidR="003C47FC" w:rsidRPr="003C47FC" w:rsidP="003C47FC" w14:paraId="3C5AC653" w14:textId="29EF9585">
      <w:pPr>
        <w:autoSpaceDE w:val="0"/>
        <w:autoSpaceDN w:val="0"/>
        <w:adjustRightInd w:val="0"/>
        <w:ind w:firstLine="720"/>
        <w:rPr>
          <w:b/>
          <w:bCs/>
          <w:iCs/>
        </w:rPr>
      </w:pPr>
      <w:r w:rsidRPr="003C47FC">
        <w:rPr>
          <w:b/>
          <w:bCs/>
          <w:iCs/>
        </w:rPr>
        <w:t>Efficiency and Burden Reduction</w:t>
      </w:r>
      <w:r>
        <w:rPr>
          <w:b/>
          <w:bCs/>
          <w:iCs/>
        </w:rPr>
        <w:t xml:space="preserve"> (§§ 15.14(n) and 15.14(o))</w:t>
      </w:r>
    </w:p>
    <w:p w:rsidR="003C47FC" w:rsidRPr="00AB1885" w:rsidP="003C47FC" w14:paraId="0177415D" w14:textId="77777777">
      <w:pPr>
        <w:autoSpaceDE w:val="0"/>
        <w:autoSpaceDN w:val="0"/>
        <w:adjustRightInd w:val="0"/>
        <w:ind w:firstLine="720"/>
        <w:rPr>
          <w:iCs/>
        </w:rPr>
      </w:pPr>
    </w:p>
    <w:p w:rsidR="003C47FC" w:rsidRPr="00AB1885" w:rsidP="003C47FC" w14:paraId="57132CC7" w14:textId="1BC0DE4C">
      <w:pPr>
        <w:autoSpaceDE w:val="0"/>
        <w:autoSpaceDN w:val="0"/>
        <w:adjustRightInd w:val="0"/>
        <w:ind w:firstLine="720"/>
        <w:rPr>
          <w:iCs/>
        </w:rPr>
      </w:pPr>
      <w:r w:rsidRPr="00AB1885">
        <w:rPr>
          <w:iCs/>
        </w:rPr>
        <w:t xml:space="preserve">Proposed § 15.14(n) provided that, in supervising and examining a permitted payment stablecoin issuer, the OCC will </w:t>
      </w:r>
      <w:r w:rsidRPr="00AB1885">
        <w:rPr>
          <w:iCs/>
        </w:rPr>
        <w:t>use existing reports and other supervisory information to the fullest extent</w:t>
      </w:r>
      <w:r w:rsidRPr="00AB1885">
        <w:rPr>
          <w:iCs/>
        </w:rPr>
        <w:t xml:space="preserve"> possible. </w:t>
      </w:r>
      <w:r>
        <w:rPr>
          <w:iCs/>
        </w:rPr>
        <w:t xml:space="preserve"> </w:t>
      </w:r>
      <w:r w:rsidRPr="00AB1885">
        <w:rPr>
          <w:iCs/>
        </w:rPr>
        <w:t>The OCC stated that this subsection was intended to reduce unnecessary burden by allowing the OCC to leverage information already available through existing reporting or supervisory channels.</w:t>
      </w:r>
    </w:p>
    <w:p w:rsidR="003C47FC" w:rsidRPr="00AB1885" w:rsidP="003C47FC" w14:paraId="15A9BDA4" w14:textId="77777777">
      <w:pPr>
        <w:autoSpaceDE w:val="0"/>
        <w:autoSpaceDN w:val="0"/>
        <w:adjustRightInd w:val="0"/>
        <w:ind w:firstLine="720"/>
        <w:rPr>
          <w:iCs/>
        </w:rPr>
      </w:pPr>
    </w:p>
    <w:p w:rsidR="003C47FC" w:rsidRPr="00AB1885" w:rsidP="003C47FC" w14:paraId="2BDCF85F" w14:textId="5EA7EE37">
      <w:pPr>
        <w:autoSpaceDE w:val="0"/>
        <w:autoSpaceDN w:val="0"/>
        <w:adjustRightInd w:val="0"/>
        <w:ind w:firstLine="720"/>
        <w:rPr>
          <w:iCs/>
        </w:rPr>
      </w:pPr>
      <w:r w:rsidRPr="00AB1885">
        <w:rPr>
          <w:iCs/>
        </w:rPr>
        <w:t>Proposed § 15.14(o) provided that the OCC will, to the fullest extent possible, avoid duplication of examination activities, reporting requirements, and requests for information.</w:t>
      </w:r>
      <w:r w:rsidR="002827BA">
        <w:rPr>
          <w:iCs/>
        </w:rPr>
        <w:t xml:space="preserve"> </w:t>
      </w:r>
      <w:r w:rsidRPr="00AB1885">
        <w:rPr>
          <w:iCs/>
        </w:rPr>
        <w:t xml:space="preserve"> The OCC stated that this subsection reflects an express effort to minimize redundant supervisory demands while preserving the OCC</w:t>
      </w:r>
      <w:r w:rsidR="00FD7538">
        <w:rPr>
          <w:iCs/>
        </w:rPr>
        <w:t>’</w:t>
      </w:r>
      <w:r w:rsidRPr="00AB1885">
        <w:rPr>
          <w:iCs/>
        </w:rPr>
        <w:t>s ability to obtain information needed for effective oversight.</w:t>
      </w:r>
    </w:p>
    <w:p w:rsidR="003C47FC" w:rsidRPr="00AB1885" w:rsidP="003C47FC" w14:paraId="57312C67" w14:textId="77777777">
      <w:pPr>
        <w:autoSpaceDE w:val="0"/>
        <w:autoSpaceDN w:val="0"/>
        <w:adjustRightInd w:val="0"/>
        <w:ind w:firstLine="720"/>
        <w:rPr>
          <w:iCs/>
        </w:rPr>
      </w:pPr>
    </w:p>
    <w:p w:rsidR="003C47FC" w:rsidRPr="00AB1885" w:rsidP="003C47FC" w14:paraId="148147BC" w14:textId="0E30E9F8">
      <w:pPr>
        <w:autoSpaceDE w:val="0"/>
        <w:autoSpaceDN w:val="0"/>
        <w:adjustRightInd w:val="0"/>
        <w:ind w:firstLine="720"/>
        <w:rPr>
          <w:iCs/>
        </w:rPr>
      </w:pPr>
      <w:r w:rsidRPr="00AB1885">
        <w:rPr>
          <w:iCs/>
        </w:rPr>
        <w:t xml:space="preserve">The OCC received </w:t>
      </w:r>
      <w:r w:rsidRPr="00AB1885">
        <w:rPr>
          <w:iCs/>
        </w:rPr>
        <w:t>a number of</w:t>
      </w:r>
      <w:r w:rsidRPr="00AB1885">
        <w:rPr>
          <w:iCs/>
        </w:rPr>
        <w:t xml:space="preserve"> comments related to burden reduction and the avoidance of duplication.</w:t>
      </w:r>
      <w:r w:rsidR="002827BA">
        <w:rPr>
          <w:iCs/>
        </w:rPr>
        <w:t xml:space="preserve"> </w:t>
      </w:r>
      <w:r w:rsidRPr="00AB1885">
        <w:rPr>
          <w:iCs/>
        </w:rPr>
        <w:t xml:space="preserve"> One commenter recommended that the agency explicitly </w:t>
      </w:r>
      <w:r w:rsidRPr="00AB1885">
        <w:rPr>
          <w:iCs/>
        </w:rPr>
        <w:t>recognize</w:t>
      </w:r>
      <w:r w:rsidRPr="00AB1885">
        <w:rPr>
          <w:iCs/>
        </w:rPr>
        <w:t xml:space="preserve"> internal audit work product as a category of existing supervisory information that examiners may rely on where such work is relevant, current, and performed in accordance with recognized professional standards. </w:t>
      </w:r>
      <w:r w:rsidR="002827BA">
        <w:rPr>
          <w:iCs/>
        </w:rPr>
        <w:t xml:space="preserve"> </w:t>
      </w:r>
      <w:r w:rsidRPr="00AB1885">
        <w:rPr>
          <w:iCs/>
        </w:rPr>
        <w:t>The commenter claimed that this approach would reduce issuer compliance burden, improve supervisory efficiency, and create positive incentives for investment in high-quality internal audit programs.</w:t>
      </w:r>
    </w:p>
    <w:p w:rsidR="003C47FC" w:rsidRPr="00AB1885" w:rsidP="003C47FC" w14:paraId="3EA9A262" w14:textId="77777777">
      <w:pPr>
        <w:autoSpaceDE w:val="0"/>
        <w:autoSpaceDN w:val="0"/>
        <w:adjustRightInd w:val="0"/>
        <w:ind w:firstLine="720"/>
        <w:rPr>
          <w:iCs/>
        </w:rPr>
      </w:pPr>
    </w:p>
    <w:p w:rsidR="003C47FC" w:rsidRPr="00AB1885" w:rsidP="003C47FC" w14:paraId="0CC74E17" w14:textId="0747BB60">
      <w:pPr>
        <w:autoSpaceDE w:val="0"/>
        <w:autoSpaceDN w:val="0"/>
        <w:adjustRightInd w:val="0"/>
        <w:ind w:firstLine="720"/>
        <w:rPr>
          <w:iCs/>
        </w:rPr>
      </w:pPr>
      <w:r w:rsidRPr="00AB1885">
        <w:rPr>
          <w:iCs/>
        </w:rPr>
        <w:t xml:space="preserve">Two commenters recommended that the OCC </w:t>
      </w:r>
      <w:r w:rsidRPr="00AB1885">
        <w:rPr>
          <w:iCs/>
        </w:rPr>
        <w:t>allow</w:t>
      </w:r>
      <w:r w:rsidRPr="00AB1885">
        <w:rPr>
          <w:iCs/>
        </w:rPr>
        <w:t xml:space="preserve"> a permitted payment stablecoin issuer that is a subsidiary of an insured depository institution to leverage its parent</w:t>
      </w:r>
      <w:r w:rsidR="002827BA">
        <w:rPr>
          <w:iCs/>
        </w:rPr>
        <w:t>’</w:t>
      </w:r>
      <w:r w:rsidRPr="00AB1885">
        <w:rPr>
          <w:iCs/>
        </w:rPr>
        <w:t xml:space="preserve">s enterprise-wide risk management infrastructure, including risk appetite statements and third-party risk management programs, where appropriate, to satisfy risk-management and supervisory requirements. </w:t>
      </w:r>
      <w:r w:rsidR="002827BA">
        <w:rPr>
          <w:iCs/>
        </w:rPr>
        <w:t xml:space="preserve"> </w:t>
      </w:r>
      <w:r w:rsidRPr="00AB1885">
        <w:rPr>
          <w:iCs/>
        </w:rPr>
        <w:t xml:space="preserve">One of the commenters further recommended that the OCC include </w:t>
      </w:r>
      <w:r w:rsidRPr="00AB1885">
        <w:rPr>
          <w:iCs/>
        </w:rPr>
        <w:t>guidance to this effect</w:t>
      </w:r>
      <w:r w:rsidRPr="00AB1885">
        <w:rPr>
          <w:iCs/>
        </w:rPr>
        <w:t xml:space="preserve"> in its commentary </w:t>
      </w:r>
      <w:r w:rsidRPr="00AB1885">
        <w:rPr>
          <w:iCs/>
        </w:rPr>
        <w:t>to</w:t>
      </w:r>
      <w:r w:rsidRPr="00AB1885">
        <w:rPr>
          <w:iCs/>
        </w:rPr>
        <w:t xml:space="preserve"> the final rule and the Comptroller</w:t>
      </w:r>
      <w:r w:rsidR="002827BA">
        <w:rPr>
          <w:iCs/>
        </w:rPr>
        <w:t>’</w:t>
      </w:r>
      <w:r w:rsidRPr="00AB1885">
        <w:rPr>
          <w:iCs/>
        </w:rPr>
        <w:t>s Handbook.</w:t>
      </w:r>
      <w:r w:rsidR="002827BA">
        <w:rPr>
          <w:iCs/>
        </w:rPr>
        <w:t xml:space="preserve"> </w:t>
      </w:r>
      <w:r w:rsidRPr="00AB1885">
        <w:rPr>
          <w:iCs/>
        </w:rPr>
        <w:t xml:space="preserve"> The OCC confirms that a permitted payment stablecoin issuer may leverage enterprise-wide infrastructure, provided that the permitted payment stablecoin issuer does so in compliance with the requirements of part 15.</w:t>
      </w:r>
    </w:p>
    <w:p w:rsidR="003C47FC" w:rsidRPr="00AB1885" w:rsidP="003C47FC" w14:paraId="550B7C94" w14:textId="77777777">
      <w:pPr>
        <w:autoSpaceDE w:val="0"/>
        <w:autoSpaceDN w:val="0"/>
        <w:adjustRightInd w:val="0"/>
        <w:ind w:firstLine="720"/>
        <w:rPr>
          <w:iCs/>
        </w:rPr>
      </w:pPr>
    </w:p>
    <w:p w:rsidR="003C47FC" w:rsidRPr="00AB1885" w:rsidP="003C47FC" w14:paraId="34B72AC2" w14:textId="18731816">
      <w:pPr>
        <w:autoSpaceDE w:val="0"/>
        <w:autoSpaceDN w:val="0"/>
        <w:adjustRightInd w:val="0"/>
        <w:ind w:firstLine="720"/>
        <w:rPr>
          <w:iCs/>
        </w:rPr>
      </w:pPr>
      <w:r w:rsidRPr="00AB1885">
        <w:rPr>
          <w:iCs/>
        </w:rPr>
        <w:t xml:space="preserve">Another commenter encouraged the OCC to develop centralized and standardized reporting mechanisms—such as a secure reporting portal—that are aligned with existing bank reporting systems and service provider capabilities. </w:t>
      </w:r>
      <w:r w:rsidR="002827BA">
        <w:rPr>
          <w:iCs/>
        </w:rPr>
        <w:t xml:space="preserve"> </w:t>
      </w:r>
      <w:r w:rsidRPr="00AB1885">
        <w:rPr>
          <w:iCs/>
        </w:rPr>
        <w:t xml:space="preserve">The commenter stated that new reporting requirements applicable to community banks should be limited, targeted, and designed to leverage data already maintained in the ordinary course of business. </w:t>
      </w:r>
      <w:r w:rsidR="002827BA">
        <w:rPr>
          <w:iCs/>
        </w:rPr>
        <w:t xml:space="preserve"> </w:t>
      </w:r>
      <w:r w:rsidRPr="00AB1885">
        <w:rPr>
          <w:iCs/>
        </w:rPr>
        <w:t xml:space="preserve">The commenter also claimed that stablecoin-related risks can be effectively evaluated by incorporating them into established examination modules. </w:t>
      </w:r>
      <w:r w:rsidR="002827BA">
        <w:rPr>
          <w:iCs/>
        </w:rPr>
        <w:t xml:space="preserve"> </w:t>
      </w:r>
      <w:r w:rsidRPr="00AB1885">
        <w:rPr>
          <w:iCs/>
        </w:rPr>
        <w:t xml:space="preserve">The commenter stated that stablecoin-related audit and reporting obligations for bank-affiliated issuers should be appropriately integrated into existing supervisory frameworks rather than imposed through separate or duplicative regimes. </w:t>
      </w:r>
      <w:r w:rsidR="002827BA">
        <w:rPr>
          <w:iCs/>
        </w:rPr>
        <w:t xml:space="preserve"> </w:t>
      </w:r>
      <w:r w:rsidRPr="00AB1885">
        <w:rPr>
          <w:iCs/>
        </w:rPr>
        <w:t>The OCC will continue to consider means of updating its reporting mechanisms, but no change in the text of the regulation is necessary at this time to address the comment.</w:t>
      </w:r>
    </w:p>
    <w:p w:rsidR="003C47FC" w:rsidRPr="00AB1885" w:rsidP="003C47FC" w14:paraId="71F02B04" w14:textId="77777777">
      <w:pPr>
        <w:autoSpaceDE w:val="0"/>
        <w:autoSpaceDN w:val="0"/>
        <w:adjustRightInd w:val="0"/>
        <w:ind w:firstLine="720"/>
        <w:rPr>
          <w:iCs/>
        </w:rPr>
      </w:pPr>
    </w:p>
    <w:p w:rsidR="003C47FC" w:rsidRPr="00AB1885" w:rsidP="003C47FC" w14:paraId="25AF30CA" w14:textId="439BE4DD">
      <w:pPr>
        <w:autoSpaceDE w:val="0"/>
        <w:autoSpaceDN w:val="0"/>
        <w:adjustRightInd w:val="0"/>
        <w:ind w:firstLine="720"/>
        <w:rPr>
          <w:iCs/>
        </w:rPr>
      </w:pPr>
      <w:r w:rsidRPr="00AB1885">
        <w:rPr>
          <w:iCs/>
        </w:rPr>
        <w:t xml:space="preserve">Another commenter stated that the reporting requirements across weekly, monthly, and quarterly intervals should build on one another rather than requiring duplicative reporting. </w:t>
      </w:r>
      <w:r w:rsidR="002827BA">
        <w:rPr>
          <w:iCs/>
        </w:rPr>
        <w:t xml:space="preserve"> </w:t>
      </w:r>
      <w:r w:rsidRPr="00AB1885">
        <w:rPr>
          <w:iCs/>
        </w:rPr>
        <w:t xml:space="preserve">Monthly reports should, to the extent possible, draw from weekly reports, and likewise quarterly reports should draw from monthly reports. </w:t>
      </w:r>
      <w:r w:rsidR="002827BA">
        <w:rPr>
          <w:iCs/>
        </w:rPr>
        <w:t xml:space="preserve"> </w:t>
      </w:r>
      <w:r w:rsidRPr="00AB1885">
        <w:rPr>
          <w:iCs/>
        </w:rPr>
        <w:t>The commenter claimed that such an approach can reduce operational burden while preserving the OCC</w:t>
      </w:r>
      <w:r w:rsidR="002827BA">
        <w:rPr>
          <w:iCs/>
        </w:rPr>
        <w:t>’</w:t>
      </w:r>
      <w:r w:rsidRPr="00AB1885">
        <w:rPr>
          <w:iCs/>
        </w:rPr>
        <w:t>s and the public</w:t>
      </w:r>
      <w:r w:rsidR="002827BA">
        <w:rPr>
          <w:iCs/>
        </w:rPr>
        <w:t>’</w:t>
      </w:r>
      <w:r w:rsidRPr="00AB1885">
        <w:rPr>
          <w:iCs/>
        </w:rPr>
        <w:t xml:space="preserve">s ability to assess risk over time. </w:t>
      </w:r>
      <w:r w:rsidR="002827BA">
        <w:rPr>
          <w:iCs/>
        </w:rPr>
        <w:t xml:space="preserve"> </w:t>
      </w:r>
      <w:r w:rsidRPr="00AB1885">
        <w:rPr>
          <w:iCs/>
        </w:rPr>
        <w:t>The commenter also stated that to best minimize the duplication of reports, the OCC</w:t>
      </w:r>
      <w:r w:rsidR="002827BA">
        <w:rPr>
          <w:iCs/>
        </w:rPr>
        <w:t>’</w:t>
      </w:r>
      <w:r w:rsidRPr="00AB1885">
        <w:rPr>
          <w:iCs/>
        </w:rPr>
        <w:t xml:space="preserve">s focus should be on mitigating risk while encouraging innovation. </w:t>
      </w:r>
      <w:r w:rsidR="002827BA">
        <w:rPr>
          <w:iCs/>
        </w:rPr>
        <w:t xml:space="preserve"> </w:t>
      </w:r>
      <w:r w:rsidRPr="00AB1885">
        <w:rPr>
          <w:iCs/>
        </w:rPr>
        <w:t>The commenter stated that requiring duplicative reports does not provide additional risk-mitigation benefits while diverting resources and creating unnecessary burden.</w:t>
      </w:r>
    </w:p>
    <w:p w:rsidR="003C47FC" w:rsidRPr="00AB1885" w:rsidP="003C47FC" w14:paraId="4CEF846F" w14:textId="77777777">
      <w:pPr>
        <w:autoSpaceDE w:val="0"/>
        <w:autoSpaceDN w:val="0"/>
        <w:adjustRightInd w:val="0"/>
        <w:ind w:firstLine="720"/>
        <w:rPr>
          <w:iCs/>
        </w:rPr>
      </w:pPr>
    </w:p>
    <w:p w:rsidR="003C47FC" w:rsidRPr="00AB1885" w:rsidP="003C47FC" w14:paraId="1BB86201" w14:textId="4CBF52F8">
      <w:pPr>
        <w:autoSpaceDE w:val="0"/>
        <w:autoSpaceDN w:val="0"/>
        <w:adjustRightInd w:val="0"/>
        <w:ind w:firstLine="720"/>
        <w:rPr>
          <w:iCs/>
        </w:rPr>
      </w:pPr>
      <w:r w:rsidRPr="00AB1885">
        <w:rPr>
          <w:iCs/>
        </w:rPr>
        <w:t>Another commenter stated that the OCC can best minimize duplication by implementing a single annual audit package that satisfies overlapping requirements across § 15.14(l), monthly reserve examination outputs, and related financial-</w:t>
      </w:r>
      <w:r w:rsidRPr="00AB1885">
        <w:rPr>
          <w:iCs/>
        </w:rPr>
        <w:t>condition</w:t>
      </w:r>
      <w:r w:rsidRPr="00AB1885">
        <w:rPr>
          <w:iCs/>
        </w:rPr>
        <w:t xml:space="preserve"> reporting fields, rather than requiring multiple separate submissions of the same underlying data. </w:t>
      </w:r>
      <w:r w:rsidR="002827BA">
        <w:rPr>
          <w:iCs/>
        </w:rPr>
        <w:t xml:space="preserve"> </w:t>
      </w:r>
      <w:r w:rsidRPr="00AB1885">
        <w:rPr>
          <w:iCs/>
        </w:rPr>
        <w:t>The commenter stated that the goal should be to collect the necessary information once, in a standardized format, and reuse it across the prudential framework where possible.</w:t>
      </w:r>
      <w:r w:rsidR="002827BA">
        <w:rPr>
          <w:iCs/>
        </w:rPr>
        <w:t xml:space="preserve"> </w:t>
      </w:r>
      <w:r w:rsidRPr="00AB1885">
        <w:rPr>
          <w:iCs/>
        </w:rPr>
        <w:t xml:space="preserve"> For issuers, or their parents, that are already subject to Exchange Act reporting or meet the Act</w:t>
      </w:r>
      <w:r w:rsidR="002827BA">
        <w:rPr>
          <w:iCs/>
        </w:rPr>
        <w:t>’</w:t>
      </w:r>
      <w:r w:rsidRPr="00AB1885">
        <w:rPr>
          <w:iCs/>
        </w:rPr>
        <w:t xml:space="preserve">s $50 billion public accounting threshold, the OCC should not require additional duplicative reporting beyond what is necessary to capture </w:t>
      </w:r>
      <w:r w:rsidRPr="00AB1885">
        <w:rPr>
          <w:iCs/>
        </w:rPr>
        <w:t>stablecoin</w:t>
      </w:r>
      <w:r w:rsidRPr="00AB1885">
        <w:rPr>
          <w:iCs/>
        </w:rPr>
        <w:t>-specific fields that existing filings do not address.</w:t>
      </w:r>
    </w:p>
    <w:p w:rsidR="003C47FC" w:rsidRPr="00AB1885" w:rsidP="003C47FC" w14:paraId="0B948560" w14:textId="77777777">
      <w:pPr>
        <w:autoSpaceDE w:val="0"/>
        <w:autoSpaceDN w:val="0"/>
        <w:adjustRightInd w:val="0"/>
        <w:ind w:firstLine="720"/>
        <w:rPr>
          <w:iCs/>
        </w:rPr>
      </w:pPr>
    </w:p>
    <w:p w:rsidR="003C47FC" w:rsidRPr="00AB1885" w:rsidP="003C47FC" w14:paraId="5BCD7284" w14:textId="07E01BD6">
      <w:pPr>
        <w:autoSpaceDE w:val="0"/>
        <w:autoSpaceDN w:val="0"/>
        <w:adjustRightInd w:val="0"/>
        <w:ind w:firstLine="720"/>
        <w:rPr>
          <w:iCs/>
        </w:rPr>
      </w:pPr>
      <w:r w:rsidRPr="00AB1885">
        <w:rPr>
          <w:iCs/>
        </w:rPr>
        <w:t xml:space="preserve">Pursuant to its statutory obligations, the OCC will pursue supervisory policies that minimize duplication and maximize efficiency. </w:t>
      </w:r>
      <w:r w:rsidR="002827BA">
        <w:rPr>
          <w:iCs/>
        </w:rPr>
        <w:t xml:space="preserve"> </w:t>
      </w:r>
      <w:r w:rsidRPr="00AB1885">
        <w:rPr>
          <w:iCs/>
        </w:rPr>
        <w:t>The OCC notes, however, that the reports applicable to permitted payment stablecoin issuers serve distinct purposes.</w:t>
      </w:r>
      <w:r w:rsidR="002827BA">
        <w:rPr>
          <w:iCs/>
        </w:rPr>
        <w:t xml:space="preserve"> </w:t>
      </w:r>
      <w:r w:rsidRPr="00AB1885">
        <w:rPr>
          <w:iCs/>
        </w:rPr>
        <w:t xml:space="preserve"> For example, the confidential weekly reporting is intended to provide detailed information that would be unnecessary to include in the quarterly or monthly reports. </w:t>
      </w:r>
      <w:r w:rsidR="002827BA">
        <w:rPr>
          <w:iCs/>
        </w:rPr>
        <w:t xml:space="preserve"> </w:t>
      </w:r>
      <w:r w:rsidRPr="00AB1885">
        <w:rPr>
          <w:iCs/>
        </w:rPr>
        <w:t>The monthly and quarterly reports are intended to provide information to the public and the OCC that may be stale or less valuable if received only on an annual basis.</w:t>
      </w:r>
    </w:p>
    <w:p w:rsidR="003C47FC" w:rsidRPr="00AB1885" w:rsidP="003C47FC" w14:paraId="73AF0618" w14:textId="77777777">
      <w:pPr>
        <w:autoSpaceDE w:val="0"/>
        <w:autoSpaceDN w:val="0"/>
        <w:adjustRightInd w:val="0"/>
        <w:ind w:firstLine="720"/>
        <w:rPr>
          <w:iCs/>
        </w:rPr>
      </w:pPr>
    </w:p>
    <w:p w:rsidR="00675A72" w:rsidP="003C47FC" w14:paraId="3EBE91B1" w14:textId="6B6AAF76">
      <w:pPr>
        <w:autoSpaceDE w:val="0"/>
        <w:autoSpaceDN w:val="0"/>
        <w:adjustRightInd w:val="0"/>
        <w:ind w:firstLine="720"/>
        <w:rPr>
          <w:iCs/>
        </w:rPr>
      </w:pPr>
      <w:r w:rsidRPr="00AB1885">
        <w:rPr>
          <w:iCs/>
        </w:rPr>
        <w:t xml:space="preserve">After careful consideration of the comments, the OCC </w:t>
      </w:r>
      <w:r w:rsidR="004B35C3">
        <w:rPr>
          <w:iCs/>
        </w:rPr>
        <w:t>has implemented</w:t>
      </w:r>
      <w:r w:rsidRPr="00AB1885">
        <w:rPr>
          <w:iCs/>
        </w:rPr>
        <w:t xml:space="preserve"> § 15.14(n) and § 15.14(o) as proposed.</w:t>
      </w:r>
      <w:r w:rsidR="002827BA">
        <w:rPr>
          <w:iCs/>
        </w:rPr>
        <w:t xml:space="preserve"> </w:t>
      </w:r>
      <w:r w:rsidRPr="00AB1885">
        <w:rPr>
          <w:iCs/>
        </w:rPr>
        <w:t xml:space="preserve"> As described above, the OCC is committed to pursuing supervisory policies that minimize duplication and maximize efficiency.</w:t>
      </w:r>
    </w:p>
    <w:p w:rsidR="002827BA" w:rsidRPr="00AB1885" w:rsidP="003C47FC" w14:paraId="05716937" w14:textId="77777777">
      <w:pPr>
        <w:autoSpaceDE w:val="0"/>
        <w:autoSpaceDN w:val="0"/>
        <w:adjustRightInd w:val="0"/>
        <w:ind w:firstLine="720"/>
        <w:rPr>
          <w:iCs/>
        </w:rPr>
      </w:pPr>
    </w:p>
    <w:p w:rsidR="00675A72" w:rsidP="0071389B" w14:paraId="04EB1320" w14:textId="33183100">
      <w:pPr>
        <w:autoSpaceDE w:val="0"/>
        <w:autoSpaceDN w:val="0"/>
        <w:adjustRightInd w:val="0"/>
        <w:ind w:firstLine="720"/>
        <w:rPr>
          <w:iCs/>
        </w:rPr>
      </w:pPr>
      <w:r>
        <w:rPr>
          <w:iCs/>
        </w:rPr>
        <w:t>For a more detailed discussion of the comments received regarding the reporting, recordkeeping, or disclosure requirements found in the rule, please see the SUPPLEMENTARY INFORMATION section of the final rule document (91 FR 67000).</w:t>
      </w:r>
    </w:p>
    <w:p w:rsidR="002827BA" w:rsidRPr="00AB1885" w:rsidP="0071389B" w14:paraId="760F4139" w14:textId="77777777">
      <w:pPr>
        <w:autoSpaceDE w:val="0"/>
        <w:autoSpaceDN w:val="0"/>
        <w:adjustRightInd w:val="0"/>
        <w:ind w:firstLine="720"/>
        <w:rPr>
          <w:iCs/>
        </w:rPr>
      </w:pPr>
    </w:p>
    <w:p w:rsidR="00811CB2" w:rsidRPr="005C2B31" w:rsidP="00AD02D9" w14:paraId="043509D8" w14:textId="72E2BB73">
      <w:pPr>
        <w:rPr>
          <w:b/>
          <w:bCs/>
          <w:i/>
        </w:rPr>
      </w:pPr>
      <w:r w:rsidRPr="005C2B31">
        <w:rPr>
          <w:b/>
          <w:bCs/>
          <w:i/>
        </w:rPr>
        <w:t>9. Payment to respondents</w:t>
      </w:r>
      <w:r w:rsidRPr="005C2B31" w:rsidR="00A75944">
        <w:rPr>
          <w:b/>
          <w:bCs/>
          <w:i/>
        </w:rPr>
        <w:t>:</w:t>
      </w:r>
    </w:p>
    <w:p w:rsidR="00811CB2" w:rsidP="00AD02D9" w14:paraId="01C74710" w14:textId="77777777"/>
    <w:p w:rsidR="00811CB2" w:rsidP="003C4513" w14:paraId="54FDEF01" w14:textId="291FBE4C">
      <w:pPr>
        <w:ind w:firstLine="720"/>
      </w:pPr>
      <w:r>
        <w:t>None</w:t>
      </w:r>
      <w:r>
        <w:t>.</w:t>
      </w:r>
    </w:p>
    <w:p w:rsidR="000E6DD2" w:rsidP="00AD02D9" w14:paraId="2CC6CA11" w14:textId="77777777">
      <w:pPr>
        <w:rPr>
          <w:b/>
          <w:bCs/>
          <w:i/>
        </w:rPr>
      </w:pPr>
    </w:p>
    <w:p w:rsidR="00811CB2" w:rsidRPr="005C2B31" w:rsidP="00AD02D9" w14:paraId="6142AA57" w14:textId="7F3E2EA6">
      <w:pPr>
        <w:rPr>
          <w:b/>
          <w:bCs/>
          <w:i/>
        </w:rPr>
      </w:pPr>
      <w:r w:rsidRPr="005C2B31">
        <w:rPr>
          <w:b/>
          <w:bCs/>
          <w:i/>
        </w:rPr>
        <w:t>10. Assurance of confidentiality</w:t>
      </w:r>
      <w:r w:rsidRPr="005C2B31" w:rsidR="00A75944">
        <w:rPr>
          <w:b/>
          <w:bCs/>
          <w:i/>
        </w:rPr>
        <w:t>:</w:t>
      </w:r>
    </w:p>
    <w:p w:rsidR="00811CB2" w:rsidP="00AD02D9" w14:paraId="558DC656" w14:textId="77777777"/>
    <w:p w:rsidR="00811CB2" w:rsidP="003C4513" w14:paraId="3AFEBF50" w14:textId="0AE4165E">
      <w:pPr>
        <w:ind w:firstLine="720"/>
      </w:pPr>
      <w:r>
        <w:t>None</w:t>
      </w:r>
      <w:r>
        <w:t>.</w:t>
      </w:r>
    </w:p>
    <w:p w:rsidR="00811CB2" w:rsidRPr="00A75944" w:rsidP="00AD02D9" w14:paraId="59FE3362" w14:textId="77777777"/>
    <w:p w:rsidR="00811CB2" w:rsidRPr="005C2B31" w:rsidP="00AD02D9" w14:paraId="08060FD8" w14:textId="0F908A86">
      <w:pPr>
        <w:rPr>
          <w:b/>
          <w:bCs/>
          <w:i/>
        </w:rPr>
      </w:pPr>
      <w:r w:rsidRPr="005C2B31">
        <w:rPr>
          <w:b/>
          <w:bCs/>
          <w:i/>
        </w:rPr>
        <w:t>11. Justification for questions of a sensitive nature</w:t>
      </w:r>
      <w:r w:rsidRPr="005C2B31" w:rsidR="00A75944">
        <w:rPr>
          <w:b/>
          <w:bCs/>
          <w:i/>
        </w:rPr>
        <w:t>:</w:t>
      </w:r>
    </w:p>
    <w:p w:rsidR="00811CB2" w:rsidP="00AD02D9" w14:paraId="6B9A91C1" w14:textId="77777777"/>
    <w:p w:rsidR="0071389B" w:rsidP="00C3034C" w14:paraId="274A4DE2" w14:textId="5EB8B8D1">
      <w:pPr>
        <w:ind w:firstLine="720"/>
      </w:pPr>
      <w:r>
        <w:t>There are no questions of a sensitive nature</w:t>
      </w:r>
      <w:r w:rsidR="008A1C1E">
        <w:t xml:space="preserve">.  </w:t>
      </w:r>
    </w:p>
    <w:p w:rsidR="00481BC4" w:rsidRPr="00C3034C" w:rsidP="00C3034C" w14:paraId="6E016137" w14:textId="77777777">
      <w:pPr>
        <w:ind w:firstLine="720"/>
      </w:pPr>
    </w:p>
    <w:p w:rsidR="00811CB2" w:rsidP="00AD02D9" w14:paraId="478156DF" w14:textId="0432AE03">
      <w:pPr>
        <w:rPr>
          <w:b/>
          <w:bCs/>
          <w:i/>
        </w:rPr>
      </w:pPr>
      <w:r w:rsidRPr="005C2B31">
        <w:rPr>
          <w:b/>
          <w:bCs/>
          <w:i/>
        </w:rPr>
        <w:t xml:space="preserve">12. Burden </w:t>
      </w:r>
      <w:r w:rsidRPr="005C2B31" w:rsidR="008B4E17">
        <w:rPr>
          <w:b/>
          <w:bCs/>
          <w:i/>
        </w:rPr>
        <w:t>e</w:t>
      </w:r>
      <w:r w:rsidRPr="005C2B31">
        <w:rPr>
          <w:b/>
          <w:bCs/>
          <w:i/>
        </w:rPr>
        <w:t>stimate</w:t>
      </w:r>
      <w:r w:rsidRPr="005C2B31" w:rsidR="00A75944">
        <w:rPr>
          <w:b/>
          <w:bCs/>
          <w:i/>
        </w:rPr>
        <w:t>:</w:t>
      </w:r>
    </w:p>
    <w:p w:rsidR="00447971" w:rsidRPr="00AB1885" w:rsidP="00447971" w14:paraId="4B97DD44" w14:textId="20455D40">
      <w:pPr>
        <w:spacing w:line="480" w:lineRule="auto"/>
        <w:rPr>
          <w:rFonts w:eastAsia="Aptos"/>
          <w:szCs w:val="24"/>
        </w:rPr>
      </w:pPr>
    </w:p>
    <w:tbl>
      <w:tblPr>
        <w:tblStyle w:val="TableGrid4"/>
        <w:tblW w:w="10165" w:type="dxa"/>
        <w:tblLook w:val="04A0"/>
      </w:tblPr>
      <w:tblGrid>
        <w:gridCol w:w="2695"/>
        <w:gridCol w:w="1530"/>
        <w:gridCol w:w="1710"/>
        <w:gridCol w:w="1890"/>
        <w:gridCol w:w="2340"/>
      </w:tblGrid>
      <w:tr w14:paraId="5EEAC91E" w14:textId="77777777" w:rsidTr="00E2546A">
        <w:tblPrEx>
          <w:tblW w:w="10165" w:type="dxa"/>
          <w:tblLook w:val="04A0"/>
        </w:tblPrEx>
        <w:tc>
          <w:tcPr>
            <w:tcW w:w="2695" w:type="dxa"/>
          </w:tcPr>
          <w:p w:rsidR="00447971" w:rsidRPr="00AB1885" w:rsidP="00447971" w14:paraId="1C105498" w14:textId="77777777">
            <w:pPr>
              <w:rPr>
                <w:rFonts w:ascii="Times New Roman" w:hAnsi="Times New Roman" w:cs="Times New Roman"/>
              </w:rPr>
            </w:pPr>
          </w:p>
        </w:tc>
        <w:tc>
          <w:tcPr>
            <w:tcW w:w="1530" w:type="dxa"/>
          </w:tcPr>
          <w:p w:rsidR="00447971" w:rsidRPr="002223A2" w:rsidP="00447971" w14:paraId="398A0B5C" w14:textId="77777777">
            <w:pPr>
              <w:jc w:val="center"/>
              <w:rPr>
                <w:rStyle w:val="StyleAptos10ptBoldItalic"/>
              </w:rPr>
            </w:pPr>
            <w:r w:rsidRPr="002223A2">
              <w:rPr>
                <w:rStyle w:val="StyleAptos10ptBoldItalic"/>
              </w:rPr>
              <w:t>Estimated Number of Respondents</w:t>
            </w:r>
          </w:p>
        </w:tc>
        <w:tc>
          <w:tcPr>
            <w:tcW w:w="1710" w:type="dxa"/>
          </w:tcPr>
          <w:p w:rsidR="00447971" w:rsidRPr="002223A2" w:rsidP="00447971" w14:paraId="7FE28E7A" w14:textId="77777777">
            <w:pPr>
              <w:jc w:val="center"/>
              <w:rPr>
                <w:rStyle w:val="StyleAptos10ptBoldItalic"/>
              </w:rPr>
            </w:pPr>
            <w:r w:rsidRPr="002223A2">
              <w:rPr>
                <w:rStyle w:val="StyleAptos10ptBoldItalic"/>
              </w:rPr>
              <w:t>Estimated Frequency of Response</w:t>
            </w:r>
          </w:p>
        </w:tc>
        <w:tc>
          <w:tcPr>
            <w:tcW w:w="1890" w:type="dxa"/>
          </w:tcPr>
          <w:p w:rsidR="00447971" w:rsidRPr="002223A2" w:rsidP="00447971" w14:paraId="3180D828" w14:textId="77777777">
            <w:pPr>
              <w:jc w:val="center"/>
              <w:rPr>
                <w:rStyle w:val="StyleAptos10ptBoldItalic"/>
              </w:rPr>
            </w:pPr>
            <w:r w:rsidRPr="002223A2">
              <w:rPr>
                <w:rStyle w:val="StyleAptos10ptBoldItalic"/>
              </w:rPr>
              <w:t>Estimated Average Hours per Response</w:t>
            </w:r>
          </w:p>
        </w:tc>
        <w:tc>
          <w:tcPr>
            <w:tcW w:w="2340" w:type="dxa"/>
          </w:tcPr>
          <w:p w:rsidR="00447971" w:rsidRPr="002223A2" w:rsidP="00447971" w14:paraId="36F1377F" w14:textId="77777777">
            <w:pPr>
              <w:jc w:val="center"/>
              <w:rPr>
                <w:rStyle w:val="StyleAptos10ptBoldItalic"/>
              </w:rPr>
            </w:pPr>
            <w:r w:rsidRPr="002223A2">
              <w:rPr>
                <w:rStyle w:val="StyleAptos10ptBoldItalic"/>
              </w:rPr>
              <w:t>Estimated Annual Burden hours</w:t>
            </w:r>
          </w:p>
        </w:tc>
      </w:tr>
      <w:tr w14:paraId="1D75D6C1" w14:textId="77777777" w:rsidTr="00E2546A">
        <w:tblPrEx>
          <w:tblW w:w="10165" w:type="dxa"/>
          <w:tblLook w:val="04A0"/>
        </w:tblPrEx>
        <w:tc>
          <w:tcPr>
            <w:tcW w:w="10165" w:type="dxa"/>
            <w:gridSpan w:val="5"/>
          </w:tcPr>
          <w:p w:rsidR="00447971" w:rsidRPr="002223A2" w:rsidP="00447971" w14:paraId="703276C3" w14:textId="77777777">
            <w:pPr>
              <w:rPr>
                <w:rStyle w:val="StyleAptos10ptItalic"/>
              </w:rPr>
            </w:pPr>
            <w:r w:rsidRPr="002223A2">
              <w:rPr>
                <w:rStyle w:val="StyleAptos10ptItalic"/>
              </w:rPr>
              <w:t>Initial Set-up</w:t>
            </w:r>
          </w:p>
          <w:p w:rsidR="00447971" w:rsidRPr="00AB1885" w:rsidP="00447971" w14:paraId="5B030223" w14:textId="77777777">
            <w:pPr>
              <w:rPr>
                <w:rFonts w:ascii="Times New Roman" w:hAnsi="Times New Roman" w:cs="Times New Roman"/>
                <w:sz w:val="20"/>
              </w:rPr>
            </w:pPr>
            <w:r w:rsidRPr="002223A2">
              <w:rPr>
                <w:rStyle w:val="StyleAptos10ptItalic"/>
              </w:rPr>
              <w:t>Reporting Burden</w:t>
            </w:r>
          </w:p>
        </w:tc>
      </w:tr>
      <w:tr w14:paraId="3FB800EA" w14:textId="77777777" w:rsidTr="00E2546A">
        <w:tblPrEx>
          <w:tblW w:w="10165" w:type="dxa"/>
          <w:tblLook w:val="04A0"/>
        </w:tblPrEx>
        <w:tc>
          <w:tcPr>
            <w:tcW w:w="2695" w:type="dxa"/>
          </w:tcPr>
          <w:p w:rsidR="00447971" w:rsidRPr="002223A2" w:rsidP="00447971" w14:paraId="4CBC5C04" w14:textId="77777777">
            <w:pPr>
              <w:rPr>
                <w:rStyle w:val="StyleAptos10pt"/>
              </w:rPr>
            </w:pPr>
            <w:r w:rsidRPr="002223A2">
              <w:rPr>
                <w:rStyle w:val="StyleAptos10pt"/>
              </w:rPr>
              <w:t>Section 15.10(c)(5)(iii)(B)</w:t>
            </w:r>
          </w:p>
        </w:tc>
        <w:tc>
          <w:tcPr>
            <w:tcW w:w="1530" w:type="dxa"/>
          </w:tcPr>
          <w:p w:rsidR="00447971" w:rsidRPr="002223A2" w:rsidP="00447971" w14:paraId="7122DE3E" w14:textId="77777777">
            <w:pPr>
              <w:jc w:val="center"/>
              <w:rPr>
                <w:rStyle w:val="StyleAptos10pt"/>
              </w:rPr>
            </w:pPr>
            <w:r w:rsidRPr="002223A2">
              <w:rPr>
                <w:rStyle w:val="StyleAptos10pt"/>
              </w:rPr>
              <w:t>39</w:t>
            </w:r>
          </w:p>
        </w:tc>
        <w:tc>
          <w:tcPr>
            <w:tcW w:w="1710" w:type="dxa"/>
          </w:tcPr>
          <w:p w:rsidR="00447971" w:rsidRPr="002223A2" w:rsidP="00447971" w14:paraId="61B4D3BA" w14:textId="77777777">
            <w:pPr>
              <w:jc w:val="center"/>
              <w:rPr>
                <w:rStyle w:val="StyleAptos10pt"/>
              </w:rPr>
            </w:pPr>
            <w:r w:rsidRPr="002223A2">
              <w:rPr>
                <w:rStyle w:val="StyleAptos10pt"/>
              </w:rPr>
              <w:t>1</w:t>
            </w:r>
          </w:p>
        </w:tc>
        <w:tc>
          <w:tcPr>
            <w:tcW w:w="1890" w:type="dxa"/>
          </w:tcPr>
          <w:p w:rsidR="00447971" w:rsidRPr="002223A2" w:rsidP="00447971" w14:paraId="712B734A" w14:textId="77777777">
            <w:pPr>
              <w:jc w:val="center"/>
              <w:rPr>
                <w:rStyle w:val="StyleAptos10pt"/>
              </w:rPr>
            </w:pPr>
            <w:r w:rsidRPr="002223A2">
              <w:rPr>
                <w:rStyle w:val="StyleAptos10pt"/>
              </w:rPr>
              <w:t>4</w:t>
            </w:r>
          </w:p>
        </w:tc>
        <w:tc>
          <w:tcPr>
            <w:tcW w:w="2340" w:type="dxa"/>
          </w:tcPr>
          <w:p w:rsidR="00447971" w:rsidRPr="002223A2" w:rsidP="00447971" w14:paraId="2AF2CD3A" w14:textId="77777777">
            <w:pPr>
              <w:jc w:val="center"/>
              <w:rPr>
                <w:rStyle w:val="StyleAptos10pt"/>
              </w:rPr>
            </w:pPr>
            <w:r w:rsidRPr="002223A2">
              <w:rPr>
                <w:rStyle w:val="StyleAptos10pt"/>
              </w:rPr>
              <w:t>156</w:t>
            </w:r>
          </w:p>
        </w:tc>
      </w:tr>
      <w:tr w14:paraId="60CA93C4" w14:textId="77777777" w:rsidTr="00E2546A">
        <w:tblPrEx>
          <w:tblW w:w="10165" w:type="dxa"/>
          <w:tblLook w:val="04A0"/>
        </w:tblPrEx>
        <w:tc>
          <w:tcPr>
            <w:tcW w:w="2695" w:type="dxa"/>
          </w:tcPr>
          <w:p w:rsidR="00447971" w:rsidRPr="002223A2" w:rsidP="00447971" w14:paraId="1107D87E" w14:textId="77777777">
            <w:pPr>
              <w:rPr>
                <w:rStyle w:val="StyleAptos10pt"/>
              </w:rPr>
            </w:pPr>
            <w:r w:rsidRPr="002223A2">
              <w:rPr>
                <w:rStyle w:val="StyleAptos10pt"/>
              </w:rPr>
              <w:t>Section 15.11(a)(2)</w:t>
            </w:r>
          </w:p>
        </w:tc>
        <w:tc>
          <w:tcPr>
            <w:tcW w:w="1530" w:type="dxa"/>
          </w:tcPr>
          <w:p w:rsidR="00447971" w:rsidRPr="002223A2" w:rsidP="00447971" w14:paraId="75091830" w14:textId="77777777">
            <w:pPr>
              <w:jc w:val="center"/>
              <w:rPr>
                <w:rStyle w:val="StyleAptos10pt"/>
              </w:rPr>
            </w:pPr>
            <w:r w:rsidRPr="002223A2">
              <w:rPr>
                <w:rStyle w:val="StyleAptos10pt"/>
              </w:rPr>
              <w:t>39</w:t>
            </w:r>
          </w:p>
        </w:tc>
        <w:tc>
          <w:tcPr>
            <w:tcW w:w="1710" w:type="dxa"/>
          </w:tcPr>
          <w:p w:rsidR="00447971" w:rsidRPr="002223A2" w:rsidP="00447971" w14:paraId="78F1CF0A" w14:textId="77777777">
            <w:pPr>
              <w:jc w:val="center"/>
              <w:rPr>
                <w:rStyle w:val="StyleAptos10pt"/>
              </w:rPr>
            </w:pPr>
            <w:r w:rsidRPr="002223A2">
              <w:rPr>
                <w:rStyle w:val="StyleAptos10pt"/>
              </w:rPr>
              <w:t>1</w:t>
            </w:r>
          </w:p>
        </w:tc>
        <w:tc>
          <w:tcPr>
            <w:tcW w:w="1890" w:type="dxa"/>
          </w:tcPr>
          <w:p w:rsidR="00447971" w:rsidRPr="002223A2" w:rsidP="00447971" w14:paraId="6FA09828" w14:textId="77777777">
            <w:pPr>
              <w:jc w:val="center"/>
              <w:rPr>
                <w:rStyle w:val="StyleAptos10pt"/>
              </w:rPr>
            </w:pPr>
            <w:r w:rsidRPr="002223A2">
              <w:rPr>
                <w:rStyle w:val="StyleAptos10pt"/>
              </w:rPr>
              <w:t>4</w:t>
            </w:r>
          </w:p>
        </w:tc>
        <w:tc>
          <w:tcPr>
            <w:tcW w:w="2340" w:type="dxa"/>
          </w:tcPr>
          <w:p w:rsidR="00447971" w:rsidRPr="002223A2" w:rsidP="00447971" w14:paraId="7EFA3B87" w14:textId="77777777">
            <w:pPr>
              <w:jc w:val="center"/>
              <w:rPr>
                <w:rStyle w:val="StyleAptos10pt"/>
              </w:rPr>
            </w:pPr>
            <w:r w:rsidRPr="002223A2">
              <w:rPr>
                <w:rStyle w:val="StyleAptos10pt"/>
              </w:rPr>
              <w:t>156</w:t>
            </w:r>
          </w:p>
        </w:tc>
      </w:tr>
      <w:tr w14:paraId="6B0756DB" w14:textId="77777777" w:rsidTr="00E2546A">
        <w:tblPrEx>
          <w:tblW w:w="10165" w:type="dxa"/>
          <w:tblLook w:val="04A0"/>
        </w:tblPrEx>
        <w:tc>
          <w:tcPr>
            <w:tcW w:w="2695" w:type="dxa"/>
          </w:tcPr>
          <w:p w:rsidR="00447971" w:rsidRPr="002223A2" w:rsidP="00447971" w14:paraId="5693AB6E" w14:textId="77777777">
            <w:pPr>
              <w:rPr>
                <w:rStyle w:val="StyleAptos10pt"/>
              </w:rPr>
            </w:pPr>
            <w:r w:rsidRPr="002223A2">
              <w:rPr>
                <w:rStyle w:val="StyleAptos10pt"/>
              </w:rPr>
              <w:t>Section 15.11(e)(2)</w:t>
            </w:r>
          </w:p>
        </w:tc>
        <w:tc>
          <w:tcPr>
            <w:tcW w:w="1530" w:type="dxa"/>
          </w:tcPr>
          <w:p w:rsidR="00447971" w:rsidRPr="002223A2" w:rsidP="00447971" w14:paraId="7A248402" w14:textId="77777777">
            <w:pPr>
              <w:jc w:val="center"/>
              <w:rPr>
                <w:rStyle w:val="StyleAptos10pt"/>
              </w:rPr>
            </w:pPr>
            <w:r w:rsidRPr="002223A2">
              <w:rPr>
                <w:rStyle w:val="StyleAptos10pt"/>
              </w:rPr>
              <w:t>39</w:t>
            </w:r>
          </w:p>
        </w:tc>
        <w:tc>
          <w:tcPr>
            <w:tcW w:w="1710" w:type="dxa"/>
          </w:tcPr>
          <w:p w:rsidR="00447971" w:rsidRPr="002223A2" w:rsidP="00447971" w14:paraId="65E933E4" w14:textId="77777777">
            <w:pPr>
              <w:jc w:val="center"/>
              <w:rPr>
                <w:rStyle w:val="StyleAptos10pt"/>
              </w:rPr>
            </w:pPr>
            <w:r w:rsidRPr="002223A2">
              <w:rPr>
                <w:rStyle w:val="StyleAptos10pt"/>
              </w:rPr>
              <w:t>1</w:t>
            </w:r>
          </w:p>
        </w:tc>
        <w:tc>
          <w:tcPr>
            <w:tcW w:w="1890" w:type="dxa"/>
          </w:tcPr>
          <w:p w:rsidR="00447971" w:rsidRPr="002223A2" w:rsidP="00447971" w14:paraId="3E7892B6" w14:textId="77777777">
            <w:pPr>
              <w:jc w:val="center"/>
              <w:rPr>
                <w:rStyle w:val="StyleAptos10pt"/>
              </w:rPr>
            </w:pPr>
            <w:r w:rsidRPr="002223A2">
              <w:rPr>
                <w:rStyle w:val="StyleAptos10pt"/>
              </w:rPr>
              <w:t>1</w:t>
            </w:r>
          </w:p>
        </w:tc>
        <w:tc>
          <w:tcPr>
            <w:tcW w:w="2340" w:type="dxa"/>
          </w:tcPr>
          <w:p w:rsidR="00447971" w:rsidRPr="002223A2" w:rsidP="00447971" w14:paraId="32A124A3" w14:textId="77777777">
            <w:pPr>
              <w:jc w:val="center"/>
              <w:rPr>
                <w:rStyle w:val="StyleAptos10pt"/>
              </w:rPr>
            </w:pPr>
            <w:r w:rsidRPr="002223A2">
              <w:rPr>
                <w:rStyle w:val="StyleAptos10pt"/>
              </w:rPr>
              <w:t>39</w:t>
            </w:r>
          </w:p>
        </w:tc>
      </w:tr>
      <w:tr w14:paraId="3083F2B4" w14:textId="77777777" w:rsidTr="00E2546A">
        <w:tblPrEx>
          <w:tblW w:w="10165" w:type="dxa"/>
          <w:tblLook w:val="04A0"/>
        </w:tblPrEx>
        <w:tc>
          <w:tcPr>
            <w:tcW w:w="2695" w:type="dxa"/>
          </w:tcPr>
          <w:p w:rsidR="00447971" w:rsidRPr="002223A2" w:rsidP="00447971" w14:paraId="139C0101" w14:textId="77777777">
            <w:pPr>
              <w:rPr>
                <w:rStyle w:val="StyleAptos10pt"/>
              </w:rPr>
            </w:pPr>
            <w:r w:rsidRPr="002223A2">
              <w:rPr>
                <w:rStyle w:val="StyleAptos10pt"/>
              </w:rPr>
              <w:t xml:space="preserve">Section 15.11(e) Table </w:t>
            </w:r>
          </w:p>
        </w:tc>
        <w:tc>
          <w:tcPr>
            <w:tcW w:w="1530" w:type="dxa"/>
          </w:tcPr>
          <w:p w:rsidR="00447971" w:rsidRPr="002223A2" w:rsidP="00447971" w14:paraId="62DF3723" w14:textId="77777777">
            <w:pPr>
              <w:jc w:val="center"/>
              <w:rPr>
                <w:rStyle w:val="StyleAptos10pt"/>
              </w:rPr>
            </w:pPr>
            <w:r w:rsidRPr="002223A2">
              <w:rPr>
                <w:rStyle w:val="StyleAptos10pt"/>
              </w:rPr>
              <w:t>39</w:t>
            </w:r>
          </w:p>
        </w:tc>
        <w:tc>
          <w:tcPr>
            <w:tcW w:w="1710" w:type="dxa"/>
          </w:tcPr>
          <w:p w:rsidR="00447971" w:rsidRPr="002223A2" w:rsidP="00447971" w14:paraId="28532743" w14:textId="77777777">
            <w:pPr>
              <w:jc w:val="center"/>
              <w:rPr>
                <w:rStyle w:val="StyleAptos10pt"/>
              </w:rPr>
            </w:pPr>
            <w:r w:rsidRPr="002223A2">
              <w:rPr>
                <w:rStyle w:val="StyleAptos10pt"/>
              </w:rPr>
              <w:t>1</w:t>
            </w:r>
          </w:p>
        </w:tc>
        <w:tc>
          <w:tcPr>
            <w:tcW w:w="1890" w:type="dxa"/>
          </w:tcPr>
          <w:p w:rsidR="00447971" w:rsidRPr="002223A2" w:rsidP="00447971" w14:paraId="1915FE3F" w14:textId="77777777">
            <w:pPr>
              <w:jc w:val="center"/>
              <w:rPr>
                <w:rStyle w:val="StyleAptos10pt"/>
              </w:rPr>
            </w:pPr>
            <w:r w:rsidRPr="002223A2">
              <w:rPr>
                <w:rStyle w:val="StyleAptos10pt"/>
              </w:rPr>
              <w:t>1</w:t>
            </w:r>
          </w:p>
        </w:tc>
        <w:tc>
          <w:tcPr>
            <w:tcW w:w="2340" w:type="dxa"/>
          </w:tcPr>
          <w:p w:rsidR="00447971" w:rsidRPr="002223A2" w:rsidP="00447971" w14:paraId="7BC7869B" w14:textId="77777777">
            <w:pPr>
              <w:jc w:val="center"/>
              <w:rPr>
                <w:rStyle w:val="StyleAptos10pt"/>
              </w:rPr>
            </w:pPr>
            <w:r w:rsidRPr="002223A2">
              <w:rPr>
                <w:rStyle w:val="StyleAptos10pt"/>
              </w:rPr>
              <w:t>39</w:t>
            </w:r>
          </w:p>
        </w:tc>
      </w:tr>
      <w:tr w14:paraId="5F60EED7" w14:textId="77777777" w:rsidTr="00E2546A">
        <w:tblPrEx>
          <w:tblW w:w="10165" w:type="dxa"/>
          <w:tblLook w:val="04A0"/>
        </w:tblPrEx>
        <w:tc>
          <w:tcPr>
            <w:tcW w:w="2695" w:type="dxa"/>
          </w:tcPr>
          <w:p w:rsidR="00447971" w:rsidRPr="002223A2" w:rsidP="00447971" w14:paraId="5102A9BF" w14:textId="77777777">
            <w:pPr>
              <w:rPr>
                <w:rStyle w:val="StyleAptos10pt"/>
              </w:rPr>
            </w:pPr>
            <w:r w:rsidRPr="002223A2">
              <w:rPr>
                <w:rStyle w:val="StyleAptos10pt"/>
              </w:rPr>
              <w:t>Section 15.11(g)(1)</w:t>
            </w:r>
          </w:p>
        </w:tc>
        <w:tc>
          <w:tcPr>
            <w:tcW w:w="1530" w:type="dxa"/>
          </w:tcPr>
          <w:p w:rsidR="00447971" w:rsidRPr="002223A2" w:rsidP="00447971" w14:paraId="6E36F3BA" w14:textId="77777777">
            <w:pPr>
              <w:jc w:val="center"/>
              <w:rPr>
                <w:rStyle w:val="StyleAptos10pt"/>
              </w:rPr>
            </w:pPr>
            <w:r w:rsidRPr="002223A2">
              <w:rPr>
                <w:rStyle w:val="StyleAptos10pt"/>
              </w:rPr>
              <w:t>39</w:t>
            </w:r>
          </w:p>
        </w:tc>
        <w:tc>
          <w:tcPr>
            <w:tcW w:w="1710" w:type="dxa"/>
          </w:tcPr>
          <w:p w:rsidR="00447971" w:rsidRPr="002223A2" w:rsidP="00447971" w14:paraId="4D3123A0" w14:textId="77777777">
            <w:pPr>
              <w:jc w:val="center"/>
              <w:rPr>
                <w:rStyle w:val="StyleAptos10pt"/>
              </w:rPr>
            </w:pPr>
            <w:r w:rsidRPr="002223A2">
              <w:rPr>
                <w:rStyle w:val="StyleAptos10pt"/>
              </w:rPr>
              <w:t>1</w:t>
            </w:r>
          </w:p>
        </w:tc>
        <w:tc>
          <w:tcPr>
            <w:tcW w:w="1890" w:type="dxa"/>
          </w:tcPr>
          <w:p w:rsidR="00447971" w:rsidRPr="002223A2" w:rsidP="00447971" w14:paraId="7130911B" w14:textId="77777777">
            <w:pPr>
              <w:jc w:val="center"/>
              <w:rPr>
                <w:rStyle w:val="StyleAptos10pt"/>
              </w:rPr>
            </w:pPr>
            <w:r w:rsidRPr="002223A2">
              <w:rPr>
                <w:rStyle w:val="StyleAptos10pt"/>
              </w:rPr>
              <w:t>1</w:t>
            </w:r>
          </w:p>
        </w:tc>
        <w:tc>
          <w:tcPr>
            <w:tcW w:w="2340" w:type="dxa"/>
          </w:tcPr>
          <w:p w:rsidR="00447971" w:rsidRPr="002223A2" w:rsidP="00447971" w14:paraId="6F3BACCC" w14:textId="77777777">
            <w:pPr>
              <w:jc w:val="center"/>
              <w:rPr>
                <w:rStyle w:val="StyleAptos10pt"/>
              </w:rPr>
            </w:pPr>
            <w:r w:rsidRPr="002223A2">
              <w:rPr>
                <w:rStyle w:val="StyleAptos10pt"/>
              </w:rPr>
              <w:t>39</w:t>
            </w:r>
          </w:p>
        </w:tc>
      </w:tr>
      <w:tr w14:paraId="61D97017" w14:textId="77777777" w:rsidTr="00E2546A">
        <w:tblPrEx>
          <w:tblW w:w="10165" w:type="dxa"/>
          <w:tblLook w:val="04A0"/>
        </w:tblPrEx>
        <w:tc>
          <w:tcPr>
            <w:tcW w:w="2695" w:type="dxa"/>
          </w:tcPr>
          <w:p w:rsidR="00447971" w:rsidRPr="002223A2" w:rsidP="00447971" w14:paraId="24B79B21" w14:textId="77777777">
            <w:pPr>
              <w:rPr>
                <w:rStyle w:val="StyleAptos10pt"/>
              </w:rPr>
            </w:pPr>
            <w:r w:rsidRPr="002223A2">
              <w:rPr>
                <w:rStyle w:val="StyleAptos10pt"/>
              </w:rPr>
              <w:t>Section 15.11(g)(4)(i)</w:t>
            </w:r>
          </w:p>
        </w:tc>
        <w:tc>
          <w:tcPr>
            <w:tcW w:w="1530" w:type="dxa"/>
          </w:tcPr>
          <w:p w:rsidR="00447971" w:rsidRPr="002223A2" w:rsidP="00447971" w14:paraId="32C6FF7B" w14:textId="77777777">
            <w:pPr>
              <w:jc w:val="center"/>
              <w:rPr>
                <w:rStyle w:val="StyleAptos10pt"/>
              </w:rPr>
            </w:pPr>
            <w:r w:rsidRPr="002223A2">
              <w:rPr>
                <w:rStyle w:val="StyleAptos10pt"/>
              </w:rPr>
              <w:t>39</w:t>
            </w:r>
          </w:p>
        </w:tc>
        <w:tc>
          <w:tcPr>
            <w:tcW w:w="1710" w:type="dxa"/>
          </w:tcPr>
          <w:p w:rsidR="00447971" w:rsidRPr="002223A2" w:rsidP="00447971" w14:paraId="1743D7E5" w14:textId="77777777">
            <w:pPr>
              <w:jc w:val="center"/>
              <w:rPr>
                <w:rStyle w:val="StyleAptos10pt"/>
              </w:rPr>
            </w:pPr>
            <w:r w:rsidRPr="002223A2">
              <w:rPr>
                <w:rStyle w:val="StyleAptos10pt"/>
              </w:rPr>
              <w:t>1</w:t>
            </w:r>
          </w:p>
        </w:tc>
        <w:tc>
          <w:tcPr>
            <w:tcW w:w="1890" w:type="dxa"/>
          </w:tcPr>
          <w:p w:rsidR="00447971" w:rsidRPr="002223A2" w:rsidP="00447971" w14:paraId="20BE273D" w14:textId="77777777">
            <w:pPr>
              <w:jc w:val="center"/>
              <w:rPr>
                <w:rStyle w:val="StyleAptos10pt"/>
              </w:rPr>
            </w:pPr>
            <w:r w:rsidRPr="002223A2">
              <w:rPr>
                <w:rStyle w:val="StyleAptos10pt"/>
              </w:rPr>
              <w:t>4</w:t>
            </w:r>
          </w:p>
        </w:tc>
        <w:tc>
          <w:tcPr>
            <w:tcW w:w="2340" w:type="dxa"/>
          </w:tcPr>
          <w:p w:rsidR="00447971" w:rsidRPr="002223A2" w:rsidP="00447971" w14:paraId="39F407BB" w14:textId="77777777">
            <w:pPr>
              <w:jc w:val="center"/>
              <w:rPr>
                <w:rStyle w:val="StyleAptos10pt"/>
              </w:rPr>
            </w:pPr>
            <w:r w:rsidRPr="002223A2">
              <w:rPr>
                <w:rStyle w:val="StyleAptos10pt"/>
              </w:rPr>
              <w:t>156</w:t>
            </w:r>
          </w:p>
        </w:tc>
      </w:tr>
      <w:tr w14:paraId="446EA08C" w14:textId="77777777" w:rsidTr="00E2546A">
        <w:tblPrEx>
          <w:tblW w:w="10165" w:type="dxa"/>
          <w:tblLook w:val="04A0"/>
        </w:tblPrEx>
        <w:tc>
          <w:tcPr>
            <w:tcW w:w="2695" w:type="dxa"/>
          </w:tcPr>
          <w:p w:rsidR="00447971" w:rsidRPr="002223A2" w:rsidP="00447971" w14:paraId="6DAE166B" w14:textId="77777777">
            <w:pPr>
              <w:rPr>
                <w:rStyle w:val="StyleAptos10pt"/>
              </w:rPr>
            </w:pPr>
            <w:r w:rsidRPr="002223A2">
              <w:rPr>
                <w:rStyle w:val="StyleAptos10pt"/>
              </w:rPr>
              <w:t>Section 15.12(d)(1)</w:t>
            </w:r>
          </w:p>
        </w:tc>
        <w:tc>
          <w:tcPr>
            <w:tcW w:w="1530" w:type="dxa"/>
          </w:tcPr>
          <w:p w:rsidR="00447971" w:rsidRPr="002223A2" w:rsidP="00447971" w14:paraId="4A9EEE92" w14:textId="77777777">
            <w:pPr>
              <w:jc w:val="center"/>
              <w:rPr>
                <w:rStyle w:val="StyleAptos10pt"/>
              </w:rPr>
            </w:pPr>
            <w:r w:rsidRPr="002223A2">
              <w:rPr>
                <w:rStyle w:val="StyleAptos10pt"/>
              </w:rPr>
              <w:t>1</w:t>
            </w:r>
          </w:p>
        </w:tc>
        <w:tc>
          <w:tcPr>
            <w:tcW w:w="1710" w:type="dxa"/>
          </w:tcPr>
          <w:p w:rsidR="00447971" w:rsidRPr="002223A2" w:rsidP="00447971" w14:paraId="4E333FDD" w14:textId="77777777">
            <w:pPr>
              <w:jc w:val="center"/>
              <w:rPr>
                <w:rStyle w:val="StyleAptos10pt"/>
              </w:rPr>
            </w:pPr>
            <w:r w:rsidRPr="002223A2">
              <w:rPr>
                <w:rStyle w:val="StyleAptos10pt"/>
              </w:rPr>
              <w:t>1</w:t>
            </w:r>
          </w:p>
        </w:tc>
        <w:tc>
          <w:tcPr>
            <w:tcW w:w="1890" w:type="dxa"/>
          </w:tcPr>
          <w:p w:rsidR="00447971" w:rsidRPr="002223A2" w:rsidP="00447971" w14:paraId="1F25DF8C" w14:textId="77777777">
            <w:pPr>
              <w:jc w:val="center"/>
              <w:rPr>
                <w:rStyle w:val="StyleAptos10pt"/>
              </w:rPr>
            </w:pPr>
            <w:r w:rsidRPr="002223A2">
              <w:rPr>
                <w:rStyle w:val="StyleAptos10pt"/>
              </w:rPr>
              <w:t>0.5</w:t>
            </w:r>
          </w:p>
        </w:tc>
        <w:tc>
          <w:tcPr>
            <w:tcW w:w="2340" w:type="dxa"/>
          </w:tcPr>
          <w:p w:rsidR="00447971" w:rsidRPr="002223A2" w:rsidP="00447971" w14:paraId="0AFDC4AC" w14:textId="77777777">
            <w:pPr>
              <w:jc w:val="center"/>
              <w:rPr>
                <w:rStyle w:val="StyleAptos10pt"/>
              </w:rPr>
            </w:pPr>
            <w:r w:rsidRPr="002223A2">
              <w:rPr>
                <w:rStyle w:val="StyleAptos10pt"/>
              </w:rPr>
              <w:t>0.5</w:t>
            </w:r>
          </w:p>
        </w:tc>
      </w:tr>
      <w:tr w14:paraId="214589A0" w14:textId="77777777" w:rsidTr="00E2546A">
        <w:tblPrEx>
          <w:tblW w:w="10165" w:type="dxa"/>
          <w:tblLook w:val="04A0"/>
        </w:tblPrEx>
        <w:tc>
          <w:tcPr>
            <w:tcW w:w="2695" w:type="dxa"/>
          </w:tcPr>
          <w:p w:rsidR="00447971" w:rsidRPr="002223A2" w:rsidP="00447971" w14:paraId="6311FF30" w14:textId="77777777">
            <w:pPr>
              <w:rPr>
                <w:rStyle w:val="StyleAptos10pt"/>
              </w:rPr>
            </w:pPr>
            <w:r w:rsidRPr="002223A2">
              <w:rPr>
                <w:rStyle w:val="StyleAptos10pt"/>
              </w:rPr>
              <w:t>Section 15.12(d)(2)</w:t>
            </w:r>
          </w:p>
        </w:tc>
        <w:tc>
          <w:tcPr>
            <w:tcW w:w="1530" w:type="dxa"/>
          </w:tcPr>
          <w:p w:rsidR="00447971" w:rsidRPr="002223A2" w:rsidP="00447971" w14:paraId="4477B698" w14:textId="77777777">
            <w:pPr>
              <w:jc w:val="center"/>
              <w:rPr>
                <w:rStyle w:val="StyleAptos10pt"/>
              </w:rPr>
            </w:pPr>
            <w:r w:rsidRPr="002223A2">
              <w:rPr>
                <w:rStyle w:val="StyleAptos10pt"/>
              </w:rPr>
              <w:t>1</w:t>
            </w:r>
          </w:p>
        </w:tc>
        <w:tc>
          <w:tcPr>
            <w:tcW w:w="1710" w:type="dxa"/>
          </w:tcPr>
          <w:p w:rsidR="00447971" w:rsidRPr="002223A2" w:rsidP="00447971" w14:paraId="3FA4BD1C" w14:textId="77777777">
            <w:pPr>
              <w:jc w:val="center"/>
              <w:rPr>
                <w:rStyle w:val="StyleAptos10pt"/>
              </w:rPr>
            </w:pPr>
            <w:r w:rsidRPr="002223A2">
              <w:rPr>
                <w:rStyle w:val="StyleAptos10pt"/>
              </w:rPr>
              <w:t>1</w:t>
            </w:r>
          </w:p>
        </w:tc>
        <w:tc>
          <w:tcPr>
            <w:tcW w:w="1890" w:type="dxa"/>
          </w:tcPr>
          <w:p w:rsidR="00447971" w:rsidRPr="002223A2" w:rsidP="00447971" w14:paraId="2DF7B77C" w14:textId="77777777">
            <w:pPr>
              <w:jc w:val="center"/>
              <w:rPr>
                <w:rStyle w:val="StyleAptos10pt"/>
              </w:rPr>
            </w:pPr>
            <w:r w:rsidRPr="002223A2">
              <w:rPr>
                <w:rStyle w:val="StyleAptos10pt"/>
              </w:rPr>
              <w:t>0.5</w:t>
            </w:r>
          </w:p>
        </w:tc>
        <w:tc>
          <w:tcPr>
            <w:tcW w:w="2340" w:type="dxa"/>
          </w:tcPr>
          <w:p w:rsidR="00447971" w:rsidRPr="002223A2" w:rsidP="00447971" w14:paraId="1346E17F" w14:textId="77777777">
            <w:pPr>
              <w:jc w:val="center"/>
              <w:rPr>
                <w:rStyle w:val="StyleAptos10pt"/>
              </w:rPr>
            </w:pPr>
            <w:r w:rsidRPr="002223A2">
              <w:rPr>
                <w:rStyle w:val="StyleAptos10pt"/>
              </w:rPr>
              <w:t>0.5</w:t>
            </w:r>
          </w:p>
        </w:tc>
      </w:tr>
      <w:tr w14:paraId="46988261" w14:textId="77777777" w:rsidTr="00E2546A">
        <w:tblPrEx>
          <w:tblW w:w="10165" w:type="dxa"/>
          <w:tblLook w:val="04A0"/>
        </w:tblPrEx>
        <w:tc>
          <w:tcPr>
            <w:tcW w:w="2695" w:type="dxa"/>
          </w:tcPr>
          <w:p w:rsidR="00447971" w:rsidRPr="002223A2" w:rsidP="00447971" w14:paraId="03BD735B" w14:textId="77777777">
            <w:pPr>
              <w:rPr>
                <w:rStyle w:val="StyleAptos10pt"/>
              </w:rPr>
            </w:pPr>
            <w:r w:rsidRPr="002223A2">
              <w:rPr>
                <w:rStyle w:val="StyleAptos10pt"/>
              </w:rPr>
              <w:t>Section 15.13(a)(3)</w:t>
            </w:r>
          </w:p>
        </w:tc>
        <w:tc>
          <w:tcPr>
            <w:tcW w:w="1530" w:type="dxa"/>
          </w:tcPr>
          <w:p w:rsidR="00447971" w:rsidRPr="002223A2" w:rsidP="00447971" w14:paraId="15FF0E54" w14:textId="77777777">
            <w:pPr>
              <w:jc w:val="center"/>
              <w:rPr>
                <w:rStyle w:val="StyleAptos10pt"/>
              </w:rPr>
            </w:pPr>
            <w:r w:rsidRPr="002223A2">
              <w:rPr>
                <w:rStyle w:val="StyleAptos10pt"/>
              </w:rPr>
              <w:t>39</w:t>
            </w:r>
          </w:p>
        </w:tc>
        <w:tc>
          <w:tcPr>
            <w:tcW w:w="1710" w:type="dxa"/>
          </w:tcPr>
          <w:p w:rsidR="00447971" w:rsidRPr="002223A2" w:rsidP="00447971" w14:paraId="74D55CB1" w14:textId="77777777">
            <w:pPr>
              <w:jc w:val="center"/>
              <w:rPr>
                <w:rStyle w:val="StyleAptos10pt"/>
              </w:rPr>
            </w:pPr>
            <w:r w:rsidRPr="002223A2">
              <w:rPr>
                <w:rStyle w:val="StyleAptos10pt"/>
              </w:rPr>
              <w:t>1</w:t>
            </w:r>
          </w:p>
        </w:tc>
        <w:tc>
          <w:tcPr>
            <w:tcW w:w="1890" w:type="dxa"/>
          </w:tcPr>
          <w:p w:rsidR="00447971" w:rsidRPr="002223A2" w:rsidP="00447971" w14:paraId="3851EAA3" w14:textId="77777777">
            <w:pPr>
              <w:jc w:val="center"/>
              <w:rPr>
                <w:rStyle w:val="StyleAptos10pt"/>
              </w:rPr>
            </w:pPr>
            <w:r w:rsidRPr="002223A2">
              <w:rPr>
                <w:rStyle w:val="StyleAptos10pt"/>
              </w:rPr>
              <w:t>160</w:t>
            </w:r>
          </w:p>
        </w:tc>
        <w:tc>
          <w:tcPr>
            <w:tcW w:w="2340" w:type="dxa"/>
          </w:tcPr>
          <w:p w:rsidR="00447971" w:rsidRPr="002223A2" w:rsidP="00447971" w14:paraId="39A33E44" w14:textId="77777777">
            <w:pPr>
              <w:jc w:val="center"/>
              <w:rPr>
                <w:rStyle w:val="StyleAptos10pt"/>
              </w:rPr>
            </w:pPr>
            <w:r w:rsidRPr="002223A2">
              <w:rPr>
                <w:rStyle w:val="StyleAptos10pt"/>
              </w:rPr>
              <w:t>6,240</w:t>
            </w:r>
          </w:p>
        </w:tc>
      </w:tr>
      <w:tr w14:paraId="040F38A2" w14:textId="77777777" w:rsidTr="00E2546A">
        <w:tblPrEx>
          <w:tblW w:w="10165" w:type="dxa"/>
          <w:tblLook w:val="04A0"/>
        </w:tblPrEx>
        <w:tc>
          <w:tcPr>
            <w:tcW w:w="2695" w:type="dxa"/>
          </w:tcPr>
          <w:p w:rsidR="00447971" w:rsidRPr="002223A2" w:rsidP="00447971" w14:paraId="63CEAE9C" w14:textId="77777777">
            <w:pPr>
              <w:rPr>
                <w:rStyle w:val="StyleAptos10pt"/>
              </w:rPr>
            </w:pPr>
            <w:r w:rsidRPr="002223A2">
              <w:rPr>
                <w:rStyle w:val="StyleAptos10pt"/>
              </w:rPr>
              <w:t>Section 15.13(a)(9)(i)</w:t>
            </w:r>
          </w:p>
        </w:tc>
        <w:tc>
          <w:tcPr>
            <w:tcW w:w="1530" w:type="dxa"/>
          </w:tcPr>
          <w:p w:rsidR="00447971" w:rsidRPr="002223A2" w:rsidP="00447971" w14:paraId="0B0D7BAE" w14:textId="77777777">
            <w:pPr>
              <w:jc w:val="center"/>
              <w:rPr>
                <w:rStyle w:val="StyleAptos10pt"/>
              </w:rPr>
            </w:pPr>
            <w:r w:rsidRPr="002223A2">
              <w:rPr>
                <w:rStyle w:val="StyleAptos10pt"/>
              </w:rPr>
              <w:t>39</w:t>
            </w:r>
          </w:p>
        </w:tc>
        <w:tc>
          <w:tcPr>
            <w:tcW w:w="1710" w:type="dxa"/>
          </w:tcPr>
          <w:p w:rsidR="00447971" w:rsidRPr="002223A2" w:rsidP="00447971" w14:paraId="1F4E6FFF" w14:textId="77777777">
            <w:pPr>
              <w:jc w:val="center"/>
              <w:rPr>
                <w:rStyle w:val="StyleAptos10pt"/>
              </w:rPr>
            </w:pPr>
            <w:r w:rsidRPr="002223A2">
              <w:rPr>
                <w:rStyle w:val="StyleAptos10pt"/>
              </w:rPr>
              <w:t>1</w:t>
            </w:r>
          </w:p>
        </w:tc>
        <w:tc>
          <w:tcPr>
            <w:tcW w:w="1890" w:type="dxa"/>
          </w:tcPr>
          <w:p w:rsidR="00447971" w:rsidRPr="002223A2" w:rsidP="00447971" w14:paraId="1F2B3C71" w14:textId="77777777">
            <w:pPr>
              <w:jc w:val="center"/>
              <w:rPr>
                <w:rStyle w:val="StyleAptos10pt"/>
              </w:rPr>
            </w:pPr>
            <w:r w:rsidRPr="002223A2">
              <w:rPr>
                <w:rStyle w:val="StyleAptos10pt"/>
              </w:rPr>
              <w:t>160</w:t>
            </w:r>
          </w:p>
        </w:tc>
        <w:tc>
          <w:tcPr>
            <w:tcW w:w="2340" w:type="dxa"/>
          </w:tcPr>
          <w:p w:rsidR="00447971" w:rsidRPr="002223A2" w:rsidP="00447971" w14:paraId="58BA745F" w14:textId="77777777">
            <w:pPr>
              <w:jc w:val="center"/>
              <w:rPr>
                <w:rStyle w:val="StyleAptos10pt"/>
              </w:rPr>
            </w:pPr>
            <w:r w:rsidRPr="002223A2">
              <w:rPr>
                <w:rStyle w:val="StyleAptos10pt"/>
              </w:rPr>
              <w:t>6,240</w:t>
            </w:r>
          </w:p>
        </w:tc>
      </w:tr>
      <w:tr w14:paraId="6A9D977B" w14:textId="77777777" w:rsidTr="00E2546A">
        <w:tblPrEx>
          <w:tblW w:w="10165" w:type="dxa"/>
          <w:tblLook w:val="04A0"/>
        </w:tblPrEx>
        <w:tc>
          <w:tcPr>
            <w:tcW w:w="2695" w:type="dxa"/>
          </w:tcPr>
          <w:p w:rsidR="00447971" w:rsidRPr="002223A2" w:rsidP="00447971" w14:paraId="56FC4357" w14:textId="77777777">
            <w:pPr>
              <w:rPr>
                <w:rStyle w:val="StyleAptos10pt"/>
              </w:rPr>
            </w:pPr>
            <w:r w:rsidRPr="002223A2">
              <w:rPr>
                <w:rStyle w:val="StyleAptos10pt"/>
              </w:rPr>
              <w:t>Section 15.13(a)(9)(ii)</w:t>
            </w:r>
          </w:p>
        </w:tc>
        <w:tc>
          <w:tcPr>
            <w:tcW w:w="1530" w:type="dxa"/>
          </w:tcPr>
          <w:p w:rsidR="00447971" w:rsidRPr="002223A2" w:rsidP="00447971" w14:paraId="26B04C0E" w14:textId="77777777">
            <w:pPr>
              <w:jc w:val="center"/>
              <w:rPr>
                <w:rStyle w:val="StyleAptos10pt"/>
              </w:rPr>
            </w:pPr>
            <w:r w:rsidRPr="002223A2">
              <w:rPr>
                <w:rStyle w:val="StyleAptos10pt"/>
              </w:rPr>
              <w:t>39</w:t>
            </w:r>
          </w:p>
        </w:tc>
        <w:tc>
          <w:tcPr>
            <w:tcW w:w="1710" w:type="dxa"/>
          </w:tcPr>
          <w:p w:rsidR="00447971" w:rsidRPr="002223A2" w:rsidP="00447971" w14:paraId="54627AB2" w14:textId="77777777">
            <w:pPr>
              <w:jc w:val="center"/>
              <w:rPr>
                <w:rStyle w:val="StyleAptos10pt"/>
              </w:rPr>
            </w:pPr>
            <w:r w:rsidRPr="002223A2">
              <w:rPr>
                <w:rStyle w:val="StyleAptos10pt"/>
              </w:rPr>
              <w:t>1</w:t>
            </w:r>
          </w:p>
        </w:tc>
        <w:tc>
          <w:tcPr>
            <w:tcW w:w="1890" w:type="dxa"/>
          </w:tcPr>
          <w:p w:rsidR="00447971" w:rsidRPr="002223A2" w:rsidP="00447971" w14:paraId="6109CEB0" w14:textId="77777777">
            <w:pPr>
              <w:jc w:val="center"/>
              <w:rPr>
                <w:rStyle w:val="StyleAptos10pt"/>
              </w:rPr>
            </w:pPr>
            <w:r w:rsidRPr="002223A2">
              <w:rPr>
                <w:rStyle w:val="StyleAptos10pt"/>
              </w:rPr>
              <w:t>160</w:t>
            </w:r>
          </w:p>
        </w:tc>
        <w:tc>
          <w:tcPr>
            <w:tcW w:w="2340" w:type="dxa"/>
          </w:tcPr>
          <w:p w:rsidR="00447971" w:rsidRPr="002223A2" w:rsidP="00447971" w14:paraId="504B0F7A" w14:textId="77777777">
            <w:pPr>
              <w:jc w:val="center"/>
              <w:rPr>
                <w:rStyle w:val="StyleAptos10pt"/>
              </w:rPr>
            </w:pPr>
            <w:r w:rsidRPr="002223A2">
              <w:rPr>
                <w:rStyle w:val="StyleAptos10pt"/>
              </w:rPr>
              <w:t>6,240</w:t>
            </w:r>
          </w:p>
        </w:tc>
      </w:tr>
      <w:tr w14:paraId="30382E1D" w14:textId="77777777" w:rsidTr="00E2546A">
        <w:tblPrEx>
          <w:tblW w:w="10165" w:type="dxa"/>
          <w:tblLook w:val="04A0"/>
        </w:tblPrEx>
        <w:tc>
          <w:tcPr>
            <w:tcW w:w="2695" w:type="dxa"/>
          </w:tcPr>
          <w:p w:rsidR="00447971" w:rsidRPr="002223A2" w:rsidP="00447971" w14:paraId="3AC9338F" w14:textId="77777777">
            <w:pPr>
              <w:rPr>
                <w:rStyle w:val="StyleAptos10pt"/>
              </w:rPr>
            </w:pPr>
            <w:r w:rsidRPr="002223A2">
              <w:rPr>
                <w:rStyle w:val="StyleAptos10pt"/>
              </w:rPr>
              <w:t>Section 15.13(a)(9)(iii)</w:t>
            </w:r>
          </w:p>
        </w:tc>
        <w:tc>
          <w:tcPr>
            <w:tcW w:w="1530" w:type="dxa"/>
          </w:tcPr>
          <w:p w:rsidR="00447971" w:rsidRPr="002223A2" w:rsidP="00447971" w14:paraId="53CBC1AD" w14:textId="77777777">
            <w:pPr>
              <w:jc w:val="center"/>
              <w:rPr>
                <w:rStyle w:val="StyleAptos10pt"/>
              </w:rPr>
            </w:pPr>
            <w:r w:rsidRPr="002223A2">
              <w:rPr>
                <w:rStyle w:val="StyleAptos10pt"/>
              </w:rPr>
              <w:t>39</w:t>
            </w:r>
          </w:p>
        </w:tc>
        <w:tc>
          <w:tcPr>
            <w:tcW w:w="1710" w:type="dxa"/>
          </w:tcPr>
          <w:p w:rsidR="00447971" w:rsidRPr="002223A2" w:rsidP="00447971" w14:paraId="4AD1E3B0" w14:textId="77777777">
            <w:pPr>
              <w:jc w:val="center"/>
              <w:rPr>
                <w:rStyle w:val="StyleAptos10pt"/>
              </w:rPr>
            </w:pPr>
            <w:r w:rsidRPr="002223A2">
              <w:rPr>
                <w:rStyle w:val="StyleAptos10pt"/>
              </w:rPr>
              <w:t>1</w:t>
            </w:r>
          </w:p>
        </w:tc>
        <w:tc>
          <w:tcPr>
            <w:tcW w:w="1890" w:type="dxa"/>
          </w:tcPr>
          <w:p w:rsidR="00447971" w:rsidRPr="002223A2" w:rsidP="00447971" w14:paraId="7118A89B" w14:textId="77777777">
            <w:pPr>
              <w:jc w:val="center"/>
              <w:rPr>
                <w:rStyle w:val="StyleAptos10pt"/>
              </w:rPr>
            </w:pPr>
            <w:r w:rsidRPr="002223A2">
              <w:rPr>
                <w:rStyle w:val="StyleAptos10pt"/>
              </w:rPr>
              <w:t>160</w:t>
            </w:r>
          </w:p>
        </w:tc>
        <w:tc>
          <w:tcPr>
            <w:tcW w:w="2340" w:type="dxa"/>
          </w:tcPr>
          <w:p w:rsidR="00447971" w:rsidRPr="002223A2" w:rsidP="00447971" w14:paraId="5A09420F" w14:textId="77777777">
            <w:pPr>
              <w:jc w:val="center"/>
              <w:rPr>
                <w:rStyle w:val="StyleAptos10pt"/>
              </w:rPr>
            </w:pPr>
            <w:r w:rsidRPr="002223A2">
              <w:rPr>
                <w:rStyle w:val="StyleAptos10pt"/>
              </w:rPr>
              <w:t>6,240</w:t>
            </w:r>
          </w:p>
        </w:tc>
      </w:tr>
      <w:tr w14:paraId="10BC11F9" w14:textId="77777777" w:rsidTr="00E2546A">
        <w:tblPrEx>
          <w:tblW w:w="10165" w:type="dxa"/>
          <w:tblLook w:val="04A0"/>
        </w:tblPrEx>
        <w:tc>
          <w:tcPr>
            <w:tcW w:w="2695" w:type="dxa"/>
          </w:tcPr>
          <w:p w:rsidR="00447971" w:rsidRPr="002223A2" w:rsidP="00447971" w14:paraId="764DE141" w14:textId="77777777">
            <w:pPr>
              <w:rPr>
                <w:rStyle w:val="StyleAptos10pt"/>
              </w:rPr>
            </w:pPr>
            <w:r w:rsidRPr="002223A2">
              <w:rPr>
                <w:rStyle w:val="StyleAptos10pt"/>
              </w:rPr>
              <w:t>Section 15.13(a)(10)(iii)</w:t>
            </w:r>
          </w:p>
        </w:tc>
        <w:tc>
          <w:tcPr>
            <w:tcW w:w="1530" w:type="dxa"/>
          </w:tcPr>
          <w:p w:rsidR="00447971" w:rsidRPr="002223A2" w:rsidP="00447971" w14:paraId="24C768D6" w14:textId="77777777">
            <w:pPr>
              <w:jc w:val="center"/>
              <w:rPr>
                <w:rStyle w:val="StyleAptos10pt"/>
              </w:rPr>
            </w:pPr>
            <w:r w:rsidRPr="002223A2">
              <w:rPr>
                <w:rStyle w:val="StyleAptos10pt"/>
              </w:rPr>
              <w:t>1</w:t>
            </w:r>
          </w:p>
        </w:tc>
        <w:tc>
          <w:tcPr>
            <w:tcW w:w="1710" w:type="dxa"/>
          </w:tcPr>
          <w:p w:rsidR="00447971" w:rsidRPr="002223A2" w:rsidP="00447971" w14:paraId="110D94B7" w14:textId="77777777">
            <w:pPr>
              <w:jc w:val="center"/>
              <w:rPr>
                <w:rStyle w:val="StyleAptos10pt"/>
              </w:rPr>
            </w:pPr>
            <w:r w:rsidRPr="002223A2">
              <w:rPr>
                <w:rStyle w:val="StyleAptos10pt"/>
              </w:rPr>
              <w:t>1</w:t>
            </w:r>
          </w:p>
        </w:tc>
        <w:tc>
          <w:tcPr>
            <w:tcW w:w="1890" w:type="dxa"/>
          </w:tcPr>
          <w:p w:rsidR="00447971" w:rsidRPr="002223A2" w:rsidP="00447971" w14:paraId="510EE215" w14:textId="77777777">
            <w:pPr>
              <w:jc w:val="center"/>
              <w:rPr>
                <w:rStyle w:val="StyleAptos10pt"/>
              </w:rPr>
            </w:pPr>
            <w:r w:rsidRPr="002223A2">
              <w:rPr>
                <w:rStyle w:val="StyleAptos10pt"/>
              </w:rPr>
              <w:t>1</w:t>
            </w:r>
          </w:p>
        </w:tc>
        <w:tc>
          <w:tcPr>
            <w:tcW w:w="2340" w:type="dxa"/>
          </w:tcPr>
          <w:p w:rsidR="00447971" w:rsidRPr="002223A2" w:rsidP="00447971" w14:paraId="430422E9" w14:textId="77777777">
            <w:pPr>
              <w:jc w:val="center"/>
              <w:rPr>
                <w:rStyle w:val="StyleAptos10pt"/>
              </w:rPr>
            </w:pPr>
            <w:r w:rsidRPr="002223A2">
              <w:rPr>
                <w:rStyle w:val="StyleAptos10pt"/>
              </w:rPr>
              <w:t>1</w:t>
            </w:r>
          </w:p>
        </w:tc>
      </w:tr>
      <w:tr w14:paraId="02D96891" w14:textId="77777777" w:rsidTr="00E2546A">
        <w:tblPrEx>
          <w:tblW w:w="10165" w:type="dxa"/>
          <w:tblLook w:val="04A0"/>
        </w:tblPrEx>
        <w:tc>
          <w:tcPr>
            <w:tcW w:w="2695" w:type="dxa"/>
          </w:tcPr>
          <w:p w:rsidR="00447971" w:rsidRPr="002223A2" w:rsidP="00447971" w14:paraId="1A0A4252" w14:textId="77777777">
            <w:pPr>
              <w:rPr>
                <w:rStyle w:val="StyleAptos10pt"/>
              </w:rPr>
            </w:pPr>
            <w:r w:rsidRPr="002223A2">
              <w:rPr>
                <w:rStyle w:val="StyleAptos10pt"/>
              </w:rPr>
              <w:t>Section 15.13(b)(7)(i)</w:t>
            </w:r>
          </w:p>
        </w:tc>
        <w:tc>
          <w:tcPr>
            <w:tcW w:w="1530" w:type="dxa"/>
          </w:tcPr>
          <w:p w:rsidR="00447971" w:rsidRPr="002223A2" w:rsidP="00447971" w14:paraId="169EF47F" w14:textId="77777777">
            <w:pPr>
              <w:jc w:val="center"/>
              <w:rPr>
                <w:rStyle w:val="StyleAptos10pt"/>
              </w:rPr>
            </w:pPr>
            <w:r w:rsidRPr="002223A2">
              <w:rPr>
                <w:rStyle w:val="StyleAptos10pt"/>
              </w:rPr>
              <w:t>39</w:t>
            </w:r>
          </w:p>
        </w:tc>
        <w:tc>
          <w:tcPr>
            <w:tcW w:w="1710" w:type="dxa"/>
          </w:tcPr>
          <w:p w:rsidR="00447971" w:rsidRPr="002223A2" w:rsidP="00447971" w14:paraId="6B166228" w14:textId="77777777">
            <w:pPr>
              <w:jc w:val="center"/>
              <w:rPr>
                <w:rStyle w:val="StyleAptos10pt"/>
              </w:rPr>
            </w:pPr>
            <w:r w:rsidRPr="002223A2">
              <w:rPr>
                <w:rStyle w:val="StyleAptos10pt"/>
              </w:rPr>
              <w:t>1</w:t>
            </w:r>
          </w:p>
        </w:tc>
        <w:tc>
          <w:tcPr>
            <w:tcW w:w="1890" w:type="dxa"/>
          </w:tcPr>
          <w:p w:rsidR="00447971" w:rsidRPr="002223A2" w:rsidP="00447971" w14:paraId="54C0974F" w14:textId="77777777">
            <w:pPr>
              <w:jc w:val="center"/>
              <w:rPr>
                <w:rStyle w:val="StyleAptos10pt"/>
              </w:rPr>
            </w:pPr>
            <w:r w:rsidRPr="002223A2">
              <w:rPr>
                <w:rStyle w:val="StyleAptos10pt"/>
              </w:rPr>
              <w:t>4</w:t>
            </w:r>
          </w:p>
        </w:tc>
        <w:tc>
          <w:tcPr>
            <w:tcW w:w="2340" w:type="dxa"/>
          </w:tcPr>
          <w:p w:rsidR="00447971" w:rsidRPr="002223A2" w:rsidP="00447971" w14:paraId="7B79986C" w14:textId="77777777">
            <w:pPr>
              <w:jc w:val="center"/>
              <w:rPr>
                <w:rStyle w:val="StyleAptos10pt"/>
              </w:rPr>
            </w:pPr>
            <w:r w:rsidRPr="002223A2">
              <w:rPr>
                <w:rStyle w:val="StyleAptos10pt"/>
              </w:rPr>
              <w:t>156</w:t>
            </w:r>
          </w:p>
        </w:tc>
      </w:tr>
      <w:tr w14:paraId="4FD118B6" w14:textId="77777777" w:rsidTr="00E2546A">
        <w:tblPrEx>
          <w:tblW w:w="10165" w:type="dxa"/>
          <w:tblLook w:val="04A0"/>
        </w:tblPrEx>
        <w:tc>
          <w:tcPr>
            <w:tcW w:w="2695" w:type="dxa"/>
          </w:tcPr>
          <w:p w:rsidR="00447971" w:rsidRPr="002223A2" w:rsidP="00447971" w14:paraId="698D2391" w14:textId="77777777">
            <w:pPr>
              <w:rPr>
                <w:rStyle w:val="StyleAptos10pt"/>
              </w:rPr>
            </w:pPr>
            <w:r w:rsidRPr="002223A2">
              <w:rPr>
                <w:rStyle w:val="StyleAptos10pt"/>
              </w:rPr>
              <w:t>Section 15.13(b)(7)(ii)</w:t>
            </w:r>
          </w:p>
        </w:tc>
        <w:tc>
          <w:tcPr>
            <w:tcW w:w="1530" w:type="dxa"/>
          </w:tcPr>
          <w:p w:rsidR="00447971" w:rsidRPr="002223A2" w:rsidP="00447971" w14:paraId="669A67EA" w14:textId="77777777">
            <w:pPr>
              <w:jc w:val="center"/>
              <w:rPr>
                <w:rStyle w:val="StyleAptos10pt"/>
              </w:rPr>
            </w:pPr>
            <w:r w:rsidRPr="002223A2">
              <w:rPr>
                <w:rStyle w:val="StyleAptos10pt"/>
              </w:rPr>
              <w:t>39</w:t>
            </w:r>
          </w:p>
        </w:tc>
        <w:tc>
          <w:tcPr>
            <w:tcW w:w="1710" w:type="dxa"/>
          </w:tcPr>
          <w:p w:rsidR="00447971" w:rsidRPr="002223A2" w:rsidP="00447971" w14:paraId="4C915E9D" w14:textId="77777777">
            <w:pPr>
              <w:jc w:val="center"/>
              <w:rPr>
                <w:rStyle w:val="StyleAptos10pt"/>
              </w:rPr>
            </w:pPr>
            <w:r w:rsidRPr="002223A2">
              <w:rPr>
                <w:rStyle w:val="StyleAptos10pt"/>
              </w:rPr>
              <w:t>1</w:t>
            </w:r>
          </w:p>
        </w:tc>
        <w:tc>
          <w:tcPr>
            <w:tcW w:w="1890" w:type="dxa"/>
          </w:tcPr>
          <w:p w:rsidR="00447971" w:rsidRPr="002223A2" w:rsidP="00447971" w14:paraId="7FE7885F" w14:textId="77777777">
            <w:pPr>
              <w:jc w:val="center"/>
              <w:rPr>
                <w:rStyle w:val="StyleAptos10pt"/>
              </w:rPr>
            </w:pPr>
            <w:r w:rsidRPr="002223A2">
              <w:rPr>
                <w:rStyle w:val="StyleAptos10pt"/>
              </w:rPr>
              <w:t>4</w:t>
            </w:r>
          </w:p>
        </w:tc>
        <w:tc>
          <w:tcPr>
            <w:tcW w:w="2340" w:type="dxa"/>
          </w:tcPr>
          <w:p w:rsidR="00447971" w:rsidRPr="002223A2" w:rsidP="00447971" w14:paraId="70678E75" w14:textId="77777777">
            <w:pPr>
              <w:jc w:val="center"/>
              <w:rPr>
                <w:rStyle w:val="StyleAptos10pt"/>
              </w:rPr>
            </w:pPr>
            <w:r w:rsidRPr="002223A2">
              <w:rPr>
                <w:rStyle w:val="StyleAptos10pt"/>
              </w:rPr>
              <w:t>156</w:t>
            </w:r>
          </w:p>
        </w:tc>
      </w:tr>
      <w:tr w14:paraId="62254E78" w14:textId="77777777" w:rsidTr="00E2546A">
        <w:tblPrEx>
          <w:tblW w:w="10165" w:type="dxa"/>
          <w:tblLook w:val="04A0"/>
        </w:tblPrEx>
        <w:trPr>
          <w:trHeight w:val="345"/>
        </w:trPr>
        <w:tc>
          <w:tcPr>
            <w:tcW w:w="2695" w:type="dxa"/>
          </w:tcPr>
          <w:p w:rsidR="00447971" w:rsidRPr="002223A2" w:rsidP="00447971" w14:paraId="23ADE1D9" w14:textId="77777777">
            <w:pPr>
              <w:rPr>
                <w:rStyle w:val="StyleAptos10pt"/>
              </w:rPr>
            </w:pPr>
            <w:r w:rsidRPr="002223A2">
              <w:rPr>
                <w:rStyle w:val="StyleAptos10pt"/>
              </w:rPr>
              <w:t>Section 15.14(h)</w:t>
            </w:r>
          </w:p>
        </w:tc>
        <w:tc>
          <w:tcPr>
            <w:tcW w:w="1530" w:type="dxa"/>
          </w:tcPr>
          <w:p w:rsidR="00447971" w:rsidRPr="002223A2" w:rsidP="00447971" w14:paraId="60BE129A" w14:textId="77777777">
            <w:pPr>
              <w:jc w:val="center"/>
              <w:rPr>
                <w:rStyle w:val="StyleAptos10pt"/>
              </w:rPr>
            </w:pPr>
            <w:r w:rsidRPr="002223A2">
              <w:rPr>
                <w:rStyle w:val="StyleAptos10pt"/>
              </w:rPr>
              <w:t>39</w:t>
            </w:r>
          </w:p>
        </w:tc>
        <w:tc>
          <w:tcPr>
            <w:tcW w:w="1710" w:type="dxa"/>
          </w:tcPr>
          <w:p w:rsidR="00447971" w:rsidRPr="002223A2" w:rsidP="00447971" w14:paraId="76DC96CD" w14:textId="77777777">
            <w:pPr>
              <w:jc w:val="center"/>
              <w:rPr>
                <w:rStyle w:val="StyleAptos10pt"/>
              </w:rPr>
            </w:pPr>
            <w:r w:rsidRPr="002223A2">
              <w:rPr>
                <w:rStyle w:val="StyleAptos10pt"/>
              </w:rPr>
              <w:t>1</w:t>
            </w:r>
          </w:p>
        </w:tc>
        <w:tc>
          <w:tcPr>
            <w:tcW w:w="1890" w:type="dxa"/>
          </w:tcPr>
          <w:p w:rsidR="00447971" w:rsidRPr="002223A2" w:rsidP="00447971" w14:paraId="07923627" w14:textId="77777777">
            <w:pPr>
              <w:jc w:val="center"/>
              <w:rPr>
                <w:rStyle w:val="StyleAptos10pt"/>
              </w:rPr>
            </w:pPr>
            <w:r w:rsidRPr="002223A2">
              <w:rPr>
                <w:rStyle w:val="StyleAptos10pt"/>
              </w:rPr>
              <w:t>16</w:t>
            </w:r>
          </w:p>
        </w:tc>
        <w:tc>
          <w:tcPr>
            <w:tcW w:w="2340" w:type="dxa"/>
          </w:tcPr>
          <w:p w:rsidR="00447971" w:rsidRPr="002223A2" w:rsidP="00447971" w14:paraId="0F343D6E" w14:textId="77777777">
            <w:pPr>
              <w:jc w:val="center"/>
              <w:rPr>
                <w:rStyle w:val="StyleAptos10pt"/>
              </w:rPr>
            </w:pPr>
            <w:r w:rsidRPr="002223A2">
              <w:rPr>
                <w:rStyle w:val="StyleAptos10pt"/>
              </w:rPr>
              <w:t>624</w:t>
            </w:r>
          </w:p>
        </w:tc>
      </w:tr>
      <w:tr w14:paraId="59BBD6A4" w14:textId="77777777" w:rsidTr="00E2546A">
        <w:tblPrEx>
          <w:tblW w:w="10165" w:type="dxa"/>
          <w:tblLook w:val="04A0"/>
        </w:tblPrEx>
        <w:tc>
          <w:tcPr>
            <w:tcW w:w="2695" w:type="dxa"/>
          </w:tcPr>
          <w:p w:rsidR="00447971" w:rsidRPr="002223A2" w:rsidP="00447971" w14:paraId="4C40438F" w14:textId="77777777">
            <w:pPr>
              <w:rPr>
                <w:rStyle w:val="StyleAptos10pt"/>
              </w:rPr>
            </w:pPr>
            <w:r w:rsidRPr="002223A2">
              <w:rPr>
                <w:rStyle w:val="StyleAptos10pt"/>
              </w:rPr>
              <w:t>Section 15.14(i)</w:t>
            </w:r>
          </w:p>
        </w:tc>
        <w:tc>
          <w:tcPr>
            <w:tcW w:w="1530" w:type="dxa"/>
          </w:tcPr>
          <w:p w:rsidR="00447971" w:rsidRPr="002223A2" w:rsidP="00447971" w14:paraId="586CA95A" w14:textId="77777777">
            <w:pPr>
              <w:jc w:val="center"/>
              <w:rPr>
                <w:rStyle w:val="StyleAptos10pt"/>
              </w:rPr>
            </w:pPr>
            <w:r w:rsidRPr="002223A2">
              <w:rPr>
                <w:rStyle w:val="StyleAptos10pt"/>
              </w:rPr>
              <w:t>39</w:t>
            </w:r>
          </w:p>
        </w:tc>
        <w:tc>
          <w:tcPr>
            <w:tcW w:w="1710" w:type="dxa"/>
          </w:tcPr>
          <w:p w:rsidR="00447971" w:rsidRPr="002223A2" w:rsidP="00447971" w14:paraId="5BA9CAD1" w14:textId="77777777">
            <w:pPr>
              <w:jc w:val="center"/>
              <w:rPr>
                <w:rStyle w:val="StyleAptos10pt"/>
              </w:rPr>
            </w:pPr>
            <w:r w:rsidRPr="002223A2">
              <w:rPr>
                <w:rStyle w:val="StyleAptos10pt"/>
              </w:rPr>
              <w:t>1</w:t>
            </w:r>
          </w:p>
        </w:tc>
        <w:tc>
          <w:tcPr>
            <w:tcW w:w="1890" w:type="dxa"/>
          </w:tcPr>
          <w:p w:rsidR="00447971" w:rsidRPr="002223A2" w:rsidP="00447971" w14:paraId="1BD6AE10" w14:textId="77777777">
            <w:pPr>
              <w:jc w:val="center"/>
              <w:rPr>
                <w:rStyle w:val="StyleAptos10pt"/>
              </w:rPr>
            </w:pPr>
            <w:r w:rsidRPr="002223A2">
              <w:rPr>
                <w:rStyle w:val="StyleAptos10pt"/>
              </w:rPr>
              <w:t>80</w:t>
            </w:r>
          </w:p>
        </w:tc>
        <w:tc>
          <w:tcPr>
            <w:tcW w:w="2340" w:type="dxa"/>
          </w:tcPr>
          <w:p w:rsidR="00447971" w:rsidRPr="002223A2" w:rsidP="00447971" w14:paraId="15E05223" w14:textId="77777777">
            <w:pPr>
              <w:jc w:val="center"/>
              <w:rPr>
                <w:rStyle w:val="StyleAptos10pt"/>
              </w:rPr>
            </w:pPr>
            <w:r w:rsidRPr="002223A2">
              <w:rPr>
                <w:rStyle w:val="StyleAptos10pt"/>
              </w:rPr>
              <w:t>3,120</w:t>
            </w:r>
          </w:p>
        </w:tc>
      </w:tr>
      <w:tr w14:paraId="01222F8F" w14:textId="77777777" w:rsidTr="00E2546A">
        <w:tblPrEx>
          <w:tblW w:w="10165" w:type="dxa"/>
          <w:tblLook w:val="04A0"/>
        </w:tblPrEx>
        <w:tc>
          <w:tcPr>
            <w:tcW w:w="2695" w:type="dxa"/>
          </w:tcPr>
          <w:p w:rsidR="00447971" w:rsidRPr="002223A2" w:rsidP="00447971" w14:paraId="162627D3" w14:textId="77777777">
            <w:pPr>
              <w:rPr>
                <w:rStyle w:val="StyleAptos10pt"/>
              </w:rPr>
            </w:pPr>
            <w:r w:rsidRPr="002223A2">
              <w:rPr>
                <w:rStyle w:val="StyleAptos10pt"/>
              </w:rPr>
              <w:t>Section 15.14(j)</w:t>
            </w:r>
          </w:p>
        </w:tc>
        <w:tc>
          <w:tcPr>
            <w:tcW w:w="1530" w:type="dxa"/>
          </w:tcPr>
          <w:p w:rsidR="00447971" w:rsidRPr="002223A2" w:rsidP="00447971" w14:paraId="50D27FC0" w14:textId="77777777">
            <w:pPr>
              <w:jc w:val="center"/>
              <w:rPr>
                <w:rStyle w:val="StyleAptos10pt"/>
              </w:rPr>
            </w:pPr>
            <w:r w:rsidRPr="002223A2">
              <w:rPr>
                <w:rStyle w:val="StyleAptos10pt"/>
              </w:rPr>
              <w:t>39</w:t>
            </w:r>
          </w:p>
        </w:tc>
        <w:tc>
          <w:tcPr>
            <w:tcW w:w="1710" w:type="dxa"/>
          </w:tcPr>
          <w:p w:rsidR="00447971" w:rsidRPr="002223A2" w:rsidP="00447971" w14:paraId="367BC822" w14:textId="77777777">
            <w:pPr>
              <w:jc w:val="center"/>
              <w:rPr>
                <w:rStyle w:val="StyleAptos10pt"/>
              </w:rPr>
            </w:pPr>
            <w:r w:rsidRPr="002223A2">
              <w:rPr>
                <w:rStyle w:val="StyleAptos10pt"/>
              </w:rPr>
              <w:t>1</w:t>
            </w:r>
          </w:p>
        </w:tc>
        <w:tc>
          <w:tcPr>
            <w:tcW w:w="1890" w:type="dxa"/>
          </w:tcPr>
          <w:p w:rsidR="00447971" w:rsidRPr="002223A2" w:rsidP="00447971" w14:paraId="45B9A2F5" w14:textId="77777777">
            <w:pPr>
              <w:jc w:val="center"/>
              <w:rPr>
                <w:rStyle w:val="StyleAptos10pt"/>
              </w:rPr>
            </w:pPr>
            <w:r w:rsidRPr="002223A2">
              <w:rPr>
                <w:rStyle w:val="StyleAptos10pt"/>
              </w:rPr>
              <w:t>16</w:t>
            </w:r>
          </w:p>
        </w:tc>
        <w:tc>
          <w:tcPr>
            <w:tcW w:w="2340" w:type="dxa"/>
          </w:tcPr>
          <w:p w:rsidR="00447971" w:rsidRPr="002223A2" w:rsidP="00447971" w14:paraId="7DAD6C57" w14:textId="77777777">
            <w:pPr>
              <w:jc w:val="center"/>
              <w:rPr>
                <w:rStyle w:val="StyleAptos10pt"/>
              </w:rPr>
            </w:pPr>
            <w:r w:rsidRPr="002223A2">
              <w:rPr>
                <w:rStyle w:val="StyleAptos10pt"/>
              </w:rPr>
              <w:t>624</w:t>
            </w:r>
          </w:p>
        </w:tc>
      </w:tr>
      <w:tr w14:paraId="108DED79" w14:textId="77777777" w:rsidTr="00E2546A">
        <w:tblPrEx>
          <w:tblW w:w="10165" w:type="dxa"/>
          <w:tblLook w:val="04A0"/>
        </w:tblPrEx>
        <w:tc>
          <w:tcPr>
            <w:tcW w:w="2695" w:type="dxa"/>
          </w:tcPr>
          <w:p w:rsidR="00447971" w:rsidRPr="002223A2" w:rsidP="00447971" w14:paraId="17872E6F" w14:textId="77777777">
            <w:pPr>
              <w:rPr>
                <w:rStyle w:val="StyleAptos10pt"/>
              </w:rPr>
            </w:pPr>
            <w:r w:rsidRPr="002223A2">
              <w:rPr>
                <w:rStyle w:val="StyleAptos10pt"/>
              </w:rPr>
              <w:t>Section 15.14(k)</w:t>
            </w:r>
          </w:p>
        </w:tc>
        <w:tc>
          <w:tcPr>
            <w:tcW w:w="1530" w:type="dxa"/>
          </w:tcPr>
          <w:p w:rsidR="00447971" w:rsidRPr="002223A2" w:rsidP="00447971" w14:paraId="380D159E" w14:textId="77777777">
            <w:pPr>
              <w:jc w:val="center"/>
              <w:rPr>
                <w:rStyle w:val="StyleAptos10pt"/>
              </w:rPr>
            </w:pPr>
            <w:r w:rsidRPr="002223A2">
              <w:rPr>
                <w:rStyle w:val="StyleAptos10pt"/>
              </w:rPr>
              <w:t>39</w:t>
            </w:r>
          </w:p>
        </w:tc>
        <w:tc>
          <w:tcPr>
            <w:tcW w:w="1710" w:type="dxa"/>
          </w:tcPr>
          <w:p w:rsidR="00447971" w:rsidRPr="002223A2" w:rsidP="00447971" w14:paraId="690323B4" w14:textId="77777777">
            <w:pPr>
              <w:jc w:val="center"/>
              <w:rPr>
                <w:rStyle w:val="StyleAptos10pt"/>
              </w:rPr>
            </w:pPr>
            <w:r w:rsidRPr="002223A2">
              <w:rPr>
                <w:rStyle w:val="StyleAptos10pt"/>
              </w:rPr>
              <w:t>1</w:t>
            </w:r>
          </w:p>
        </w:tc>
        <w:tc>
          <w:tcPr>
            <w:tcW w:w="1890" w:type="dxa"/>
          </w:tcPr>
          <w:p w:rsidR="00447971" w:rsidRPr="002223A2" w:rsidP="00447971" w14:paraId="387D95B2" w14:textId="77777777">
            <w:pPr>
              <w:jc w:val="center"/>
              <w:rPr>
                <w:rStyle w:val="StyleAptos10pt"/>
              </w:rPr>
            </w:pPr>
            <w:r w:rsidRPr="002223A2">
              <w:rPr>
                <w:rStyle w:val="StyleAptos10pt"/>
              </w:rPr>
              <w:t>80</w:t>
            </w:r>
          </w:p>
        </w:tc>
        <w:tc>
          <w:tcPr>
            <w:tcW w:w="2340" w:type="dxa"/>
          </w:tcPr>
          <w:p w:rsidR="00447971" w:rsidRPr="002223A2" w:rsidP="00447971" w14:paraId="44E49752" w14:textId="77777777">
            <w:pPr>
              <w:jc w:val="center"/>
              <w:rPr>
                <w:rStyle w:val="StyleAptos10pt"/>
              </w:rPr>
            </w:pPr>
            <w:r w:rsidRPr="002223A2">
              <w:rPr>
                <w:rStyle w:val="StyleAptos10pt"/>
              </w:rPr>
              <w:t>3,120</w:t>
            </w:r>
          </w:p>
        </w:tc>
      </w:tr>
      <w:tr w14:paraId="24A8D299" w14:textId="77777777" w:rsidTr="00E2546A">
        <w:tblPrEx>
          <w:tblW w:w="10165" w:type="dxa"/>
          <w:tblLook w:val="04A0"/>
        </w:tblPrEx>
        <w:tc>
          <w:tcPr>
            <w:tcW w:w="2695" w:type="dxa"/>
          </w:tcPr>
          <w:p w:rsidR="00447971" w:rsidRPr="002223A2" w:rsidP="00447971" w14:paraId="2FDBF5C7" w14:textId="77777777">
            <w:pPr>
              <w:rPr>
                <w:rStyle w:val="StyleAptos10pt"/>
              </w:rPr>
            </w:pPr>
            <w:r w:rsidRPr="002223A2">
              <w:rPr>
                <w:rStyle w:val="StyleAptos10pt"/>
              </w:rPr>
              <w:t>Section 15.14(l)(1)</w:t>
            </w:r>
          </w:p>
        </w:tc>
        <w:tc>
          <w:tcPr>
            <w:tcW w:w="1530" w:type="dxa"/>
          </w:tcPr>
          <w:p w:rsidR="00447971" w:rsidRPr="002223A2" w:rsidP="00447971" w14:paraId="24709D53" w14:textId="77777777">
            <w:pPr>
              <w:jc w:val="center"/>
              <w:rPr>
                <w:rStyle w:val="StyleAptos10pt"/>
              </w:rPr>
            </w:pPr>
            <w:r w:rsidRPr="002223A2">
              <w:rPr>
                <w:rStyle w:val="StyleAptos10pt"/>
              </w:rPr>
              <w:t>1</w:t>
            </w:r>
          </w:p>
        </w:tc>
        <w:tc>
          <w:tcPr>
            <w:tcW w:w="1710" w:type="dxa"/>
          </w:tcPr>
          <w:p w:rsidR="00447971" w:rsidRPr="002223A2" w:rsidP="00447971" w14:paraId="0F503E51" w14:textId="77777777">
            <w:pPr>
              <w:jc w:val="center"/>
              <w:rPr>
                <w:rStyle w:val="StyleAptos10pt"/>
              </w:rPr>
            </w:pPr>
            <w:r w:rsidRPr="002223A2">
              <w:rPr>
                <w:rStyle w:val="StyleAptos10pt"/>
              </w:rPr>
              <w:t>1</w:t>
            </w:r>
          </w:p>
        </w:tc>
        <w:tc>
          <w:tcPr>
            <w:tcW w:w="1890" w:type="dxa"/>
          </w:tcPr>
          <w:p w:rsidR="00447971" w:rsidRPr="002223A2" w:rsidP="00447971" w14:paraId="14734FA4" w14:textId="77777777">
            <w:pPr>
              <w:jc w:val="center"/>
              <w:rPr>
                <w:rStyle w:val="StyleAptos10pt"/>
              </w:rPr>
            </w:pPr>
            <w:r w:rsidRPr="002223A2">
              <w:rPr>
                <w:rStyle w:val="StyleAptos10pt"/>
              </w:rPr>
              <w:t>40</w:t>
            </w:r>
          </w:p>
        </w:tc>
        <w:tc>
          <w:tcPr>
            <w:tcW w:w="2340" w:type="dxa"/>
          </w:tcPr>
          <w:p w:rsidR="00447971" w:rsidRPr="002223A2" w:rsidP="00447971" w14:paraId="26C3127B" w14:textId="77777777">
            <w:pPr>
              <w:jc w:val="center"/>
              <w:rPr>
                <w:rStyle w:val="StyleAptos10pt"/>
              </w:rPr>
            </w:pPr>
            <w:r w:rsidRPr="002223A2">
              <w:rPr>
                <w:rStyle w:val="StyleAptos10pt"/>
              </w:rPr>
              <w:t>40</w:t>
            </w:r>
          </w:p>
        </w:tc>
      </w:tr>
      <w:tr w14:paraId="14A7D7E5" w14:textId="77777777" w:rsidTr="00E2546A">
        <w:tblPrEx>
          <w:tblW w:w="10165" w:type="dxa"/>
          <w:tblLook w:val="04A0"/>
        </w:tblPrEx>
        <w:tc>
          <w:tcPr>
            <w:tcW w:w="2695" w:type="dxa"/>
          </w:tcPr>
          <w:p w:rsidR="00447971" w:rsidRPr="002223A2" w:rsidP="00447971" w14:paraId="7BA41038" w14:textId="77777777">
            <w:pPr>
              <w:rPr>
                <w:rStyle w:val="StyleAptos10pt"/>
              </w:rPr>
            </w:pPr>
            <w:r w:rsidRPr="002223A2">
              <w:rPr>
                <w:rStyle w:val="StyleAptos10pt"/>
              </w:rPr>
              <w:t>Section 15.14(l)(2)(ii)</w:t>
            </w:r>
          </w:p>
        </w:tc>
        <w:tc>
          <w:tcPr>
            <w:tcW w:w="1530" w:type="dxa"/>
          </w:tcPr>
          <w:p w:rsidR="00447971" w:rsidRPr="002223A2" w:rsidP="00447971" w14:paraId="600F2FF9" w14:textId="77777777">
            <w:pPr>
              <w:jc w:val="center"/>
              <w:rPr>
                <w:rStyle w:val="StyleAptos10pt"/>
              </w:rPr>
            </w:pPr>
            <w:r w:rsidRPr="002223A2">
              <w:rPr>
                <w:rStyle w:val="StyleAptos10pt"/>
              </w:rPr>
              <w:t>1</w:t>
            </w:r>
          </w:p>
        </w:tc>
        <w:tc>
          <w:tcPr>
            <w:tcW w:w="1710" w:type="dxa"/>
          </w:tcPr>
          <w:p w:rsidR="00447971" w:rsidRPr="002223A2" w:rsidP="00447971" w14:paraId="41B05892" w14:textId="77777777">
            <w:pPr>
              <w:jc w:val="center"/>
              <w:rPr>
                <w:rStyle w:val="StyleAptos10pt"/>
              </w:rPr>
            </w:pPr>
            <w:r w:rsidRPr="002223A2">
              <w:rPr>
                <w:rStyle w:val="StyleAptos10pt"/>
              </w:rPr>
              <w:t>1</w:t>
            </w:r>
          </w:p>
        </w:tc>
        <w:tc>
          <w:tcPr>
            <w:tcW w:w="1890" w:type="dxa"/>
          </w:tcPr>
          <w:p w:rsidR="00447971" w:rsidRPr="002223A2" w:rsidP="00447971" w14:paraId="2542AF35" w14:textId="77777777">
            <w:pPr>
              <w:jc w:val="center"/>
              <w:rPr>
                <w:rStyle w:val="StyleAptos10pt"/>
              </w:rPr>
            </w:pPr>
            <w:r w:rsidRPr="002223A2">
              <w:rPr>
                <w:rStyle w:val="StyleAptos10pt"/>
              </w:rPr>
              <w:t>480</w:t>
            </w:r>
          </w:p>
        </w:tc>
        <w:tc>
          <w:tcPr>
            <w:tcW w:w="2340" w:type="dxa"/>
          </w:tcPr>
          <w:p w:rsidR="00447971" w:rsidRPr="002223A2" w:rsidP="00447971" w14:paraId="0A4859C0" w14:textId="77777777">
            <w:pPr>
              <w:jc w:val="center"/>
              <w:rPr>
                <w:rStyle w:val="StyleAptos10pt"/>
              </w:rPr>
            </w:pPr>
            <w:r w:rsidRPr="002223A2">
              <w:rPr>
                <w:rStyle w:val="StyleAptos10pt"/>
              </w:rPr>
              <w:t>480</w:t>
            </w:r>
          </w:p>
        </w:tc>
      </w:tr>
      <w:tr w14:paraId="6B155BFB" w14:textId="77777777" w:rsidTr="00E2546A">
        <w:tblPrEx>
          <w:tblW w:w="10165" w:type="dxa"/>
          <w:tblLook w:val="04A0"/>
        </w:tblPrEx>
        <w:tc>
          <w:tcPr>
            <w:tcW w:w="2695" w:type="dxa"/>
          </w:tcPr>
          <w:p w:rsidR="00447971" w:rsidRPr="002223A2" w:rsidP="00447971" w14:paraId="06122810" w14:textId="77777777">
            <w:pPr>
              <w:rPr>
                <w:rStyle w:val="StyleAptos10pt"/>
              </w:rPr>
            </w:pPr>
            <w:r w:rsidRPr="002223A2">
              <w:rPr>
                <w:rStyle w:val="StyleAptos10pt"/>
              </w:rPr>
              <w:t>Section 15.14(l)(2)(iii)</w:t>
            </w:r>
          </w:p>
        </w:tc>
        <w:tc>
          <w:tcPr>
            <w:tcW w:w="1530" w:type="dxa"/>
          </w:tcPr>
          <w:p w:rsidR="00447971" w:rsidRPr="002223A2" w:rsidP="00447971" w14:paraId="0197A650" w14:textId="77777777">
            <w:pPr>
              <w:jc w:val="center"/>
              <w:rPr>
                <w:rStyle w:val="StyleAptos10pt"/>
              </w:rPr>
            </w:pPr>
            <w:r w:rsidRPr="002223A2">
              <w:rPr>
                <w:rStyle w:val="StyleAptos10pt"/>
              </w:rPr>
              <w:t>1</w:t>
            </w:r>
          </w:p>
        </w:tc>
        <w:tc>
          <w:tcPr>
            <w:tcW w:w="1710" w:type="dxa"/>
          </w:tcPr>
          <w:p w:rsidR="00447971" w:rsidRPr="002223A2" w:rsidP="00447971" w14:paraId="31D3FCE4" w14:textId="77777777">
            <w:pPr>
              <w:jc w:val="center"/>
              <w:rPr>
                <w:rStyle w:val="StyleAptos10pt"/>
              </w:rPr>
            </w:pPr>
            <w:r w:rsidRPr="002223A2">
              <w:rPr>
                <w:rStyle w:val="StyleAptos10pt"/>
              </w:rPr>
              <w:t>1</w:t>
            </w:r>
          </w:p>
        </w:tc>
        <w:tc>
          <w:tcPr>
            <w:tcW w:w="1890" w:type="dxa"/>
          </w:tcPr>
          <w:p w:rsidR="00447971" w:rsidRPr="002223A2" w:rsidP="00447971" w14:paraId="2C9988A7" w14:textId="77777777">
            <w:pPr>
              <w:jc w:val="center"/>
              <w:rPr>
                <w:rStyle w:val="StyleAptos10pt"/>
              </w:rPr>
            </w:pPr>
            <w:r w:rsidRPr="002223A2">
              <w:rPr>
                <w:rStyle w:val="StyleAptos10pt"/>
              </w:rPr>
              <w:t>8</w:t>
            </w:r>
          </w:p>
        </w:tc>
        <w:tc>
          <w:tcPr>
            <w:tcW w:w="2340" w:type="dxa"/>
          </w:tcPr>
          <w:p w:rsidR="00447971" w:rsidRPr="002223A2" w:rsidP="00447971" w14:paraId="191C3B23" w14:textId="77777777">
            <w:pPr>
              <w:jc w:val="center"/>
              <w:rPr>
                <w:rStyle w:val="StyleAptos10pt"/>
              </w:rPr>
            </w:pPr>
            <w:r w:rsidRPr="002223A2">
              <w:rPr>
                <w:rStyle w:val="StyleAptos10pt"/>
              </w:rPr>
              <w:t>8</w:t>
            </w:r>
          </w:p>
        </w:tc>
      </w:tr>
      <w:tr w14:paraId="2A256E5A" w14:textId="77777777" w:rsidTr="00E2546A">
        <w:tblPrEx>
          <w:tblW w:w="10165" w:type="dxa"/>
          <w:tblLook w:val="04A0"/>
        </w:tblPrEx>
        <w:tc>
          <w:tcPr>
            <w:tcW w:w="2695" w:type="dxa"/>
          </w:tcPr>
          <w:p w:rsidR="00447971" w:rsidRPr="002223A2" w:rsidP="00447971" w14:paraId="2D769F76" w14:textId="77777777">
            <w:pPr>
              <w:rPr>
                <w:rStyle w:val="StyleAptos10pt"/>
              </w:rPr>
            </w:pPr>
            <w:r w:rsidRPr="002223A2">
              <w:rPr>
                <w:rStyle w:val="StyleAptos10pt"/>
              </w:rPr>
              <w:t>Section 15.14(m)</w:t>
            </w:r>
          </w:p>
        </w:tc>
        <w:tc>
          <w:tcPr>
            <w:tcW w:w="1530" w:type="dxa"/>
          </w:tcPr>
          <w:p w:rsidR="00447971" w:rsidRPr="002223A2" w:rsidP="00447971" w14:paraId="3AD04A0F" w14:textId="77777777">
            <w:pPr>
              <w:jc w:val="center"/>
              <w:rPr>
                <w:rStyle w:val="StyleAptos10pt"/>
              </w:rPr>
            </w:pPr>
            <w:r w:rsidRPr="002223A2">
              <w:rPr>
                <w:rStyle w:val="StyleAptos10pt"/>
              </w:rPr>
              <w:t>39</w:t>
            </w:r>
          </w:p>
        </w:tc>
        <w:tc>
          <w:tcPr>
            <w:tcW w:w="1710" w:type="dxa"/>
          </w:tcPr>
          <w:p w:rsidR="00447971" w:rsidRPr="002223A2" w:rsidP="00447971" w14:paraId="63B5F345" w14:textId="77777777">
            <w:pPr>
              <w:jc w:val="center"/>
              <w:rPr>
                <w:rStyle w:val="StyleAptos10pt"/>
              </w:rPr>
            </w:pPr>
            <w:r w:rsidRPr="002223A2">
              <w:rPr>
                <w:rStyle w:val="StyleAptos10pt"/>
              </w:rPr>
              <w:t>1</w:t>
            </w:r>
          </w:p>
        </w:tc>
        <w:tc>
          <w:tcPr>
            <w:tcW w:w="1890" w:type="dxa"/>
          </w:tcPr>
          <w:p w:rsidR="00447971" w:rsidRPr="002223A2" w:rsidP="00447971" w14:paraId="56428564" w14:textId="77777777">
            <w:pPr>
              <w:jc w:val="center"/>
              <w:rPr>
                <w:rStyle w:val="StyleAptos10pt"/>
              </w:rPr>
            </w:pPr>
            <w:r w:rsidRPr="002223A2">
              <w:rPr>
                <w:rStyle w:val="StyleAptos10pt"/>
              </w:rPr>
              <w:t>2</w:t>
            </w:r>
          </w:p>
        </w:tc>
        <w:tc>
          <w:tcPr>
            <w:tcW w:w="2340" w:type="dxa"/>
          </w:tcPr>
          <w:p w:rsidR="00447971" w:rsidRPr="002223A2" w:rsidP="00447971" w14:paraId="510439AC" w14:textId="77777777">
            <w:pPr>
              <w:jc w:val="center"/>
              <w:rPr>
                <w:rStyle w:val="StyleAptos10pt"/>
              </w:rPr>
            </w:pPr>
            <w:r w:rsidRPr="002223A2">
              <w:rPr>
                <w:rStyle w:val="StyleAptos10pt"/>
              </w:rPr>
              <w:t>78</w:t>
            </w:r>
          </w:p>
        </w:tc>
      </w:tr>
      <w:tr w14:paraId="2F49D125" w14:textId="77777777" w:rsidTr="00E2546A">
        <w:tblPrEx>
          <w:tblW w:w="10165" w:type="dxa"/>
          <w:tblLook w:val="04A0"/>
        </w:tblPrEx>
        <w:tc>
          <w:tcPr>
            <w:tcW w:w="2695" w:type="dxa"/>
          </w:tcPr>
          <w:p w:rsidR="00447971" w:rsidRPr="002223A2" w:rsidP="00447971" w14:paraId="790737A0" w14:textId="77777777">
            <w:pPr>
              <w:rPr>
                <w:rStyle w:val="StyleAptos10pt"/>
              </w:rPr>
            </w:pPr>
            <w:r w:rsidRPr="002223A2">
              <w:rPr>
                <w:rStyle w:val="StyleAptos10pt"/>
              </w:rPr>
              <w:t>Section 15.15(b)(2)</w:t>
            </w:r>
          </w:p>
        </w:tc>
        <w:tc>
          <w:tcPr>
            <w:tcW w:w="1530" w:type="dxa"/>
          </w:tcPr>
          <w:p w:rsidR="00447971" w:rsidRPr="002223A2" w:rsidP="00447971" w14:paraId="24EDF986" w14:textId="77777777">
            <w:pPr>
              <w:jc w:val="center"/>
              <w:rPr>
                <w:rStyle w:val="StyleAptos10pt"/>
              </w:rPr>
            </w:pPr>
            <w:r w:rsidRPr="002223A2">
              <w:rPr>
                <w:rStyle w:val="StyleAptos10pt"/>
              </w:rPr>
              <w:t>1</w:t>
            </w:r>
          </w:p>
        </w:tc>
        <w:tc>
          <w:tcPr>
            <w:tcW w:w="1710" w:type="dxa"/>
          </w:tcPr>
          <w:p w:rsidR="00447971" w:rsidRPr="002223A2" w:rsidP="00447971" w14:paraId="588A6205" w14:textId="77777777">
            <w:pPr>
              <w:jc w:val="center"/>
              <w:rPr>
                <w:rStyle w:val="StyleAptos10pt"/>
              </w:rPr>
            </w:pPr>
            <w:r w:rsidRPr="002223A2">
              <w:rPr>
                <w:rStyle w:val="StyleAptos10pt"/>
              </w:rPr>
              <w:t>1</w:t>
            </w:r>
          </w:p>
        </w:tc>
        <w:tc>
          <w:tcPr>
            <w:tcW w:w="1890" w:type="dxa"/>
          </w:tcPr>
          <w:p w:rsidR="00447971" w:rsidRPr="002223A2" w:rsidP="00447971" w14:paraId="4FDF3993" w14:textId="77777777">
            <w:pPr>
              <w:jc w:val="center"/>
              <w:rPr>
                <w:rStyle w:val="StyleAptos10pt"/>
              </w:rPr>
            </w:pPr>
            <w:r w:rsidRPr="002223A2">
              <w:rPr>
                <w:rStyle w:val="StyleAptos10pt"/>
              </w:rPr>
              <w:t>4</w:t>
            </w:r>
          </w:p>
        </w:tc>
        <w:tc>
          <w:tcPr>
            <w:tcW w:w="2340" w:type="dxa"/>
          </w:tcPr>
          <w:p w:rsidR="00447971" w:rsidRPr="002223A2" w:rsidP="00447971" w14:paraId="41B09B7D" w14:textId="77777777">
            <w:pPr>
              <w:jc w:val="center"/>
              <w:rPr>
                <w:rStyle w:val="StyleAptos10pt"/>
              </w:rPr>
            </w:pPr>
            <w:r w:rsidRPr="002223A2">
              <w:rPr>
                <w:rStyle w:val="StyleAptos10pt"/>
              </w:rPr>
              <w:t>4</w:t>
            </w:r>
          </w:p>
        </w:tc>
      </w:tr>
      <w:tr w14:paraId="4F12EB1C" w14:textId="77777777" w:rsidTr="00E2546A">
        <w:tblPrEx>
          <w:tblW w:w="10165" w:type="dxa"/>
          <w:tblLook w:val="04A0"/>
        </w:tblPrEx>
        <w:tc>
          <w:tcPr>
            <w:tcW w:w="2695" w:type="dxa"/>
          </w:tcPr>
          <w:p w:rsidR="00447971" w:rsidRPr="002223A2" w:rsidP="00447971" w14:paraId="3DE93DE6" w14:textId="77777777">
            <w:pPr>
              <w:rPr>
                <w:rStyle w:val="StyleAptos10pt"/>
              </w:rPr>
            </w:pPr>
            <w:r w:rsidRPr="002223A2">
              <w:rPr>
                <w:rStyle w:val="StyleAptos10pt"/>
              </w:rPr>
              <w:t>Section 15.15(b)(3)</w:t>
            </w:r>
          </w:p>
        </w:tc>
        <w:tc>
          <w:tcPr>
            <w:tcW w:w="1530" w:type="dxa"/>
          </w:tcPr>
          <w:p w:rsidR="00447971" w:rsidRPr="002223A2" w:rsidP="00447971" w14:paraId="37F88901" w14:textId="77777777">
            <w:pPr>
              <w:jc w:val="center"/>
              <w:rPr>
                <w:rStyle w:val="StyleAptos10pt"/>
              </w:rPr>
            </w:pPr>
            <w:r w:rsidRPr="002223A2">
              <w:rPr>
                <w:rStyle w:val="StyleAptos10pt"/>
              </w:rPr>
              <w:t>1</w:t>
            </w:r>
          </w:p>
        </w:tc>
        <w:tc>
          <w:tcPr>
            <w:tcW w:w="1710" w:type="dxa"/>
          </w:tcPr>
          <w:p w:rsidR="00447971" w:rsidRPr="002223A2" w:rsidP="00447971" w14:paraId="54ACCD25" w14:textId="77777777">
            <w:pPr>
              <w:jc w:val="center"/>
              <w:rPr>
                <w:rStyle w:val="StyleAptos10pt"/>
              </w:rPr>
            </w:pPr>
            <w:r w:rsidRPr="002223A2">
              <w:rPr>
                <w:rStyle w:val="StyleAptos10pt"/>
              </w:rPr>
              <w:t>1</w:t>
            </w:r>
          </w:p>
        </w:tc>
        <w:tc>
          <w:tcPr>
            <w:tcW w:w="1890" w:type="dxa"/>
          </w:tcPr>
          <w:p w:rsidR="00447971" w:rsidRPr="002223A2" w:rsidP="00447971" w14:paraId="0446DFDC" w14:textId="77777777">
            <w:pPr>
              <w:jc w:val="center"/>
              <w:rPr>
                <w:rStyle w:val="StyleAptos10pt"/>
              </w:rPr>
            </w:pPr>
            <w:r w:rsidRPr="002223A2">
              <w:rPr>
                <w:rStyle w:val="StyleAptos10pt"/>
              </w:rPr>
              <w:t>40</w:t>
            </w:r>
          </w:p>
        </w:tc>
        <w:tc>
          <w:tcPr>
            <w:tcW w:w="2340" w:type="dxa"/>
          </w:tcPr>
          <w:p w:rsidR="00447971" w:rsidRPr="002223A2" w:rsidP="00447971" w14:paraId="2E069F1D" w14:textId="77777777">
            <w:pPr>
              <w:jc w:val="center"/>
              <w:rPr>
                <w:rStyle w:val="StyleAptos10pt"/>
              </w:rPr>
            </w:pPr>
            <w:r w:rsidRPr="002223A2">
              <w:rPr>
                <w:rStyle w:val="StyleAptos10pt"/>
              </w:rPr>
              <w:t>40</w:t>
            </w:r>
          </w:p>
        </w:tc>
      </w:tr>
      <w:tr w14:paraId="68D02975" w14:textId="77777777" w:rsidTr="00E2546A">
        <w:tblPrEx>
          <w:tblW w:w="10165" w:type="dxa"/>
          <w:tblLook w:val="04A0"/>
        </w:tblPrEx>
        <w:tc>
          <w:tcPr>
            <w:tcW w:w="2695" w:type="dxa"/>
          </w:tcPr>
          <w:p w:rsidR="00447971" w:rsidRPr="002223A2" w:rsidP="00447971" w14:paraId="23D26744" w14:textId="77777777">
            <w:pPr>
              <w:rPr>
                <w:rStyle w:val="StyleAptos10pt"/>
              </w:rPr>
            </w:pPr>
            <w:r w:rsidRPr="002223A2">
              <w:rPr>
                <w:rStyle w:val="StyleAptos10pt"/>
              </w:rPr>
              <w:t>Section 15.15(b)(4)</w:t>
            </w:r>
          </w:p>
        </w:tc>
        <w:tc>
          <w:tcPr>
            <w:tcW w:w="1530" w:type="dxa"/>
          </w:tcPr>
          <w:p w:rsidR="00447971" w:rsidRPr="002223A2" w:rsidP="00447971" w14:paraId="59D06A3A" w14:textId="77777777">
            <w:pPr>
              <w:jc w:val="center"/>
              <w:rPr>
                <w:rStyle w:val="StyleAptos10pt"/>
              </w:rPr>
            </w:pPr>
            <w:r w:rsidRPr="002223A2">
              <w:rPr>
                <w:rStyle w:val="StyleAptos10pt"/>
              </w:rPr>
              <w:t>1</w:t>
            </w:r>
          </w:p>
        </w:tc>
        <w:tc>
          <w:tcPr>
            <w:tcW w:w="1710" w:type="dxa"/>
          </w:tcPr>
          <w:p w:rsidR="00447971" w:rsidRPr="002223A2" w:rsidP="00447971" w14:paraId="2B881AB3" w14:textId="77777777">
            <w:pPr>
              <w:jc w:val="center"/>
              <w:rPr>
                <w:rStyle w:val="StyleAptos10pt"/>
              </w:rPr>
            </w:pPr>
            <w:r w:rsidRPr="002223A2">
              <w:rPr>
                <w:rStyle w:val="StyleAptos10pt"/>
              </w:rPr>
              <w:t>1</w:t>
            </w:r>
          </w:p>
        </w:tc>
        <w:tc>
          <w:tcPr>
            <w:tcW w:w="1890" w:type="dxa"/>
          </w:tcPr>
          <w:p w:rsidR="00447971" w:rsidRPr="002223A2" w:rsidP="00447971" w14:paraId="1F750086" w14:textId="77777777">
            <w:pPr>
              <w:jc w:val="center"/>
              <w:rPr>
                <w:rStyle w:val="StyleAptos10pt"/>
              </w:rPr>
            </w:pPr>
            <w:r w:rsidRPr="002223A2">
              <w:rPr>
                <w:rStyle w:val="StyleAptos10pt"/>
              </w:rPr>
              <w:t>8</w:t>
            </w:r>
          </w:p>
        </w:tc>
        <w:tc>
          <w:tcPr>
            <w:tcW w:w="2340" w:type="dxa"/>
          </w:tcPr>
          <w:p w:rsidR="00447971" w:rsidRPr="002223A2" w:rsidP="00447971" w14:paraId="66A1D0B2" w14:textId="77777777">
            <w:pPr>
              <w:jc w:val="center"/>
              <w:rPr>
                <w:rStyle w:val="StyleAptos10pt"/>
              </w:rPr>
            </w:pPr>
            <w:r w:rsidRPr="002223A2">
              <w:rPr>
                <w:rStyle w:val="StyleAptos10pt"/>
              </w:rPr>
              <w:t>8</w:t>
            </w:r>
          </w:p>
        </w:tc>
      </w:tr>
      <w:tr w14:paraId="1AF4F1EC" w14:textId="77777777" w:rsidTr="00E2546A">
        <w:tblPrEx>
          <w:tblW w:w="10165" w:type="dxa"/>
          <w:tblLook w:val="04A0"/>
        </w:tblPrEx>
        <w:tc>
          <w:tcPr>
            <w:tcW w:w="2695" w:type="dxa"/>
          </w:tcPr>
          <w:p w:rsidR="00447971" w:rsidRPr="002223A2" w:rsidP="00447971" w14:paraId="14D363D2" w14:textId="77777777">
            <w:pPr>
              <w:rPr>
                <w:rStyle w:val="StyleAptos10pt"/>
              </w:rPr>
            </w:pPr>
            <w:r w:rsidRPr="002223A2">
              <w:rPr>
                <w:rStyle w:val="StyleAptos10pt"/>
              </w:rPr>
              <w:t>Section 15.15(d)(1)</w:t>
            </w:r>
          </w:p>
        </w:tc>
        <w:tc>
          <w:tcPr>
            <w:tcW w:w="1530" w:type="dxa"/>
          </w:tcPr>
          <w:p w:rsidR="00447971" w:rsidRPr="002223A2" w:rsidP="00447971" w14:paraId="0CA91B80" w14:textId="77777777">
            <w:pPr>
              <w:jc w:val="center"/>
              <w:rPr>
                <w:rStyle w:val="StyleAptos10pt"/>
              </w:rPr>
            </w:pPr>
            <w:r w:rsidRPr="002223A2">
              <w:rPr>
                <w:rStyle w:val="StyleAptos10pt"/>
              </w:rPr>
              <w:t>1</w:t>
            </w:r>
          </w:p>
        </w:tc>
        <w:tc>
          <w:tcPr>
            <w:tcW w:w="1710" w:type="dxa"/>
          </w:tcPr>
          <w:p w:rsidR="00447971" w:rsidRPr="002223A2" w:rsidP="00447971" w14:paraId="4E90B76B" w14:textId="77777777">
            <w:pPr>
              <w:jc w:val="center"/>
              <w:rPr>
                <w:rStyle w:val="StyleAptos10pt"/>
              </w:rPr>
            </w:pPr>
            <w:r w:rsidRPr="002223A2">
              <w:rPr>
                <w:rStyle w:val="StyleAptos10pt"/>
              </w:rPr>
              <w:t>1</w:t>
            </w:r>
          </w:p>
        </w:tc>
        <w:tc>
          <w:tcPr>
            <w:tcW w:w="1890" w:type="dxa"/>
          </w:tcPr>
          <w:p w:rsidR="00447971" w:rsidRPr="002223A2" w:rsidP="00447971" w14:paraId="20D96D5F" w14:textId="77777777">
            <w:pPr>
              <w:jc w:val="center"/>
              <w:rPr>
                <w:rStyle w:val="StyleAptos10pt"/>
              </w:rPr>
            </w:pPr>
            <w:r w:rsidRPr="002223A2">
              <w:rPr>
                <w:rStyle w:val="StyleAptos10pt"/>
              </w:rPr>
              <w:t>8</w:t>
            </w:r>
          </w:p>
        </w:tc>
        <w:tc>
          <w:tcPr>
            <w:tcW w:w="2340" w:type="dxa"/>
          </w:tcPr>
          <w:p w:rsidR="00447971" w:rsidRPr="002223A2" w:rsidP="00447971" w14:paraId="5045A5C2" w14:textId="77777777">
            <w:pPr>
              <w:jc w:val="center"/>
              <w:rPr>
                <w:rStyle w:val="StyleAptos10pt"/>
              </w:rPr>
            </w:pPr>
            <w:r w:rsidRPr="002223A2">
              <w:rPr>
                <w:rStyle w:val="StyleAptos10pt"/>
              </w:rPr>
              <w:t>8</w:t>
            </w:r>
          </w:p>
        </w:tc>
      </w:tr>
      <w:tr w14:paraId="6E344985" w14:textId="77777777" w:rsidTr="00E2546A">
        <w:tblPrEx>
          <w:tblW w:w="10165" w:type="dxa"/>
          <w:tblLook w:val="04A0"/>
        </w:tblPrEx>
        <w:tc>
          <w:tcPr>
            <w:tcW w:w="2695" w:type="dxa"/>
          </w:tcPr>
          <w:p w:rsidR="00447971" w:rsidRPr="002223A2" w:rsidP="00447971" w14:paraId="41F1BA89" w14:textId="77777777">
            <w:pPr>
              <w:rPr>
                <w:rStyle w:val="StyleAptos10pt"/>
              </w:rPr>
            </w:pPr>
            <w:r w:rsidRPr="002223A2">
              <w:rPr>
                <w:rStyle w:val="StyleAptos10pt"/>
              </w:rPr>
              <w:t>Section 15.30(a)(1)</w:t>
            </w:r>
          </w:p>
        </w:tc>
        <w:tc>
          <w:tcPr>
            <w:tcW w:w="1530" w:type="dxa"/>
          </w:tcPr>
          <w:p w:rsidR="00447971" w:rsidRPr="002223A2" w:rsidP="00447971" w14:paraId="718DDE67" w14:textId="77777777">
            <w:pPr>
              <w:jc w:val="center"/>
              <w:rPr>
                <w:rStyle w:val="StyleAptos10pt"/>
              </w:rPr>
            </w:pPr>
            <w:r w:rsidRPr="002223A2">
              <w:rPr>
                <w:rStyle w:val="StyleAptos10pt"/>
              </w:rPr>
              <w:t>25</w:t>
            </w:r>
          </w:p>
        </w:tc>
        <w:tc>
          <w:tcPr>
            <w:tcW w:w="1710" w:type="dxa"/>
          </w:tcPr>
          <w:p w:rsidR="00447971" w:rsidRPr="002223A2" w:rsidP="00447971" w14:paraId="6A99FDF1" w14:textId="77777777">
            <w:pPr>
              <w:jc w:val="center"/>
              <w:rPr>
                <w:rStyle w:val="StyleAptos10pt"/>
              </w:rPr>
            </w:pPr>
            <w:r w:rsidRPr="002223A2">
              <w:rPr>
                <w:rStyle w:val="StyleAptos10pt"/>
              </w:rPr>
              <w:t>1</w:t>
            </w:r>
          </w:p>
        </w:tc>
        <w:tc>
          <w:tcPr>
            <w:tcW w:w="1890" w:type="dxa"/>
          </w:tcPr>
          <w:p w:rsidR="00447971" w:rsidRPr="002223A2" w:rsidP="00447971" w14:paraId="30AFEF60" w14:textId="77777777">
            <w:pPr>
              <w:jc w:val="center"/>
              <w:rPr>
                <w:rStyle w:val="StyleAptos10pt"/>
              </w:rPr>
            </w:pPr>
            <w:r w:rsidRPr="002223A2">
              <w:rPr>
                <w:rStyle w:val="StyleAptos10pt"/>
              </w:rPr>
              <w:t>1</w:t>
            </w:r>
          </w:p>
        </w:tc>
        <w:tc>
          <w:tcPr>
            <w:tcW w:w="2340" w:type="dxa"/>
          </w:tcPr>
          <w:p w:rsidR="00447971" w:rsidRPr="002223A2" w:rsidP="00447971" w14:paraId="687F1422" w14:textId="77777777">
            <w:pPr>
              <w:jc w:val="center"/>
              <w:rPr>
                <w:rStyle w:val="StyleAptos10pt"/>
              </w:rPr>
            </w:pPr>
            <w:r w:rsidRPr="002223A2">
              <w:rPr>
                <w:rStyle w:val="StyleAptos10pt"/>
              </w:rPr>
              <w:t>25</w:t>
            </w:r>
          </w:p>
        </w:tc>
      </w:tr>
      <w:tr w14:paraId="75DF9EA9" w14:textId="77777777" w:rsidTr="00E2546A">
        <w:tblPrEx>
          <w:tblW w:w="10165" w:type="dxa"/>
          <w:tblLook w:val="04A0"/>
        </w:tblPrEx>
        <w:tc>
          <w:tcPr>
            <w:tcW w:w="2695" w:type="dxa"/>
          </w:tcPr>
          <w:p w:rsidR="00447971" w:rsidRPr="002223A2" w:rsidP="00447971" w14:paraId="66F5661B" w14:textId="77777777">
            <w:pPr>
              <w:rPr>
                <w:rStyle w:val="StyleAptos10pt"/>
              </w:rPr>
            </w:pPr>
            <w:r w:rsidRPr="002223A2">
              <w:rPr>
                <w:rStyle w:val="StyleAptos10pt"/>
              </w:rPr>
              <w:t>Section 15.30(a)(2)</w:t>
            </w:r>
          </w:p>
        </w:tc>
        <w:tc>
          <w:tcPr>
            <w:tcW w:w="1530" w:type="dxa"/>
          </w:tcPr>
          <w:p w:rsidR="00447971" w:rsidRPr="002223A2" w:rsidP="00447971" w14:paraId="6F5AFE23" w14:textId="77777777">
            <w:pPr>
              <w:jc w:val="center"/>
              <w:rPr>
                <w:rStyle w:val="StyleAptos10pt"/>
              </w:rPr>
            </w:pPr>
            <w:r w:rsidRPr="002223A2">
              <w:rPr>
                <w:rStyle w:val="StyleAptos10pt"/>
              </w:rPr>
              <w:t>14</w:t>
            </w:r>
          </w:p>
        </w:tc>
        <w:tc>
          <w:tcPr>
            <w:tcW w:w="1710" w:type="dxa"/>
          </w:tcPr>
          <w:p w:rsidR="00447971" w:rsidRPr="002223A2" w:rsidP="00447971" w14:paraId="10D466E0" w14:textId="77777777">
            <w:pPr>
              <w:jc w:val="center"/>
              <w:rPr>
                <w:rStyle w:val="StyleAptos10pt"/>
              </w:rPr>
            </w:pPr>
            <w:r w:rsidRPr="002223A2">
              <w:rPr>
                <w:rStyle w:val="StyleAptos10pt"/>
              </w:rPr>
              <w:t>1</w:t>
            </w:r>
          </w:p>
        </w:tc>
        <w:tc>
          <w:tcPr>
            <w:tcW w:w="1890" w:type="dxa"/>
          </w:tcPr>
          <w:p w:rsidR="00447971" w:rsidRPr="002223A2" w:rsidP="00447971" w14:paraId="3F7B510E" w14:textId="77777777">
            <w:pPr>
              <w:jc w:val="center"/>
              <w:rPr>
                <w:rStyle w:val="StyleAptos10pt"/>
              </w:rPr>
            </w:pPr>
            <w:r w:rsidRPr="002223A2">
              <w:rPr>
                <w:rStyle w:val="StyleAptos10pt"/>
              </w:rPr>
              <w:t>1</w:t>
            </w:r>
          </w:p>
        </w:tc>
        <w:tc>
          <w:tcPr>
            <w:tcW w:w="2340" w:type="dxa"/>
          </w:tcPr>
          <w:p w:rsidR="00447971" w:rsidRPr="002223A2" w:rsidP="00447971" w14:paraId="78E149F8" w14:textId="77777777">
            <w:pPr>
              <w:jc w:val="center"/>
              <w:rPr>
                <w:rStyle w:val="StyleAptos10pt"/>
              </w:rPr>
            </w:pPr>
            <w:r w:rsidRPr="002223A2">
              <w:rPr>
                <w:rStyle w:val="StyleAptos10pt"/>
              </w:rPr>
              <w:t>14</w:t>
            </w:r>
          </w:p>
        </w:tc>
      </w:tr>
      <w:tr w14:paraId="229D75A9" w14:textId="77777777" w:rsidTr="00E2546A">
        <w:tblPrEx>
          <w:tblW w:w="10165" w:type="dxa"/>
          <w:tblLook w:val="04A0"/>
        </w:tblPrEx>
        <w:tc>
          <w:tcPr>
            <w:tcW w:w="2695" w:type="dxa"/>
          </w:tcPr>
          <w:p w:rsidR="00447971" w:rsidRPr="00AB1885" w:rsidP="00447971" w14:paraId="1ED6A512" w14:textId="77777777">
            <w:pPr>
              <w:rPr>
                <w:rFonts w:ascii="Times New Roman" w:hAnsi="Times New Roman" w:cs="Times New Roman"/>
                <w:sz w:val="20"/>
              </w:rPr>
            </w:pPr>
            <w:r w:rsidRPr="002223A2">
              <w:rPr>
                <w:rStyle w:val="StyleAptos10pt"/>
              </w:rPr>
              <w:t>Section 15.30(b)</w:t>
            </w:r>
            <w:r>
              <w:rPr>
                <w:sz w:val="20"/>
                <w:vertAlign w:val="superscript"/>
              </w:rPr>
              <w:footnoteReference w:id="12"/>
            </w:r>
          </w:p>
        </w:tc>
        <w:tc>
          <w:tcPr>
            <w:tcW w:w="1530" w:type="dxa"/>
          </w:tcPr>
          <w:p w:rsidR="00447971" w:rsidRPr="002223A2" w:rsidP="00447971" w14:paraId="2B8757C4" w14:textId="77777777">
            <w:pPr>
              <w:jc w:val="center"/>
              <w:rPr>
                <w:rStyle w:val="StyleAptos10pt"/>
              </w:rPr>
            </w:pPr>
            <w:r w:rsidRPr="002223A2">
              <w:rPr>
                <w:rStyle w:val="StyleAptos10pt"/>
              </w:rPr>
              <w:t>25</w:t>
            </w:r>
          </w:p>
        </w:tc>
        <w:tc>
          <w:tcPr>
            <w:tcW w:w="1710" w:type="dxa"/>
          </w:tcPr>
          <w:p w:rsidR="00447971" w:rsidRPr="002223A2" w:rsidP="00447971" w14:paraId="023EC4D6" w14:textId="77777777">
            <w:pPr>
              <w:jc w:val="center"/>
              <w:rPr>
                <w:rStyle w:val="StyleAptos10pt"/>
              </w:rPr>
            </w:pPr>
            <w:r w:rsidRPr="002223A2">
              <w:rPr>
                <w:rStyle w:val="StyleAptos10pt"/>
              </w:rPr>
              <w:t>1</w:t>
            </w:r>
          </w:p>
        </w:tc>
        <w:tc>
          <w:tcPr>
            <w:tcW w:w="1890" w:type="dxa"/>
          </w:tcPr>
          <w:p w:rsidR="00447971" w:rsidRPr="002223A2" w:rsidP="00447971" w14:paraId="3D11F5EC" w14:textId="77777777">
            <w:pPr>
              <w:jc w:val="center"/>
              <w:rPr>
                <w:rStyle w:val="StyleAptos10pt"/>
              </w:rPr>
            </w:pPr>
            <w:r w:rsidRPr="002223A2">
              <w:rPr>
                <w:rStyle w:val="StyleAptos10pt"/>
              </w:rPr>
              <w:t>40</w:t>
            </w:r>
          </w:p>
        </w:tc>
        <w:tc>
          <w:tcPr>
            <w:tcW w:w="2340" w:type="dxa"/>
          </w:tcPr>
          <w:p w:rsidR="00447971" w:rsidRPr="002223A2" w:rsidP="00447971" w14:paraId="751430B5" w14:textId="77777777">
            <w:pPr>
              <w:jc w:val="center"/>
              <w:rPr>
                <w:rStyle w:val="StyleAptos10pt"/>
              </w:rPr>
            </w:pPr>
            <w:r w:rsidRPr="002223A2">
              <w:rPr>
                <w:rStyle w:val="StyleAptos10pt"/>
              </w:rPr>
              <w:t>1,000</w:t>
            </w:r>
          </w:p>
        </w:tc>
      </w:tr>
      <w:tr w14:paraId="5702B0F5" w14:textId="77777777" w:rsidTr="00E2546A">
        <w:tblPrEx>
          <w:tblW w:w="10165" w:type="dxa"/>
          <w:tblLook w:val="04A0"/>
        </w:tblPrEx>
        <w:tc>
          <w:tcPr>
            <w:tcW w:w="2695" w:type="dxa"/>
          </w:tcPr>
          <w:p w:rsidR="00447971" w:rsidRPr="002223A2" w:rsidP="00447971" w14:paraId="0DB78913" w14:textId="77777777">
            <w:pPr>
              <w:rPr>
                <w:rStyle w:val="StyleAptos10pt"/>
              </w:rPr>
            </w:pPr>
            <w:r w:rsidRPr="002223A2">
              <w:rPr>
                <w:rStyle w:val="StyleAptos10pt"/>
              </w:rPr>
              <w:t>Section 15.30(f)(1)</w:t>
            </w:r>
          </w:p>
        </w:tc>
        <w:tc>
          <w:tcPr>
            <w:tcW w:w="1530" w:type="dxa"/>
          </w:tcPr>
          <w:p w:rsidR="00447971" w:rsidRPr="002223A2" w:rsidP="00447971" w14:paraId="5512459D" w14:textId="77777777">
            <w:pPr>
              <w:jc w:val="center"/>
              <w:rPr>
                <w:rStyle w:val="StyleAptos10pt"/>
              </w:rPr>
            </w:pPr>
            <w:r w:rsidRPr="002223A2">
              <w:rPr>
                <w:rStyle w:val="StyleAptos10pt"/>
              </w:rPr>
              <w:t>14</w:t>
            </w:r>
          </w:p>
        </w:tc>
        <w:tc>
          <w:tcPr>
            <w:tcW w:w="1710" w:type="dxa"/>
          </w:tcPr>
          <w:p w:rsidR="00447971" w:rsidRPr="002223A2" w:rsidP="00447971" w14:paraId="39057C37" w14:textId="77777777">
            <w:pPr>
              <w:jc w:val="center"/>
              <w:rPr>
                <w:rStyle w:val="StyleAptos10pt"/>
              </w:rPr>
            </w:pPr>
            <w:r w:rsidRPr="002223A2">
              <w:rPr>
                <w:rStyle w:val="StyleAptos10pt"/>
              </w:rPr>
              <w:t>1</w:t>
            </w:r>
          </w:p>
        </w:tc>
        <w:tc>
          <w:tcPr>
            <w:tcW w:w="1890" w:type="dxa"/>
          </w:tcPr>
          <w:p w:rsidR="00447971" w:rsidRPr="002223A2" w:rsidP="00447971" w14:paraId="227B1E34" w14:textId="77777777">
            <w:pPr>
              <w:jc w:val="center"/>
              <w:rPr>
                <w:rStyle w:val="StyleAptos10pt"/>
              </w:rPr>
            </w:pPr>
            <w:r w:rsidRPr="002223A2">
              <w:rPr>
                <w:rStyle w:val="StyleAptos10pt"/>
              </w:rPr>
              <w:t>1</w:t>
            </w:r>
          </w:p>
        </w:tc>
        <w:tc>
          <w:tcPr>
            <w:tcW w:w="2340" w:type="dxa"/>
          </w:tcPr>
          <w:p w:rsidR="00447971" w:rsidRPr="002223A2" w:rsidP="00447971" w14:paraId="68426AA9" w14:textId="77777777">
            <w:pPr>
              <w:jc w:val="center"/>
              <w:rPr>
                <w:rStyle w:val="StyleAptos10pt"/>
              </w:rPr>
            </w:pPr>
            <w:r w:rsidRPr="002223A2">
              <w:rPr>
                <w:rStyle w:val="StyleAptos10pt"/>
              </w:rPr>
              <w:t>14</w:t>
            </w:r>
          </w:p>
        </w:tc>
      </w:tr>
      <w:tr w14:paraId="30C692B3" w14:textId="77777777" w:rsidTr="00E2546A">
        <w:tblPrEx>
          <w:tblW w:w="10165" w:type="dxa"/>
          <w:tblLook w:val="04A0"/>
        </w:tblPrEx>
        <w:tc>
          <w:tcPr>
            <w:tcW w:w="2695" w:type="dxa"/>
          </w:tcPr>
          <w:p w:rsidR="00447971" w:rsidRPr="002223A2" w:rsidP="00447971" w14:paraId="1D4B7F7F" w14:textId="77777777">
            <w:pPr>
              <w:rPr>
                <w:rStyle w:val="StyleAptos10pt"/>
              </w:rPr>
            </w:pPr>
            <w:r w:rsidRPr="002223A2">
              <w:rPr>
                <w:rStyle w:val="StyleAptos10pt"/>
              </w:rPr>
              <w:t>Section 15.30(f)(3)</w:t>
            </w:r>
          </w:p>
        </w:tc>
        <w:tc>
          <w:tcPr>
            <w:tcW w:w="1530" w:type="dxa"/>
          </w:tcPr>
          <w:p w:rsidR="00447971" w:rsidRPr="002223A2" w:rsidP="00447971" w14:paraId="7466F277" w14:textId="77777777">
            <w:pPr>
              <w:jc w:val="center"/>
              <w:rPr>
                <w:rStyle w:val="StyleAptos10pt"/>
              </w:rPr>
            </w:pPr>
            <w:r w:rsidRPr="002223A2">
              <w:rPr>
                <w:rStyle w:val="StyleAptos10pt"/>
              </w:rPr>
              <w:t>1</w:t>
            </w:r>
          </w:p>
        </w:tc>
        <w:tc>
          <w:tcPr>
            <w:tcW w:w="1710" w:type="dxa"/>
          </w:tcPr>
          <w:p w:rsidR="00447971" w:rsidRPr="002223A2" w:rsidP="00447971" w14:paraId="2C70BC70" w14:textId="77777777">
            <w:pPr>
              <w:jc w:val="center"/>
              <w:rPr>
                <w:rStyle w:val="StyleAptos10pt"/>
              </w:rPr>
            </w:pPr>
            <w:r w:rsidRPr="002223A2">
              <w:rPr>
                <w:rStyle w:val="StyleAptos10pt"/>
              </w:rPr>
              <w:t>1</w:t>
            </w:r>
          </w:p>
        </w:tc>
        <w:tc>
          <w:tcPr>
            <w:tcW w:w="1890" w:type="dxa"/>
          </w:tcPr>
          <w:p w:rsidR="00447971" w:rsidRPr="002223A2" w:rsidP="00447971" w14:paraId="7BF9DC3E" w14:textId="77777777">
            <w:pPr>
              <w:jc w:val="center"/>
              <w:rPr>
                <w:rStyle w:val="StyleAptos10pt"/>
              </w:rPr>
            </w:pPr>
            <w:r w:rsidRPr="002223A2">
              <w:rPr>
                <w:rStyle w:val="StyleAptos10pt"/>
              </w:rPr>
              <w:t>40</w:t>
            </w:r>
          </w:p>
        </w:tc>
        <w:tc>
          <w:tcPr>
            <w:tcW w:w="2340" w:type="dxa"/>
          </w:tcPr>
          <w:p w:rsidR="00447971" w:rsidRPr="002223A2" w:rsidP="00447971" w14:paraId="3B832245" w14:textId="77777777">
            <w:pPr>
              <w:jc w:val="center"/>
              <w:rPr>
                <w:rStyle w:val="StyleAptos10pt"/>
              </w:rPr>
            </w:pPr>
            <w:r w:rsidRPr="002223A2">
              <w:rPr>
                <w:rStyle w:val="StyleAptos10pt"/>
              </w:rPr>
              <w:t>40</w:t>
            </w:r>
          </w:p>
        </w:tc>
      </w:tr>
      <w:tr w14:paraId="4B0928F7" w14:textId="77777777" w:rsidTr="00E2546A">
        <w:tblPrEx>
          <w:tblW w:w="10165" w:type="dxa"/>
          <w:tblLook w:val="04A0"/>
        </w:tblPrEx>
        <w:tc>
          <w:tcPr>
            <w:tcW w:w="2695" w:type="dxa"/>
          </w:tcPr>
          <w:p w:rsidR="00447971" w:rsidRPr="002223A2" w:rsidP="00447971" w14:paraId="4CF6AA81" w14:textId="77777777">
            <w:pPr>
              <w:rPr>
                <w:rStyle w:val="StyleAptos10pt"/>
              </w:rPr>
            </w:pPr>
            <w:r w:rsidRPr="002223A2">
              <w:rPr>
                <w:rStyle w:val="StyleAptos10pt"/>
              </w:rPr>
              <w:t>Section 15.30(g)(1)</w:t>
            </w:r>
          </w:p>
        </w:tc>
        <w:tc>
          <w:tcPr>
            <w:tcW w:w="1530" w:type="dxa"/>
          </w:tcPr>
          <w:p w:rsidR="00447971" w:rsidRPr="002223A2" w:rsidP="00447971" w14:paraId="2DF7E9A9" w14:textId="77777777">
            <w:pPr>
              <w:jc w:val="center"/>
              <w:rPr>
                <w:rStyle w:val="StyleAptos10pt"/>
              </w:rPr>
            </w:pPr>
            <w:r w:rsidRPr="002223A2">
              <w:rPr>
                <w:rStyle w:val="StyleAptos10pt"/>
              </w:rPr>
              <w:t>25</w:t>
            </w:r>
          </w:p>
        </w:tc>
        <w:tc>
          <w:tcPr>
            <w:tcW w:w="1710" w:type="dxa"/>
          </w:tcPr>
          <w:p w:rsidR="00447971" w:rsidRPr="002223A2" w:rsidP="00447971" w14:paraId="1ACBC739" w14:textId="77777777">
            <w:pPr>
              <w:jc w:val="center"/>
              <w:rPr>
                <w:rStyle w:val="StyleAptos10pt"/>
              </w:rPr>
            </w:pPr>
            <w:r w:rsidRPr="002223A2">
              <w:rPr>
                <w:rStyle w:val="StyleAptos10pt"/>
              </w:rPr>
              <w:t>1</w:t>
            </w:r>
          </w:p>
        </w:tc>
        <w:tc>
          <w:tcPr>
            <w:tcW w:w="1890" w:type="dxa"/>
          </w:tcPr>
          <w:p w:rsidR="00447971" w:rsidRPr="002223A2" w:rsidP="00447971" w14:paraId="16A68C7C" w14:textId="77777777">
            <w:pPr>
              <w:jc w:val="center"/>
              <w:rPr>
                <w:rStyle w:val="StyleAptos10pt"/>
              </w:rPr>
            </w:pPr>
            <w:r w:rsidRPr="002223A2">
              <w:rPr>
                <w:rStyle w:val="StyleAptos10pt"/>
              </w:rPr>
              <w:t>8</w:t>
            </w:r>
          </w:p>
        </w:tc>
        <w:tc>
          <w:tcPr>
            <w:tcW w:w="2340" w:type="dxa"/>
          </w:tcPr>
          <w:p w:rsidR="00447971" w:rsidRPr="002223A2" w:rsidP="00447971" w14:paraId="0E681C0F" w14:textId="77777777">
            <w:pPr>
              <w:jc w:val="center"/>
              <w:rPr>
                <w:rStyle w:val="StyleAptos10pt"/>
              </w:rPr>
            </w:pPr>
            <w:r w:rsidRPr="002223A2">
              <w:rPr>
                <w:rStyle w:val="StyleAptos10pt"/>
              </w:rPr>
              <w:t>200</w:t>
            </w:r>
          </w:p>
        </w:tc>
      </w:tr>
      <w:tr w14:paraId="42D53216" w14:textId="77777777" w:rsidTr="00E2546A">
        <w:tblPrEx>
          <w:tblW w:w="10165" w:type="dxa"/>
          <w:tblLook w:val="04A0"/>
        </w:tblPrEx>
        <w:tc>
          <w:tcPr>
            <w:tcW w:w="2695" w:type="dxa"/>
          </w:tcPr>
          <w:p w:rsidR="00447971" w:rsidRPr="002223A2" w:rsidP="00447971" w14:paraId="39756A71" w14:textId="77777777">
            <w:pPr>
              <w:rPr>
                <w:rStyle w:val="StyleAptos10pt"/>
              </w:rPr>
            </w:pPr>
            <w:r w:rsidRPr="002223A2">
              <w:rPr>
                <w:rStyle w:val="StyleAptos10pt"/>
              </w:rPr>
              <w:t>Section 15.30(g)(2)</w:t>
            </w:r>
          </w:p>
        </w:tc>
        <w:tc>
          <w:tcPr>
            <w:tcW w:w="1530" w:type="dxa"/>
          </w:tcPr>
          <w:p w:rsidR="00447971" w:rsidRPr="002223A2" w:rsidP="00447971" w14:paraId="68813B4D" w14:textId="77777777">
            <w:pPr>
              <w:jc w:val="center"/>
              <w:rPr>
                <w:rStyle w:val="StyleAptos10pt"/>
              </w:rPr>
            </w:pPr>
            <w:r w:rsidRPr="002223A2">
              <w:rPr>
                <w:rStyle w:val="StyleAptos10pt"/>
              </w:rPr>
              <w:t>14</w:t>
            </w:r>
          </w:p>
        </w:tc>
        <w:tc>
          <w:tcPr>
            <w:tcW w:w="1710" w:type="dxa"/>
          </w:tcPr>
          <w:p w:rsidR="00447971" w:rsidRPr="002223A2" w:rsidP="00447971" w14:paraId="40CCF966" w14:textId="77777777">
            <w:pPr>
              <w:jc w:val="center"/>
              <w:rPr>
                <w:rStyle w:val="StyleAptos10pt"/>
              </w:rPr>
            </w:pPr>
            <w:r w:rsidRPr="002223A2">
              <w:rPr>
                <w:rStyle w:val="StyleAptos10pt"/>
              </w:rPr>
              <w:t>1</w:t>
            </w:r>
          </w:p>
        </w:tc>
        <w:tc>
          <w:tcPr>
            <w:tcW w:w="1890" w:type="dxa"/>
          </w:tcPr>
          <w:p w:rsidR="00447971" w:rsidRPr="002223A2" w:rsidP="00447971" w14:paraId="1288A4A2" w14:textId="77777777">
            <w:pPr>
              <w:jc w:val="center"/>
              <w:rPr>
                <w:rStyle w:val="StyleAptos10pt"/>
              </w:rPr>
            </w:pPr>
            <w:r w:rsidRPr="002223A2">
              <w:rPr>
                <w:rStyle w:val="StyleAptos10pt"/>
              </w:rPr>
              <w:t>8</w:t>
            </w:r>
          </w:p>
        </w:tc>
        <w:tc>
          <w:tcPr>
            <w:tcW w:w="2340" w:type="dxa"/>
          </w:tcPr>
          <w:p w:rsidR="00447971" w:rsidRPr="002223A2" w:rsidP="00447971" w14:paraId="1F20A7E1" w14:textId="77777777">
            <w:pPr>
              <w:jc w:val="center"/>
              <w:rPr>
                <w:rStyle w:val="StyleAptos10pt"/>
              </w:rPr>
            </w:pPr>
            <w:r w:rsidRPr="002223A2">
              <w:rPr>
                <w:rStyle w:val="StyleAptos10pt"/>
              </w:rPr>
              <w:t>112</w:t>
            </w:r>
          </w:p>
        </w:tc>
      </w:tr>
      <w:tr w14:paraId="0D691D14" w14:textId="77777777" w:rsidTr="00E2546A">
        <w:tblPrEx>
          <w:tblW w:w="10165" w:type="dxa"/>
          <w:tblLook w:val="04A0"/>
        </w:tblPrEx>
        <w:tc>
          <w:tcPr>
            <w:tcW w:w="2695" w:type="dxa"/>
          </w:tcPr>
          <w:p w:rsidR="00447971" w:rsidRPr="00AB1885" w:rsidP="00447971" w14:paraId="07EF5D8C" w14:textId="77777777">
            <w:pPr>
              <w:rPr>
                <w:rFonts w:ascii="Times New Roman" w:hAnsi="Times New Roman" w:cs="Times New Roman"/>
                <w:sz w:val="20"/>
              </w:rPr>
            </w:pPr>
            <w:r w:rsidRPr="002223A2">
              <w:rPr>
                <w:rStyle w:val="StyleAptos10pt"/>
              </w:rPr>
              <w:t>Section 15.31(a)(3)(ii)(D)(</w:t>
            </w:r>
            <w:r w:rsidRPr="002223A2">
              <w:rPr>
                <w:rStyle w:val="StyleAptos10ptItalic"/>
              </w:rPr>
              <w:t>1)</w:t>
            </w:r>
          </w:p>
        </w:tc>
        <w:tc>
          <w:tcPr>
            <w:tcW w:w="1530" w:type="dxa"/>
          </w:tcPr>
          <w:p w:rsidR="00447971" w:rsidRPr="002223A2" w:rsidP="00447971" w14:paraId="04E47863" w14:textId="77777777">
            <w:pPr>
              <w:jc w:val="center"/>
              <w:rPr>
                <w:rStyle w:val="StyleAptos10pt"/>
              </w:rPr>
            </w:pPr>
            <w:r w:rsidRPr="002223A2">
              <w:rPr>
                <w:rStyle w:val="StyleAptos10pt"/>
              </w:rPr>
              <w:t>1</w:t>
            </w:r>
          </w:p>
        </w:tc>
        <w:tc>
          <w:tcPr>
            <w:tcW w:w="1710" w:type="dxa"/>
          </w:tcPr>
          <w:p w:rsidR="00447971" w:rsidRPr="002223A2" w:rsidP="00447971" w14:paraId="4BEB2E1A" w14:textId="77777777">
            <w:pPr>
              <w:jc w:val="center"/>
              <w:rPr>
                <w:rStyle w:val="StyleAptos10pt"/>
              </w:rPr>
            </w:pPr>
            <w:r w:rsidRPr="002223A2">
              <w:rPr>
                <w:rStyle w:val="StyleAptos10pt"/>
              </w:rPr>
              <w:t>1</w:t>
            </w:r>
          </w:p>
        </w:tc>
        <w:tc>
          <w:tcPr>
            <w:tcW w:w="1890" w:type="dxa"/>
          </w:tcPr>
          <w:p w:rsidR="00447971" w:rsidRPr="002223A2" w:rsidP="00447971" w14:paraId="185487DF" w14:textId="77777777">
            <w:pPr>
              <w:jc w:val="center"/>
              <w:rPr>
                <w:rStyle w:val="StyleAptos10pt"/>
              </w:rPr>
            </w:pPr>
            <w:r w:rsidRPr="002223A2">
              <w:rPr>
                <w:rStyle w:val="StyleAptos10pt"/>
              </w:rPr>
              <w:t>40</w:t>
            </w:r>
          </w:p>
        </w:tc>
        <w:tc>
          <w:tcPr>
            <w:tcW w:w="2340" w:type="dxa"/>
          </w:tcPr>
          <w:p w:rsidR="00447971" w:rsidRPr="002223A2" w:rsidP="00447971" w14:paraId="7DED231D" w14:textId="77777777">
            <w:pPr>
              <w:jc w:val="center"/>
              <w:rPr>
                <w:rStyle w:val="StyleAptos10pt"/>
              </w:rPr>
            </w:pPr>
            <w:r w:rsidRPr="002223A2">
              <w:rPr>
                <w:rStyle w:val="StyleAptos10pt"/>
              </w:rPr>
              <w:t>40</w:t>
            </w:r>
          </w:p>
        </w:tc>
      </w:tr>
      <w:tr w14:paraId="7DE40019" w14:textId="77777777" w:rsidTr="00E2546A">
        <w:tblPrEx>
          <w:tblW w:w="10165" w:type="dxa"/>
          <w:tblLook w:val="04A0"/>
        </w:tblPrEx>
        <w:tc>
          <w:tcPr>
            <w:tcW w:w="2695" w:type="dxa"/>
          </w:tcPr>
          <w:p w:rsidR="00447971" w:rsidRPr="002223A2" w:rsidP="00447971" w14:paraId="148D4064" w14:textId="77777777">
            <w:pPr>
              <w:rPr>
                <w:rStyle w:val="StyleAptos10pt"/>
              </w:rPr>
            </w:pPr>
            <w:r w:rsidRPr="002223A2">
              <w:rPr>
                <w:rStyle w:val="StyleAptos10pt"/>
              </w:rPr>
              <w:t>Section 15.31(b)(2)(i)</w:t>
            </w:r>
          </w:p>
        </w:tc>
        <w:tc>
          <w:tcPr>
            <w:tcW w:w="1530" w:type="dxa"/>
          </w:tcPr>
          <w:p w:rsidR="00447971" w:rsidRPr="002223A2" w:rsidP="00447971" w14:paraId="09EBF1AE" w14:textId="77777777">
            <w:pPr>
              <w:jc w:val="center"/>
              <w:rPr>
                <w:rStyle w:val="StyleAptos10pt"/>
              </w:rPr>
            </w:pPr>
            <w:r w:rsidRPr="002223A2">
              <w:rPr>
                <w:rStyle w:val="StyleAptos10pt"/>
              </w:rPr>
              <w:t>1</w:t>
            </w:r>
          </w:p>
        </w:tc>
        <w:tc>
          <w:tcPr>
            <w:tcW w:w="1710" w:type="dxa"/>
          </w:tcPr>
          <w:p w:rsidR="00447971" w:rsidRPr="002223A2" w:rsidP="00447971" w14:paraId="3BA36046" w14:textId="77777777">
            <w:pPr>
              <w:jc w:val="center"/>
              <w:rPr>
                <w:rStyle w:val="StyleAptos10pt"/>
              </w:rPr>
            </w:pPr>
            <w:r w:rsidRPr="002223A2">
              <w:rPr>
                <w:rStyle w:val="StyleAptos10pt"/>
              </w:rPr>
              <w:t>1</w:t>
            </w:r>
          </w:p>
        </w:tc>
        <w:tc>
          <w:tcPr>
            <w:tcW w:w="1890" w:type="dxa"/>
          </w:tcPr>
          <w:p w:rsidR="00447971" w:rsidRPr="002223A2" w:rsidP="00447971" w14:paraId="05B142E3" w14:textId="77777777">
            <w:pPr>
              <w:jc w:val="center"/>
              <w:rPr>
                <w:rStyle w:val="StyleAptos10pt"/>
              </w:rPr>
            </w:pPr>
            <w:r w:rsidRPr="002223A2">
              <w:rPr>
                <w:rStyle w:val="StyleAptos10pt"/>
              </w:rPr>
              <w:t>80</w:t>
            </w:r>
          </w:p>
        </w:tc>
        <w:tc>
          <w:tcPr>
            <w:tcW w:w="2340" w:type="dxa"/>
          </w:tcPr>
          <w:p w:rsidR="00447971" w:rsidRPr="002223A2" w:rsidP="00447971" w14:paraId="7C5FAFB0" w14:textId="77777777">
            <w:pPr>
              <w:jc w:val="center"/>
              <w:rPr>
                <w:rStyle w:val="StyleAptos10pt"/>
              </w:rPr>
            </w:pPr>
            <w:r w:rsidRPr="002223A2">
              <w:rPr>
                <w:rStyle w:val="StyleAptos10pt"/>
              </w:rPr>
              <w:t>80</w:t>
            </w:r>
          </w:p>
        </w:tc>
      </w:tr>
      <w:tr w14:paraId="61FDB8D9" w14:textId="77777777" w:rsidTr="00E2546A">
        <w:tblPrEx>
          <w:tblW w:w="10165" w:type="dxa"/>
          <w:tblLook w:val="04A0"/>
        </w:tblPrEx>
        <w:tc>
          <w:tcPr>
            <w:tcW w:w="2695" w:type="dxa"/>
          </w:tcPr>
          <w:p w:rsidR="00447971" w:rsidRPr="002223A2" w:rsidP="00447971" w14:paraId="2EE4C761" w14:textId="77777777">
            <w:pPr>
              <w:rPr>
                <w:rStyle w:val="StyleAptos10pt"/>
              </w:rPr>
            </w:pPr>
            <w:r w:rsidRPr="002223A2">
              <w:rPr>
                <w:rStyle w:val="StyleAptos10pt"/>
              </w:rPr>
              <w:t>Section 15.31(b)(2)(ii)</w:t>
            </w:r>
          </w:p>
        </w:tc>
        <w:tc>
          <w:tcPr>
            <w:tcW w:w="1530" w:type="dxa"/>
          </w:tcPr>
          <w:p w:rsidR="00447971" w:rsidRPr="002223A2" w:rsidP="00447971" w14:paraId="19C1974D" w14:textId="77777777">
            <w:pPr>
              <w:jc w:val="center"/>
              <w:rPr>
                <w:rStyle w:val="StyleAptos10pt"/>
              </w:rPr>
            </w:pPr>
            <w:r w:rsidRPr="002223A2">
              <w:rPr>
                <w:rStyle w:val="StyleAptos10pt"/>
              </w:rPr>
              <w:t>1</w:t>
            </w:r>
          </w:p>
        </w:tc>
        <w:tc>
          <w:tcPr>
            <w:tcW w:w="1710" w:type="dxa"/>
          </w:tcPr>
          <w:p w:rsidR="00447971" w:rsidRPr="002223A2" w:rsidP="00447971" w14:paraId="32D62E41" w14:textId="77777777">
            <w:pPr>
              <w:jc w:val="center"/>
              <w:rPr>
                <w:rStyle w:val="StyleAptos10pt"/>
              </w:rPr>
            </w:pPr>
            <w:r w:rsidRPr="002223A2">
              <w:rPr>
                <w:rStyle w:val="StyleAptos10pt"/>
              </w:rPr>
              <w:t>1</w:t>
            </w:r>
          </w:p>
        </w:tc>
        <w:tc>
          <w:tcPr>
            <w:tcW w:w="1890" w:type="dxa"/>
          </w:tcPr>
          <w:p w:rsidR="00447971" w:rsidRPr="002223A2" w:rsidP="00447971" w14:paraId="5DB93FD0" w14:textId="77777777">
            <w:pPr>
              <w:jc w:val="center"/>
              <w:rPr>
                <w:rStyle w:val="StyleAptos10pt"/>
              </w:rPr>
            </w:pPr>
            <w:r w:rsidRPr="002223A2">
              <w:rPr>
                <w:rStyle w:val="StyleAptos10pt"/>
              </w:rPr>
              <w:t>1</w:t>
            </w:r>
          </w:p>
        </w:tc>
        <w:tc>
          <w:tcPr>
            <w:tcW w:w="2340" w:type="dxa"/>
          </w:tcPr>
          <w:p w:rsidR="00447971" w:rsidRPr="002223A2" w:rsidP="00447971" w14:paraId="26D2045A" w14:textId="77777777">
            <w:pPr>
              <w:jc w:val="center"/>
              <w:rPr>
                <w:rStyle w:val="StyleAptos10pt"/>
              </w:rPr>
            </w:pPr>
            <w:r w:rsidRPr="002223A2">
              <w:rPr>
                <w:rStyle w:val="StyleAptos10pt"/>
              </w:rPr>
              <w:t>1</w:t>
            </w:r>
          </w:p>
        </w:tc>
      </w:tr>
      <w:tr w14:paraId="6036FB2C" w14:textId="77777777" w:rsidTr="00E2546A">
        <w:tblPrEx>
          <w:tblW w:w="10165" w:type="dxa"/>
          <w:tblLook w:val="04A0"/>
        </w:tblPrEx>
        <w:tc>
          <w:tcPr>
            <w:tcW w:w="2695" w:type="dxa"/>
          </w:tcPr>
          <w:p w:rsidR="00447971" w:rsidRPr="002223A2" w:rsidP="00447971" w14:paraId="5DA959F6" w14:textId="77777777">
            <w:pPr>
              <w:rPr>
                <w:rStyle w:val="StyleAptos10pt"/>
              </w:rPr>
            </w:pPr>
            <w:r w:rsidRPr="002223A2">
              <w:rPr>
                <w:rStyle w:val="StyleAptos10pt"/>
              </w:rPr>
              <w:t>Section 15.32(a)</w:t>
            </w:r>
          </w:p>
        </w:tc>
        <w:tc>
          <w:tcPr>
            <w:tcW w:w="1530" w:type="dxa"/>
          </w:tcPr>
          <w:p w:rsidR="00447971" w:rsidRPr="002223A2" w:rsidP="00447971" w14:paraId="44ED193E" w14:textId="77777777">
            <w:pPr>
              <w:jc w:val="center"/>
              <w:rPr>
                <w:rStyle w:val="StyleAptos10pt"/>
              </w:rPr>
            </w:pPr>
            <w:r w:rsidRPr="002223A2">
              <w:rPr>
                <w:rStyle w:val="StyleAptos10pt"/>
              </w:rPr>
              <w:t>1</w:t>
            </w:r>
          </w:p>
        </w:tc>
        <w:tc>
          <w:tcPr>
            <w:tcW w:w="1710" w:type="dxa"/>
          </w:tcPr>
          <w:p w:rsidR="00447971" w:rsidRPr="002223A2" w:rsidP="00447971" w14:paraId="56EE486C" w14:textId="77777777">
            <w:pPr>
              <w:jc w:val="center"/>
              <w:rPr>
                <w:rStyle w:val="StyleAptos10pt"/>
              </w:rPr>
            </w:pPr>
            <w:r w:rsidRPr="002223A2">
              <w:rPr>
                <w:rStyle w:val="StyleAptos10pt"/>
              </w:rPr>
              <w:t>1</w:t>
            </w:r>
          </w:p>
        </w:tc>
        <w:tc>
          <w:tcPr>
            <w:tcW w:w="1890" w:type="dxa"/>
          </w:tcPr>
          <w:p w:rsidR="00447971" w:rsidRPr="002223A2" w:rsidP="00447971" w14:paraId="0E5D3C77" w14:textId="77777777">
            <w:pPr>
              <w:jc w:val="center"/>
              <w:rPr>
                <w:rStyle w:val="StyleAptos10pt"/>
              </w:rPr>
            </w:pPr>
            <w:r w:rsidRPr="002223A2">
              <w:rPr>
                <w:rStyle w:val="StyleAptos10pt"/>
              </w:rPr>
              <w:t>1</w:t>
            </w:r>
          </w:p>
        </w:tc>
        <w:tc>
          <w:tcPr>
            <w:tcW w:w="2340" w:type="dxa"/>
          </w:tcPr>
          <w:p w:rsidR="00447971" w:rsidRPr="002223A2" w:rsidP="00447971" w14:paraId="29E563EB" w14:textId="77777777">
            <w:pPr>
              <w:jc w:val="center"/>
              <w:rPr>
                <w:rStyle w:val="StyleAptos10pt"/>
              </w:rPr>
            </w:pPr>
            <w:r w:rsidRPr="002223A2">
              <w:rPr>
                <w:rStyle w:val="StyleAptos10pt"/>
              </w:rPr>
              <w:t>1</w:t>
            </w:r>
          </w:p>
        </w:tc>
      </w:tr>
      <w:tr w14:paraId="6BD21AA5" w14:textId="77777777" w:rsidTr="00E2546A">
        <w:tblPrEx>
          <w:tblW w:w="10165" w:type="dxa"/>
          <w:tblLook w:val="04A0"/>
        </w:tblPrEx>
        <w:tc>
          <w:tcPr>
            <w:tcW w:w="2695" w:type="dxa"/>
          </w:tcPr>
          <w:p w:rsidR="00447971" w:rsidRPr="002223A2" w:rsidP="00447971" w14:paraId="384EA7CB" w14:textId="77777777">
            <w:pPr>
              <w:rPr>
                <w:rStyle w:val="StyleAptos10pt"/>
              </w:rPr>
            </w:pPr>
            <w:r w:rsidRPr="002223A2">
              <w:rPr>
                <w:rStyle w:val="StyleAptos10pt"/>
              </w:rPr>
              <w:t>Section 15.32(b)</w:t>
            </w:r>
          </w:p>
        </w:tc>
        <w:tc>
          <w:tcPr>
            <w:tcW w:w="1530" w:type="dxa"/>
          </w:tcPr>
          <w:p w:rsidR="00447971" w:rsidRPr="002223A2" w:rsidP="00447971" w14:paraId="3C87E44C" w14:textId="77777777">
            <w:pPr>
              <w:jc w:val="center"/>
              <w:rPr>
                <w:rStyle w:val="StyleAptos10pt"/>
              </w:rPr>
            </w:pPr>
            <w:r w:rsidRPr="002223A2">
              <w:rPr>
                <w:rStyle w:val="StyleAptos10pt"/>
              </w:rPr>
              <w:t>1</w:t>
            </w:r>
          </w:p>
        </w:tc>
        <w:tc>
          <w:tcPr>
            <w:tcW w:w="1710" w:type="dxa"/>
          </w:tcPr>
          <w:p w:rsidR="00447971" w:rsidRPr="002223A2" w:rsidP="00447971" w14:paraId="444E1160" w14:textId="77777777">
            <w:pPr>
              <w:jc w:val="center"/>
              <w:rPr>
                <w:rStyle w:val="StyleAptos10pt"/>
              </w:rPr>
            </w:pPr>
            <w:r w:rsidRPr="002223A2">
              <w:rPr>
                <w:rStyle w:val="StyleAptos10pt"/>
              </w:rPr>
              <w:t>1</w:t>
            </w:r>
          </w:p>
        </w:tc>
        <w:tc>
          <w:tcPr>
            <w:tcW w:w="1890" w:type="dxa"/>
          </w:tcPr>
          <w:p w:rsidR="00447971" w:rsidRPr="002223A2" w:rsidP="00447971" w14:paraId="01FD5A95" w14:textId="77777777">
            <w:pPr>
              <w:jc w:val="center"/>
              <w:rPr>
                <w:rStyle w:val="StyleAptos10pt"/>
              </w:rPr>
            </w:pPr>
            <w:r w:rsidRPr="002223A2">
              <w:rPr>
                <w:rStyle w:val="StyleAptos10pt"/>
              </w:rPr>
              <w:t>80</w:t>
            </w:r>
          </w:p>
        </w:tc>
        <w:tc>
          <w:tcPr>
            <w:tcW w:w="2340" w:type="dxa"/>
          </w:tcPr>
          <w:p w:rsidR="00447971" w:rsidRPr="002223A2" w:rsidP="00447971" w14:paraId="6F88BD46" w14:textId="77777777">
            <w:pPr>
              <w:jc w:val="center"/>
              <w:rPr>
                <w:rStyle w:val="StyleAptos10pt"/>
              </w:rPr>
            </w:pPr>
            <w:r w:rsidRPr="002223A2">
              <w:rPr>
                <w:rStyle w:val="StyleAptos10pt"/>
              </w:rPr>
              <w:t>80</w:t>
            </w:r>
          </w:p>
        </w:tc>
      </w:tr>
      <w:tr w14:paraId="0C7DB935" w14:textId="77777777" w:rsidTr="00E2546A">
        <w:tblPrEx>
          <w:tblW w:w="10165" w:type="dxa"/>
          <w:tblLook w:val="04A0"/>
        </w:tblPrEx>
        <w:tc>
          <w:tcPr>
            <w:tcW w:w="2695" w:type="dxa"/>
          </w:tcPr>
          <w:p w:rsidR="00447971" w:rsidRPr="002223A2" w:rsidP="00447971" w14:paraId="76551237" w14:textId="77777777">
            <w:pPr>
              <w:rPr>
                <w:rStyle w:val="StyleAptos10pt"/>
              </w:rPr>
            </w:pPr>
            <w:r w:rsidRPr="002223A2">
              <w:rPr>
                <w:rStyle w:val="StyleAptos10pt"/>
              </w:rPr>
              <w:t>Section 15.32(e)(3)(i)</w:t>
            </w:r>
          </w:p>
        </w:tc>
        <w:tc>
          <w:tcPr>
            <w:tcW w:w="1530" w:type="dxa"/>
          </w:tcPr>
          <w:p w:rsidR="00447971" w:rsidRPr="002223A2" w:rsidP="00447971" w14:paraId="38A8C5F0" w14:textId="77777777">
            <w:pPr>
              <w:jc w:val="center"/>
              <w:rPr>
                <w:rStyle w:val="StyleAptos10pt"/>
              </w:rPr>
            </w:pPr>
            <w:r w:rsidRPr="002223A2">
              <w:rPr>
                <w:rStyle w:val="StyleAptos10pt"/>
              </w:rPr>
              <w:t>1</w:t>
            </w:r>
          </w:p>
        </w:tc>
        <w:tc>
          <w:tcPr>
            <w:tcW w:w="1710" w:type="dxa"/>
          </w:tcPr>
          <w:p w:rsidR="00447971" w:rsidRPr="002223A2" w:rsidP="00447971" w14:paraId="3DBE48B4" w14:textId="77777777">
            <w:pPr>
              <w:jc w:val="center"/>
              <w:rPr>
                <w:rStyle w:val="StyleAptos10pt"/>
              </w:rPr>
            </w:pPr>
            <w:r w:rsidRPr="002223A2">
              <w:rPr>
                <w:rStyle w:val="StyleAptos10pt"/>
              </w:rPr>
              <w:t>1</w:t>
            </w:r>
          </w:p>
        </w:tc>
        <w:tc>
          <w:tcPr>
            <w:tcW w:w="1890" w:type="dxa"/>
          </w:tcPr>
          <w:p w:rsidR="00447971" w:rsidRPr="002223A2" w:rsidP="00447971" w14:paraId="47F7E3ED" w14:textId="77777777">
            <w:pPr>
              <w:jc w:val="center"/>
              <w:rPr>
                <w:rStyle w:val="StyleAptos10pt"/>
              </w:rPr>
            </w:pPr>
            <w:r w:rsidRPr="002223A2">
              <w:rPr>
                <w:rStyle w:val="StyleAptos10pt"/>
              </w:rPr>
              <w:t>1</w:t>
            </w:r>
          </w:p>
        </w:tc>
        <w:tc>
          <w:tcPr>
            <w:tcW w:w="2340" w:type="dxa"/>
          </w:tcPr>
          <w:p w:rsidR="00447971" w:rsidRPr="002223A2" w:rsidP="00447971" w14:paraId="0BEFE054" w14:textId="77777777">
            <w:pPr>
              <w:jc w:val="center"/>
              <w:rPr>
                <w:rStyle w:val="StyleAptos10pt"/>
              </w:rPr>
            </w:pPr>
            <w:r w:rsidRPr="002223A2">
              <w:rPr>
                <w:rStyle w:val="StyleAptos10pt"/>
              </w:rPr>
              <w:t>1</w:t>
            </w:r>
          </w:p>
        </w:tc>
      </w:tr>
      <w:tr w14:paraId="50A16168" w14:textId="77777777" w:rsidTr="00E2546A">
        <w:tblPrEx>
          <w:tblW w:w="10165" w:type="dxa"/>
          <w:tblLook w:val="04A0"/>
        </w:tblPrEx>
        <w:tc>
          <w:tcPr>
            <w:tcW w:w="2695" w:type="dxa"/>
          </w:tcPr>
          <w:p w:rsidR="00447971" w:rsidRPr="002223A2" w:rsidP="00447971" w14:paraId="4E36CCB1" w14:textId="77777777">
            <w:pPr>
              <w:rPr>
                <w:rStyle w:val="StyleAptos10pt"/>
              </w:rPr>
            </w:pPr>
            <w:r w:rsidRPr="002223A2">
              <w:rPr>
                <w:rStyle w:val="StyleAptos10pt"/>
              </w:rPr>
              <w:t>Section 15.32(e)(3)(ii)</w:t>
            </w:r>
          </w:p>
        </w:tc>
        <w:tc>
          <w:tcPr>
            <w:tcW w:w="1530" w:type="dxa"/>
          </w:tcPr>
          <w:p w:rsidR="00447971" w:rsidRPr="002223A2" w:rsidP="00447971" w14:paraId="2757831C" w14:textId="77777777">
            <w:pPr>
              <w:jc w:val="center"/>
              <w:rPr>
                <w:rStyle w:val="StyleAptos10pt"/>
              </w:rPr>
            </w:pPr>
            <w:r w:rsidRPr="002223A2">
              <w:rPr>
                <w:rStyle w:val="StyleAptos10pt"/>
              </w:rPr>
              <w:t>1</w:t>
            </w:r>
          </w:p>
        </w:tc>
        <w:tc>
          <w:tcPr>
            <w:tcW w:w="1710" w:type="dxa"/>
          </w:tcPr>
          <w:p w:rsidR="00447971" w:rsidRPr="002223A2" w:rsidP="00447971" w14:paraId="634D96B9" w14:textId="77777777">
            <w:pPr>
              <w:jc w:val="center"/>
              <w:rPr>
                <w:rStyle w:val="StyleAptos10pt"/>
              </w:rPr>
            </w:pPr>
            <w:r w:rsidRPr="002223A2">
              <w:rPr>
                <w:rStyle w:val="StyleAptos10pt"/>
              </w:rPr>
              <w:t>1</w:t>
            </w:r>
          </w:p>
        </w:tc>
        <w:tc>
          <w:tcPr>
            <w:tcW w:w="1890" w:type="dxa"/>
          </w:tcPr>
          <w:p w:rsidR="00447971" w:rsidRPr="002223A2" w:rsidP="00447971" w14:paraId="329C10F9" w14:textId="77777777">
            <w:pPr>
              <w:jc w:val="center"/>
              <w:rPr>
                <w:rStyle w:val="StyleAptos10pt"/>
              </w:rPr>
            </w:pPr>
            <w:r w:rsidRPr="002223A2">
              <w:rPr>
                <w:rStyle w:val="StyleAptos10pt"/>
              </w:rPr>
              <w:t>1</w:t>
            </w:r>
          </w:p>
        </w:tc>
        <w:tc>
          <w:tcPr>
            <w:tcW w:w="2340" w:type="dxa"/>
          </w:tcPr>
          <w:p w:rsidR="00447971" w:rsidRPr="002223A2" w:rsidP="00447971" w14:paraId="2843EB2A" w14:textId="77777777">
            <w:pPr>
              <w:jc w:val="center"/>
              <w:rPr>
                <w:rStyle w:val="StyleAptos10pt"/>
              </w:rPr>
            </w:pPr>
            <w:r w:rsidRPr="002223A2">
              <w:rPr>
                <w:rStyle w:val="StyleAptos10pt"/>
              </w:rPr>
              <w:t>1</w:t>
            </w:r>
          </w:p>
        </w:tc>
      </w:tr>
      <w:tr w14:paraId="27A92111" w14:textId="77777777" w:rsidTr="00E2546A">
        <w:tblPrEx>
          <w:tblW w:w="10165" w:type="dxa"/>
          <w:tblLook w:val="04A0"/>
        </w:tblPrEx>
        <w:tc>
          <w:tcPr>
            <w:tcW w:w="2695" w:type="dxa"/>
          </w:tcPr>
          <w:p w:rsidR="00447971" w:rsidRPr="002223A2" w:rsidP="00447971" w14:paraId="5A22A0A1" w14:textId="77777777">
            <w:pPr>
              <w:rPr>
                <w:rStyle w:val="StyleAptos10pt"/>
              </w:rPr>
            </w:pPr>
            <w:r w:rsidRPr="002223A2">
              <w:rPr>
                <w:rStyle w:val="StyleAptos10pt"/>
              </w:rPr>
              <w:t>Section 15.32(e)(3)(ii) Table</w:t>
            </w:r>
          </w:p>
        </w:tc>
        <w:tc>
          <w:tcPr>
            <w:tcW w:w="1530" w:type="dxa"/>
          </w:tcPr>
          <w:p w:rsidR="00447971" w:rsidRPr="002223A2" w:rsidP="00447971" w14:paraId="7D79361F" w14:textId="77777777">
            <w:pPr>
              <w:jc w:val="center"/>
              <w:rPr>
                <w:rStyle w:val="StyleAptos10pt"/>
              </w:rPr>
            </w:pPr>
            <w:r w:rsidRPr="002223A2">
              <w:rPr>
                <w:rStyle w:val="StyleAptos10pt"/>
              </w:rPr>
              <w:t>1</w:t>
            </w:r>
          </w:p>
        </w:tc>
        <w:tc>
          <w:tcPr>
            <w:tcW w:w="1710" w:type="dxa"/>
          </w:tcPr>
          <w:p w:rsidR="00447971" w:rsidRPr="002223A2" w:rsidP="00447971" w14:paraId="2E1E4A36" w14:textId="77777777">
            <w:pPr>
              <w:jc w:val="center"/>
              <w:rPr>
                <w:rStyle w:val="StyleAptos10pt"/>
              </w:rPr>
            </w:pPr>
            <w:r w:rsidRPr="002223A2">
              <w:rPr>
                <w:rStyle w:val="StyleAptos10pt"/>
              </w:rPr>
              <w:t>1</w:t>
            </w:r>
          </w:p>
        </w:tc>
        <w:tc>
          <w:tcPr>
            <w:tcW w:w="1890" w:type="dxa"/>
          </w:tcPr>
          <w:p w:rsidR="00447971" w:rsidRPr="002223A2" w:rsidP="00447971" w14:paraId="5B11B256" w14:textId="77777777">
            <w:pPr>
              <w:jc w:val="center"/>
              <w:rPr>
                <w:rStyle w:val="StyleAptos10pt"/>
              </w:rPr>
            </w:pPr>
            <w:r w:rsidRPr="002223A2">
              <w:rPr>
                <w:rStyle w:val="StyleAptos10pt"/>
              </w:rPr>
              <w:t>10</w:t>
            </w:r>
          </w:p>
        </w:tc>
        <w:tc>
          <w:tcPr>
            <w:tcW w:w="2340" w:type="dxa"/>
          </w:tcPr>
          <w:p w:rsidR="00447971" w:rsidRPr="002223A2" w:rsidP="00447971" w14:paraId="50F37A56" w14:textId="77777777">
            <w:pPr>
              <w:jc w:val="center"/>
              <w:rPr>
                <w:rStyle w:val="StyleAptos10pt"/>
              </w:rPr>
            </w:pPr>
            <w:r w:rsidRPr="002223A2">
              <w:rPr>
                <w:rStyle w:val="StyleAptos10pt"/>
              </w:rPr>
              <w:t>10</w:t>
            </w:r>
          </w:p>
        </w:tc>
      </w:tr>
      <w:tr w14:paraId="5CF3B65D" w14:textId="77777777" w:rsidTr="00E2546A">
        <w:tblPrEx>
          <w:tblW w:w="10165" w:type="dxa"/>
          <w:tblLook w:val="04A0"/>
        </w:tblPrEx>
        <w:tc>
          <w:tcPr>
            <w:tcW w:w="2695" w:type="dxa"/>
          </w:tcPr>
          <w:p w:rsidR="00447971" w:rsidRPr="002223A2" w:rsidP="00447971" w14:paraId="1E664B44" w14:textId="77777777">
            <w:pPr>
              <w:rPr>
                <w:rStyle w:val="StyleAptos10pt"/>
              </w:rPr>
            </w:pPr>
            <w:r w:rsidRPr="002223A2">
              <w:rPr>
                <w:rStyle w:val="StyleAptos10pt"/>
              </w:rPr>
              <w:t>Section 15.32(e)(3)(iii)</w:t>
            </w:r>
          </w:p>
        </w:tc>
        <w:tc>
          <w:tcPr>
            <w:tcW w:w="1530" w:type="dxa"/>
          </w:tcPr>
          <w:p w:rsidR="00447971" w:rsidRPr="002223A2" w:rsidP="00447971" w14:paraId="55622B1F" w14:textId="77777777">
            <w:pPr>
              <w:jc w:val="center"/>
              <w:rPr>
                <w:rStyle w:val="StyleAptos10pt"/>
              </w:rPr>
            </w:pPr>
            <w:r w:rsidRPr="002223A2">
              <w:rPr>
                <w:rStyle w:val="StyleAptos10pt"/>
              </w:rPr>
              <w:t>1</w:t>
            </w:r>
          </w:p>
        </w:tc>
        <w:tc>
          <w:tcPr>
            <w:tcW w:w="1710" w:type="dxa"/>
          </w:tcPr>
          <w:p w:rsidR="00447971" w:rsidRPr="002223A2" w:rsidP="00447971" w14:paraId="321D1FAD" w14:textId="77777777">
            <w:pPr>
              <w:jc w:val="center"/>
              <w:rPr>
                <w:rStyle w:val="StyleAptos10pt"/>
              </w:rPr>
            </w:pPr>
            <w:r w:rsidRPr="002223A2">
              <w:rPr>
                <w:rStyle w:val="StyleAptos10pt"/>
              </w:rPr>
              <w:t>1</w:t>
            </w:r>
          </w:p>
        </w:tc>
        <w:tc>
          <w:tcPr>
            <w:tcW w:w="1890" w:type="dxa"/>
          </w:tcPr>
          <w:p w:rsidR="00447971" w:rsidRPr="002223A2" w:rsidP="00447971" w14:paraId="2254FA67" w14:textId="77777777">
            <w:pPr>
              <w:jc w:val="center"/>
              <w:rPr>
                <w:rStyle w:val="StyleAptos10pt"/>
              </w:rPr>
            </w:pPr>
            <w:r w:rsidRPr="002223A2">
              <w:rPr>
                <w:rStyle w:val="StyleAptos10pt"/>
              </w:rPr>
              <w:t>1</w:t>
            </w:r>
          </w:p>
        </w:tc>
        <w:tc>
          <w:tcPr>
            <w:tcW w:w="2340" w:type="dxa"/>
          </w:tcPr>
          <w:p w:rsidR="00447971" w:rsidRPr="002223A2" w:rsidP="00447971" w14:paraId="311710FE" w14:textId="77777777">
            <w:pPr>
              <w:jc w:val="center"/>
              <w:rPr>
                <w:rStyle w:val="StyleAptos10pt"/>
              </w:rPr>
            </w:pPr>
            <w:r w:rsidRPr="002223A2">
              <w:rPr>
                <w:rStyle w:val="StyleAptos10pt"/>
              </w:rPr>
              <w:t>1</w:t>
            </w:r>
          </w:p>
        </w:tc>
      </w:tr>
      <w:tr w14:paraId="09DB3D5C" w14:textId="77777777" w:rsidTr="00E2546A">
        <w:tblPrEx>
          <w:tblW w:w="10165" w:type="dxa"/>
          <w:tblLook w:val="04A0"/>
        </w:tblPrEx>
        <w:tc>
          <w:tcPr>
            <w:tcW w:w="2695" w:type="dxa"/>
          </w:tcPr>
          <w:p w:rsidR="00447971" w:rsidRPr="002223A2" w:rsidP="00447971" w14:paraId="0CA802AD" w14:textId="77777777">
            <w:pPr>
              <w:rPr>
                <w:rStyle w:val="StyleAptos10pt"/>
              </w:rPr>
            </w:pPr>
            <w:r w:rsidRPr="002223A2">
              <w:rPr>
                <w:rStyle w:val="StyleAptos10pt"/>
              </w:rPr>
              <w:t>Section 15.32(g)(2)</w:t>
            </w:r>
          </w:p>
        </w:tc>
        <w:tc>
          <w:tcPr>
            <w:tcW w:w="1530" w:type="dxa"/>
          </w:tcPr>
          <w:p w:rsidR="00447971" w:rsidRPr="002223A2" w:rsidP="00447971" w14:paraId="247B681D" w14:textId="77777777">
            <w:pPr>
              <w:jc w:val="center"/>
              <w:rPr>
                <w:rStyle w:val="StyleAptos10pt"/>
              </w:rPr>
            </w:pPr>
            <w:r w:rsidRPr="002223A2">
              <w:rPr>
                <w:rStyle w:val="StyleAptos10pt"/>
              </w:rPr>
              <w:t>1</w:t>
            </w:r>
          </w:p>
        </w:tc>
        <w:tc>
          <w:tcPr>
            <w:tcW w:w="1710" w:type="dxa"/>
          </w:tcPr>
          <w:p w:rsidR="00447971" w:rsidRPr="002223A2" w:rsidP="00447971" w14:paraId="2D55DC08" w14:textId="77777777">
            <w:pPr>
              <w:jc w:val="center"/>
              <w:rPr>
                <w:rStyle w:val="StyleAptos10pt"/>
              </w:rPr>
            </w:pPr>
            <w:r w:rsidRPr="002223A2">
              <w:rPr>
                <w:rStyle w:val="StyleAptos10pt"/>
              </w:rPr>
              <w:t>1</w:t>
            </w:r>
          </w:p>
        </w:tc>
        <w:tc>
          <w:tcPr>
            <w:tcW w:w="1890" w:type="dxa"/>
          </w:tcPr>
          <w:p w:rsidR="00447971" w:rsidRPr="002223A2" w:rsidP="00447971" w14:paraId="51E6DAEC" w14:textId="77777777">
            <w:pPr>
              <w:jc w:val="center"/>
              <w:rPr>
                <w:rStyle w:val="StyleAptos10pt"/>
              </w:rPr>
            </w:pPr>
            <w:r w:rsidRPr="002223A2">
              <w:rPr>
                <w:rStyle w:val="StyleAptos10pt"/>
              </w:rPr>
              <w:t>1</w:t>
            </w:r>
          </w:p>
        </w:tc>
        <w:tc>
          <w:tcPr>
            <w:tcW w:w="2340" w:type="dxa"/>
          </w:tcPr>
          <w:p w:rsidR="00447971" w:rsidRPr="002223A2" w:rsidP="00447971" w14:paraId="20697C88" w14:textId="77777777">
            <w:pPr>
              <w:jc w:val="center"/>
              <w:rPr>
                <w:rStyle w:val="StyleAptos10pt"/>
              </w:rPr>
            </w:pPr>
            <w:r w:rsidRPr="002223A2">
              <w:rPr>
                <w:rStyle w:val="StyleAptos10pt"/>
              </w:rPr>
              <w:t>1</w:t>
            </w:r>
          </w:p>
        </w:tc>
      </w:tr>
      <w:tr w14:paraId="0D281903" w14:textId="77777777" w:rsidTr="00E2546A">
        <w:tblPrEx>
          <w:tblW w:w="10165" w:type="dxa"/>
          <w:tblLook w:val="04A0"/>
        </w:tblPrEx>
        <w:tc>
          <w:tcPr>
            <w:tcW w:w="2695" w:type="dxa"/>
          </w:tcPr>
          <w:p w:rsidR="00447971" w:rsidRPr="002223A2" w:rsidP="00447971" w14:paraId="3ACD9EA1" w14:textId="77777777">
            <w:pPr>
              <w:rPr>
                <w:rStyle w:val="StyleAptos10pt"/>
              </w:rPr>
            </w:pPr>
            <w:r w:rsidRPr="002223A2">
              <w:rPr>
                <w:rStyle w:val="StyleAptos10pt"/>
              </w:rPr>
              <w:t>Section 15.32(g)(5)</w:t>
            </w:r>
          </w:p>
        </w:tc>
        <w:tc>
          <w:tcPr>
            <w:tcW w:w="1530" w:type="dxa"/>
          </w:tcPr>
          <w:p w:rsidR="00447971" w:rsidRPr="002223A2" w:rsidP="00447971" w14:paraId="7D4B66C5" w14:textId="77777777">
            <w:pPr>
              <w:jc w:val="center"/>
              <w:rPr>
                <w:rStyle w:val="StyleAptos10pt"/>
              </w:rPr>
            </w:pPr>
            <w:r w:rsidRPr="002223A2">
              <w:rPr>
                <w:rStyle w:val="StyleAptos10pt"/>
              </w:rPr>
              <w:t>1</w:t>
            </w:r>
          </w:p>
        </w:tc>
        <w:tc>
          <w:tcPr>
            <w:tcW w:w="1710" w:type="dxa"/>
          </w:tcPr>
          <w:p w:rsidR="00447971" w:rsidRPr="002223A2" w:rsidP="00447971" w14:paraId="50B27D11" w14:textId="77777777">
            <w:pPr>
              <w:jc w:val="center"/>
              <w:rPr>
                <w:rStyle w:val="StyleAptos10pt"/>
              </w:rPr>
            </w:pPr>
            <w:r w:rsidRPr="002223A2">
              <w:rPr>
                <w:rStyle w:val="StyleAptos10pt"/>
              </w:rPr>
              <w:t>1</w:t>
            </w:r>
          </w:p>
        </w:tc>
        <w:tc>
          <w:tcPr>
            <w:tcW w:w="1890" w:type="dxa"/>
          </w:tcPr>
          <w:p w:rsidR="00447971" w:rsidRPr="002223A2" w:rsidP="00447971" w14:paraId="6A74C56C" w14:textId="77777777">
            <w:pPr>
              <w:jc w:val="center"/>
              <w:rPr>
                <w:rStyle w:val="StyleAptos10pt"/>
              </w:rPr>
            </w:pPr>
            <w:r w:rsidRPr="002223A2">
              <w:rPr>
                <w:rStyle w:val="StyleAptos10pt"/>
              </w:rPr>
              <w:t>1</w:t>
            </w:r>
          </w:p>
        </w:tc>
        <w:tc>
          <w:tcPr>
            <w:tcW w:w="2340" w:type="dxa"/>
          </w:tcPr>
          <w:p w:rsidR="00447971" w:rsidRPr="002223A2" w:rsidP="00447971" w14:paraId="1CC6AEAE" w14:textId="77777777">
            <w:pPr>
              <w:jc w:val="center"/>
              <w:rPr>
                <w:rStyle w:val="StyleAptos10pt"/>
              </w:rPr>
            </w:pPr>
            <w:r w:rsidRPr="002223A2">
              <w:rPr>
                <w:rStyle w:val="StyleAptos10pt"/>
              </w:rPr>
              <w:t>1</w:t>
            </w:r>
          </w:p>
        </w:tc>
      </w:tr>
      <w:tr w14:paraId="12AA439A" w14:textId="77777777" w:rsidTr="00E2546A">
        <w:tblPrEx>
          <w:tblW w:w="10165" w:type="dxa"/>
          <w:tblLook w:val="04A0"/>
        </w:tblPrEx>
        <w:trPr>
          <w:trHeight w:val="197"/>
        </w:trPr>
        <w:tc>
          <w:tcPr>
            <w:tcW w:w="2695" w:type="dxa"/>
          </w:tcPr>
          <w:p w:rsidR="00447971" w:rsidRPr="002223A2" w:rsidP="00447971" w14:paraId="56544CB9" w14:textId="77777777">
            <w:pPr>
              <w:rPr>
                <w:rStyle w:val="StyleAptos10pt"/>
              </w:rPr>
            </w:pPr>
            <w:r w:rsidRPr="002223A2">
              <w:rPr>
                <w:rStyle w:val="StyleAptos10pt"/>
              </w:rPr>
              <w:t>Section 15.40(c)(5)</w:t>
            </w:r>
          </w:p>
        </w:tc>
        <w:tc>
          <w:tcPr>
            <w:tcW w:w="1530" w:type="dxa"/>
          </w:tcPr>
          <w:p w:rsidR="00447971" w:rsidRPr="002223A2" w:rsidP="00447971" w14:paraId="7B103DBB" w14:textId="77777777">
            <w:pPr>
              <w:jc w:val="center"/>
              <w:rPr>
                <w:rStyle w:val="StyleAptos10pt"/>
              </w:rPr>
            </w:pPr>
            <w:r w:rsidRPr="002223A2">
              <w:rPr>
                <w:rStyle w:val="StyleAptos10pt"/>
              </w:rPr>
              <w:t>39</w:t>
            </w:r>
          </w:p>
        </w:tc>
        <w:tc>
          <w:tcPr>
            <w:tcW w:w="1710" w:type="dxa"/>
          </w:tcPr>
          <w:p w:rsidR="00447971" w:rsidRPr="002223A2" w:rsidP="00447971" w14:paraId="391D17AF" w14:textId="77777777">
            <w:pPr>
              <w:jc w:val="center"/>
              <w:rPr>
                <w:rStyle w:val="StyleAptos10pt"/>
              </w:rPr>
            </w:pPr>
            <w:r w:rsidRPr="002223A2">
              <w:rPr>
                <w:rStyle w:val="StyleAptos10pt"/>
              </w:rPr>
              <w:t>1</w:t>
            </w:r>
          </w:p>
        </w:tc>
        <w:tc>
          <w:tcPr>
            <w:tcW w:w="1890" w:type="dxa"/>
          </w:tcPr>
          <w:p w:rsidR="00447971" w:rsidRPr="002223A2" w:rsidP="00447971" w14:paraId="2C226C04" w14:textId="77777777">
            <w:pPr>
              <w:jc w:val="center"/>
              <w:rPr>
                <w:rStyle w:val="StyleAptos10pt"/>
              </w:rPr>
            </w:pPr>
            <w:r w:rsidRPr="002223A2">
              <w:rPr>
                <w:rStyle w:val="StyleAptos10pt"/>
              </w:rPr>
              <w:t>1</w:t>
            </w:r>
          </w:p>
        </w:tc>
        <w:tc>
          <w:tcPr>
            <w:tcW w:w="2340" w:type="dxa"/>
          </w:tcPr>
          <w:p w:rsidR="00447971" w:rsidRPr="002223A2" w:rsidP="00447971" w14:paraId="3F96AE52" w14:textId="77777777">
            <w:pPr>
              <w:jc w:val="center"/>
              <w:rPr>
                <w:rStyle w:val="StyleAptos10pt"/>
              </w:rPr>
            </w:pPr>
            <w:r w:rsidRPr="002223A2">
              <w:rPr>
                <w:rStyle w:val="StyleAptos10pt"/>
              </w:rPr>
              <w:t>39</w:t>
            </w:r>
          </w:p>
        </w:tc>
      </w:tr>
      <w:tr w14:paraId="6A1BCB6D" w14:textId="77777777" w:rsidTr="00E2546A">
        <w:tblPrEx>
          <w:tblW w:w="10165" w:type="dxa"/>
          <w:tblLook w:val="04A0"/>
        </w:tblPrEx>
        <w:trPr>
          <w:trHeight w:val="197"/>
        </w:trPr>
        <w:tc>
          <w:tcPr>
            <w:tcW w:w="2695" w:type="dxa"/>
          </w:tcPr>
          <w:p w:rsidR="00447971" w:rsidRPr="002223A2" w:rsidP="00447971" w14:paraId="28F02D2F" w14:textId="77777777">
            <w:pPr>
              <w:rPr>
                <w:rStyle w:val="StyleAptos10pt"/>
              </w:rPr>
            </w:pPr>
            <w:r w:rsidRPr="002223A2">
              <w:rPr>
                <w:rStyle w:val="StyleAptos10pt"/>
              </w:rPr>
              <w:t>Section 15.41(b)(1)(iii)</w:t>
            </w:r>
          </w:p>
        </w:tc>
        <w:tc>
          <w:tcPr>
            <w:tcW w:w="1530" w:type="dxa"/>
          </w:tcPr>
          <w:p w:rsidR="00447971" w:rsidRPr="002223A2" w:rsidP="00447971" w14:paraId="21022D6E" w14:textId="77777777">
            <w:pPr>
              <w:jc w:val="center"/>
              <w:rPr>
                <w:rStyle w:val="StyleAptos10pt"/>
              </w:rPr>
            </w:pPr>
            <w:r w:rsidRPr="002223A2">
              <w:rPr>
                <w:rStyle w:val="StyleAptos10pt"/>
              </w:rPr>
              <w:t>39</w:t>
            </w:r>
          </w:p>
        </w:tc>
        <w:tc>
          <w:tcPr>
            <w:tcW w:w="1710" w:type="dxa"/>
          </w:tcPr>
          <w:p w:rsidR="00447971" w:rsidRPr="002223A2" w:rsidP="00447971" w14:paraId="6B95A821" w14:textId="77777777">
            <w:pPr>
              <w:jc w:val="center"/>
              <w:rPr>
                <w:rStyle w:val="StyleAptos10pt"/>
              </w:rPr>
            </w:pPr>
            <w:r w:rsidRPr="002223A2">
              <w:rPr>
                <w:rStyle w:val="StyleAptos10pt"/>
              </w:rPr>
              <w:t>1</w:t>
            </w:r>
          </w:p>
        </w:tc>
        <w:tc>
          <w:tcPr>
            <w:tcW w:w="1890" w:type="dxa"/>
          </w:tcPr>
          <w:p w:rsidR="00447971" w:rsidRPr="002223A2" w:rsidP="00447971" w14:paraId="675FEBA7" w14:textId="77777777">
            <w:pPr>
              <w:jc w:val="center"/>
              <w:rPr>
                <w:rStyle w:val="StyleAptos10pt"/>
              </w:rPr>
            </w:pPr>
            <w:r w:rsidRPr="002223A2">
              <w:rPr>
                <w:rStyle w:val="StyleAptos10pt"/>
              </w:rPr>
              <w:t>1</w:t>
            </w:r>
          </w:p>
        </w:tc>
        <w:tc>
          <w:tcPr>
            <w:tcW w:w="2340" w:type="dxa"/>
          </w:tcPr>
          <w:p w:rsidR="00447971" w:rsidRPr="002223A2" w:rsidP="00447971" w14:paraId="65E054A3" w14:textId="77777777">
            <w:pPr>
              <w:jc w:val="center"/>
              <w:rPr>
                <w:rStyle w:val="StyleAptos10pt"/>
              </w:rPr>
            </w:pPr>
            <w:r w:rsidRPr="002223A2">
              <w:rPr>
                <w:rStyle w:val="StyleAptos10pt"/>
              </w:rPr>
              <w:t>39</w:t>
            </w:r>
          </w:p>
        </w:tc>
      </w:tr>
      <w:tr w14:paraId="2B32FD63" w14:textId="77777777" w:rsidTr="00E2546A">
        <w:tblPrEx>
          <w:tblW w:w="10165" w:type="dxa"/>
          <w:tblLook w:val="04A0"/>
        </w:tblPrEx>
        <w:trPr>
          <w:trHeight w:val="197"/>
        </w:trPr>
        <w:tc>
          <w:tcPr>
            <w:tcW w:w="2695" w:type="dxa"/>
          </w:tcPr>
          <w:p w:rsidR="00447971" w:rsidRPr="002223A2" w:rsidP="00447971" w14:paraId="4758091C" w14:textId="77777777">
            <w:pPr>
              <w:rPr>
                <w:rStyle w:val="StyleAptos10pt"/>
              </w:rPr>
            </w:pPr>
            <w:r w:rsidRPr="002223A2">
              <w:rPr>
                <w:rStyle w:val="StyleAptos10pt"/>
              </w:rPr>
              <w:t>Section 15.41(c)(1)(i)</w:t>
            </w:r>
          </w:p>
        </w:tc>
        <w:tc>
          <w:tcPr>
            <w:tcW w:w="1530" w:type="dxa"/>
          </w:tcPr>
          <w:p w:rsidR="00447971" w:rsidRPr="002223A2" w:rsidP="00447971" w14:paraId="17626252" w14:textId="77777777">
            <w:pPr>
              <w:jc w:val="center"/>
              <w:rPr>
                <w:rStyle w:val="StyleAptos10pt"/>
              </w:rPr>
            </w:pPr>
            <w:r w:rsidRPr="002223A2">
              <w:rPr>
                <w:rStyle w:val="StyleAptos10pt"/>
              </w:rPr>
              <w:t>39</w:t>
            </w:r>
          </w:p>
        </w:tc>
        <w:tc>
          <w:tcPr>
            <w:tcW w:w="1710" w:type="dxa"/>
          </w:tcPr>
          <w:p w:rsidR="00447971" w:rsidRPr="002223A2" w:rsidP="00447971" w14:paraId="3462B3E3" w14:textId="77777777">
            <w:pPr>
              <w:jc w:val="center"/>
              <w:rPr>
                <w:rStyle w:val="StyleAptos10pt"/>
              </w:rPr>
            </w:pPr>
            <w:r w:rsidRPr="002223A2">
              <w:rPr>
                <w:rStyle w:val="StyleAptos10pt"/>
              </w:rPr>
              <w:t>1</w:t>
            </w:r>
          </w:p>
        </w:tc>
        <w:tc>
          <w:tcPr>
            <w:tcW w:w="1890" w:type="dxa"/>
          </w:tcPr>
          <w:p w:rsidR="00447971" w:rsidRPr="002223A2" w:rsidP="00447971" w14:paraId="499BEBF9" w14:textId="77777777">
            <w:pPr>
              <w:jc w:val="center"/>
              <w:rPr>
                <w:rStyle w:val="StyleAptos10pt"/>
              </w:rPr>
            </w:pPr>
            <w:r w:rsidRPr="002223A2">
              <w:rPr>
                <w:rStyle w:val="StyleAptos10pt"/>
              </w:rPr>
              <w:t>1</w:t>
            </w:r>
          </w:p>
        </w:tc>
        <w:tc>
          <w:tcPr>
            <w:tcW w:w="2340" w:type="dxa"/>
          </w:tcPr>
          <w:p w:rsidR="00447971" w:rsidRPr="002223A2" w:rsidP="00447971" w14:paraId="7DB8877F" w14:textId="77777777">
            <w:pPr>
              <w:jc w:val="center"/>
              <w:rPr>
                <w:rStyle w:val="StyleAptos10pt"/>
              </w:rPr>
            </w:pPr>
            <w:r w:rsidRPr="002223A2">
              <w:rPr>
                <w:rStyle w:val="StyleAptos10pt"/>
              </w:rPr>
              <w:t>39</w:t>
            </w:r>
          </w:p>
        </w:tc>
      </w:tr>
      <w:tr w14:paraId="75C6344C" w14:textId="77777777" w:rsidTr="00E2546A">
        <w:tblPrEx>
          <w:tblW w:w="10165" w:type="dxa"/>
          <w:tblLook w:val="04A0"/>
        </w:tblPrEx>
        <w:trPr>
          <w:trHeight w:val="197"/>
        </w:trPr>
        <w:tc>
          <w:tcPr>
            <w:tcW w:w="2695" w:type="dxa"/>
          </w:tcPr>
          <w:p w:rsidR="00447971" w:rsidRPr="002223A2" w:rsidP="00447971" w14:paraId="5E2F8851" w14:textId="77777777">
            <w:pPr>
              <w:rPr>
                <w:rStyle w:val="StyleAptos10pt"/>
              </w:rPr>
            </w:pPr>
            <w:r w:rsidRPr="002223A2">
              <w:rPr>
                <w:rStyle w:val="StyleAptos10pt"/>
              </w:rPr>
              <w:t>Section 15.41(c)(1)(ii)</w:t>
            </w:r>
          </w:p>
        </w:tc>
        <w:tc>
          <w:tcPr>
            <w:tcW w:w="1530" w:type="dxa"/>
          </w:tcPr>
          <w:p w:rsidR="00447971" w:rsidRPr="002223A2" w:rsidP="00447971" w14:paraId="608D84F5" w14:textId="77777777">
            <w:pPr>
              <w:jc w:val="center"/>
              <w:rPr>
                <w:rStyle w:val="StyleAptos10pt"/>
              </w:rPr>
            </w:pPr>
            <w:r w:rsidRPr="002223A2">
              <w:rPr>
                <w:rStyle w:val="StyleAptos10pt"/>
              </w:rPr>
              <w:t>39</w:t>
            </w:r>
          </w:p>
        </w:tc>
        <w:tc>
          <w:tcPr>
            <w:tcW w:w="1710" w:type="dxa"/>
          </w:tcPr>
          <w:p w:rsidR="00447971" w:rsidRPr="002223A2" w:rsidP="00447971" w14:paraId="30329CAC" w14:textId="77777777">
            <w:pPr>
              <w:jc w:val="center"/>
              <w:rPr>
                <w:rStyle w:val="StyleAptos10pt"/>
              </w:rPr>
            </w:pPr>
            <w:r w:rsidRPr="002223A2">
              <w:rPr>
                <w:rStyle w:val="StyleAptos10pt"/>
              </w:rPr>
              <w:t>1</w:t>
            </w:r>
          </w:p>
        </w:tc>
        <w:tc>
          <w:tcPr>
            <w:tcW w:w="1890" w:type="dxa"/>
          </w:tcPr>
          <w:p w:rsidR="00447971" w:rsidRPr="002223A2" w:rsidP="00447971" w14:paraId="20B13B04" w14:textId="77777777">
            <w:pPr>
              <w:jc w:val="center"/>
              <w:rPr>
                <w:rStyle w:val="StyleAptos10pt"/>
              </w:rPr>
            </w:pPr>
            <w:r w:rsidRPr="002223A2">
              <w:rPr>
                <w:rStyle w:val="StyleAptos10pt"/>
              </w:rPr>
              <w:t>1</w:t>
            </w:r>
          </w:p>
        </w:tc>
        <w:tc>
          <w:tcPr>
            <w:tcW w:w="2340" w:type="dxa"/>
          </w:tcPr>
          <w:p w:rsidR="00447971" w:rsidRPr="002223A2" w:rsidP="00447971" w14:paraId="4A31DBB3" w14:textId="77777777">
            <w:pPr>
              <w:jc w:val="center"/>
              <w:rPr>
                <w:rStyle w:val="StyleAptos10pt"/>
              </w:rPr>
            </w:pPr>
            <w:r w:rsidRPr="002223A2">
              <w:rPr>
                <w:rStyle w:val="StyleAptos10pt"/>
              </w:rPr>
              <w:t>39</w:t>
            </w:r>
          </w:p>
        </w:tc>
      </w:tr>
      <w:tr w14:paraId="369D2891" w14:textId="77777777" w:rsidTr="00E2546A">
        <w:tblPrEx>
          <w:tblW w:w="10165" w:type="dxa"/>
          <w:tblLook w:val="04A0"/>
        </w:tblPrEx>
        <w:trPr>
          <w:trHeight w:val="197"/>
        </w:trPr>
        <w:tc>
          <w:tcPr>
            <w:tcW w:w="2695" w:type="dxa"/>
          </w:tcPr>
          <w:p w:rsidR="00447971" w:rsidRPr="002223A2" w:rsidP="00447971" w14:paraId="4FD13262" w14:textId="77777777">
            <w:pPr>
              <w:rPr>
                <w:rStyle w:val="StyleAptos10pt"/>
              </w:rPr>
            </w:pPr>
            <w:r w:rsidRPr="002223A2">
              <w:rPr>
                <w:rStyle w:val="StyleAptos10pt"/>
              </w:rPr>
              <w:t>Section 15.41(d)(1)</w:t>
            </w:r>
          </w:p>
        </w:tc>
        <w:tc>
          <w:tcPr>
            <w:tcW w:w="1530" w:type="dxa"/>
          </w:tcPr>
          <w:p w:rsidR="00447971" w:rsidRPr="002223A2" w:rsidP="00447971" w14:paraId="2786AD4C" w14:textId="77777777">
            <w:pPr>
              <w:jc w:val="center"/>
              <w:rPr>
                <w:rStyle w:val="StyleAptos10pt"/>
              </w:rPr>
            </w:pPr>
            <w:r w:rsidRPr="002223A2">
              <w:rPr>
                <w:rStyle w:val="StyleAptos10pt"/>
              </w:rPr>
              <w:t>1</w:t>
            </w:r>
          </w:p>
        </w:tc>
        <w:tc>
          <w:tcPr>
            <w:tcW w:w="1710" w:type="dxa"/>
          </w:tcPr>
          <w:p w:rsidR="00447971" w:rsidRPr="002223A2" w:rsidP="00447971" w14:paraId="74B31253" w14:textId="77777777">
            <w:pPr>
              <w:jc w:val="center"/>
              <w:rPr>
                <w:rStyle w:val="StyleAptos10pt"/>
              </w:rPr>
            </w:pPr>
            <w:r w:rsidRPr="002223A2">
              <w:rPr>
                <w:rStyle w:val="StyleAptos10pt"/>
              </w:rPr>
              <w:t>1</w:t>
            </w:r>
          </w:p>
        </w:tc>
        <w:tc>
          <w:tcPr>
            <w:tcW w:w="1890" w:type="dxa"/>
          </w:tcPr>
          <w:p w:rsidR="00447971" w:rsidRPr="002223A2" w:rsidP="00447971" w14:paraId="14D2F291" w14:textId="77777777">
            <w:pPr>
              <w:jc w:val="center"/>
              <w:rPr>
                <w:rStyle w:val="StyleAptos10pt"/>
              </w:rPr>
            </w:pPr>
            <w:r w:rsidRPr="002223A2">
              <w:rPr>
                <w:rStyle w:val="StyleAptos10pt"/>
              </w:rPr>
              <w:t>1</w:t>
            </w:r>
          </w:p>
        </w:tc>
        <w:tc>
          <w:tcPr>
            <w:tcW w:w="2340" w:type="dxa"/>
          </w:tcPr>
          <w:p w:rsidR="00447971" w:rsidRPr="002223A2" w:rsidP="00447971" w14:paraId="7BB05440" w14:textId="77777777">
            <w:pPr>
              <w:jc w:val="center"/>
              <w:rPr>
                <w:rStyle w:val="StyleAptos10pt"/>
              </w:rPr>
            </w:pPr>
            <w:r w:rsidRPr="002223A2">
              <w:rPr>
                <w:rStyle w:val="StyleAptos10pt"/>
              </w:rPr>
              <w:t>1</w:t>
            </w:r>
          </w:p>
        </w:tc>
      </w:tr>
      <w:tr w14:paraId="0EB8D76B" w14:textId="77777777" w:rsidTr="00E2546A">
        <w:tblPrEx>
          <w:tblW w:w="10165" w:type="dxa"/>
          <w:tblLook w:val="04A0"/>
        </w:tblPrEx>
        <w:trPr>
          <w:trHeight w:val="197"/>
        </w:trPr>
        <w:tc>
          <w:tcPr>
            <w:tcW w:w="2695" w:type="dxa"/>
          </w:tcPr>
          <w:p w:rsidR="00447971" w:rsidRPr="002223A2" w:rsidP="00447971" w14:paraId="462A0C55" w14:textId="77777777">
            <w:pPr>
              <w:rPr>
                <w:rStyle w:val="StyleAptos10pt"/>
              </w:rPr>
            </w:pPr>
            <w:r w:rsidRPr="002223A2">
              <w:rPr>
                <w:rStyle w:val="StyleAptos10pt"/>
              </w:rPr>
              <w:t>Section 15.41(d)(2)</w:t>
            </w:r>
          </w:p>
        </w:tc>
        <w:tc>
          <w:tcPr>
            <w:tcW w:w="1530" w:type="dxa"/>
          </w:tcPr>
          <w:p w:rsidR="00447971" w:rsidRPr="002223A2" w:rsidP="00447971" w14:paraId="5627E18F" w14:textId="77777777">
            <w:pPr>
              <w:jc w:val="center"/>
              <w:rPr>
                <w:rStyle w:val="StyleAptos10pt"/>
              </w:rPr>
            </w:pPr>
            <w:r w:rsidRPr="002223A2">
              <w:rPr>
                <w:rStyle w:val="StyleAptos10pt"/>
              </w:rPr>
              <w:t>1</w:t>
            </w:r>
          </w:p>
        </w:tc>
        <w:tc>
          <w:tcPr>
            <w:tcW w:w="1710" w:type="dxa"/>
          </w:tcPr>
          <w:p w:rsidR="00447971" w:rsidRPr="002223A2" w:rsidP="00447971" w14:paraId="53050C21" w14:textId="77777777">
            <w:pPr>
              <w:jc w:val="center"/>
              <w:rPr>
                <w:rStyle w:val="StyleAptos10pt"/>
              </w:rPr>
            </w:pPr>
            <w:r w:rsidRPr="002223A2">
              <w:rPr>
                <w:rStyle w:val="StyleAptos10pt"/>
              </w:rPr>
              <w:t>1</w:t>
            </w:r>
          </w:p>
        </w:tc>
        <w:tc>
          <w:tcPr>
            <w:tcW w:w="1890" w:type="dxa"/>
          </w:tcPr>
          <w:p w:rsidR="00447971" w:rsidRPr="002223A2" w:rsidP="00447971" w14:paraId="03AF3E62" w14:textId="77777777">
            <w:pPr>
              <w:jc w:val="center"/>
              <w:rPr>
                <w:rStyle w:val="StyleAptos10pt"/>
              </w:rPr>
            </w:pPr>
            <w:r w:rsidRPr="002223A2">
              <w:rPr>
                <w:rStyle w:val="StyleAptos10pt"/>
              </w:rPr>
              <w:t>2</w:t>
            </w:r>
          </w:p>
        </w:tc>
        <w:tc>
          <w:tcPr>
            <w:tcW w:w="2340" w:type="dxa"/>
          </w:tcPr>
          <w:p w:rsidR="00447971" w:rsidRPr="002223A2" w:rsidP="00447971" w14:paraId="74F8FAC2" w14:textId="77777777">
            <w:pPr>
              <w:jc w:val="center"/>
              <w:rPr>
                <w:rStyle w:val="StyleAptos10pt"/>
              </w:rPr>
            </w:pPr>
            <w:r w:rsidRPr="002223A2">
              <w:rPr>
                <w:rStyle w:val="StyleAptos10pt"/>
              </w:rPr>
              <w:t>2</w:t>
            </w:r>
          </w:p>
        </w:tc>
      </w:tr>
      <w:tr w14:paraId="438867B6" w14:textId="77777777" w:rsidTr="00E2546A">
        <w:tblPrEx>
          <w:tblW w:w="10165" w:type="dxa"/>
          <w:tblLook w:val="04A0"/>
        </w:tblPrEx>
        <w:trPr>
          <w:trHeight w:val="197"/>
        </w:trPr>
        <w:tc>
          <w:tcPr>
            <w:tcW w:w="2695" w:type="dxa"/>
          </w:tcPr>
          <w:p w:rsidR="00447971" w:rsidRPr="002223A2" w:rsidP="00447971" w14:paraId="642CEFEC" w14:textId="77777777">
            <w:pPr>
              <w:rPr>
                <w:rStyle w:val="StyleAptos10pt"/>
              </w:rPr>
            </w:pPr>
            <w:r w:rsidRPr="002223A2">
              <w:rPr>
                <w:rStyle w:val="StyleAptos10pt"/>
              </w:rPr>
              <w:t>Section 15.41(d)(4)</w:t>
            </w:r>
          </w:p>
        </w:tc>
        <w:tc>
          <w:tcPr>
            <w:tcW w:w="1530" w:type="dxa"/>
          </w:tcPr>
          <w:p w:rsidR="00447971" w:rsidRPr="002223A2" w:rsidP="00447971" w14:paraId="2AFD1896" w14:textId="77777777">
            <w:pPr>
              <w:jc w:val="center"/>
              <w:rPr>
                <w:rStyle w:val="StyleAptos10pt"/>
              </w:rPr>
            </w:pPr>
            <w:r w:rsidRPr="002223A2">
              <w:rPr>
                <w:rStyle w:val="StyleAptos10pt"/>
              </w:rPr>
              <w:t>1</w:t>
            </w:r>
          </w:p>
        </w:tc>
        <w:tc>
          <w:tcPr>
            <w:tcW w:w="1710" w:type="dxa"/>
          </w:tcPr>
          <w:p w:rsidR="00447971" w:rsidRPr="002223A2" w:rsidP="00447971" w14:paraId="4AA502E4" w14:textId="77777777">
            <w:pPr>
              <w:jc w:val="center"/>
              <w:rPr>
                <w:rStyle w:val="StyleAptos10pt"/>
              </w:rPr>
            </w:pPr>
            <w:r w:rsidRPr="002223A2">
              <w:rPr>
                <w:rStyle w:val="StyleAptos10pt"/>
              </w:rPr>
              <w:t>1</w:t>
            </w:r>
          </w:p>
        </w:tc>
        <w:tc>
          <w:tcPr>
            <w:tcW w:w="1890" w:type="dxa"/>
          </w:tcPr>
          <w:p w:rsidR="00447971" w:rsidRPr="002223A2" w:rsidP="00447971" w14:paraId="376CBAD9" w14:textId="77777777">
            <w:pPr>
              <w:jc w:val="center"/>
              <w:rPr>
                <w:rStyle w:val="StyleAptos10pt"/>
              </w:rPr>
            </w:pPr>
            <w:r w:rsidRPr="002223A2">
              <w:rPr>
                <w:rStyle w:val="StyleAptos10pt"/>
              </w:rPr>
              <w:t>1</w:t>
            </w:r>
          </w:p>
        </w:tc>
        <w:tc>
          <w:tcPr>
            <w:tcW w:w="2340" w:type="dxa"/>
          </w:tcPr>
          <w:p w:rsidR="00447971" w:rsidRPr="002223A2" w:rsidP="00447971" w14:paraId="6148DE63" w14:textId="77777777">
            <w:pPr>
              <w:jc w:val="center"/>
              <w:rPr>
                <w:rStyle w:val="StyleAptos10pt"/>
              </w:rPr>
            </w:pPr>
            <w:r w:rsidRPr="002223A2">
              <w:rPr>
                <w:rStyle w:val="StyleAptos10pt"/>
              </w:rPr>
              <w:t>1</w:t>
            </w:r>
          </w:p>
        </w:tc>
      </w:tr>
      <w:tr w14:paraId="2FF96A77" w14:textId="77777777" w:rsidTr="00E2546A">
        <w:tblPrEx>
          <w:tblW w:w="10165" w:type="dxa"/>
          <w:tblLook w:val="04A0"/>
        </w:tblPrEx>
        <w:trPr>
          <w:trHeight w:val="197"/>
        </w:trPr>
        <w:tc>
          <w:tcPr>
            <w:tcW w:w="2695" w:type="dxa"/>
          </w:tcPr>
          <w:p w:rsidR="00447971" w:rsidRPr="002223A2" w:rsidP="00447971" w14:paraId="62FF9299" w14:textId="77777777">
            <w:pPr>
              <w:rPr>
                <w:rStyle w:val="StyleAptos10pt"/>
              </w:rPr>
            </w:pPr>
            <w:r w:rsidRPr="002223A2">
              <w:rPr>
                <w:rStyle w:val="StyleAptos10pt"/>
              </w:rPr>
              <w:t>Section 15.42(c)(2)(i)</w:t>
            </w:r>
          </w:p>
        </w:tc>
        <w:tc>
          <w:tcPr>
            <w:tcW w:w="1530" w:type="dxa"/>
          </w:tcPr>
          <w:p w:rsidR="00447971" w:rsidRPr="002223A2" w:rsidP="00447971" w14:paraId="01A7DD7D" w14:textId="77777777">
            <w:pPr>
              <w:jc w:val="center"/>
              <w:rPr>
                <w:rStyle w:val="StyleAptos10pt"/>
              </w:rPr>
            </w:pPr>
            <w:r w:rsidRPr="002223A2">
              <w:rPr>
                <w:rStyle w:val="StyleAptos10pt"/>
              </w:rPr>
              <w:t>39</w:t>
            </w:r>
          </w:p>
        </w:tc>
        <w:tc>
          <w:tcPr>
            <w:tcW w:w="1710" w:type="dxa"/>
          </w:tcPr>
          <w:p w:rsidR="00447971" w:rsidRPr="002223A2" w:rsidP="00447971" w14:paraId="1FE8B916" w14:textId="77777777">
            <w:pPr>
              <w:jc w:val="center"/>
              <w:rPr>
                <w:rStyle w:val="StyleAptos10pt"/>
              </w:rPr>
            </w:pPr>
            <w:r w:rsidRPr="002223A2">
              <w:rPr>
                <w:rStyle w:val="StyleAptos10pt"/>
              </w:rPr>
              <w:t>1</w:t>
            </w:r>
          </w:p>
        </w:tc>
        <w:tc>
          <w:tcPr>
            <w:tcW w:w="1890" w:type="dxa"/>
          </w:tcPr>
          <w:p w:rsidR="00447971" w:rsidRPr="002223A2" w:rsidP="00447971" w14:paraId="3E114F12" w14:textId="77777777">
            <w:pPr>
              <w:jc w:val="center"/>
              <w:rPr>
                <w:rStyle w:val="StyleAptos10pt"/>
              </w:rPr>
            </w:pPr>
            <w:r w:rsidRPr="002223A2">
              <w:rPr>
                <w:rStyle w:val="StyleAptos10pt"/>
              </w:rPr>
              <w:t>40</w:t>
            </w:r>
          </w:p>
        </w:tc>
        <w:tc>
          <w:tcPr>
            <w:tcW w:w="2340" w:type="dxa"/>
          </w:tcPr>
          <w:p w:rsidR="00447971" w:rsidRPr="002223A2" w:rsidP="00447971" w14:paraId="39132EDB" w14:textId="77777777">
            <w:pPr>
              <w:jc w:val="center"/>
              <w:rPr>
                <w:rStyle w:val="StyleAptos10pt"/>
              </w:rPr>
            </w:pPr>
            <w:r w:rsidRPr="002223A2">
              <w:rPr>
                <w:rStyle w:val="StyleAptos10pt"/>
              </w:rPr>
              <w:t>1,560</w:t>
            </w:r>
          </w:p>
        </w:tc>
      </w:tr>
      <w:tr w14:paraId="091D3DE6" w14:textId="77777777" w:rsidTr="00E2546A">
        <w:tblPrEx>
          <w:tblW w:w="10165" w:type="dxa"/>
          <w:tblLook w:val="04A0"/>
        </w:tblPrEx>
        <w:trPr>
          <w:trHeight w:val="197"/>
        </w:trPr>
        <w:tc>
          <w:tcPr>
            <w:tcW w:w="2695" w:type="dxa"/>
          </w:tcPr>
          <w:p w:rsidR="00447971" w:rsidRPr="002223A2" w:rsidP="00447971" w14:paraId="0E762815" w14:textId="77777777">
            <w:pPr>
              <w:rPr>
                <w:rStyle w:val="StyleAptos10pt"/>
              </w:rPr>
            </w:pPr>
            <w:r w:rsidRPr="002223A2">
              <w:rPr>
                <w:rStyle w:val="StyleAptos10pt"/>
              </w:rPr>
              <w:t>Section 15.42(c)(4)</w:t>
            </w:r>
          </w:p>
        </w:tc>
        <w:tc>
          <w:tcPr>
            <w:tcW w:w="1530" w:type="dxa"/>
          </w:tcPr>
          <w:p w:rsidR="00447971" w:rsidRPr="002223A2" w:rsidP="00447971" w14:paraId="65EC60BA" w14:textId="77777777">
            <w:pPr>
              <w:jc w:val="center"/>
              <w:rPr>
                <w:rStyle w:val="StyleAptos10pt"/>
              </w:rPr>
            </w:pPr>
            <w:r w:rsidRPr="002223A2">
              <w:rPr>
                <w:rStyle w:val="StyleAptos10pt"/>
              </w:rPr>
              <w:t>39</w:t>
            </w:r>
          </w:p>
        </w:tc>
        <w:tc>
          <w:tcPr>
            <w:tcW w:w="1710" w:type="dxa"/>
          </w:tcPr>
          <w:p w:rsidR="00447971" w:rsidRPr="002223A2" w:rsidP="00447971" w14:paraId="3847BB21" w14:textId="77777777">
            <w:pPr>
              <w:jc w:val="center"/>
              <w:rPr>
                <w:rStyle w:val="StyleAptos10pt"/>
              </w:rPr>
            </w:pPr>
            <w:r w:rsidRPr="002223A2">
              <w:rPr>
                <w:rStyle w:val="StyleAptos10pt"/>
              </w:rPr>
              <w:t>1</w:t>
            </w:r>
          </w:p>
        </w:tc>
        <w:tc>
          <w:tcPr>
            <w:tcW w:w="1890" w:type="dxa"/>
          </w:tcPr>
          <w:p w:rsidR="00447971" w:rsidRPr="002223A2" w:rsidP="00447971" w14:paraId="32E2A89F" w14:textId="77777777">
            <w:pPr>
              <w:jc w:val="center"/>
              <w:rPr>
                <w:rStyle w:val="StyleAptos10pt"/>
              </w:rPr>
            </w:pPr>
            <w:r w:rsidRPr="002223A2">
              <w:rPr>
                <w:rStyle w:val="StyleAptos10pt"/>
              </w:rPr>
              <w:t>40</w:t>
            </w:r>
          </w:p>
        </w:tc>
        <w:tc>
          <w:tcPr>
            <w:tcW w:w="2340" w:type="dxa"/>
          </w:tcPr>
          <w:p w:rsidR="00447971" w:rsidRPr="002223A2" w:rsidP="00447971" w14:paraId="3C6BA81D" w14:textId="77777777">
            <w:pPr>
              <w:jc w:val="center"/>
              <w:rPr>
                <w:rStyle w:val="StyleAptos10pt"/>
              </w:rPr>
            </w:pPr>
            <w:r w:rsidRPr="002223A2">
              <w:rPr>
                <w:rStyle w:val="StyleAptos10pt"/>
              </w:rPr>
              <w:t>1,560</w:t>
            </w:r>
          </w:p>
        </w:tc>
      </w:tr>
      <w:tr w14:paraId="3E6DB31C" w14:textId="77777777" w:rsidTr="00E2546A">
        <w:tblPrEx>
          <w:tblW w:w="10165" w:type="dxa"/>
          <w:tblLook w:val="04A0"/>
        </w:tblPrEx>
        <w:trPr>
          <w:trHeight w:val="197"/>
        </w:trPr>
        <w:tc>
          <w:tcPr>
            <w:tcW w:w="10165" w:type="dxa"/>
            <w:gridSpan w:val="5"/>
          </w:tcPr>
          <w:p w:rsidR="00447971" w:rsidRPr="002223A2" w:rsidP="00447971" w14:paraId="41DC6078" w14:textId="77777777">
            <w:pPr>
              <w:rPr>
                <w:rStyle w:val="StyleAptos10ptBoldItalic"/>
              </w:rPr>
            </w:pPr>
            <w:r w:rsidRPr="002223A2">
              <w:rPr>
                <w:rStyle w:val="StyleAptos10ptBoldItalic"/>
              </w:rPr>
              <w:t>Total Reporting Burden                                                                                                                                    38,915</w:t>
            </w:r>
          </w:p>
        </w:tc>
      </w:tr>
      <w:tr w14:paraId="0735216B" w14:textId="77777777" w:rsidTr="00447971">
        <w:tblPrEx>
          <w:tblW w:w="10165" w:type="dxa"/>
          <w:tblLook w:val="04A0"/>
        </w:tblPrEx>
        <w:trPr>
          <w:trHeight w:val="197"/>
        </w:trPr>
        <w:tc>
          <w:tcPr>
            <w:tcW w:w="10165" w:type="dxa"/>
            <w:gridSpan w:val="5"/>
            <w:shd w:val="clear" w:color="auto" w:fill="D9D9D9"/>
          </w:tcPr>
          <w:p w:rsidR="00447971" w:rsidRPr="00AB1885" w:rsidP="00447971" w14:paraId="117D1902" w14:textId="77777777">
            <w:pPr>
              <w:jc w:val="center"/>
              <w:rPr>
                <w:rFonts w:ascii="Times New Roman" w:hAnsi="Times New Roman" w:cs="Times New Roman"/>
                <w:sz w:val="20"/>
              </w:rPr>
            </w:pPr>
          </w:p>
        </w:tc>
      </w:tr>
      <w:tr w14:paraId="3BCB02E1" w14:textId="77777777" w:rsidTr="00E2546A">
        <w:tblPrEx>
          <w:tblW w:w="10165" w:type="dxa"/>
          <w:tblLook w:val="04A0"/>
        </w:tblPrEx>
        <w:tc>
          <w:tcPr>
            <w:tcW w:w="10165" w:type="dxa"/>
            <w:gridSpan w:val="5"/>
          </w:tcPr>
          <w:p w:rsidR="00447971" w:rsidRPr="002223A2" w:rsidP="00447971" w14:paraId="1C4FC87C" w14:textId="77777777">
            <w:pPr>
              <w:jc w:val="both"/>
              <w:rPr>
                <w:rStyle w:val="StyleAptos10ptBold"/>
              </w:rPr>
            </w:pPr>
            <w:r w:rsidRPr="002223A2">
              <w:rPr>
                <w:rStyle w:val="StyleAptos10ptBold"/>
              </w:rPr>
              <w:t>Recordkeeping Burden</w:t>
            </w:r>
          </w:p>
        </w:tc>
      </w:tr>
      <w:tr w14:paraId="7523EB93" w14:textId="77777777" w:rsidTr="00E2546A">
        <w:tblPrEx>
          <w:tblW w:w="10165" w:type="dxa"/>
          <w:tblLook w:val="04A0"/>
        </w:tblPrEx>
        <w:tc>
          <w:tcPr>
            <w:tcW w:w="2695" w:type="dxa"/>
          </w:tcPr>
          <w:p w:rsidR="00447971" w:rsidRPr="002223A2" w:rsidP="00447971" w14:paraId="763A56AA" w14:textId="77777777">
            <w:pPr>
              <w:rPr>
                <w:rStyle w:val="StyleAptos10pt"/>
              </w:rPr>
            </w:pPr>
            <w:r w:rsidRPr="002223A2">
              <w:rPr>
                <w:rStyle w:val="StyleAptos10pt"/>
              </w:rPr>
              <w:t>Section 15.11(a)(1)</w:t>
            </w:r>
          </w:p>
        </w:tc>
        <w:tc>
          <w:tcPr>
            <w:tcW w:w="1530" w:type="dxa"/>
          </w:tcPr>
          <w:p w:rsidR="00447971" w:rsidRPr="002223A2" w:rsidP="00447971" w14:paraId="371BAB4C" w14:textId="77777777">
            <w:pPr>
              <w:jc w:val="center"/>
              <w:rPr>
                <w:rStyle w:val="StyleAptos10pt"/>
              </w:rPr>
            </w:pPr>
            <w:r w:rsidRPr="002223A2">
              <w:rPr>
                <w:rStyle w:val="StyleAptos10pt"/>
              </w:rPr>
              <w:t>39</w:t>
            </w:r>
          </w:p>
        </w:tc>
        <w:tc>
          <w:tcPr>
            <w:tcW w:w="1710" w:type="dxa"/>
          </w:tcPr>
          <w:p w:rsidR="00447971" w:rsidRPr="002223A2" w:rsidP="00447971" w14:paraId="3B87600C" w14:textId="77777777">
            <w:pPr>
              <w:jc w:val="center"/>
              <w:rPr>
                <w:rStyle w:val="StyleAptos10pt"/>
              </w:rPr>
            </w:pPr>
            <w:r w:rsidRPr="002223A2">
              <w:rPr>
                <w:rStyle w:val="StyleAptos10pt"/>
              </w:rPr>
              <w:t>1</w:t>
            </w:r>
          </w:p>
        </w:tc>
        <w:tc>
          <w:tcPr>
            <w:tcW w:w="1890" w:type="dxa"/>
          </w:tcPr>
          <w:p w:rsidR="00447971" w:rsidRPr="002223A2" w:rsidP="00447971" w14:paraId="537C733E" w14:textId="77777777">
            <w:pPr>
              <w:jc w:val="center"/>
              <w:rPr>
                <w:rStyle w:val="StyleAptos10pt"/>
              </w:rPr>
            </w:pPr>
            <w:r w:rsidRPr="002223A2">
              <w:rPr>
                <w:rStyle w:val="StyleAptos10pt"/>
              </w:rPr>
              <w:t>40</w:t>
            </w:r>
          </w:p>
        </w:tc>
        <w:tc>
          <w:tcPr>
            <w:tcW w:w="2340" w:type="dxa"/>
          </w:tcPr>
          <w:p w:rsidR="00447971" w:rsidRPr="002223A2" w:rsidP="00447971" w14:paraId="685DE4EB" w14:textId="77777777">
            <w:pPr>
              <w:jc w:val="center"/>
              <w:rPr>
                <w:rStyle w:val="StyleAptos10pt"/>
              </w:rPr>
            </w:pPr>
            <w:r w:rsidRPr="002223A2">
              <w:rPr>
                <w:rStyle w:val="StyleAptos10pt"/>
              </w:rPr>
              <w:t>1,560</w:t>
            </w:r>
          </w:p>
        </w:tc>
      </w:tr>
      <w:tr w14:paraId="39B5A91C" w14:textId="77777777" w:rsidTr="00E2546A">
        <w:tblPrEx>
          <w:tblW w:w="10165" w:type="dxa"/>
          <w:tblLook w:val="04A0"/>
        </w:tblPrEx>
        <w:tc>
          <w:tcPr>
            <w:tcW w:w="2695" w:type="dxa"/>
          </w:tcPr>
          <w:p w:rsidR="00447971" w:rsidRPr="002223A2" w:rsidP="00447971" w14:paraId="7E116F4B" w14:textId="77777777">
            <w:pPr>
              <w:rPr>
                <w:rStyle w:val="StyleAptos10pt"/>
              </w:rPr>
            </w:pPr>
            <w:r w:rsidRPr="002223A2">
              <w:rPr>
                <w:rStyle w:val="StyleAptos10pt"/>
              </w:rPr>
              <w:t>Section 15.11(f)(1)</w:t>
            </w:r>
          </w:p>
        </w:tc>
        <w:tc>
          <w:tcPr>
            <w:tcW w:w="1530" w:type="dxa"/>
          </w:tcPr>
          <w:p w:rsidR="00447971" w:rsidRPr="002223A2" w:rsidP="00447971" w14:paraId="7DE78B0D" w14:textId="77777777">
            <w:pPr>
              <w:jc w:val="center"/>
              <w:rPr>
                <w:rStyle w:val="StyleAptos10pt"/>
              </w:rPr>
            </w:pPr>
            <w:r w:rsidRPr="002223A2">
              <w:rPr>
                <w:rStyle w:val="StyleAptos10pt"/>
              </w:rPr>
              <w:t>39</w:t>
            </w:r>
          </w:p>
        </w:tc>
        <w:tc>
          <w:tcPr>
            <w:tcW w:w="1710" w:type="dxa"/>
          </w:tcPr>
          <w:p w:rsidR="00447971" w:rsidRPr="002223A2" w:rsidP="00447971" w14:paraId="36CE66D6" w14:textId="77777777">
            <w:pPr>
              <w:jc w:val="center"/>
              <w:rPr>
                <w:rStyle w:val="StyleAptos10pt"/>
              </w:rPr>
            </w:pPr>
            <w:r w:rsidRPr="002223A2">
              <w:rPr>
                <w:rStyle w:val="StyleAptos10pt"/>
              </w:rPr>
              <w:t>1</w:t>
            </w:r>
          </w:p>
        </w:tc>
        <w:tc>
          <w:tcPr>
            <w:tcW w:w="1890" w:type="dxa"/>
          </w:tcPr>
          <w:p w:rsidR="00447971" w:rsidRPr="002223A2" w:rsidP="00447971" w14:paraId="274BF5FD" w14:textId="77777777">
            <w:pPr>
              <w:jc w:val="center"/>
              <w:rPr>
                <w:rStyle w:val="StyleAptos10pt"/>
              </w:rPr>
            </w:pPr>
            <w:r w:rsidRPr="002223A2">
              <w:rPr>
                <w:rStyle w:val="StyleAptos10pt"/>
              </w:rPr>
              <w:t>8</w:t>
            </w:r>
          </w:p>
        </w:tc>
        <w:tc>
          <w:tcPr>
            <w:tcW w:w="2340" w:type="dxa"/>
          </w:tcPr>
          <w:p w:rsidR="00447971" w:rsidRPr="002223A2" w:rsidP="00447971" w14:paraId="2828A103" w14:textId="77777777">
            <w:pPr>
              <w:jc w:val="center"/>
              <w:rPr>
                <w:rStyle w:val="StyleAptos10pt"/>
              </w:rPr>
            </w:pPr>
            <w:r w:rsidRPr="002223A2">
              <w:rPr>
                <w:rStyle w:val="StyleAptos10pt"/>
              </w:rPr>
              <w:t>312</w:t>
            </w:r>
          </w:p>
        </w:tc>
      </w:tr>
      <w:tr w14:paraId="5A5A107C" w14:textId="77777777" w:rsidTr="00E2546A">
        <w:tblPrEx>
          <w:tblW w:w="10165" w:type="dxa"/>
          <w:tblLook w:val="04A0"/>
        </w:tblPrEx>
        <w:tc>
          <w:tcPr>
            <w:tcW w:w="2695" w:type="dxa"/>
          </w:tcPr>
          <w:p w:rsidR="00447971" w:rsidRPr="002223A2" w:rsidP="00447971" w14:paraId="092579C8" w14:textId="77777777">
            <w:pPr>
              <w:rPr>
                <w:rStyle w:val="StyleAptos10pt"/>
              </w:rPr>
            </w:pPr>
            <w:r w:rsidRPr="002223A2">
              <w:rPr>
                <w:rStyle w:val="StyleAptos10pt"/>
              </w:rPr>
              <w:t>Section 15.11(f)(2)</w:t>
            </w:r>
          </w:p>
        </w:tc>
        <w:tc>
          <w:tcPr>
            <w:tcW w:w="1530" w:type="dxa"/>
          </w:tcPr>
          <w:p w:rsidR="00447971" w:rsidRPr="002223A2" w:rsidP="00447971" w14:paraId="7DBDA2A1" w14:textId="77777777">
            <w:pPr>
              <w:jc w:val="center"/>
              <w:rPr>
                <w:rStyle w:val="StyleAptos10pt"/>
              </w:rPr>
            </w:pPr>
            <w:r w:rsidRPr="002223A2">
              <w:rPr>
                <w:rStyle w:val="StyleAptos10pt"/>
              </w:rPr>
              <w:t>39</w:t>
            </w:r>
          </w:p>
        </w:tc>
        <w:tc>
          <w:tcPr>
            <w:tcW w:w="1710" w:type="dxa"/>
          </w:tcPr>
          <w:p w:rsidR="00447971" w:rsidRPr="002223A2" w:rsidP="00447971" w14:paraId="6F14E46F" w14:textId="77777777">
            <w:pPr>
              <w:jc w:val="center"/>
              <w:rPr>
                <w:rStyle w:val="StyleAptos10pt"/>
              </w:rPr>
            </w:pPr>
            <w:r w:rsidRPr="002223A2">
              <w:rPr>
                <w:rStyle w:val="StyleAptos10pt"/>
              </w:rPr>
              <w:t>1</w:t>
            </w:r>
          </w:p>
        </w:tc>
        <w:tc>
          <w:tcPr>
            <w:tcW w:w="1890" w:type="dxa"/>
          </w:tcPr>
          <w:p w:rsidR="00447971" w:rsidRPr="002223A2" w:rsidP="00447971" w14:paraId="0F8C7089" w14:textId="77777777">
            <w:pPr>
              <w:jc w:val="center"/>
              <w:rPr>
                <w:rStyle w:val="StyleAptos10pt"/>
              </w:rPr>
            </w:pPr>
            <w:r w:rsidRPr="002223A2">
              <w:rPr>
                <w:rStyle w:val="StyleAptos10pt"/>
              </w:rPr>
              <w:t>8</w:t>
            </w:r>
          </w:p>
        </w:tc>
        <w:tc>
          <w:tcPr>
            <w:tcW w:w="2340" w:type="dxa"/>
          </w:tcPr>
          <w:p w:rsidR="00447971" w:rsidRPr="002223A2" w:rsidP="00447971" w14:paraId="19C5F523" w14:textId="77777777">
            <w:pPr>
              <w:jc w:val="center"/>
              <w:rPr>
                <w:rStyle w:val="StyleAptos10pt"/>
              </w:rPr>
            </w:pPr>
            <w:r w:rsidRPr="002223A2">
              <w:rPr>
                <w:rStyle w:val="StyleAptos10pt"/>
              </w:rPr>
              <w:t>312</w:t>
            </w:r>
          </w:p>
        </w:tc>
      </w:tr>
      <w:tr w14:paraId="78CC8CB8" w14:textId="77777777" w:rsidTr="00E2546A">
        <w:tblPrEx>
          <w:tblW w:w="10165" w:type="dxa"/>
          <w:tblLook w:val="04A0"/>
        </w:tblPrEx>
        <w:tc>
          <w:tcPr>
            <w:tcW w:w="2695" w:type="dxa"/>
          </w:tcPr>
          <w:p w:rsidR="00447971" w:rsidRPr="002223A2" w:rsidP="00447971" w14:paraId="4C375DE8" w14:textId="77777777">
            <w:pPr>
              <w:rPr>
                <w:rStyle w:val="StyleAptos10pt"/>
              </w:rPr>
            </w:pPr>
            <w:r w:rsidRPr="002223A2">
              <w:rPr>
                <w:rStyle w:val="StyleAptos10pt"/>
              </w:rPr>
              <w:t>Section 15.12(c)</w:t>
            </w:r>
          </w:p>
        </w:tc>
        <w:tc>
          <w:tcPr>
            <w:tcW w:w="1530" w:type="dxa"/>
          </w:tcPr>
          <w:p w:rsidR="00447971" w:rsidRPr="002223A2" w:rsidP="00447971" w14:paraId="031A669A" w14:textId="77777777">
            <w:pPr>
              <w:jc w:val="center"/>
              <w:rPr>
                <w:rStyle w:val="StyleAptos10pt"/>
              </w:rPr>
            </w:pPr>
            <w:r w:rsidRPr="002223A2">
              <w:rPr>
                <w:rStyle w:val="StyleAptos10pt"/>
              </w:rPr>
              <w:t>39</w:t>
            </w:r>
          </w:p>
        </w:tc>
        <w:tc>
          <w:tcPr>
            <w:tcW w:w="1710" w:type="dxa"/>
          </w:tcPr>
          <w:p w:rsidR="00447971" w:rsidRPr="002223A2" w:rsidP="00447971" w14:paraId="26DEC2D7" w14:textId="77777777">
            <w:pPr>
              <w:jc w:val="center"/>
              <w:rPr>
                <w:rStyle w:val="StyleAptos10pt"/>
              </w:rPr>
            </w:pPr>
            <w:r w:rsidRPr="002223A2">
              <w:rPr>
                <w:rStyle w:val="StyleAptos10pt"/>
              </w:rPr>
              <w:t>1</w:t>
            </w:r>
          </w:p>
        </w:tc>
        <w:tc>
          <w:tcPr>
            <w:tcW w:w="1890" w:type="dxa"/>
          </w:tcPr>
          <w:p w:rsidR="00447971" w:rsidRPr="002223A2" w:rsidP="00447971" w14:paraId="4AE581FB" w14:textId="77777777">
            <w:pPr>
              <w:jc w:val="center"/>
              <w:rPr>
                <w:rStyle w:val="StyleAptos10pt"/>
              </w:rPr>
            </w:pPr>
            <w:r w:rsidRPr="002223A2">
              <w:rPr>
                <w:rStyle w:val="StyleAptos10pt"/>
              </w:rPr>
              <w:t>8</w:t>
            </w:r>
          </w:p>
        </w:tc>
        <w:tc>
          <w:tcPr>
            <w:tcW w:w="2340" w:type="dxa"/>
          </w:tcPr>
          <w:p w:rsidR="00447971" w:rsidRPr="002223A2" w:rsidP="00447971" w14:paraId="61B85CCA" w14:textId="77777777">
            <w:pPr>
              <w:jc w:val="center"/>
              <w:rPr>
                <w:rStyle w:val="StyleAptos10pt"/>
              </w:rPr>
            </w:pPr>
            <w:r w:rsidRPr="002223A2">
              <w:rPr>
                <w:rStyle w:val="StyleAptos10pt"/>
              </w:rPr>
              <w:t>312</w:t>
            </w:r>
          </w:p>
        </w:tc>
      </w:tr>
      <w:tr w14:paraId="1468A2A4" w14:textId="77777777" w:rsidTr="00E2546A">
        <w:tblPrEx>
          <w:tblW w:w="10165" w:type="dxa"/>
          <w:tblLook w:val="04A0"/>
        </w:tblPrEx>
        <w:tc>
          <w:tcPr>
            <w:tcW w:w="2695" w:type="dxa"/>
          </w:tcPr>
          <w:p w:rsidR="00447971" w:rsidRPr="002223A2" w:rsidP="00447971" w14:paraId="5A3F58CB" w14:textId="77777777">
            <w:pPr>
              <w:rPr>
                <w:rStyle w:val="StyleAptos10pt"/>
              </w:rPr>
            </w:pPr>
            <w:r w:rsidRPr="002223A2">
              <w:rPr>
                <w:rStyle w:val="StyleAptos10pt"/>
              </w:rPr>
              <w:t>Section 15.13(a)(1)</w:t>
            </w:r>
          </w:p>
        </w:tc>
        <w:tc>
          <w:tcPr>
            <w:tcW w:w="1530" w:type="dxa"/>
          </w:tcPr>
          <w:p w:rsidR="00447971" w:rsidRPr="002223A2" w:rsidP="00447971" w14:paraId="4B3E3797" w14:textId="77777777">
            <w:pPr>
              <w:jc w:val="center"/>
              <w:rPr>
                <w:rStyle w:val="StyleAptos10pt"/>
              </w:rPr>
            </w:pPr>
            <w:r w:rsidRPr="002223A2">
              <w:rPr>
                <w:rStyle w:val="StyleAptos10pt"/>
              </w:rPr>
              <w:t>39</w:t>
            </w:r>
          </w:p>
        </w:tc>
        <w:tc>
          <w:tcPr>
            <w:tcW w:w="1710" w:type="dxa"/>
          </w:tcPr>
          <w:p w:rsidR="00447971" w:rsidRPr="002223A2" w:rsidP="00447971" w14:paraId="2CE77F83" w14:textId="77777777">
            <w:pPr>
              <w:jc w:val="center"/>
              <w:rPr>
                <w:rStyle w:val="StyleAptos10pt"/>
              </w:rPr>
            </w:pPr>
            <w:r w:rsidRPr="002223A2">
              <w:rPr>
                <w:rStyle w:val="StyleAptos10pt"/>
              </w:rPr>
              <w:t>1</w:t>
            </w:r>
          </w:p>
        </w:tc>
        <w:tc>
          <w:tcPr>
            <w:tcW w:w="1890" w:type="dxa"/>
          </w:tcPr>
          <w:p w:rsidR="00447971" w:rsidRPr="002223A2" w:rsidP="00447971" w14:paraId="48138E65" w14:textId="77777777">
            <w:pPr>
              <w:jc w:val="center"/>
              <w:rPr>
                <w:rStyle w:val="StyleAptos10pt"/>
              </w:rPr>
            </w:pPr>
            <w:r w:rsidRPr="002223A2">
              <w:rPr>
                <w:rStyle w:val="StyleAptos10pt"/>
              </w:rPr>
              <w:t>80</w:t>
            </w:r>
          </w:p>
        </w:tc>
        <w:tc>
          <w:tcPr>
            <w:tcW w:w="2340" w:type="dxa"/>
          </w:tcPr>
          <w:p w:rsidR="00447971" w:rsidRPr="002223A2" w:rsidP="00447971" w14:paraId="314A8F4F" w14:textId="77777777">
            <w:pPr>
              <w:jc w:val="center"/>
              <w:rPr>
                <w:rStyle w:val="StyleAptos10pt"/>
              </w:rPr>
            </w:pPr>
            <w:r w:rsidRPr="002223A2">
              <w:rPr>
                <w:rStyle w:val="StyleAptos10pt"/>
              </w:rPr>
              <w:t>3,120</w:t>
            </w:r>
          </w:p>
        </w:tc>
      </w:tr>
      <w:tr w14:paraId="58A41EDE" w14:textId="77777777" w:rsidTr="00E2546A">
        <w:tblPrEx>
          <w:tblW w:w="10165" w:type="dxa"/>
          <w:tblLook w:val="04A0"/>
        </w:tblPrEx>
        <w:tc>
          <w:tcPr>
            <w:tcW w:w="2695" w:type="dxa"/>
          </w:tcPr>
          <w:p w:rsidR="00447971" w:rsidRPr="002223A2" w:rsidP="00447971" w14:paraId="0D34385C" w14:textId="77777777">
            <w:pPr>
              <w:rPr>
                <w:rStyle w:val="StyleAptos10pt"/>
              </w:rPr>
            </w:pPr>
            <w:r w:rsidRPr="002223A2">
              <w:rPr>
                <w:rStyle w:val="StyleAptos10pt"/>
              </w:rPr>
              <w:t>Section 15.13(a)(2)</w:t>
            </w:r>
          </w:p>
        </w:tc>
        <w:tc>
          <w:tcPr>
            <w:tcW w:w="1530" w:type="dxa"/>
          </w:tcPr>
          <w:p w:rsidR="00447971" w:rsidRPr="002223A2" w:rsidP="00447971" w14:paraId="2762DF8A" w14:textId="77777777">
            <w:pPr>
              <w:jc w:val="center"/>
              <w:rPr>
                <w:rStyle w:val="StyleAptos10pt"/>
              </w:rPr>
            </w:pPr>
            <w:r w:rsidRPr="002223A2">
              <w:rPr>
                <w:rStyle w:val="StyleAptos10pt"/>
              </w:rPr>
              <w:t>39</w:t>
            </w:r>
          </w:p>
        </w:tc>
        <w:tc>
          <w:tcPr>
            <w:tcW w:w="1710" w:type="dxa"/>
          </w:tcPr>
          <w:p w:rsidR="00447971" w:rsidRPr="002223A2" w:rsidP="00447971" w14:paraId="17267ADD" w14:textId="77777777">
            <w:pPr>
              <w:jc w:val="center"/>
              <w:rPr>
                <w:rStyle w:val="StyleAptos10pt"/>
              </w:rPr>
            </w:pPr>
            <w:r w:rsidRPr="002223A2">
              <w:rPr>
                <w:rStyle w:val="StyleAptos10pt"/>
              </w:rPr>
              <w:t>1</w:t>
            </w:r>
          </w:p>
        </w:tc>
        <w:tc>
          <w:tcPr>
            <w:tcW w:w="1890" w:type="dxa"/>
          </w:tcPr>
          <w:p w:rsidR="00447971" w:rsidRPr="002223A2" w:rsidP="00447971" w14:paraId="3A443FEF" w14:textId="77777777">
            <w:pPr>
              <w:jc w:val="center"/>
              <w:rPr>
                <w:rStyle w:val="StyleAptos10pt"/>
              </w:rPr>
            </w:pPr>
            <w:r w:rsidRPr="002223A2">
              <w:rPr>
                <w:rStyle w:val="StyleAptos10pt"/>
              </w:rPr>
              <w:t>80</w:t>
            </w:r>
          </w:p>
        </w:tc>
        <w:tc>
          <w:tcPr>
            <w:tcW w:w="2340" w:type="dxa"/>
          </w:tcPr>
          <w:p w:rsidR="00447971" w:rsidRPr="002223A2" w:rsidP="00447971" w14:paraId="675590E2" w14:textId="77777777">
            <w:pPr>
              <w:jc w:val="center"/>
              <w:rPr>
                <w:rStyle w:val="StyleAptos10pt"/>
              </w:rPr>
            </w:pPr>
            <w:r w:rsidRPr="002223A2">
              <w:rPr>
                <w:rStyle w:val="StyleAptos10pt"/>
              </w:rPr>
              <w:t>3,120</w:t>
            </w:r>
          </w:p>
        </w:tc>
      </w:tr>
      <w:tr w14:paraId="41DB2D5D" w14:textId="77777777" w:rsidTr="00E2546A">
        <w:tblPrEx>
          <w:tblW w:w="10165" w:type="dxa"/>
          <w:tblLook w:val="04A0"/>
        </w:tblPrEx>
        <w:tc>
          <w:tcPr>
            <w:tcW w:w="2695" w:type="dxa"/>
          </w:tcPr>
          <w:p w:rsidR="00447971" w:rsidRPr="002223A2" w:rsidP="00447971" w14:paraId="2B4112A7" w14:textId="77777777">
            <w:pPr>
              <w:rPr>
                <w:rStyle w:val="StyleAptos10pt"/>
              </w:rPr>
            </w:pPr>
            <w:r w:rsidRPr="002223A2">
              <w:rPr>
                <w:rStyle w:val="StyleAptos10pt"/>
              </w:rPr>
              <w:t>Section 15.13(a)(5)</w:t>
            </w:r>
          </w:p>
        </w:tc>
        <w:tc>
          <w:tcPr>
            <w:tcW w:w="1530" w:type="dxa"/>
          </w:tcPr>
          <w:p w:rsidR="00447971" w:rsidRPr="002223A2" w:rsidP="00447971" w14:paraId="7A7548A3" w14:textId="77777777">
            <w:pPr>
              <w:jc w:val="center"/>
              <w:rPr>
                <w:rStyle w:val="StyleAptos10pt"/>
              </w:rPr>
            </w:pPr>
            <w:r w:rsidRPr="002223A2">
              <w:rPr>
                <w:rStyle w:val="StyleAptos10pt"/>
              </w:rPr>
              <w:t>39</w:t>
            </w:r>
          </w:p>
        </w:tc>
        <w:tc>
          <w:tcPr>
            <w:tcW w:w="1710" w:type="dxa"/>
          </w:tcPr>
          <w:p w:rsidR="00447971" w:rsidRPr="002223A2" w:rsidP="00447971" w14:paraId="0070895C" w14:textId="77777777">
            <w:pPr>
              <w:jc w:val="center"/>
              <w:rPr>
                <w:rStyle w:val="StyleAptos10pt"/>
              </w:rPr>
            </w:pPr>
            <w:r w:rsidRPr="002223A2">
              <w:rPr>
                <w:rStyle w:val="StyleAptos10pt"/>
              </w:rPr>
              <w:t>1</w:t>
            </w:r>
          </w:p>
        </w:tc>
        <w:tc>
          <w:tcPr>
            <w:tcW w:w="1890" w:type="dxa"/>
          </w:tcPr>
          <w:p w:rsidR="00447971" w:rsidRPr="002223A2" w:rsidP="00447971" w14:paraId="78523083" w14:textId="77777777">
            <w:pPr>
              <w:jc w:val="center"/>
              <w:rPr>
                <w:rStyle w:val="StyleAptos10pt"/>
              </w:rPr>
            </w:pPr>
            <w:r w:rsidRPr="002223A2">
              <w:rPr>
                <w:rStyle w:val="StyleAptos10pt"/>
              </w:rPr>
              <w:t>80</w:t>
            </w:r>
          </w:p>
        </w:tc>
        <w:tc>
          <w:tcPr>
            <w:tcW w:w="2340" w:type="dxa"/>
          </w:tcPr>
          <w:p w:rsidR="00447971" w:rsidRPr="002223A2" w:rsidP="00447971" w14:paraId="041C043C" w14:textId="77777777">
            <w:pPr>
              <w:jc w:val="center"/>
              <w:rPr>
                <w:rStyle w:val="StyleAptos10pt"/>
              </w:rPr>
            </w:pPr>
            <w:r w:rsidRPr="002223A2">
              <w:rPr>
                <w:rStyle w:val="StyleAptos10pt"/>
              </w:rPr>
              <w:t>3,120</w:t>
            </w:r>
          </w:p>
        </w:tc>
      </w:tr>
      <w:tr w14:paraId="3AA19CC3" w14:textId="77777777" w:rsidTr="00E2546A">
        <w:tblPrEx>
          <w:tblW w:w="10165" w:type="dxa"/>
          <w:tblLook w:val="04A0"/>
        </w:tblPrEx>
        <w:tc>
          <w:tcPr>
            <w:tcW w:w="2695" w:type="dxa"/>
          </w:tcPr>
          <w:p w:rsidR="00447971" w:rsidRPr="002223A2" w:rsidP="00447971" w14:paraId="10683223" w14:textId="77777777">
            <w:pPr>
              <w:rPr>
                <w:rStyle w:val="StyleAptos10pt"/>
              </w:rPr>
            </w:pPr>
            <w:r w:rsidRPr="002223A2">
              <w:rPr>
                <w:rStyle w:val="StyleAptos10pt"/>
              </w:rPr>
              <w:t>Section 15.13(a)(6)(i)(D)</w:t>
            </w:r>
          </w:p>
        </w:tc>
        <w:tc>
          <w:tcPr>
            <w:tcW w:w="1530" w:type="dxa"/>
          </w:tcPr>
          <w:p w:rsidR="00447971" w:rsidRPr="002223A2" w:rsidP="00447971" w14:paraId="08582B08" w14:textId="77777777">
            <w:pPr>
              <w:jc w:val="center"/>
              <w:rPr>
                <w:rStyle w:val="StyleAptos10pt"/>
              </w:rPr>
            </w:pPr>
            <w:r w:rsidRPr="002223A2">
              <w:rPr>
                <w:rStyle w:val="StyleAptos10pt"/>
              </w:rPr>
              <w:t>39</w:t>
            </w:r>
          </w:p>
        </w:tc>
        <w:tc>
          <w:tcPr>
            <w:tcW w:w="1710" w:type="dxa"/>
          </w:tcPr>
          <w:p w:rsidR="00447971" w:rsidRPr="002223A2" w:rsidP="00447971" w14:paraId="39777BDE" w14:textId="77777777">
            <w:pPr>
              <w:jc w:val="center"/>
              <w:rPr>
                <w:rStyle w:val="StyleAptos10pt"/>
              </w:rPr>
            </w:pPr>
            <w:r w:rsidRPr="002223A2">
              <w:rPr>
                <w:rStyle w:val="StyleAptos10pt"/>
              </w:rPr>
              <w:t>1</w:t>
            </w:r>
          </w:p>
        </w:tc>
        <w:tc>
          <w:tcPr>
            <w:tcW w:w="1890" w:type="dxa"/>
          </w:tcPr>
          <w:p w:rsidR="00447971" w:rsidRPr="002223A2" w:rsidP="00447971" w14:paraId="37D7C2B3" w14:textId="77777777">
            <w:pPr>
              <w:jc w:val="center"/>
              <w:rPr>
                <w:rStyle w:val="StyleAptos10pt"/>
              </w:rPr>
            </w:pPr>
            <w:r w:rsidRPr="002223A2">
              <w:rPr>
                <w:rStyle w:val="StyleAptos10pt"/>
              </w:rPr>
              <w:t>8</w:t>
            </w:r>
          </w:p>
        </w:tc>
        <w:tc>
          <w:tcPr>
            <w:tcW w:w="2340" w:type="dxa"/>
          </w:tcPr>
          <w:p w:rsidR="00447971" w:rsidRPr="002223A2" w:rsidP="00447971" w14:paraId="6B5518B4" w14:textId="77777777">
            <w:pPr>
              <w:jc w:val="center"/>
              <w:rPr>
                <w:rStyle w:val="StyleAptos10pt"/>
              </w:rPr>
            </w:pPr>
            <w:r w:rsidRPr="002223A2">
              <w:rPr>
                <w:rStyle w:val="StyleAptos10pt"/>
              </w:rPr>
              <w:t>312</w:t>
            </w:r>
          </w:p>
        </w:tc>
      </w:tr>
      <w:tr w14:paraId="3804E1F3" w14:textId="77777777" w:rsidTr="00E2546A">
        <w:tblPrEx>
          <w:tblW w:w="10165" w:type="dxa"/>
          <w:tblLook w:val="04A0"/>
        </w:tblPrEx>
        <w:tc>
          <w:tcPr>
            <w:tcW w:w="2695" w:type="dxa"/>
          </w:tcPr>
          <w:p w:rsidR="00447971" w:rsidRPr="002223A2" w:rsidP="00447971" w14:paraId="6507C9EB" w14:textId="77777777">
            <w:pPr>
              <w:rPr>
                <w:rStyle w:val="StyleAptos10pt"/>
              </w:rPr>
            </w:pPr>
            <w:r w:rsidRPr="002223A2">
              <w:rPr>
                <w:rStyle w:val="StyleAptos10pt"/>
              </w:rPr>
              <w:t>Section 15.13(a)(10)(ii)(D)</w:t>
            </w:r>
          </w:p>
        </w:tc>
        <w:tc>
          <w:tcPr>
            <w:tcW w:w="1530" w:type="dxa"/>
          </w:tcPr>
          <w:p w:rsidR="00447971" w:rsidRPr="002223A2" w:rsidP="00447971" w14:paraId="76DA177B" w14:textId="77777777">
            <w:pPr>
              <w:jc w:val="center"/>
              <w:rPr>
                <w:rStyle w:val="StyleAptos10pt"/>
              </w:rPr>
            </w:pPr>
            <w:r w:rsidRPr="002223A2">
              <w:rPr>
                <w:rStyle w:val="StyleAptos10pt"/>
              </w:rPr>
              <w:t>1</w:t>
            </w:r>
          </w:p>
        </w:tc>
        <w:tc>
          <w:tcPr>
            <w:tcW w:w="1710" w:type="dxa"/>
          </w:tcPr>
          <w:p w:rsidR="00447971" w:rsidRPr="002223A2" w:rsidP="00447971" w14:paraId="27C3C518" w14:textId="77777777">
            <w:pPr>
              <w:jc w:val="center"/>
              <w:rPr>
                <w:rStyle w:val="StyleAptos10pt"/>
              </w:rPr>
            </w:pPr>
            <w:r w:rsidRPr="002223A2">
              <w:rPr>
                <w:rStyle w:val="StyleAptos10pt"/>
              </w:rPr>
              <w:t>1</w:t>
            </w:r>
          </w:p>
        </w:tc>
        <w:tc>
          <w:tcPr>
            <w:tcW w:w="1890" w:type="dxa"/>
          </w:tcPr>
          <w:p w:rsidR="00447971" w:rsidRPr="002223A2" w:rsidP="00447971" w14:paraId="1C6CE37E" w14:textId="77777777">
            <w:pPr>
              <w:jc w:val="center"/>
              <w:rPr>
                <w:rStyle w:val="StyleAptos10pt"/>
              </w:rPr>
            </w:pPr>
            <w:r w:rsidRPr="002223A2">
              <w:rPr>
                <w:rStyle w:val="StyleAptos10pt"/>
              </w:rPr>
              <w:t>40</w:t>
            </w:r>
          </w:p>
        </w:tc>
        <w:tc>
          <w:tcPr>
            <w:tcW w:w="2340" w:type="dxa"/>
          </w:tcPr>
          <w:p w:rsidR="00447971" w:rsidRPr="002223A2" w:rsidP="00447971" w14:paraId="18600DFA" w14:textId="77777777">
            <w:pPr>
              <w:jc w:val="center"/>
              <w:rPr>
                <w:rStyle w:val="StyleAptos10pt"/>
              </w:rPr>
            </w:pPr>
            <w:r w:rsidRPr="002223A2">
              <w:rPr>
                <w:rStyle w:val="StyleAptos10pt"/>
              </w:rPr>
              <w:t>40</w:t>
            </w:r>
          </w:p>
        </w:tc>
      </w:tr>
      <w:tr w14:paraId="1C0457C3" w14:textId="77777777" w:rsidTr="00E2546A">
        <w:tblPrEx>
          <w:tblW w:w="10165" w:type="dxa"/>
          <w:tblLook w:val="04A0"/>
        </w:tblPrEx>
        <w:tc>
          <w:tcPr>
            <w:tcW w:w="2695" w:type="dxa"/>
          </w:tcPr>
          <w:p w:rsidR="00447971" w:rsidRPr="002223A2" w:rsidP="00447971" w14:paraId="2E5CEE9C" w14:textId="77777777">
            <w:pPr>
              <w:rPr>
                <w:rStyle w:val="StyleAptos10pt"/>
              </w:rPr>
            </w:pPr>
            <w:r w:rsidRPr="002223A2">
              <w:rPr>
                <w:rStyle w:val="StyleAptos10pt"/>
              </w:rPr>
              <w:t>Section 15.13(b)(1), (2), (3), (4), (6), and (8)</w:t>
            </w:r>
          </w:p>
        </w:tc>
        <w:tc>
          <w:tcPr>
            <w:tcW w:w="1530" w:type="dxa"/>
          </w:tcPr>
          <w:p w:rsidR="00447971" w:rsidRPr="002223A2" w:rsidP="00447971" w14:paraId="3E3AAD84" w14:textId="77777777">
            <w:pPr>
              <w:jc w:val="center"/>
              <w:rPr>
                <w:rStyle w:val="StyleAptos10pt"/>
              </w:rPr>
            </w:pPr>
            <w:r w:rsidRPr="002223A2">
              <w:rPr>
                <w:rStyle w:val="StyleAptos10pt"/>
              </w:rPr>
              <w:t>39</w:t>
            </w:r>
          </w:p>
        </w:tc>
        <w:tc>
          <w:tcPr>
            <w:tcW w:w="1710" w:type="dxa"/>
          </w:tcPr>
          <w:p w:rsidR="00447971" w:rsidRPr="002223A2" w:rsidP="00447971" w14:paraId="6C1F686F" w14:textId="77777777">
            <w:pPr>
              <w:jc w:val="center"/>
              <w:rPr>
                <w:rStyle w:val="StyleAptos10pt"/>
              </w:rPr>
            </w:pPr>
            <w:r w:rsidRPr="002223A2">
              <w:rPr>
                <w:rStyle w:val="StyleAptos10pt"/>
              </w:rPr>
              <w:t>1</w:t>
            </w:r>
          </w:p>
        </w:tc>
        <w:tc>
          <w:tcPr>
            <w:tcW w:w="1890" w:type="dxa"/>
          </w:tcPr>
          <w:p w:rsidR="00447971" w:rsidRPr="002223A2" w:rsidP="00447971" w14:paraId="0BF64F1B" w14:textId="77777777">
            <w:pPr>
              <w:jc w:val="center"/>
              <w:rPr>
                <w:rStyle w:val="StyleAptos10pt"/>
              </w:rPr>
            </w:pPr>
            <w:r w:rsidRPr="002223A2">
              <w:rPr>
                <w:rStyle w:val="StyleAptos10pt"/>
              </w:rPr>
              <w:t>160</w:t>
            </w:r>
          </w:p>
        </w:tc>
        <w:tc>
          <w:tcPr>
            <w:tcW w:w="2340" w:type="dxa"/>
          </w:tcPr>
          <w:p w:rsidR="00447971" w:rsidRPr="002223A2" w:rsidP="00447971" w14:paraId="03457E21" w14:textId="77777777">
            <w:pPr>
              <w:jc w:val="center"/>
              <w:rPr>
                <w:rStyle w:val="StyleAptos10pt"/>
              </w:rPr>
            </w:pPr>
            <w:r w:rsidRPr="002223A2">
              <w:rPr>
                <w:rStyle w:val="StyleAptos10pt"/>
              </w:rPr>
              <w:t>6,240</w:t>
            </w:r>
          </w:p>
        </w:tc>
      </w:tr>
      <w:tr w14:paraId="2C4264BB" w14:textId="77777777" w:rsidTr="00E2546A">
        <w:tblPrEx>
          <w:tblW w:w="10165" w:type="dxa"/>
          <w:tblLook w:val="04A0"/>
        </w:tblPrEx>
        <w:tc>
          <w:tcPr>
            <w:tcW w:w="2695" w:type="dxa"/>
          </w:tcPr>
          <w:p w:rsidR="00447971" w:rsidRPr="002223A2" w:rsidP="00447971" w14:paraId="6DA787EA" w14:textId="77777777">
            <w:pPr>
              <w:rPr>
                <w:rStyle w:val="StyleAptos10pt"/>
              </w:rPr>
            </w:pPr>
            <w:r w:rsidRPr="002223A2">
              <w:rPr>
                <w:rStyle w:val="StyleAptos10pt"/>
              </w:rPr>
              <w:t>Section 15.13(b)(5)</w:t>
            </w:r>
          </w:p>
        </w:tc>
        <w:tc>
          <w:tcPr>
            <w:tcW w:w="1530" w:type="dxa"/>
          </w:tcPr>
          <w:p w:rsidR="00447971" w:rsidRPr="002223A2" w:rsidP="00447971" w14:paraId="4F161611" w14:textId="77777777">
            <w:pPr>
              <w:jc w:val="center"/>
              <w:rPr>
                <w:rStyle w:val="StyleAptos10pt"/>
              </w:rPr>
            </w:pPr>
            <w:r w:rsidRPr="002223A2">
              <w:rPr>
                <w:rStyle w:val="StyleAptos10pt"/>
              </w:rPr>
              <w:t>39</w:t>
            </w:r>
          </w:p>
        </w:tc>
        <w:tc>
          <w:tcPr>
            <w:tcW w:w="1710" w:type="dxa"/>
          </w:tcPr>
          <w:p w:rsidR="00447971" w:rsidRPr="002223A2" w:rsidP="00447971" w14:paraId="1D595FF9" w14:textId="77777777">
            <w:pPr>
              <w:jc w:val="center"/>
              <w:rPr>
                <w:rStyle w:val="StyleAptos10pt"/>
              </w:rPr>
            </w:pPr>
            <w:r w:rsidRPr="002223A2">
              <w:rPr>
                <w:rStyle w:val="StyleAptos10pt"/>
              </w:rPr>
              <w:t>1</w:t>
            </w:r>
          </w:p>
        </w:tc>
        <w:tc>
          <w:tcPr>
            <w:tcW w:w="1890" w:type="dxa"/>
          </w:tcPr>
          <w:p w:rsidR="00447971" w:rsidRPr="002223A2" w:rsidP="00447971" w14:paraId="08C3861D" w14:textId="77777777">
            <w:pPr>
              <w:jc w:val="center"/>
              <w:rPr>
                <w:rStyle w:val="StyleAptos10pt"/>
              </w:rPr>
            </w:pPr>
            <w:r w:rsidRPr="002223A2">
              <w:rPr>
                <w:rStyle w:val="StyleAptos10pt"/>
              </w:rPr>
              <w:t>80</w:t>
            </w:r>
          </w:p>
        </w:tc>
        <w:tc>
          <w:tcPr>
            <w:tcW w:w="2340" w:type="dxa"/>
          </w:tcPr>
          <w:p w:rsidR="00447971" w:rsidRPr="002223A2" w:rsidP="00447971" w14:paraId="4FFCB1EB" w14:textId="77777777">
            <w:pPr>
              <w:jc w:val="center"/>
              <w:rPr>
                <w:rStyle w:val="StyleAptos10pt"/>
              </w:rPr>
            </w:pPr>
            <w:r w:rsidRPr="002223A2">
              <w:rPr>
                <w:rStyle w:val="StyleAptos10pt"/>
              </w:rPr>
              <w:t>3,120</w:t>
            </w:r>
          </w:p>
        </w:tc>
      </w:tr>
      <w:tr w14:paraId="38F568F5" w14:textId="77777777" w:rsidTr="00E2546A">
        <w:tblPrEx>
          <w:tblW w:w="10165" w:type="dxa"/>
          <w:tblLook w:val="04A0"/>
        </w:tblPrEx>
        <w:tc>
          <w:tcPr>
            <w:tcW w:w="2695" w:type="dxa"/>
          </w:tcPr>
          <w:p w:rsidR="00447971" w:rsidRPr="002223A2" w:rsidP="00447971" w14:paraId="0A1F240B" w14:textId="77777777">
            <w:pPr>
              <w:rPr>
                <w:rStyle w:val="StyleAptos10pt"/>
              </w:rPr>
            </w:pPr>
            <w:r w:rsidRPr="002223A2">
              <w:rPr>
                <w:rStyle w:val="StyleAptos10pt"/>
              </w:rPr>
              <w:t>Section 15.14(f)</w:t>
            </w:r>
          </w:p>
        </w:tc>
        <w:tc>
          <w:tcPr>
            <w:tcW w:w="1530" w:type="dxa"/>
          </w:tcPr>
          <w:p w:rsidR="00447971" w:rsidRPr="002223A2" w:rsidP="00447971" w14:paraId="67B65FC2" w14:textId="77777777">
            <w:pPr>
              <w:jc w:val="center"/>
              <w:rPr>
                <w:rStyle w:val="StyleAptos10pt"/>
              </w:rPr>
            </w:pPr>
            <w:r w:rsidRPr="002223A2">
              <w:rPr>
                <w:rStyle w:val="StyleAptos10pt"/>
              </w:rPr>
              <w:t>39</w:t>
            </w:r>
          </w:p>
        </w:tc>
        <w:tc>
          <w:tcPr>
            <w:tcW w:w="1710" w:type="dxa"/>
          </w:tcPr>
          <w:p w:rsidR="00447971" w:rsidRPr="002223A2" w:rsidP="00447971" w14:paraId="5A84844B" w14:textId="77777777">
            <w:pPr>
              <w:jc w:val="center"/>
              <w:rPr>
                <w:rStyle w:val="StyleAptos10pt"/>
              </w:rPr>
            </w:pPr>
            <w:r w:rsidRPr="002223A2">
              <w:rPr>
                <w:rStyle w:val="StyleAptos10pt"/>
              </w:rPr>
              <w:t>1</w:t>
            </w:r>
          </w:p>
        </w:tc>
        <w:tc>
          <w:tcPr>
            <w:tcW w:w="1890" w:type="dxa"/>
          </w:tcPr>
          <w:p w:rsidR="00447971" w:rsidRPr="002223A2" w:rsidP="00447971" w14:paraId="28D423E3" w14:textId="77777777">
            <w:pPr>
              <w:jc w:val="center"/>
              <w:rPr>
                <w:rStyle w:val="StyleAptos10pt"/>
              </w:rPr>
            </w:pPr>
            <w:r w:rsidRPr="002223A2">
              <w:rPr>
                <w:rStyle w:val="StyleAptos10pt"/>
              </w:rPr>
              <w:t>40</w:t>
            </w:r>
          </w:p>
        </w:tc>
        <w:tc>
          <w:tcPr>
            <w:tcW w:w="2340" w:type="dxa"/>
          </w:tcPr>
          <w:p w:rsidR="00447971" w:rsidRPr="002223A2" w:rsidP="00447971" w14:paraId="6D7191DB" w14:textId="77777777">
            <w:pPr>
              <w:jc w:val="center"/>
              <w:rPr>
                <w:rStyle w:val="StyleAptos10pt"/>
              </w:rPr>
            </w:pPr>
            <w:r w:rsidRPr="002223A2">
              <w:rPr>
                <w:rStyle w:val="StyleAptos10pt"/>
              </w:rPr>
              <w:t>1,560</w:t>
            </w:r>
          </w:p>
        </w:tc>
      </w:tr>
      <w:tr w14:paraId="09836C58" w14:textId="77777777" w:rsidTr="00E2546A">
        <w:tblPrEx>
          <w:tblW w:w="10165" w:type="dxa"/>
          <w:tblLook w:val="04A0"/>
        </w:tblPrEx>
        <w:tc>
          <w:tcPr>
            <w:tcW w:w="2695" w:type="dxa"/>
          </w:tcPr>
          <w:p w:rsidR="00447971" w:rsidRPr="002223A2" w:rsidP="00447971" w14:paraId="39C85625" w14:textId="77777777">
            <w:pPr>
              <w:rPr>
                <w:rStyle w:val="StyleAptos10pt"/>
              </w:rPr>
            </w:pPr>
            <w:r w:rsidRPr="002223A2">
              <w:rPr>
                <w:rStyle w:val="StyleAptos10pt"/>
              </w:rPr>
              <w:t>Section 15.14(g)</w:t>
            </w:r>
          </w:p>
        </w:tc>
        <w:tc>
          <w:tcPr>
            <w:tcW w:w="1530" w:type="dxa"/>
          </w:tcPr>
          <w:p w:rsidR="00447971" w:rsidRPr="002223A2" w:rsidP="00447971" w14:paraId="559DACCC" w14:textId="77777777">
            <w:pPr>
              <w:jc w:val="center"/>
              <w:rPr>
                <w:rStyle w:val="StyleAptos10pt"/>
              </w:rPr>
            </w:pPr>
            <w:r w:rsidRPr="002223A2">
              <w:rPr>
                <w:rStyle w:val="StyleAptos10pt"/>
              </w:rPr>
              <w:t>39</w:t>
            </w:r>
          </w:p>
        </w:tc>
        <w:tc>
          <w:tcPr>
            <w:tcW w:w="1710" w:type="dxa"/>
          </w:tcPr>
          <w:p w:rsidR="00447971" w:rsidRPr="002223A2" w:rsidP="00447971" w14:paraId="1CFAE268" w14:textId="77777777">
            <w:pPr>
              <w:jc w:val="center"/>
              <w:rPr>
                <w:rStyle w:val="StyleAptos10pt"/>
              </w:rPr>
            </w:pPr>
            <w:r w:rsidRPr="002223A2">
              <w:rPr>
                <w:rStyle w:val="StyleAptos10pt"/>
              </w:rPr>
              <w:t>1</w:t>
            </w:r>
          </w:p>
        </w:tc>
        <w:tc>
          <w:tcPr>
            <w:tcW w:w="1890" w:type="dxa"/>
          </w:tcPr>
          <w:p w:rsidR="00447971" w:rsidRPr="002223A2" w:rsidP="00447971" w14:paraId="5FCC7085" w14:textId="77777777">
            <w:pPr>
              <w:jc w:val="center"/>
              <w:rPr>
                <w:rStyle w:val="StyleAptos10pt"/>
              </w:rPr>
            </w:pPr>
            <w:r w:rsidRPr="002223A2">
              <w:rPr>
                <w:rStyle w:val="StyleAptos10pt"/>
              </w:rPr>
              <w:t>40</w:t>
            </w:r>
          </w:p>
        </w:tc>
        <w:tc>
          <w:tcPr>
            <w:tcW w:w="2340" w:type="dxa"/>
          </w:tcPr>
          <w:p w:rsidR="00447971" w:rsidRPr="002223A2" w:rsidP="00447971" w14:paraId="410575C2" w14:textId="77777777">
            <w:pPr>
              <w:jc w:val="center"/>
              <w:rPr>
                <w:rStyle w:val="StyleAptos10pt"/>
              </w:rPr>
            </w:pPr>
            <w:r w:rsidRPr="002223A2">
              <w:rPr>
                <w:rStyle w:val="StyleAptos10pt"/>
              </w:rPr>
              <w:t>1,560</w:t>
            </w:r>
          </w:p>
        </w:tc>
      </w:tr>
      <w:tr w14:paraId="798782E3" w14:textId="77777777" w:rsidTr="00E2546A">
        <w:tblPrEx>
          <w:tblW w:w="10165" w:type="dxa"/>
          <w:tblLook w:val="04A0"/>
        </w:tblPrEx>
        <w:tc>
          <w:tcPr>
            <w:tcW w:w="2695" w:type="dxa"/>
          </w:tcPr>
          <w:p w:rsidR="00447971" w:rsidRPr="002223A2" w:rsidP="00447971" w14:paraId="11E02FC8" w14:textId="77777777">
            <w:pPr>
              <w:rPr>
                <w:rStyle w:val="StyleAptos10pt"/>
              </w:rPr>
            </w:pPr>
            <w:r w:rsidRPr="002223A2">
              <w:rPr>
                <w:rStyle w:val="StyleAptos10pt"/>
              </w:rPr>
              <w:t>Section 15.14(l)(1)</w:t>
            </w:r>
          </w:p>
        </w:tc>
        <w:tc>
          <w:tcPr>
            <w:tcW w:w="1530" w:type="dxa"/>
          </w:tcPr>
          <w:p w:rsidR="00447971" w:rsidRPr="002223A2" w:rsidP="00447971" w14:paraId="6095CDE4" w14:textId="77777777">
            <w:pPr>
              <w:jc w:val="center"/>
              <w:rPr>
                <w:rStyle w:val="StyleAptos10pt"/>
              </w:rPr>
            </w:pPr>
            <w:r w:rsidRPr="002223A2">
              <w:rPr>
                <w:rStyle w:val="StyleAptos10pt"/>
              </w:rPr>
              <w:t>1</w:t>
            </w:r>
          </w:p>
        </w:tc>
        <w:tc>
          <w:tcPr>
            <w:tcW w:w="1710" w:type="dxa"/>
          </w:tcPr>
          <w:p w:rsidR="00447971" w:rsidRPr="002223A2" w:rsidP="00447971" w14:paraId="6E08938B" w14:textId="77777777">
            <w:pPr>
              <w:jc w:val="center"/>
              <w:rPr>
                <w:rStyle w:val="StyleAptos10pt"/>
              </w:rPr>
            </w:pPr>
            <w:r w:rsidRPr="002223A2">
              <w:rPr>
                <w:rStyle w:val="StyleAptos10pt"/>
              </w:rPr>
              <w:t>1</w:t>
            </w:r>
          </w:p>
        </w:tc>
        <w:tc>
          <w:tcPr>
            <w:tcW w:w="1890" w:type="dxa"/>
          </w:tcPr>
          <w:p w:rsidR="00447971" w:rsidRPr="002223A2" w:rsidP="00447971" w14:paraId="5A113507" w14:textId="77777777">
            <w:pPr>
              <w:jc w:val="center"/>
              <w:rPr>
                <w:rStyle w:val="StyleAptos10pt"/>
              </w:rPr>
            </w:pPr>
            <w:r w:rsidRPr="002223A2">
              <w:rPr>
                <w:rStyle w:val="StyleAptos10pt"/>
              </w:rPr>
              <w:t>1</w:t>
            </w:r>
          </w:p>
        </w:tc>
        <w:tc>
          <w:tcPr>
            <w:tcW w:w="2340" w:type="dxa"/>
          </w:tcPr>
          <w:p w:rsidR="00447971" w:rsidRPr="002223A2" w:rsidP="00447971" w14:paraId="612C3F5B" w14:textId="77777777">
            <w:pPr>
              <w:jc w:val="center"/>
              <w:rPr>
                <w:rStyle w:val="StyleAptos10pt"/>
              </w:rPr>
            </w:pPr>
            <w:r w:rsidRPr="002223A2">
              <w:rPr>
                <w:rStyle w:val="StyleAptos10pt"/>
              </w:rPr>
              <w:t>1</w:t>
            </w:r>
          </w:p>
        </w:tc>
      </w:tr>
      <w:tr w14:paraId="2FEFA535" w14:textId="77777777" w:rsidTr="00E2546A">
        <w:tblPrEx>
          <w:tblW w:w="10165" w:type="dxa"/>
          <w:tblLook w:val="04A0"/>
        </w:tblPrEx>
        <w:tc>
          <w:tcPr>
            <w:tcW w:w="2695" w:type="dxa"/>
          </w:tcPr>
          <w:p w:rsidR="00447971" w:rsidRPr="002223A2" w:rsidP="00447971" w14:paraId="5EB52FD4" w14:textId="77777777">
            <w:pPr>
              <w:rPr>
                <w:rStyle w:val="StyleAptos10pt"/>
              </w:rPr>
            </w:pPr>
            <w:r w:rsidRPr="002223A2">
              <w:rPr>
                <w:rStyle w:val="StyleAptos10pt"/>
              </w:rPr>
              <w:t>Section 15.15(b)(1)(i) and (ii)</w:t>
            </w:r>
          </w:p>
        </w:tc>
        <w:tc>
          <w:tcPr>
            <w:tcW w:w="1530" w:type="dxa"/>
          </w:tcPr>
          <w:p w:rsidR="00447971" w:rsidRPr="002223A2" w:rsidP="00447971" w14:paraId="67F8D179" w14:textId="77777777">
            <w:pPr>
              <w:jc w:val="center"/>
              <w:rPr>
                <w:rStyle w:val="StyleAptos10pt"/>
              </w:rPr>
            </w:pPr>
            <w:r w:rsidRPr="002223A2">
              <w:rPr>
                <w:rStyle w:val="StyleAptos10pt"/>
              </w:rPr>
              <w:t>1</w:t>
            </w:r>
          </w:p>
        </w:tc>
        <w:tc>
          <w:tcPr>
            <w:tcW w:w="1710" w:type="dxa"/>
          </w:tcPr>
          <w:p w:rsidR="00447971" w:rsidRPr="002223A2" w:rsidP="00447971" w14:paraId="4F88F9A7" w14:textId="77777777">
            <w:pPr>
              <w:jc w:val="center"/>
              <w:rPr>
                <w:rStyle w:val="StyleAptos10pt"/>
              </w:rPr>
            </w:pPr>
            <w:r w:rsidRPr="002223A2">
              <w:rPr>
                <w:rStyle w:val="StyleAptos10pt"/>
              </w:rPr>
              <w:t>1</w:t>
            </w:r>
          </w:p>
        </w:tc>
        <w:tc>
          <w:tcPr>
            <w:tcW w:w="1890" w:type="dxa"/>
          </w:tcPr>
          <w:p w:rsidR="00447971" w:rsidRPr="002223A2" w:rsidP="00447971" w14:paraId="54DE6EAF" w14:textId="77777777">
            <w:pPr>
              <w:jc w:val="center"/>
              <w:rPr>
                <w:rStyle w:val="StyleAptos10pt"/>
              </w:rPr>
            </w:pPr>
            <w:r w:rsidRPr="002223A2">
              <w:rPr>
                <w:rStyle w:val="StyleAptos10pt"/>
              </w:rPr>
              <w:t>160</w:t>
            </w:r>
          </w:p>
        </w:tc>
        <w:tc>
          <w:tcPr>
            <w:tcW w:w="2340" w:type="dxa"/>
          </w:tcPr>
          <w:p w:rsidR="00447971" w:rsidRPr="002223A2" w:rsidP="00447971" w14:paraId="74490271" w14:textId="77777777">
            <w:pPr>
              <w:jc w:val="center"/>
              <w:rPr>
                <w:rStyle w:val="StyleAptos10pt"/>
              </w:rPr>
            </w:pPr>
            <w:r w:rsidRPr="002223A2">
              <w:rPr>
                <w:rStyle w:val="StyleAptos10pt"/>
              </w:rPr>
              <w:t>160</w:t>
            </w:r>
          </w:p>
        </w:tc>
      </w:tr>
      <w:tr w14:paraId="208A1A29" w14:textId="77777777" w:rsidTr="00E2546A">
        <w:tblPrEx>
          <w:tblW w:w="10165" w:type="dxa"/>
          <w:tblLook w:val="04A0"/>
        </w:tblPrEx>
        <w:tc>
          <w:tcPr>
            <w:tcW w:w="2695" w:type="dxa"/>
          </w:tcPr>
          <w:p w:rsidR="00447971" w:rsidRPr="002223A2" w:rsidP="00447971" w14:paraId="17A1BB59" w14:textId="77777777">
            <w:pPr>
              <w:rPr>
                <w:rStyle w:val="StyleAptos10pt"/>
              </w:rPr>
            </w:pPr>
            <w:r w:rsidRPr="002223A2">
              <w:rPr>
                <w:rStyle w:val="StyleAptos10pt"/>
              </w:rPr>
              <w:t>Section 15.15(b)(4)(ii)</w:t>
            </w:r>
          </w:p>
        </w:tc>
        <w:tc>
          <w:tcPr>
            <w:tcW w:w="1530" w:type="dxa"/>
          </w:tcPr>
          <w:p w:rsidR="00447971" w:rsidRPr="002223A2" w:rsidP="00447971" w14:paraId="329CF7AF" w14:textId="77777777">
            <w:pPr>
              <w:jc w:val="center"/>
              <w:rPr>
                <w:rStyle w:val="StyleAptos10pt"/>
              </w:rPr>
            </w:pPr>
            <w:r w:rsidRPr="002223A2">
              <w:rPr>
                <w:rStyle w:val="StyleAptos10pt"/>
              </w:rPr>
              <w:t>1</w:t>
            </w:r>
          </w:p>
        </w:tc>
        <w:tc>
          <w:tcPr>
            <w:tcW w:w="1710" w:type="dxa"/>
          </w:tcPr>
          <w:p w:rsidR="00447971" w:rsidRPr="002223A2" w:rsidP="00447971" w14:paraId="4AD6D0D0" w14:textId="77777777">
            <w:pPr>
              <w:jc w:val="center"/>
              <w:rPr>
                <w:rStyle w:val="StyleAptos10pt"/>
              </w:rPr>
            </w:pPr>
            <w:r w:rsidRPr="002223A2">
              <w:rPr>
                <w:rStyle w:val="StyleAptos10pt"/>
              </w:rPr>
              <w:t>1</w:t>
            </w:r>
          </w:p>
        </w:tc>
        <w:tc>
          <w:tcPr>
            <w:tcW w:w="1890" w:type="dxa"/>
          </w:tcPr>
          <w:p w:rsidR="00447971" w:rsidRPr="002223A2" w:rsidP="00447971" w14:paraId="2E15860B" w14:textId="77777777">
            <w:pPr>
              <w:jc w:val="center"/>
              <w:rPr>
                <w:rStyle w:val="StyleAptos10pt"/>
              </w:rPr>
            </w:pPr>
            <w:r w:rsidRPr="002223A2">
              <w:rPr>
                <w:rStyle w:val="StyleAptos10pt"/>
              </w:rPr>
              <w:t>1</w:t>
            </w:r>
          </w:p>
        </w:tc>
        <w:tc>
          <w:tcPr>
            <w:tcW w:w="2340" w:type="dxa"/>
          </w:tcPr>
          <w:p w:rsidR="00447971" w:rsidRPr="002223A2" w:rsidP="00447971" w14:paraId="0AC41C9B" w14:textId="77777777">
            <w:pPr>
              <w:jc w:val="center"/>
              <w:rPr>
                <w:rStyle w:val="StyleAptos10pt"/>
              </w:rPr>
            </w:pPr>
            <w:r w:rsidRPr="002223A2">
              <w:rPr>
                <w:rStyle w:val="StyleAptos10pt"/>
              </w:rPr>
              <w:t>1</w:t>
            </w:r>
          </w:p>
        </w:tc>
      </w:tr>
      <w:tr w14:paraId="0DB03E0E" w14:textId="77777777" w:rsidTr="00E2546A">
        <w:tblPrEx>
          <w:tblW w:w="10165" w:type="dxa"/>
          <w:tblLook w:val="04A0"/>
        </w:tblPrEx>
        <w:tc>
          <w:tcPr>
            <w:tcW w:w="2695" w:type="dxa"/>
          </w:tcPr>
          <w:p w:rsidR="00447971" w:rsidRPr="002223A2" w:rsidP="00447971" w14:paraId="6D1A650B" w14:textId="77777777">
            <w:pPr>
              <w:rPr>
                <w:rStyle w:val="StyleAptos10pt"/>
              </w:rPr>
            </w:pPr>
            <w:r w:rsidRPr="002223A2">
              <w:rPr>
                <w:rStyle w:val="StyleAptos10pt"/>
              </w:rPr>
              <w:t>Section 15.21(b)(1)</w:t>
            </w:r>
          </w:p>
        </w:tc>
        <w:tc>
          <w:tcPr>
            <w:tcW w:w="1530" w:type="dxa"/>
          </w:tcPr>
          <w:p w:rsidR="00447971" w:rsidRPr="002223A2" w:rsidP="00447971" w14:paraId="28A34225" w14:textId="77777777">
            <w:pPr>
              <w:jc w:val="center"/>
              <w:rPr>
                <w:rStyle w:val="StyleAptos10pt"/>
              </w:rPr>
            </w:pPr>
            <w:r w:rsidRPr="002223A2">
              <w:rPr>
                <w:rStyle w:val="StyleAptos10pt"/>
              </w:rPr>
              <w:t>21</w:t>
            </w:r>
          </w:p>
        </w:tc>
        <w:tc>
          <w:tcPr>
            <w:tcW w:w="1710" w:type="dxa"/>
          </w:tcPr>
          <w:p w:rsidR="00447971" w:rsidRPr="002223A2" w:rsidP="00447971" w14:paraId="1A2D55B1" w14:textId="77777777">
            <w:pPr>
              <w:jc w:val="center"/>
              <w:rPr>
                <w:rStyle w:val="StyleAptos10pt"/>
              </w:rPr>
            </w:pPr>
            <w:r w:rsidRPr="002223A2">
              <w:rPr>
                <w:rStyle w:val="StyleAptos10pt"/>
              </w:rPr>
              <w:t>1</w:t>
            </w:r>
          </w:p>
        </w:tc>
        <w:tc>
          <w:tcPr>
            <w:tcW w:w="1890" w:type="dxa"/>
          </w:tcPr>
          <w:p w:rsidR="00447971" w:rsidRPr="002223A2" w:rsidP="00447971" w14:paraId="583D2F61" w14:textId="77777777">
            <w:pPr>
              <w:jc w:val="center"/>
              <w:rPr>
                <w:rStyle w:val="StyleAptos10pt"/>
              </w:rPr>
            </w:pPr>
            <w:r w:rsidRPr="002223A2">
              <w:rPr>
                <w:rStyle w:val="StyleAptos10pt"/>
              </w:rPr>
              <w:t>8</w:t>
            </w:r>
          </w:p>
        </w:tc>
        <w:tc>
          <w:tcPr>
            <w:tcW w:w="2340" w:type="dxa"/>
          </w:tcPr>
          <w:p w:rsidR="00447971" w:rsidRPr="002223A2" w:rsidP="00447971" w14:paraId="3E4F9267" w14:textId="77777777">
            <w:pPr>
              <w:jc w:val="center"/>
              <w:rPr>
                <w:rStyle w:val="StyleAptos10pt"/>
              </w:rPr>
            </w:pPr>
            <w:r w:rsidRPr="002223A2">
              <w:rPr>
                <w:rStyle w:val="StyleAptos10pt"/>
              </w:rPr>
              <w:t>168</w:t>
            </w:r>
          </w:p>
        </w:tc>
      </w:tr>
      <w:tr w14:paraId="0F0A5DFC" w14:textId="77777777" w:rsidTr="00E2546A">
        <w:tblPrEx>
          <w:tblW w:w="10165" w:type="dxa"/>
          <w:tblLook w:val="04A0"/>
        </w:tblPrEx>
        <w:tc>
          <w:tcPr>
            <w:tcW w:w="2695" w:type="dxa"/>
          </w:tcPr>
          <w:p w:rsidR="00447971" w:rsidRPr="002223A2" w:rsidP="00447971" w14:paraId="3D496140" w14:textId="77777777">
            <w:pPr>
              <w:rPr>
                <w:rStyle w:val="StyleAptos10pt"/>
              </w:rPr>
            </w:pPr>
            <w:r w:rsidRPr="002223A2">
              <w:rPr>
                <w:rStyle w:val="StyleAptos10pt"/>
              </w:rPr>
              <w:t>Section 15.21(b)(2)(i)</w:t>
            </w:r>
          </w:p>
        </w:tc>
        <w:tc>
          <w:tcPr>
            <w:tcW w:w="1530" w:type="dxa"/>
          </w:tcPr>
          <w:p w:rsidR="00447971" w:rsidRPr="002223A2" w:rsidP="00447971" w14:paraId="432496A3" w14:textId="77777777">
            <w:pPr>
              <w:jc w:val="center"/>
              <w:rPr>
                <w:rStyle w:val="StyleAptos10pt"/>
              </w:rPr>
            </w:pPr>
            <w:r w:rsidRPr="002223A2">
              <w:rPr>
                <w:rStyle w:val="StyleAptos10pt"/>
              </w:rPr>
              <w:t>1</w:t>
            </w:r>
          </w:p>
        </w:tc>
        <w:tc>
          <w:tcPr>
            <w:tcW w:w="1710" w:type="dxa"/>
          </w:tcPr>
          <w:p w:rsidR="00447971" w:rsidRPr="002223A2" w:rsidP="00447971" w14:paraId="6DB3C281" w14:textId="77777777">
            <w:pPr>
              <w:jc w:val="center"/>
              <w:rPr>
                <w:rStyle w:val="StyleAptos10pt"/>
              </w:rPr>
            </w:pPr>
            <w:r w:rsidRPr="002223A2">
              <w:rPr>
                <w:rStyle w:val="StyleAptos10pt"/>
              </w:rPr>
              <w:t>1</w:t>
            </w:r>
          </w:p>
        </w:tc>
        <w:tc>
          <w:tcPr>
            <w:tcW w:w="1890" w:type="dxa"/>
          </w:tcPr>
          <w:p w:rsidR="00447971" w:rsidRPr="002223A2" w:rsidP="00447971" w14:paraId="2439C028" w14:textId="77777777">
            <w:pPr>
              <w:jc w:val="center"/>
              <w:rPr>
                <w:rStyle w:val="StyleAptos10pt"/>
              </w:rPr>
            </w:pPr>
            <w:r w:rsidRPr="002223A2">
              <w:rPr>
                <w:rStyle w:val="StyleAptos10pt"/>
              </w:rPr>
              <w:t>1</w:t>
            </w:r>
          </w:p>
        </w:tc>
        <w:tc>
          <w:tcPr>
            <w:tcW w:w="2340" w:type="dxa"/>
          </w:tcPr>
          <w:p w:rsidR="00447971" w:rsidRPr="002223A2" w:rsidP="00447971" w14:paraId="568D8A95" w14:textId="77777777">
            <w:pPr>
              <w:jc w:val="center"/>
              <w:rPr>
                <w:rStyle w:val="StyleAptos10pt"/>
              </w:rPr>
            </w:pPr>
            <w:r w:rsidRPr="002223A2">
              <w:rPr>
                <w:rStyle w:val="StyleAptos10pt"/>
              </w:rPr>
              <w:t>1</w:t>
            </w:r>
          </w:p>
        </w:tc>
      </w:tr>
      <w:tr w14:paraId="18CEB45A" w14:textId="77777777" w:rsidTr="00E2546A">
        <w:tblPrEx>
          <w:tblW w:w="10165" w:type="dxa"/>
          <w:tblLook w:val="04A0"/>
        </w:tblPrEx>
        <w:tc>
          <w:tcPr>
            <w:tcW w:w="2695" w:type="dxa"/>
          </w:tcPr>
          <w:p w:rsidR="00447971" w:rsidRPr="002223A2" w:rsidP="00447971" w14:paraId="1BC43696" w14:textId="77777777">
            <w:pPr>
              <w:rPr>
                <w:rStyle w:val="StyleAptos10pt"/>
              </w:rPr>
            </w:pPr>
            <w:r w:rsidRPr="002223A2">
              <w:rPr>
                <w:rStyle w:val="StyleAptos10pt"/>
              </w:rPr>
              <w:t>Section 15.22(c)</w:t>
            </w:r>
          </w:p>
        </w:tc>
        <w:tc>
          <w:tcPr>
            <w:tcW w:w="1530" w:type="dxa"/>
          </w:tcPr>
          <w:p w:rsidR="00447971" w:rsidRPr="002223A2" w:rsidP="00447971" w14:paraId="516EC825" w14:textId="77777777">
            <w:pPr>
              <w:jc w:val="center"/>
              <w:rPr>
                <w:rStyle w:val="StyleAptos10pt"/>
              </w:rPr>
            </w:pPr>
            <w:r w:rsidRPr="002223A2">
              <w:rPr>
                <w:rStyle w:val="StyleAptos10pt"/>
              </w:rPr>
              <w:t>1</w:t>
            </w:r>
          </w:p>
        </w:tc>
        <w:tc>
          <w:tcPr>
            <w:tcW w:w="1710" w:type="dxa"/>
          </w:tcPr>
          <w:p w:rsidR="00447971" w:rsidRPr="002223A2" w:rsidP="00447971" w14:paraId="2201215D" w14:textId="77777777">
            <w:pPr>
              <w:jc w:val="center"/>
              <w:rPr>
                <w:rStyle w:val="StyleAptos10pt"/>
              </w:rPr>
            </w:pPr>
            <w:r w:rsidRPr="002223A2">
              <w:rPr>
                <w:rStyle w:val="StyleAptos10pt"/>
              </w:rPr>
              <w:t>1</w:t>
            </w:r>
          </w:p>
        </w:tc>
        <w:tc>
          <w:tcPr>
            <w:tcW w:w="1890" w:type="dxa"/>
          </w:tcPr>
          <w:p w:rsidR="00447971" w:rsidRPr="002223A2" w:rsidP="00447971" w14:paraId="2069B22C" w14:textId="77777777">
            <w:pPr>
              <w:jc w:val="center"/>
              <w:rPr>
                <w:rStyle w:val="StyleAptos10pt"/>
              </w:rPr>
            </w:pPr>
            <w:r w:rsidRPr="002223A2">
              <w:rPr>
                <w:rStyle w:val="StyleAptos10pt"/>
              </w:rPr>
              <w:t>1</w:t>
            </w:r>
          </w:p>
        </w:tc>
        <w:tc>
          <w:tcPr>
            <w:tcW w:w="2340" w:type="dxa"/>
          </w:tcPr>
          <w:p w:rsidR="00447971" w:rsidRPr="002223A2" w:rsidP="00447971" w14:paraId="11E4FD1B" w14:textId="77777777">
            <w:pPr>
              <w:jc w:val="center"/>
              <w:rPr>
                <w:rStyle w:val="StyleAptos10pt"/>
              </w:rPr>
            </w:pPr>
            <w:r w:rsidRPr="002223A2">
              <w:rPr>
                <w:rStyle w:val="StyleAptos10pt"/>
              </w:rPr>
              <w:t>1</w:t>
            </w:r>
          </w:p>
        </w:tc>
      </w:tr>
      <w:tr w14:paraId="02B6A03F" w14:textId="77777777" w:rsidTr="00E2546A">
        <w:tblPrEx>
          <w:tblW w:w="10165" w:type="dxa"/>
          <w:tblLook w:val="04A0"/>
        </w:tblPrEx>
        <w:tc>
          <w:tcPr>
            <w:tcW w:w="2695" w:type="dxa"/>
          </w:tcPr>
          <w:p w:rsidR="00447971" w:rsidRPr="002223A2" w:rsidP="00447971" w14:paraId="4CE9955F" w14:textId="77777777">
            <w:pPr>
              <w:rPr>
                <w:rStyle w:val="StyleAptos10pt"/>
              </w:rPr>
            </w:pPr>
            <w:r w:rsidRPr="002223A2">
              <w:rPr>
                <w:rStyle w:val="StyleAptos10pt"/>
              </w:rPr>
              <w:t>Section 15.41(a)(2)(ii)</w:t>
            </w:r>
          </w:p>
        </w:tc>
        <w:tc>
          <w:tcPr>
            <w:tcW w:w="1530" w:type="dxa"/>
          </w:tcPr>
          <w:p w:rsidR="00447971" w:rsidRPr="002223A2" w:rsidP="00447971" w14:paraId="38142B96" w14:textId="77777777">
            <w:pPr>
              <w:jc w:val="center"/>
              <w:rPr>
                <w:rStyle w:val="StyleAptos10pt"/>
              </w:rPr>
            </w:pPr>
            <w:r w:rsidRPr="002223A2">
              <w:rPr>
                <w:rStyle w:val="StyleAptos10pt"/>
              </w:rPr>
              <w:t>39</w:t>
            </w:r>
          </w:p>
        </w:tc>
        <w:tc>
          <w:tcPr>
            <w:tcW w:w="1710" w:type="dxa"/>
          </w:tcPr>
          <w:p w:rsidR="00447971" w:rsidRPr="002223A2" w:rsidP="00447971" w14:paraId="78D8FDAB" w14:textId="77777777">
            <w:pPr>
              <w:jc w:val="center"/>
              <w:rPr>
                <w:rStyle w:val="StyleAptos10pt"/>
              </w:rPr>
            </w:pPr>
            <w:r w:rsidRPr="002223A2">
              <w:rPr>
                <w:rStyle w:val="StyleAptos10pt"/>
              </w:rPr>
              <w:t>1</w:t>
            </w:r>
          </w:p>
        </w:tc>
        <w:tc>
          <w:tcPr>
            <w:tcW w:w="1890" w:type="dxa"/>
          </w:tcPr>
          <w:p w:rsidR="00447971" w:rsidRPr="002223A2" w:rsidP="00447971" w14:paraId="378883B4" w14:textId="77777777">
            <w:pPr>
              <w:jc w:val="center"/>
              <w:rPr>
                <w:rStyle w:val="StyleAptos10pt"/>
              </w:rPr>
            </w:pPr>
            <w:r w:rsidRPr="002223A2">
              <w:rPr>
                <w:rStyle w:val="StyleAptos10pt"/>
              </w:rPr>
              <w:t>40</w:t>
            </w:r>
          </w:p>
        </w:tc>
        <w:tc>
          <w:tcPr>
            <w:tcW w:w="2340" w:type="dxa"/>
          </w:tcPr>
          <w:p w:rsidR="00447971" w:rsidRPr="002223A2" w:rsidP="00447971" w14:paraId="0B317087" w14:textId="77777777">
            <w:pPr>
              <w:jc w:val="center"/>
              <w:rPr>
                <w:rStyle w:val="StyleAptos10pt"/>
              </w:rPr>
            </w:pPr>
            <w:r w:rsidRPr="002223A2">
              <w:rPr>
                <w:rStyle w:val="StyleAptos10pt"/>
              </w:rPr>
              <w:t>1,560</w:t>
            </w:r>
          </w:p>
        </w:tc>
      </w:tr>
      <w:tr w14:paraId="2AEF050A" w14:textId="77777777" w:rsidTr="00E2546A">
        <w:tblPrEx>
          <w:tblW w:w="10165" w:type="dxa"/>
          <w:tblLook w:val="04A0"/>
        </w:tblPrEx>
        <w:tc>
          <w:tcPr>
            <w:tcW w:w="2695" w:type="dxa"/>
          </w:tcPr>
          <w:p w:rsidR="00447971" w:rsidRPr="002223A2" w:rsidP="00447971" w14:paraId="332E4304" w14:textId="77777777">
            <w:pPr>
              <w:rPr>
                <w:rStyle w:val="StyleAptos10pt"/>
              </w:rPr>
            </w:pPr>
            <w:r w:rsidRPr="002223A2">
              <w:rPr>
                <w:rStyle w:val="StyleAptos10pt"/>
              </w:rPr>
              <w:t>Section 15.41(c)(5)</w:t>
            </w:r>
          </w:p>
        </w:tc>
        <w:tc>
          <w:tcPr>
            <w:tcW w:w="1530" w:type="dxa"/>
          </w:tcPr>
          <w:p w:rsidR="00447971" w:rsidRPr="002223A2" w:rsidP="00447971" w14:paraId="10CDB7CA" w14:textId="77777777">
            <w:pPr>
              <w:jc w:val="center"/>
              <w:rPr>
                <w:rStyle w:val="StyleAptos10pt"/>
              </w:rPr>
            </w:pPr>
            <w:r w:rsidRPr="002223A2">
              <w:rPr>
                <w:rStyle w:val="StyleAptos10pt"/>
              </w:rPr>
              <w:t>39</w:t>
            </w:r>
          </w:p>
        </w:tc>
        <w:tc>
          <w:tcPr>
            <w:tcW w:w="1710" w:type="dxa"/>
          </w:tcPr>
          <w:p w:rsidR="00447971" w:rsidRPr="002223A2" w:rsidP="00447971" w14:paraId="3F1087DD" w14:textId="77777777">
            <w:pPr>
              <w:jc w:val="center"/>
              <w:rPr>
                <w:rStyle w:val="StyleAptos10pt"/>
              </w:rPr>
            </w:pPr>
            <w:r w:rsidRPr="002223A2">
              <w:rPr>
                <w:rStyle w:val="StyleAptos10pt"/>
              </w:rPr>
              <w:t>1</w:t>
            </w:r>
          </w:p>
        </w:tc>
        <w:tc>
          <w:tcPr>
            <w:tcW w:w="1890" w:type="dxa"/>
          </w:tcPr>
          <w:p w:rsidR="00447971" w:rsidRPr="002223A2" w:rsidP="00447971" w14:paraId="78390E10" w14:textId="77777777">
            <w:pPr>
              <w:jc w:val="center"/>
              <w:rPr>
                <w:rStyle w:val="StyleAptos10pt"/>
              </w:rPr>
            </w:pPr>
            <w:r w:rsidRPr="002223A2">
              <w:rPr>
                <w:rStyle w:val="StyleAptos10pt"/>
              </w:rPr>
              <w:t>40</w:t>
            </w:r>
          </w:p>
        </w:tc>
        <w:tc>
          <w:tcPr>
            <w:tcW w:w="2340" w:type="dxa"/>
          </w:tcPr>
          <w:p w:rsidR="00447971" w:rsidRPr="002223A2" w:rsidP="00447971" w14:paraId="3FDD616A" w14:textId="77777777">
            <w:pPr>
              <w:jc w:val="center"/>
              <w:rPr>
                <w:rStyle w:val="StyleAptos10pt"/>
              </w:rPr>
            </w:pPr>
            <w:r w:rsidRPr="002223A2">
              <w:rPr>
                <w:rStyle w:val="StyleAptos10pt"/>
              </w:rPr>
              <w:t>1,560</w:t>
            </w:r>
          </w:p>
        </w:tc>
      </w:tr>
      <w:tr w14:paraId="72DC8FB2" w14:textId="77777777" w:rsidTr="00E2546A">
        <w:tblPrEx>
          <w:tblW w:w="10165" w:type="dxa"/>
          <w:tblLook w:val="04A0"/>
        </w:tblPrEx>
        <w:tc>
          <w:tcPr>
            <w:tcW w:w="10165" w:type="dxa"/>
            <w:gridSpan w:val="5"/>
          </w:tcPr>
          <w:p w:rsidR="00447971" w:rsidRPr="002223A2" w:rsidP="00447971" w14:paraId="2EA108D5" w14:textId="77777777">
            <w:pPr>
              <w:rPr>
                <w:rStyle w:val="StyleAptos10ptBoldItalic"/>
              </w:rPr>
            </w:pPr>
            <w:r w:rsidRPr="002223A2">
              <w:rPr>
                <w:rStyle w:val="StyleAptos10ptBoldItalic"/>
              </w:rPr>
              <w:t>Total Recordkeeping Burden                                                                                                                           28,140</w:t>
            </w:r>
          </w:p>
        </w:tc>
      </w:tr>
      <w:tr w14:paraId="0D63ECED" w14:textId="77777777" w:rsidTr="00447971">
        <w:tblPrEx>
          <w:tblW w:w="10165" w:type="dxa"/>
          <w:tblLook w:val="04A0"/>
        </w:tblPrEx>
        <w:tc>
          <w:tcPr>
            <w:tcW w:w="10165" w:type="dxa"/>
            <w:gridSpan w:val="5"/>
            <w:shd w:val="clear" w:color="auto" w:fill="D9D9D9"/>
          </w:tcPr>
          <w:p w:rsidR="00447971" w:rsidRPr="00AB1885" w:rsidP="00447971" w14:paraId="128181F9" w14:textId="77777777">
            <w:pPr>
              <w:jc w:val="center"/>
              <w:rPr>
                <w:rFonts w:ascii="Times New Roman" w:hAnsi="Times New Roman" w:cs="Times New Roman"/>
                <w:sz w:val="20"/>
              </w:rPr>
            </w:pPr>
          </w:p>
        </w:tc>
      </w:tr>
      <w:tr w14:paraId="7FA3CA07" w14:textId="77777777" w:rsidTr="00E2546A">
        <w:tblPrEx>
          <w:tblW w:w="10165" w:type="dxa"/>
          <w:tblLook w:val="04A0"/>
        </w:tblPrEx>
        <w:tc>
          <w:tcPr>
            <w:tcW w:w="10165" w:type="dxa"/>
            <w:gridSpan w:val="5"/>
          </w:tcPr>
          <w:p w:rsidR="00447971" w:rsidRPr="002223A2" w:rsidP="00447971" w14:paraId="4D84EDCE" w14:textId="77777777">
            <w:pPr>
              <w:rPr>
                <w:rStyle w:val="StyleAptos10ptBold"/>
              </w:rPr>
            </w:pPr>
            <w:r w:rsidRPr="002223A2">
              <w:rPr>
                <w:rStyle w:val="StyleAptos10ptBold"/>
              </w:rPr>
              <w:t>Disclosure Burden</w:t>
            </w:r>
          </w:p>
        </w:tc>
      </w:tr>
      <w:tr w14:paraId="7DCE6241" w14:textId="77777777" w:rsidTr="00E2546A">
        <w:tblPrEx>
          <w:tblW w:w="10165" w:type="dxa"/>
          <w:tblLook w:val="04A0"/>
        </w:tblPrEx>
        <w:tc>
          <w:tcPr>
            <w:tcW w:w="2695" w:type="dxa"/>
          </w:tcPr>
          <w:p w:rsidR="00447971" w:rsidRPr="002223A2" w:rsidP="00447971" w14:paraId="498A78B6" w14:textId="77777777">
            <w:pPr>
              <w:rPr>
                <w:rStyle w:val="StyleAptos10pt"/>
              </w:rPr>
            </w:pPr>
            <w:r w:rsidRPr="002223A2">
              <w:rPr>
                <w:rStyle w:val="StyleAptos10pt"/>
              </w:rPr>
              <w:t>Section 15.11(e)(1)</w:t>
            </w:r>
          </w:p>
        </w:tc>
        <w:tc>
          <w:tcPr>
            <w:tcW w:w="1530" w:type="dxa"/>
          </w:tcPr>
          <w:p w:rsidR="00447971" w:rsidRPr="002223A2" w:rsidP="00447971" w14:paraId="6045B5DB" w14:textId="77777777">
            <w:pPr>
              <w:jc w:val="center"/>
              <w:rPr>
                <w:rStyle w:val="StyleAptos10pt"/>
              </w:rPr>
            </w:pPr>
            <w:r w:rsidRPr="002223A2">
              <w:rPr>
                <w:rStyle w:val="StyleAptos10pt"/>
              </w:rPr>
              <w:t>39</w:t>
            </w:r>
          </w:p>
        </w:tc>
        <w:tc>
          <w:tcPr>
            <w:tcW w:w="1710" w:type="dxa"/>
          </w:tcPr>
          <w:p w:rsidR="00447971" w:rsidRPr="002223A2" w:rsidP="00447971" w14:paraId="6D5E874B" w14:textId="77777777">
            <w:pPr>
              <w:jc w:val="center"/>
              <w:rPr>
                <w:rStyle w:val="StyleAptos10pt"/>
              </w:rPr>
            </w:pPr>
            <w:r w:rsidRPr="002223A2">
              <w:rPr>
                <w:rStyle w:val="StyleAptos10pt"/>
              </w:rPr>
              <w:t>1</w:t>
            </w:r>
          </w:p>
        </w:tc>
        <w:tc>
          <w:tcPr>
            <w:tcW w:w="1890" w:type="dxa"/>
          </w:tcPr>
          <w:p w:rsidR="00447971" w:rsidRPr="002223A2" w:rsidP="00447971" w14:paraId="5E79484C" w14:textId="77777777">
            <w:pPr>
              <w:jc w:val="center"/>
              <w:rPr>
                <w:rStyle w:val="StyleAptos10pt"/>
              </w:rPr>
            </w:pPr>
            <w:r w:rsidRPr="002223A2">
              <w:rPr>
                <w:rStyle w:val="StyleAptos10pt"/>
              </w:rPr>
              <w:t>40</w:t>
            </w:r>
          </w:p>
        </w:tc>
        <w:tc>
          <w:tcPr>
            <w:tcW w:w="2340" w:type="dxa"/>
          </w:tcPr>
          <w:p w:rsidR="00447971" w:rsidRPr="002223A2" w:rsidP="00447971" w14:paraId="6DD775C8" w14:textId="77777777">
            <w:pPr>
              <w:jc w:val="center"/>
              <w:rPr>
                <w:rStyle w:val="StyleAptos10pt"/>
              </w:rPr>
            </w:pPr>
            <w:r w:rsidRPr="002223A2">
              <w:rPr>
                <w:rStyle w:val="StyleAptos10pt"/>
              </w:rPr>
              <w:t>1,560</w:t>
            </w:r>
          </w:p>
        </w:tc>
      </w:tr>
      <w:tr w14:paraId="6EB065B8" w14:textId="77777777" w:rsidTr="00E2546A">
        <w:tblPrEx>
          <w:tblW w:w="10165" w:type="dxa"/>
          <w:tblLook w:val="04A0"/>
        </w:tblPrEx>
        <w:tc>
          <w:tcPr>
            <w:tcW w:w="2695" w:type="dxa"/>
          </w:tcPr>
          <w:p w:rsidR="00447971" w:rsidRPr="002223A2" w:rsidP="00447971" w14:paraId="719C4754" w14:textId="77777777">
            <w:pPr>
              <w:rPr>
                <w:rStyle w:val="StyleAptos10pt"/>
              </w:rPr>
            </w:pPr>
            <w:r w:rsidRPr="002223A2">
              <w:rPr>
                <w:rStyle w:val="StyleAptos10pt"/>
              </w:rPr>
              <w:t>Section 15.12(b)</w:t>
            </w:r>
          </w:p>
        </w:tc>
        <w:tc>
          <w:tcPr>
            <w:tcW w:w="1530" w:type="dxa"/>
          </w:tcPr>
          <w:p w:rsidR="00447971" w:rsidRPr="002223A2" w:rsidP="00447971" w14:paraId="13695B21" w14:textId="77777777">
            <w:pPr>
              <w:jc w:val="center"/>
              <w:rPr>
                <w:rStyle w:val="StyleAptos10pt"/>
              </w:rPr>
            </w:pPr>
            <w:r w:rsidRPr="002223A2">
              <w:rPr>
                <w:rStyle w:val="StyleAptos10pt"/>
              </w:rPr>
              <w:t>39</w:t>
            </w:r>
          </w:p>
        </w:tc>
        <w:tc>
          <w:tcPr>
            <w:tcW w:w="1710" w:type="dxa"/>
          </w:tcPr>
          <w:p w:rsidR="00447971" w:rsidRPr="002223A2" w:rsidP="00447971" w14:paraId="4BD9ACF9" w14:textId="77777777">
            <w:pPr>
              <w:jc w:val="center"/>
              <w:rPr>
                <w:rStyle w:val="StyleAptos10pt"/>
              </w:rPr>
            </w:pPr>
            <w:r w:rsidRPr="002223A2">
              <w:rPr>
                <w:rStyle w:val="StyleAptos10pt"/>
              </w:rPr>
              <w:t>1</w:t>
            </w:r>
          </w:p>
        </w:tc>
        <w:tc>
          <w:tcPr>
            <w:tcW w:w="1890" w:type="dxa"/>
          </w:tcPr>
          <w:p w:rsidR="00447971" w:rsidRPr="002223A2" w:rsidP="00447971" w14:paraId="78CD97D5" w14:textId="77777777">
            <w:pPr>
              <w:jc w:val="center"/>
              <w:rPr>
                <w:rStyle w:val="StyleAptos10pt"/>
              </w:rPr>
            </w:pPr>
            <w:r w:rsidRPr="002223A2">
              <w:rPr>
                <w:rStyle w:val="StyleAptos10pt"/>
              </w:rPr>
              <w:t>0.5</w:t>
            </w:r>
          </w:p>
        </w:tc>
        <w:tc>
          <w:tcPr>
            <w:tcW w:w="2340" w:type="dxa"/>
          </w:tcPr>
          <w:p w:rsidR="00447971" w:rsidRPr="002223A2" w:rsidP="00447971" w14:paraId="0246BC3F" w14:textId="77777777">
            <w:pPr>
              <w:jc w:val="center"/>
              <w:rPr>
                <w:rStyle w:val="StyleAptos10pt"/>
              </w:rPr>
            </w:pPr>
            <w:r w:rsidRPr="002223A2">
              <w:rPr>
                <w:rStyle w:val="StyleAptos10pt"/>
              </w:rPr>
              <w:t>19.5</w:t>
            </w:r>
          </w:p>
        </w:tc>
      </w:tr>
      <w:tr w14:paraId="3B7D6400" w14:textId="77777777" w:rsidTr="00E2546A">
        <w:tblPrEx>
          <w:tblW w:w="10165" w:type="dxa"/>
          <w:tblLook w:val="04A0"/>
        </w:tblPrEx>
        <w:tc>
          <w:tcPr>
            <w:tcW w:w="2695" w:type="dxa"/>
          </w:tcPr>
          <w:p w:rsidR="00447971" w:rsidRPr="002223A2" w:rsidP="00447971" w14:paraId="003B43D4" w14:textId="77777777">
            <w:pPr>
              <w:rPr>
                <w:rStyle w:val="StyleAptos10pt"/>
              </w:rPr>
            </w:pPr>
            <w:r w:rsidRPr="002223A2">
              <w:rPr>
                <w:rStyle w:val="StyleAptos10pt"/>
              </w:rPr>
              <w:t>Section 15.12(e)</w:t>
            </w:r>
          </w:p>
        </w:tc>
        <w:tc>
          <w:tcPr>
            <w:tcW w:w="1530" w:type="dxa"/>
          </w:tcPr>
          <w:p w:rsidR="00447971" w:rsidRPr="002223A2" w:rsidP="00447971" w14:paraId="7CA5C97E" w14:textId="77777777">
            <w:pPr>
              <w:jc w:val="center"/>
              <w:rPr>
                <w:rStyle w:val="StyleAptos10pt"/>
              </w:rPr>
            </w:pPr>
            <w:r w:rsidRPr="002223A2">
              <w:rPr>
                <w:rStyle w:val="StyleAptos10pt"/>
              </w:rPr>
              <w:t>39</w:t>
            </w:r>
          </w:p>
        </w:tc>
        <w:tc>
          <w:tcPr>
            <w:tcW w:w="1710" w:type="dxa"/>
          </w:tcPr>
          <w:p w:rsidR="00447971" w:rsidRPr="002223A2" w:rsidP="00447971" w14:paraId="7F2FF0CA" w14:textId="77777777">
            <w:pPr>
              <w:jc w:val="center"/>
              <w:rPr>
                <w:rStyle w:val="StyleAptos10pt"/>
              </w:rPr>
            </w:pPr>
            <w:r w:rsidRPr="002223A2">
              <w:rPr>
                <w:rStyle w:val="StyleAptos10pt"/>
              </w:rPr>
              <w:t>1</w:t>
            </w:r>
          </w:p>
        </w:tc>
        <w:tc>
          <w:tcPr>
            <w:tcW w:w="1890" w:type="dxa"/>
          </w:tcPr>
          <w:p w:rsidR="00447971" w:rsidRPr="002223A2" w:rsidP="00447971" w14:paraId="6D3573EF" w14:textId="77777777">
            <w:pPr>
              <w:jc w:val="center"/>
              <w:rPr>
                <w:rStyle w:val="StyleAptos10pt"/>
              </w:rPr>
            </w:pPr>
            <w:r w:rsidRPr="002223A2">
              <w:rPr>
                <w:rStyle w:val="StyleAptos10pt"/>
              </w:rPr>
              <w:t>16</w:t>
            </w:r>
          </w:p>
        </w:tc>
        <w:tc>
          <w:tcPr>
            <w:tcW w:w="2340" w:type="dxa"/>
          </w:tcPr>
          <w:p w:rsidR="00447971" w:rsidRPr="002223A2" w:rsidP="00447971" w14:paraId="36AD9016" w14:textId="77777777">
            <w:pPr>
              <w:jc w:val="center"/>
              <w:rPr>
                <w:rStyle w:val="StyleAptos10pt"/>
              </w:rPr>
            </w:pPr>
            <w:r w:rsidRPr="002223A2">
              <w:rPr>
                <w:rStyle w:val="StyleAptos10pt"/>
              </w:rPr>
              <w:t>624</w:t>
            </w:r>
          </w:p>
        </w:tc>
      </w:tr>
      <w:tr w14:paraId="712EF548" w14:textId="77777777" w:rsidTr="00E2546A">
        <w:tblPrEx>
          <w:tblW w:w="10165" w:type="dxa"/>
          <w:tblLook w:val="04A0"/>
        </w:tblPrEx>
        <w:tc>
          <w:tcPr>
            <w:tcW w:w="2695" w:type="dxa"/>
          </w:tcPr>
          <w:p w:rsidR="00447971" w:rsidRPr="002223A2" w:rsidP="00447971" w14:paraId="54721CD4" w14:textId="77777777">
            <w:pPr>
              <w:rPr>
                <w:rStyle w:val="StyleAptos10pt"/>
              </w:rPr>
            </w:pPr>
            <w:r w:rsidRPr="002223A2">
              <w:rPr>
                <w:rStyle w:val="StyleAptos10pt"/>
              </w:rPr>
              <w:t>Section 15.14(l)</w:t>
            </w:r>
          </w:p>
        </w:tc>
        <w:tc>
          <w:tcPr>
            <w:tcW w:w="1530" w:type="dxa"/>
          </w:tcPr>
          <w:p w:rsidR="00447971" w:rsidRPr="002223A2" w:rsidP="00447971" w14:paraId="38C8E023" w14:textId="77777777">
            <w:pPr>
              <w:jc w:val="center"/>
              <w:rPr>
                <w:rStyle w:val="StyleAptos10pt"/>
              </w:rPr>
            </w:pPr>
            <w:r w:rsidRPr="002223A2">
              <w:rPr>
                <w:rStyle w:val="StyleAptos10pt"/>
              </w:rPr>
              <w:t>1</w:t>
            </w:r>
          </w:p>
        </w:tc>
        <w:tc>
          <w:tcPr>
            <w:tcW w:w="1710" w:type="dxa"/>
          </w:tcPr>
          <w:p w:rsidR="00447971" w:rsidRPr="002223A2" w:rsidP="00447971" w14:paraId="0D4B6081" w14:textId="77777777">
            <w:pPr>
              <w:jc w:val="center"/>
              <w:rPr>
                <w:rStyle w:val="StyleAptos10pt"/>
              </w:rPr>
            </w:pPr>
            <w:r w:rsidRPr="002223A2">
              <w:rPr>
                <w:rStyle w:val="StyleAptos10pt"/>
              </w:rPr>
              <w:t>1</w:t>
            </w:r>
          </w:p>
        </w:tc>
        <w:tc>
          <w:tcPr>
            <w:tcW w:w="1890" w:type="dxa"/>
          </w:tcPr>
          <w:p w:rsidR="00447971" w:rsidRPr="002223A2" w:rsidP="00447971" w14:paraId="1FC1FAC6" w14:textId="77777777">
            <w:pPr>
              <w:jc w:val="center"/>
              <w:rPr>
                <w:rStyle w:val="StyleAptos10pt"/>
              </w:rPr>
            </w:pPr>
            <w:r w:rsidRPr="002223A2">
              <w:rPr>
                <w:rStyle w:val="StyleAptos10pt"/>
              </w:rPr>
              <w:t>4</w:t>
            </w:r>
          </w:p>
        </w:tc>
        <w:tc>
          <w:tcPr>
            <w:tcW w:w="2340" w:type="dxa"/>
          </w:tcPr>
          <w:p w:rsidR="00447971" w:rsidRPr="002223A2" w:rsidP="00447971" w14:paraId="6FBE4376" w14:textId="77777777">
            <w:pPr>
              <w:jc w:val="center"/>
              <w:rPr>
                <w:rStyle w:val="StyleAptos10pt"/>
              </w:rPr>
            </w:pPr>
            <w:r w:rsidRPr="002223A2">
              <w:rPr>
                <w:rStyle w:val="StyleAptos10pt"/>
              </w:rPr>
              <w:t>4</w:t>
            </w:r>
          </w:p>
        </w:tc>
      </w:tr>
      <w:tr w14:paraId="0A9237AF" w14:textId="77777777" w:rsidTr="00E2546A">
        <w:tblPrEx>
          <w:tblW w:w="10165" w:type="dxa"/>
          <w:tblLook w:val="04A0"/>
        </w:tblPrEx>
        <w:tc>
          <w:tcPr>
            <w:tcW w:w="2695" w:type="dxa"/>
          </w:tcPr>
          <w:p w:rsidR="00447971" w:rsidRPr="002223A2" w:rsidP="00447971" w14:paraId="3184CF42" w14:textId="77777777">
            <w:pPr>
              <w:rPr>
                <w:rStyle w:val="StyleAptos10pt"/>
              </w:rPr>
            </w:pPr>
            <w:r w:rsidRPr="002223A2">
              <w:rPr>
                <w:rStyle w:val="StyleAptos10pt"/>
              </w:rPr>
              <w:t>Section 15.14(l)(2)(i)</w:t>
            </w:r>
          </w:p>
        </w:tc>
        <w:tc>
          <w:tcPr>
            <w:tcW w:w="1530" w:type="dxa"/>
          </w:tcPr>
          <w:p w:rsidR="00447971" w:rsidRPr="002223A2" w:rsidP="00447971" w14:paraId="4F0FD371" w14:textId="77777777">
            <w:pPr>
              <w:jc w:val="center"/>
              <w:rPr>
                <w:rStyle w:val="StyleAptos10pt"/>
              </w:rPr>
            </w:pPr>
            <w:r w:rsidRPr="002223A2">
              <w:rPr>
                <w:rStyle w:val="StyleAptos10pt"/>
              </w:rPr>
              <w:t>1</w:t>
            </w:r>
          </w:p>
        </w:tc>
        <w:tc>
          <w:tcPr>
            <w:tcW w:w="1710" w:type="dxa"/>
          </w:tcPr>
          <w:p w:rsidR="00447971" w:rsidRPr="002223A2" w:rsidP="00447971" w14:paraId="2D2F864B" w14:textId="77777777">
            <w:pPr>
              <w:jc w:val="center"/>
              <w:rPr>
                <w:rStyle w:val="StyleAptos10pt"/>
              </w:rPr>
            </w:pPr>
            <w:r w:rsidRPr="002223A2">
              <w:rPr>
                <w:rStyle w:val="StyleAptos10pt"/>
              </w:rPr>
              <w:t>1</w:t>
            </w:r>
          </w:p>
        </w:tc>
        <w:tc>
          <w:tcPr>
            <w:tcW w:w="1890" w:type="dxa"/>
          </w:tcPr>
          <w:p w:rsidR="00447971" w:rsidRPr="002223A2" w:rsidP="00447971" w14:paraId="133FC8D6" w14:textId="77777777">
            <w:pPr>
              <w:jc w:val="center"/>
              <w:rPr>
                <w:rStyle w:val="StyleAptos10pt"/>
              </w:rPr>
            </w:pPr>
            <w:r w:rsidRPr="002223A2">
              <w:rPr>
                <w:rStyle w:val="StyleAptos10pt"/>
              </w:rPr>
              <w:t>16</w:t>
            </w:r>
          </w:p>
        </w:tc>
        <w:tc>
          <w:tcPr>
            <w:tcW w:w="2340" w:type="dxa"/>
          </w:tcPr>
          <w:p w:rsidR="00447971" w:rsidRPr="002223A2" w:rsidP="00447971" w14:paraId="11086833" w14:textId="77777777">
            <w:pPr>
              <w:jc w:val="center"/>
              <w:rPr>
                <w:rStyle w:val="StyleAptos10pt"/>
              </w:rPr>
            </w:pPr>
            <w:r w:rsidRPr="002223A2">
              <w:rPr>
                <w:rStyle w:val="StyleAptos10pt"/>
              </w:rPr>
              <w:t>16</w:t>
            </w:r>
          </w:p>
        </w:tc>
      </w:tr>
      <w:tr w14:paraId="483B2927" w14:textId="77777777" w:rsidTr="00E2546A">
        <w:tblPrEx>
          <w:tblW w:w="10165" w:type="dxa"/>
          <w:tblLook w:val="04A0"/>
        </w:tblPrEx>
        <w:tc>
          <w:tcPr>
            <w:tcW w:w="2695" w:type="dxa"/>
          </w:tcPr>
          <w:p w:rsidR="00447971" w:rsidRPr="002223A2" w:rsidP="00447971" w14:paraId="266EEF2C" w14:textId="77777777">
            <w:pPr>
              <w:rPr>
                <w:rStyle w:val="StyleAptos10pt"/>
              </w:rPr>
            </w:pPr>
            <w:r w:rsidRPr="002223A2">
              <w:rPr>
                <w:rStyle w:val="StyleAptos10pt"/>
              </w:rPr>
              <w:t>Section 15.22(b)</w:t>
            </w:r>
          </w:p>
        </w:tc>
        <w:tc>
          <w:tcPr>
            <w:tcW w:w="1530" w:type="dxa"/>
          </w:tcPr>
          <w:p w:rsidR="00447971" w:rsidRPr="002223A2" w:rsidP="00447971" w14:paraId="08DA201D" w14:textId="77777777">
            <w:pPr>
              <w:jc w:val="center"/>
              <w:rPr>
                <w:rStyle w:val="StyleAptos10pt"/>
              </w:rPr>
            </w:pPr>
            <w:r w:rsidRPr="002223A2">
              <w:rPr>
                <w:rStyle w:val="StyleAptos10pt"/>
              </w:rPr>
              <w:t>1</w:t>
            </w:r>
          </w:p>
        </w:tc>
        <w:tc>
          <w:tcPr>
            <w:tcW w:w="1710" w:type="dxa"/>
          </w:tcPr>
          <w:p w:rsidR="00447971" w:rsidRPr="002223A2" w:rsidP="00447971" w14:paraId="330EA3B2" w14:textId="77777777">
            <w:pPr>
              <w:jc w:val="center"/>
              <w:rPr>
                <w:rStyle w:val="StyleAptos10pt"/>
              </w:rPr>
            </w:pPr>
            <w:r w:rsidRPr="002223A2">
              <w:rPr>
                <w:rStyle w:val="StyleAptos10pt"/>
              </w:rPr>
              <w:t>1</w:t>
            </w:r>
          </w:p>
        </w:tc>
        <w:tc>
          <w:tcPr>
            <w:tcW w:w="1890" w:type="dxa"/>
          </w:tcPr>
          <w:p w:rsidR="00447971" w:rsidRPr="002223A2" w:rsidP="00447971" w14:paraId="53AAAF1E" w14:textId="77777777">
            <w:pPr>
              <w:jc w:val="center"/>
              <w:rPr>
                <w:rStyle w:val="StyleAptos10pt"/>
              </w:rPr>
            </w:pPr>
            <w:r w:rsidRPr="002223A2">
              <w:rPr>
                <w:rStyle w:val="StyleAptos10pt"/>
              </w:rPr>
              <w:t>1</w:t>
            </w:r>
          </w:p>
        </w:tc>
        <w:tc>
          <w:tcPr>
            <w:tcW w:w="2340" w:type="dxa"/>
          </w:tcPr>
          <w:p w:rsidR="00447971" w:rsidRPr="002223A2" w:rsidP="00447971" w14:paraId="560CE85D" w14:textId="77777777">
            <w:pPr>
              <w:jc w:val="center"/>
              <w:rPr>
                <w:rStyle w:val="StyleAptos10pt"/>
              </w:rPr>
            </w:pPr>
            <w:r w:rsidRPr="002223A2">
              <w:rPr>
                <w:rStyle w:val="StyleAptos10pt"/>
              </w:rPr>
              <w:t>1</w:t>
            </w:r>
          </w:p>
        </w:tc>
      </w:tr>
      <w:tr w14:paraId="5780513E" w14:textId="77777777" w:rsidTr="00E2546A">
        <w:tblPrEx>
          <w:tblW w:w="10165" w:type="dxa"/>
          <w:tblLook w:val="04A0"/>
        </w:tblPrEx>
        <w:tc>
          <w:tcPr>
            <w:tcW w:w="2695" w:type="dxa"/>
          </w:tcPr>
          <w:p w:rsidR="00447971" w:rsidRPr="002223A2" w:rsidP="00447971" w14:paraId="20A69031" w14:textId="77777777">
            <w:pPr>
              <w:rPr>
                <w:rStyle w:val="StyleAptos10pt"/>
              </w:rPr>
            </w:pPr>
            <w:r w:rsidRPr="002223A2">
              <w:rPr>
                <w:rStyle w:val="StyleAptos10pt"/>
              </w:rPr>
              <w:t>Section 15.32(e)(1) and (2)</w:t>
            </w:r>
          </w:p>
        </w:tc>
        <w:tc>
          <w:tcPr>
            <w:tcW w:w="1530" w:type="dxa"/>
          </w:tcPr>
          <w:p w:rsidR="00447971" w:rsidRPr="002223A2" w:rsidP="00447971" w14:paraId="30F6652B" w14:textId="77777777">
            <w:pPr>
              <w:jc w:val="center"/>
              <w:rPr>
                <w:rStyle w:val="StyleAptos10pt"/>
              </w:rPr>
            </w:pPr>
            <w:r w:rsidRPr="002223A2">
              <w:rPr>
                <w:rStyle w:val="StyleAptos10pt"/>
              </w:rPr>
              <w:t>1</w:t>
            </w:r>
          </w:p>
        </w:tc>
        <w:tc>
          <w:tcPr>
            <w:tcW w:w="1710" w:type="dxa"/>
          </w:tcPr>
          <w:p w:rsidR="00447971" w:rsidRPr="002223A2" w:rsidP="00447971" w14:paraId="7793F364" w14:textId="77777777">
            <w:pPr>
              <w:jc w:val="center"/>
              <w:rPr>
                <w:rStyle w:val="StyleAptos10pt"/>
              </w:rPr>
            </w:pPr>
            <w:r w:rsidRPr="002223A2">
              <w:rPr>
                <w:rStyle w:val="StyleAptos10pt"/>
              </w:rPr>
              <w:t>1</w:t>
            </w:r>
          </w:p>
        </w:tc>
        <w:tc>
          <w:tcPr>
            <w:tcW w:w="1890" w:type="dxa"/>
          </w:tcPr>
          <w:p w:rsidR="00447971" w:rsidRPr="002223A2" w:rsidP="00447971" w14:paraId="01ED3C31" w14:textId="77777777">
            <w:pPr>
              <w:jc w:val="center"/>
              <w:rPr>
                <w:rStyle w:val="StyleAptos10pt"/>
              </w:rPr>
            </w:pPr>
            <w:r w:rsidRPr="002223A2">
              <w:rPr>
                <w:rStyle w:val="StyleAptos10pt"/>
              </w:rPr>
              <w:t>8</w:t>
            </w:r>
          </w:p>
        </w:tc>
        <w:tc>
          <w:tcPr>
            <w:tcW w:w="2340" w:type="dxa"/>
          </w:tcPr>
          <w:p w:rsidR="00447971" w:rsidRPr="002223A2" w:rsidP="00447971" w14:paraId="052AD6D5" w14:textId="77777777">
            <w:pPr>
              <w:jc w:val="center"/>
              <w:rPr>
                <w:rStyle w:val="StyleAptos10pt"/>
              </w:rPr>
            </w:pPr>
            <w:r w:rsidRPr="002223A2">
              <w:rPr>
                <w:rStyle w:val="StyleAptos10pt"/>
              </w:rPr>
              <w:t>8</w:t>
            </w:r>
          </w:p>
        </w:tc>
      </w:tr>
      <w:tr w14:paraId="1B60230F" w14:textId="77777777" w:rsidTr="00E2546A">
        <w:tblPrEx>
          <w:tblW w:w="10165" w:type="dxa"/>
          <w:tblLook w:val="04A0"/>
        </w:tblPrEx>
        <w:tc>
          <w:tcPr>
            <w:tcW w:w="10165" w:type="dxa"/>
            <w:gridSpan w:val="5"/>
            <w:tcBorders>
              <w:bottom w:val="nil"/>
            </w:tcBorders>
          </w:tcPr>
          <w:p w:rsidR="00447971" w:rsidRPr="002223A2" w:rsidP="00447971" w14:paraId="70B99A44" w14:textId="77777777">
            <w:pPr>
              <w:rPr>
                <w:rStyle w:val="StyleAptos10ptBoldItalic"/>
              </w:rPr>
            </w:pPr>
            <w:r w:rsidRPr="002223A2">
              <w:rPr>
                <w:rStyle w:val="StyleAptos10ptBoldItalic"/>
              </w:rPr>
              <w:t>Total Disclosure Burden                                                                                                                             2,233 (rounded)</w:t>
            </w:r>
          </w:p>
        </w:tc>
      </w:tr>
      <w:tr w14:paraId="3DBCF0AF" w14:textId="77777777" w:rsidTr="00E2546A">
        <w:tblPrEx>
          <w:tblW w:w="10165" w:type="dxa"/>
          <w:tblLook w:val="04A0"/>
        </w:tblPrEx>
        <w:tc>
          <w:tcPr>
            <w:tcW w:w="10165" w:type="dxa"/>
            <w:gridSpan w:val="5"/>
            <w:tcBorders>
              <w:top w:val="nil"/>
              <w:bottom w:val="nil"/>
            </w:tcBorders>
          </w:tcPr>
          <w:p w:rsidR="00447971" w:rsidRPr="00AB1885" w:rsidP="00447971" w14:paraId="522DAFC5" w14:textId="77777777">
            <w:pPr>
              <w:rPr>
                <w:rFonts w:ascii="Times New Roman" w:hAnsi="Times New Roman" w:cs="Times New Roman"/>
                <w:b/>
                <w:bCs/>
                <w:i/>
                <w:iCs/>
                <w:sz w:val="20"/>
              </w:rPr>
            </w:pPr>
          </w:p>
        </w:tc>
      </w:tr>
      <w:tr w14:paraId="496A250B" w14:textId="77777777" w:rsidTr="00E2546A">
        <w:tblPrEx>
          <w:tblW w:w="10165" w:type="dxa"/>
          <w:tblLook w:val="04A0"/>
        </w:tblPrEx>
        <w:tc>
          <w:tcPr>
            <w:tcW w:w="10165" w:type="dxa"/>
            <w:gridSpan w:val="5"/>
            <w:tcBorders>
              <w:top w:val="nil"/>
            </w:tcBorders>
          </w:tcPr>
          <w:p w:rsidR="00447971" w:rsidRPr="002223A2" w:rsidP="00447971" w14:paraId="146A346E" w14:textId="77777777">
            <w:pPr>
              <w:rPr>
                <w:rStyle w:val="StyleAptos10ptBoldItalic"/>
              </w:rPr>
            </w:pPr>
            <w:r w:rsidRPr="002223A2">
              <w:rPr>
                <w:rStyle w:val="StyleAptos10ptBoldItalic"/>
              </w:rPr>
              <w:t xml:space="preserve">Total Initial Set-up                                                                                                                                      69,288 </w:t>
            </w:r>
          </w:p>
        </w:tc>
      </w:tr>
      <w:tr w14:paraId="35AAB41E" w14:textId="77777777" w:rsidTr="00447971">
        <w:tblPrEx>
          <w:tblW w:w="10165" w:type="dxa"/>
          <w:tblLook w:val="04A0"/>
        </w:tblPrEx>
        <w:tc>
          <w:tcPr>
            <w:tcW w:w="10165" w:type="dxa"/>
            <w:gridSpan w:val="5"/>
            <w:shd w:val="clear" w:color="auto" w:fill="D9D9D9"/>
          </w:tcPr>
          <w:p w:rsidR="00447971" w:rsidRPr="00AB1885" w:rsidP="00447971" w14:paraId="081C02F9" w14:textId="77777777">
            <w:pPr>
              <w:jc w:val="center"/>
              <w:rPr>
                <w:rFonts w:ascii="Times New Roman" w:hAnsi="Times New Roman" w:cs="Times New Roman"/>
                <w:sz w:val="20"/>
              </w:rPr>
            </w:pPr>
          </w:p>
        </w:tc>
      </w:tr>
      <w:tr w14:paraId="3E3D7AA6" w14:textId="77777777" w:rsidTr="00E2546A">
        <w:tblPrEx>
          <w:tblW w:w="10165" w:type="dxa"/>
          <w:tblLook w:val="04A0"/>
        </w:tblPrEx>
        <w:tc>
          <w:tcPr>
            <w:tcW w:w="2695" w:type="dxa"/>
          </w:tcPr>
          <w:p w:rsidR="00447971" w:rsidRPr="00AB1885" w:rsidP="00447971" w14:paraId="70CCBC6F" w14:textId="77777777">
            <w:pPr>
              <w:jc w:val="center"/>
              <w:rPr>
                <w:rFonts w:ascii="Times New Roman" w:hAnsi="Times New Roman" w:cs="Times New Roman"/>
                <w:sz w:val="20"/>
              </w:rPr>
            </w:pPr>
          </w:p>
        </w:tc>
        <w:tc>
          <w:tcPr>
            <w:tcW w:w="1530" w:type="dxa"/>
          </w:tcPr>
          <w:p w:rsidR="00447971" w:rsidRPr="002223A2" w:rsidP="00447971" w14:paraId="7965F0D9" w14:textId="77777777">
            <w:pPr>
              <w:jc w:val="center"/>
              <w:rPr>
                <w:rStyle w:val="StyleAptos10ptBoldItalic"/>
              </w:rPr>
            </w:pPr>
            <w:r w:rsidRPr="002223A2">
              <w:rPr>
                <w:rStyle w:val="StyleAptos10ptBoldItalic"/>
              </w:rPr>
              <w:t>Estimated Number of Respondents</w:t>
            </w:r>
          </w:p>
        </w:tc>
        <w:tc>
          <w:tcPr>
            <w:tcW w:w="1710" w:type="dxa"/>
          </w:tcPr>
          <w:p w:rsidR="00447971" w:rsidRPr="002223A2" w:rsidP="00447971" w14:paraId="56D59EDB" w14:textId="77777777">
            <w:pPr>
              <w:jc w:val="center"/>
              <w:rPr>
                <w:rStyle w:val="StyleAptos10ptBoldItalic"/>
              </w:rPr>
            </w:pPr>
            <w:r w:rsidRPr="002223A2">
              <w:rPr>
                <w:rStyle w:val="StyleAptos10ptBoldItalic"/>
              </w:rPr>
              <w:t>Estimated Frequency of Response</w:t>
            </w:r>
          </w:p>
        </w:tc>
        <w:tc>
          <w:tcPr>
            <w:tcW w:w="1890" w:type="dxa"/>
          </w:tcPr>
          <w:p w:rsidR="00447971" w:rsidRPr="002223A2" w:rsidP="00447971" w14:paraId="5C3C124C" w14:textId="77777777">
            <w:pPr>
              <w:jc w:val="center"/>
              <w:rPr>
                <w:rStyle w:val="StyleAptos10ptBoldItalic"/>
              </w:rPr>
            </w:pPr>
            <w:r w:rsidRPr="002223A2">
              <w:rPr>
                <w:rStyle w:val="StyleAptos10ptBoldItalic"/>
              </w:rPr>
              <w:t>Estimated Average Hours per Response</w:t>
            </w:r>
          </w:p>
        </w:tc>
        <w:tc>
          <w:tcPr>
            <w:tcW w:w="2340" w:type="dxa"/>
          </w:tcPr>
          <w:p w:rsidR="00447971" w:rsidRPr="002223A2" w:rsidP="00447971" w14:paraId="0796C62E" w14:textId="77777777">
            <w:pPr>
              <w:jc w:val="center"/>
              <w:rPr>
                <w:rStyle w:val="StyleAptos10ptBoldItalic"/>
              </w:rPr>
            </w:pPr>
            <w:r w:rsidRPr="002223A2">
              <w:rPr>
                <w:rStyle w:val="StyleAptos10ptBoldItalic"/>
              </w:rPr>
              <w:t>Estimated Annual Burden hours</w:t>
            </w:r>
          </w:p>
        </w:tc>
      </w:tr>
      <w:tr w14:paraId="7BDE1B4F" w14:textId="77777777" w:rsidTr="00E2546A">
        <w:tblPrEx>
          <w:tblW w:w="10165" w:type="dxa"/>
          <w:tblLook w:val="04A0"/>
        </w:tblPrEx>
        <w:tc>
          <w:tcPr>
            <w:tcW w:w="10165" w:type="dxa"/>
            <w:gridSpan w:val="5"/>
          </w:tcPr>
          <w:p w:rsidR="00447971" w:rsidRPr="002223A2" w:rsidP="00447971" w14:paraId="57970506" w14:textId="77777777">
            <w:pPr>
              <w:rPr>
                <w:rStyle w:val="StyleAptos10ptBold"/>
              </w:rPr>
            </w:pPr>
            <w:r w:rsidRPr="002223A2">
              <w:rPr>
                <w:rStyle w:val="StyleAptos10ptBold"/>
              </w:rPr>
              <w:t>Ongoing Compliance</w:t>
            </w:r>
          </w:p>
          <w:p w:rsidR="00447971" w:rsidRPr="002223A2" w:rsidP="00447971" w14:paraId="57A8A566" w14:textId="77777777">
            <w:pPr>
              <w:rPr>
                <w:rStyle w:val="StyleAptos10ptBold"/>
              </w:rPr>
            </w:pPr>
            <w:r w:rsidRPr="002223A2">
              <w:rPr>
                <w:rStyle w:val="StyleAptos10ptBold"/>
              </w:rPr>
              <w:t>Reporting Burden</w:t>
            </w:r>
          </w:p>
        </w:tc>
      </w:tr>
      <w:tr w14:paraId="29BFA892" w14:textId="77777777" w:rsidTr="00E2546A">
        <w:tblPrEx>
          <w:tblW w:w="10165" w:type="dxa"/>
          <w:tblLook w:val="04A0"/>
        </w:tblPrEx>
        <w:tc>
          <w:tcPr>
            <w:tcW w:w="2695" w:type="dxa"/>
          </w:tcPr>
          <w:p w:rsidR="00447971" w:rsidRPr="002223A2" w:rsidP="00447971" w14:paraId="12CA9D10" w14:textId="77777777">
            <w:pPr>
              <w:rPr>
                <w:rStyle w:val="StyleAptos10pt"/>
              </w:rPr>
            </w:pPr>
            <w:r w:rsidRPr="002223A2">
              <w:rPr>
                <w:rStyle w:val="StyleAptos10pt"/>
              </w:rPr>
              <w:t>Section 15.10(c)(5)(iii)(B)</w:t>
            </w:r>
          </w:p>
        </w:tc>
        <w:tc>
          <w:tcPr>
            <w:tcW w:w="1530" w:type="dxa"/>
          </w:tcPr>
          <w:p w:rsidR="00447971" w:rsidRPr="002223A2" w:rsidP="00447971" w14:paraId="01F82FEE" w14:textId="77777777">
            <w:pPr>
              <w:jc w:val="center"/>
              <w:rPr>
                <w:rStyle w:val="StyleAptos10pt"/>
              </w:rPr>
            </w:pPr>
            <w:r w:rsidRPr="002223A2">
              <w:rPr>
                <w:rStyle w:val="StyleAptos10pt"/>
              </w:rPr>
              <w:t>39</w:t>
            </w:r>
          </w:p>
        </w:tc>
        <w:tc>
          <w:tcPr>
            <w:tcW w:w="1710" w:type="dxa"/>
          </w:tcPr>
          <w:p w:rsidR="00447971" w:rsidRPr="002223A2" w:rsidP="00447971" w14:paraId="29536B05" w14:textId="77777777">
            <w:pPr>
              <w:jc w:val="center"/>
              <w:rPr>
                <w:rStyle w:val="StyleAptos10pt"/>
              </w:rPr>
            </w:pPr>
            <w:r w:rsidRPr="002223A2">
              <w:rPr>
                <w:rStyle w:val="StyleAptos10pt"/>
              </w:rPr>
              <w:t>1</w:t>
            </w:r>
          </w:p>
        </w:tc>
        <w:tc>
          <w:tcPr>
            <w:tcW w:w="1890" w:type="dxa"/>
          </w:tcPr>
          <w:p w:rsidR="00447971" w:rsidRPr="002223A2" w:rsidP="00447971" w14:paraId="003D6315" w14:textId="77777777">
            <w:pPr>
              <w:jc w:val="center"/>
              <w:rPr>
                <w:rStyle w:val="StyleAptos10pt"/>
              </w:rPr>
            </w:pPr>
            <w:r w:rsidRPr="002223A2">
              <w:rPr>
                <w:rStyle w:val="StyleAptos10pt"/>
              </w:rPr>
              <w:t>1</w:t>
            </w:r>
          </w:p>
        </w:tc>
        <w:tc>
          <w:tcPr>
            <w:tcW w:w="2340" w:type="dxa"/>
          </w:tcPr>
          <w:p w:rsidR="00447971" w:rsidRPr="002223A2" w:rsidP="00447971" w14:paraId="4E0ED2F4" w14:textId="77777777">
            <w:pPr>
              <w:jc w:val="center"/>
              <w:rPr>
                <w:rStyle w:val="StyleAptos10pt"/>
              </w:rPr>
            </w:pPr>
            <w:r w:rsidRPr="002223A2">
              <w:rPr>
                <w:rStyle w:val="StyleAptos10pt"/>
              </w:rPr>
              <w:t>39</w:t>
            </w:r>
          </w:p>
        </w:tc>
      </w:tr>
      <w:tr w14:paraId="24E56DBD" w14:textId="77777777" w:rsidTr="00E2546A">
        <w:tblPrEx>
          <w:tblW w:w="10165" w:type="dxa"/>
          <w:tblLook w:val="04A0"/>
        </w:tblPrEx>
        <w:tc>
          <w:tcPr>
            <w:tcW w:w="2695" w:type="dxa"/>
          </w:tcPr>
          <w:p w:rsidR="00447971" w:rsidRPr="002223A2" w:rsidP="00447971" w14:paraId="38B2A74E" w14:textId="77777777">
            <w:pPr>
              <w:rPr>
                <w:rStyle w:val="StyleAptos10pt"/>
              </w:rPr>
            </w:pPr>
            <w:r w:rsidRPr="002223A2">
              <w:rPr>
                <w:rStyle w:val="StyleAptos10pt"/>
              </w:rPr>
              <w:t>Section 15.11(a)(2)</w:t>
            </w:r>
          </w:p>
        </w:tc>
        <w:tc>
          <w:tcPr>
            <w:tcW w:w="1530" w:type="dxa"/>
          </w:tcPr>
          <w:p w:rsidR="00447971" w:rsidRPr="002223A2" w:rsidP="00447971" w14:paraId="38C93301" w14:textId="77777777">
            <w:pPr>
              <w:jc w:val="center"/>
              <w:rPr>
                <w:rStyle w:val="StyleAptos10pt"/>
              </w:rPr>
            </w:pPr>
            <w:r w:rsidRPr="002223A2">
              <w:rPr>
                <w:rStyle w:val="StyleAptos10pt"/>
              </w:rPr>
              <w:t>39</w:t>
            </w:r>
          </w:p>
        </w:tc>
        <w:tc>
          <w:tcPr>
            <w:tcW w:w="1710" w:type="dxa"/>
          </w:tcPr>
          <w:p w:rsidR="00447971" w:rsidRPr="002223A2" w:rsidP="00447971" w14:paraId="19B674C6" w14:textId="77777777">
            <w:pPr>
              <w:jc w:val="center"/>
              <w:rPr>
                <w:rStyle w:val="StyleAptos10pt"/>
              </w:rPr>
            </w:pPr>
            <w:r w:rsidRPr="002223A2">
              <w:rPr>
                <w:rStyle w:val="StyleAptos10pt"/>
              </w:rPr>
              <w:t>1</w:t>
            </w:r>
          </w:p>
        </w:tc>
        <w:tc>
          <w:tcPr>
            <w:tcW w:w="1890" w:type="dxa"/>
          </w:tcPr>
          <w:p w:rsidR="00447971" w:rsidRPr="002223A2" w:rsidP="00447971" w14:paraId="07AA8761" w14:textId="77777777">
            <w:pPr>
              <w:jc w:val="center"/>
              <w:rPr>
                <w:rStyle w:val="StyleAptos10pt"/>
              </w:rPr>
            </w:pPr>
            <w:r w:rsidRPr="002223A2">
              <w:rPr>
                <w:rStyle w:val="StyleAptos10pt"/>
              </w:rPr>
              <w:t>16</w:t>
            </w:r>
          </w:p>
        </w:tc>
        <w:tc>
          <w:tcPr>
            <w:tcW w:w="2340" w:type="dxa"/>
          </w:tcPr>
          <w:p w:rsidR="00447971" w:rsidRPr="002223A2" w:rsidP="00447971" w14:paraId="3418579A" w14:textId="77777777">
            <w:pPr>
              <w:jc w:val="center"/>
              <w:rPr>
                <w:rStyle w:val="StyleAptos10pt"/>
              </w:rPr>
            </w:pPr>
            <w:r w:rsidRPr="002223A2">
              <w:rPr>
                <w:rStyle w:val="StyleAptos10pt"/>
              </w:rPr>
              <w:t>624</w:t>
            </w:r>
          </w:p>
        </w:tc>
      </w:tr>
      <w:tr w14:paraId="718ABC1D" w14:textId="77777777" w:rsidTr="00E2546A">
        <w:tblPrEx>
          <w:tblW w:w="10165" w:type="dxa"/>
          <w:tblLook w:val="04A0"/>
        </w:tblPrEx>
        <w:tc>
          <w:tcPr>
            <w:tcW w:w="2695" w:type="dxa"/>
          </w:tcPr>
          <w:p w:rsidR="00447971" w:rsidRPr="002223A2" w:rsidP="00447971" w14:paraId="10AFA762" w14:textId="77777777">
            <w:pPr>
              <w:rPr>
                <w:rStyle w:val="StyleAptos10pt"/>
              </w:rPr>
            </w:pPr>
            <w:r w:rsidRPr="002223A2">
              <w:rPr>
                <w:rStyle w:val="StyleAptos10pt"/>
              </w:rPr>
              <w:t>Section 15.11(e)(2)</w:t>
            </w:r>
          </w:p>
        </w:tc>
        <w:tc>
          <w:tcPr>
            <w:tcW w:w="1530" w:type="dxa"/>
          </w:tcPr>
          <w:p w:rsidR="00447971" w:rsidRPr="002223A2" w:rsidP="00447971" w14:paraId="3DB50529" w14:textId="77777777">
            <w:pPr>
              <w:jc w:val="center"/>
              <w:rPr>
                <w:rStyle w:val="StyleAptos10pt"/>
              </w:rPr>
            </w:pPr>
            <w:r w:rsidRPr="002223A2">
              <w:rPr>
                <w:rStyle w:val="StyleAptos10pt"/>
              </w:rPr>
              <w:t>39</w:t>
            </w:r>
          </w:p>
        </w:tc>
        <w:tc>
          <w:tcPr>
            <w:tcW w:w="1710" w:type="dxa"/>
          </w:tcPr>
          <w:p w:rsidR="00447971" w:rsidRPr="002223A2" w:rsidP="00447971" w14:paraId="6493D653" w14:textId="77777777">
            <w:pPr>
              <w:jc w:val="center"/>
              <w:rPr>
                <w:rStyle w:val="StyleAptos10pt"/>
              </w:rPr>
            </w:pPr>
            <w:r w:rsidRPr="002223A2">
              <w:rPr>
                <w:rStyle w:val="StyleAptos10pt"/>
              </w:rPr>
              <w:t>12</w:t>
            </w:r>
          </w:p>
        </w:tc>
        <w:tc>
          <w:tcPr>
            <w:tcW w:w="1890" w:type="dxa"/>
          </w:tcPr>
          <w:p w:rsidR="00447971" w:rsidRPr="002223A2" w:rsidP="00447971" w14:paraId="16922597" w14:textId="77777777">
            <w:pPr>
              <w:jc w:val="center"/>
              <w:rPr>
                <w:rStyle w:val="StyleAptos10pt"/>
              </w:rPr>
            </w:pPr>
            <w:r w:rsidRPr="002223A2">
              <w:rPr>
                <w:rStyle w:val="StyleAptos10pt"/>
              </w:rPr>
              <w:t>2</w:t>
            </w:r>
          </w:p>
        </w:tc>
        <w:tc>
          <w:tcPr>
            <w:tcW w:w="2340" w:type="dxa"/>
          </w:tcPr>
          <w:p w:rsidR="00447971" w:rsidRPr="002223A2" w:rsidP="00447971" w14:paraId="7FB8D9DC" w14:textId="77777777">
            <w:pPr>
              <w:jc w:val="center"/>
              <w:rPr>
                <w:rStyle w:val="StyleAptos10pt"/>
              </w:rPr>
            </w:pPr>
            <w:r w:rsidRPr="002223A2">
              <w:rPr>
                <w:rStyle w:val="StyleAptos10pt"/>
              </w:rPr>
              <w:t>936</w:t>
            </w:r>
          </w:p>
        </w:tc>
      </w:tr>
      <w:tr w14:paraId="0131D4F6" w14:textId="77777777" w:rsidTr="00E2546A">
        <w:tblPrEx>
          <w:tblW w:w="10165" w:type="dxa"/>
          <w:tblLook w:val="04A0"/>
        </w:tblPrEx>
        <w:tc>
          <w:tcPr>
            <w:tcW w:w="2695" w:type="dxa"/>
          </w:tcPr>
          <w:p w:rsidR="00447971" w:rsidRPr="002223A2" w:rsidP="00447971" w14:paraId="725F93A7" w14:textId="77777777">
            <w:pPr>
              <w:rPr>
                <w:rStyle w:val="StyleAptos10pt"/>
              </w:rPr>
            </w:pPr>
            <w:r w:rsidRPr="002223A2">
              <w:rPr>
                <w:rStyle w:val="StyleAptos10pt"/>
              </w:rPr>
              <w:t xml:space="preserve">Section 15.11(e) Table </w:t>
            </w:r>
          </w:p>
        </w:tc>
        <w:tc>
          <w:tcPr>
            <w:tcW w:w="1530" w:type="dxa"/>
          </w:tcPr>
          <w:p w:rsidR="00447971" w:rsidRPr="002223A2" w:rsidP="00447971" w14:paraId="57B055E4" w14:textId="77777777">
            <w:pPr>
              <w:jc w:val="center"/>
              <w:rPr>
                <w:rStyle w:val="StyleAptos10pt"/>
              </w:rPr>
            </w:pPr>
            <w:r w:rsidRPr="002223A2">
              <w:rPr>
                <w:rStyle w:val="StyleAptos10pt"/>
              </w:rPr>
              <w:t>39</w:t>
            </w:r>
          </w:p>
        </w:tc>
        <w:tc>
          <w:tcPr>
            <w:tcW w:w="1710" w:type="dxa"/>
          </w:tcPr>
          <w:p w:rsidR="00447971" w:rsidRPr="002223A2" w:rsidP="00447971" w14:paraId="22DBFF25" w14:textId="77777777">
            <w:pPr>
              <w:jc w:val="center"/>
              <w:rPr>
                <w:rStyle w:val="StyleAptos10pt"/>
              </w:rPr>
            </w:pPr>
            <w:r w:rsidRPr="002223A2">
              <w:rPr>
                <w:rStyle w:val="StyleAptos10pt"/>
              </w:rPr>
              <w:t>12</w:t>
            </w:r>
          </w:p>
        </w:tc>
        <w:tc>
          <w:tcPr>
            <w:tcW w:w="1890" w:type="dxa"/>
          </w:tcPr>
          <w:p w:rsidR="00447971" w:rsidRPr="002223A2" w:rsidP="00447971" w14:paraId="6CD7F6D2" w14:textId="77777777">
            <w:pPr>
              <w:jc w:val="center"/>
              <w:rPr>
                <w:rStyle w:val="StyleAptos10pt"/>
              </w:rPr>
            </w:pPr>
            <w:r w:rsidRPr="002223A2">
              <w:rPr>
                <w:rStyle w:val="StyleAptos10pt"/>
              </w:rPr>
              <w:t>2</w:t>
            </w:r>
          </w:p>
        </w:tc>
        <w:tc>
          <w:tcPr>
            <w:tcW w:w="2340" w:type="dxa"/>
          </w:tcPr>
          <w:p w:rsidR="00447971" w:rsidRPr="002223A2" w:rsidP="00447971" w14:paraId="3424C1F6" w14:textId="77777777">
            <w:pPr>
              <w:jc w:val="center"/>
              <w:rPr>
                <w:rStyle w:val="StyleAptos10pt"/>
              </w:rPr>
            </w:pPr>
            <w:r w:rsidRPr="002223A2">
              <w:rPr>
                <w:rStyle w:val="StyleAptos10pt"/>
              </w:rPr>
              <w:t>936</w:t>
            </w:r>
          </w:p>
        </w:tc>
      </w:tr>
      <w:tr w14:paraId="0FA8E266" w14:textId="77777777" w:rsidTr="00E2546A">
        <w:tblPrEx>
          <w:tblW w:w="10165" w:type="dxa"/>
          <w:tblLook w:val="04A0"/>
        </w:tblPrEx>
        <w:tc>
          <w:tcPr>
            <w:tcW w:w="2695" w:type="dxa"/>
          </w:tcPr>
          <w:p w:rsidR="00447971" w:rsidRPr="002223A2" w:rsidP="00447971" w14:paraId="6FC385A1" w14:textId="77777777">
            <w:pPr>
              <w:rPr>
                <w:rStyle w:val="StyleAptos10pt"/>
              </w:rPr>
            </w:pPr>
            <w:r w:rsidRPr="002223A2">
              <w:rPr>
                <w:rStyle w:val="StyleAptos10pt"/>
              </w:rPr>
              <w:t>Section 15.11(g)(1)</w:t>
            </w:r>
          </w:p>
        </w:tc>
        <w:tc>
          <w:tcPr>
            <w:tcW w:w="1530" w:type="dxa"/>
          </w:tcPr>
          <w:p w:rsidR="00447971" w:rsidRPr="002223A2" w:rsidP="00447971" w14:paraId="3AEA6E65" w14:textId="77777777">
            <w:pPr>
              <w:jc w:val="center"/>
              <w:rPr>
                <w:rStyle w:val="StyleAptos10pt"/>
              </w:rPr>
            </w:pPr>
            <w:r w:rsidRPr="002223A2">
              <w:rPr>
                <w:rStyle w:val="StyleAptos10pt"/>
              </w:rPr>
              <w:t>39</w:t>
            </w:r>
          </w:p>
        </w:tc>
        <w:tc>
          <w:tcPr>
            <w:tcW w:w="1710" w:type="dxa"/>
          </w:tcPr>
          <w:p w:rsidR="00447971" w:rsidRPr="002223A2" w:rsidP="00447971" w14:paraId="4E99F647" w14:textId="77777777">
            <w:pPr>
              <w:jc w:val="center"/>
              <w:rPr>
                <w:rStyle w:val="StyleAptos10pt"/>
              </w:rPr>
            </w:pPr>
            <w:r w:rsidRPr="002223A2">
              <w:rPr>
                <w:rStyle w:val="StyleAptos10pt"/>
              </w:rPr>
              <w:t>1</w:t>
            </w:r>
          </w:p>
        </w:tc>
        <w:tc>
          <w:tcPr>
            <w:tcW w:w="1890" w:type="dxa"/>
          </w:tcPr>
          <w:p w:rsidR="00447971" w:rsidRPr="002223A2" w:rsidP="00447971" w14:paraId="0389D69E" w14:textId="77777777">
            <w:pPr>
              <w:jc w:val="center"/>
              <w:rPr>
                <w:rStyle w:val="StyleAptos10pt"/>
              </w:rPr>
            </w:pPr>
            <w:r w:rsidRPr="002223A2">
              <w:rPr>
                <w:rStyle w:val="StyleAptos10pt"/>
              </w:rPr>
              <w:t>1</w:t>
            </w:r>
          </w:p>
        </w:tc>
        <w:tc>
          <w:tcPr>
            <w:tcW w:w="2340" w:type="dxa"/>
          </w:tcPr>
          <w:p w:rsidR="00447971" w:rsidRPr="002223A2" w:rsidP="00447971" w14:paraId="59FB1030" w14:textId="77777777">
            <w:pPr>
              <w:jc w:val="center"/>
              <w:rPr>
                <w:rStyle w:val="StyleAptos10pt"/>
              </w:rPr>
            </w:pPr>
            <w:r w:rsidRPr="002223A2">
              <w:rPr>
                <w:rStyle w:val="StyleAptos10pt"/>
              </w:rPr>
              <w:t>39</w:t>
            </w:r>
          </w:p>
        </w:tc>
      </w:tr>
      <w:tr w14:paraId="121070DB" w14:textId="77777777" w:rsidTr="00E2546A">
        <w:tblPrEx>
          <w:tblW w:w="10165" w:type="dxa"/>
          <w:tblLook w:val="04A0"/>
        </w:tblPrEx>
        <w:tc>
          <w:tcPr>
            <w:tcW w:w="2695" w:type="dxa"/>
          </w:tcPr>
          <w:p w:rsidR="00447971" w:rsidRPr="002223A2" w:rsidP="00447971" w14:paraId="5D02182D" w14:textId="77777777">
            <w:pPr>
              <w:rPr>
                <w:rStyle w:val="StyleAptos10pt"/>
              </w:rPr>
            </w:pPr>
            <w:r w:rsidRPr="002223A2">
              <w:rPr>
                <w:rStyle w:val="StyleAptos10pt"/>
              </w:rPr>
              <w:t>Section 15.11(g)(4)(i)</w:t>
            </w:r>
          </w:p>
        </w:tc>
        <w:tc>
          <w:tcPr>
            <w:tcW w:w="1530" w:type="dxa"/>
          </w:tcPr>
          <w:p w:rsidR="00447971" w:rsidRPr="002223A2" w:rsidP="00447971" w14:paraId="34666E3C" w14:textId="77777777">
            <w:pPr>
              <w:jc w:val="center"/>
              <w:rPr>
                <w:rStyle w:val="StyleAptos10pt"/>
              </w:rPr>
            </w:pPr>
            <w:r w:rsidRPr="002223A2">
              <w:rPr>
                <w:rStyle w:val="StyleAptos10pt"/>
              </w:rPr>
              <w:t>39</w:t>
            </w:r>
          </w:p>
        </w:tc>
        <w:tc>
          <w:tcPr>
            <w:tcW w:w="1710" w:type="dxa"/>
          </w:tcPr>
          <w:p w:rsidR="00447971" w:rsidRPr="002223A2" w:rsidP="00447971" w14:paraId="589FBF40" w14:textId="77777777">
            <w:pPr>
              <w:jc w:val="center"/>
              <w:rPr>
                <w:rStyle w:val="StyleAptos10pt"/>
              </w:rPr>
            </w:pPr>
            <w:r w:rsidRPr="002223A2">
              <w:rPr>
                <w:rStyle w:val="StyleAptos10pt"/>
              </w:rPr>
              <w:t>1</w:t>
            </w:r>
          </w:p>
        </w:tc>
        <w:tc>
          <w:tcPr>
            <w:tcW w:w="1890" w:type="dxa"/>
          </w:tcPr>
          <w:p w:rsidR="00447971" w:rsidRPr="002223A2" w:rsidP="00447971" w14:paraId="0378D0B9" w14:textId="77777777">
            <w:pPr>
              <w:jc w:val="center"/>
              <w:rPr>
                <w:rStyle w:val="StyleAptos10pt"/>
              </w:rPr>
            </w:pPr>
            <w:r w:rsidRPr="002223A2">
              <w:rPr>
                <w:rStyle w:val="StyleAptos10pt"/>
              </w:rPr>
              <w:t>8</w:t>
            </w:r>
          </w:p>
        </w:tc>
        <w:tc>
          <w:tcPr>
            <w:tcW w:w="2340" w:type="dxa"/>
          </w:tcPr>
          <w:p w:rsidR="00447971" w:rsidRPr="002223A2" w:rsidP="00447971" w14:paraId="4CEBEDD9" w14:textId="77777777">
            <w:pPr>
              <w:jc w:val="center"/>
              <w:rPr>
                <w:rStyle w:val="StyleAptos10pt"/>
                <w:highlight w:val="green"/>
              </w:rPr>
            </w:pPr>
            <w:r w:rsidRPr="002223A2">
              <w:rPr>
                <w:rStyle w:val="StyleAptos10pt"/>
              </w:rPr>
              <w:t>312</w:t>
            </w:r>
          </w:p>
        </w:tc>
      </w:tr>
      <w:tr w14:paraId="4CA629FD" w14:textId="77777777" w:rsidTr="00E2546A">
        <w:tblPrEx>
          <w:tblW w:w="10165" w:type="dxa"/>
          <w:tblLook w:val="04A0"/>
        </w:tblPrEx>
        <w:tc>
          <w:tcPr>
            <w:tcW w:w="2695" w:type="dxa"/>
          </w:tcPr>
          <w:p w:rsidR="00447971" w:rsidRPr="002223A2" w:rsidP="00447971" w14:paraId="1BC63EED" w14:textId="77777777">
            <w:pPr>
              <w:rPr>
                <w:rStyle w:val="StyleAptos10pt"/>
              </w:rPr>
            </w:pPr>
            <w:r w:rsidRPr="002223A2">
              <w:rPr>
                <w:rStyle w:val="StyleAptos10pt"/>
              </w:rPr>
              <w:t>Section 15.12(d)(1)</w:t>
            </w:r>
          </w:p>
        </w:tc>
        <w:tc>
          <w:tcPr>
            <w:tcW w:w="1530" w:type="dxa"/>
          </w:tcPr>
          <w:p w:rsidR="00447971" w:rsidRPr="002223A2" w:rsidP="00447971" w14:paraId="1F68DADF" w14:textId="77777777">
            <w:pPr>
              <w:jc w:val="center"/>
              <w:rPr>
                <w:rStyle w:val="StyleAptos10pt"/>
              </w:rPr>
            </w:pPr>
            <w:r w:rsidRPr="002223A2">
              <w:rPr>
                <w:rStyle w:val="StyleAptos10pt"/>
              </w:rPr>
              <w:t>1</w:t>
            </w:r>
          </w:p>
        </w:tc>
        <w:tc>
          <w:tcPr>
            <w:tcW w:w="1710" w:type="dxa"/>
          </w:tcPr>
          <w:p w:rsidR="00447971" w:rsidRPr="002223A2" w:rsidP="00447971" w14:paraId="14A16F83" w14:textId="77777777">
            <w:pPr>
              <w:jc w:val="center"/>
              <w:rPr>
                <w:rStyle w:val="StyleAptos10pt"/>
              </w:rPr>
            </w:pPr>
            <w:r w:rsidRPr="002223A2">
              <w:rPr>
                <w:rStyle w:val="StyleAptos10pt"/>
              </w:rPr>
              <w:t>1</w:t>
            </w:r>
          </w:p>
        </w:tc>
        <w:tc>
          <w:tcPr>
            <w:tcW w:w="1890" w:type="dxa"/>
          </w:tcPr>
          <w:p w:rsidR="00447971" w:rsidRPr="002223A2" w:rsidP="00447971" w14:paraId="103FA78B" w14:textId="77777777">
            <w:pPr>
              <w:jc w:val="center"/>
              <w:rPr>
                <w:rStyle w:val="StyleAptos10pt"/>
              </w:rPr>
            </w:pPr>
            <w:r w:rsidRPr="002223A2">
              <w:rPr>
                <w:rStyle w:val="StyleAptos10pt"/>
              </w:rPr>
              <w:t>1</w:t>
            </w:r>
          </w:p>
        </w:tc>
        <w:tc>
          <w:tcPr>
            <w:tcW w:w="2340" w:type="dxa"/>
          </w:tcPr>
          <w:p w:rsidR="00447971" w:rsidRPr="002223A2" w:rsidP="00447971" w14:paraId="750B46C0" w14:textId="77777777">
            <w:pPr>
              <w:jc w:val="center"/>
              <w:rPr>
                <w:rStyle w:val="StyleAptos10pt"/>
              </w:rPr>
            </w:pPr>
            <w:r w:rsidRPr="002223A2">
              <w:rPr>
                <w:rStyle w:val="StyleAptos10pt"/>
              </w:rPr>
              <w:t>1</w:t>
            </w:r>
          </w:p>
        </w:tc>
      </w:tr>
      <w:tr w14:paraId="2D53763D" w14:textId="77777777" w:rsidTr="00E2546A">
        <w:tblPrEx>
          <w:tblW w:w="10165" w:type="dxa"/>
          <w:tblLook w:val="04A0"/>
        </w:tblPrEx>
        <w:tc>
          <w:tcPr>
            <w:tcW w:w="2695" w:type="dxa"/>
          </w:tcPr>
          <w:p w:rsidR="00447971" w:rsidRPr="002223A2" w:rsidP="00447971" w14:paraId="1DA59AAA" w14:textId="77777777">
            <w:pPr>
              <w:rPr>
                <w:rStyle w:val="StyleAptos10pt"/>
              </w:rPr>
            </w:pPr>
            <w:r w:rsidRPr="002223A2">
              <w:rPr>
                <w:rStyle w:val="StyleAptos10pt"/>
              </w:rPr>
              <w:t>Section 15.12(d)(2)</w:t>
            </w:r>
          </w:p>
        </w:tc>
        <w:tc>
          <w:tcPr>
            <w:tcW w:w="1530" w:type="dxa"/>
          </w:tcPr>
          <w:p w:rsidR="00447971" w:rsidRPr="002223A2" w:rsidP="00447971" w14:paraId="752B37BB" w14:textId="77777777">
            <w:pPr>
              <w:jc w:val="center"/>
              <w:rPr>
                <w:rStyle w:val="StyleAptos10pt"/>
              </w:rPr>
            </w:pPr>
            <w:r w:rsidRPr="002223A2">
              <w:rPr>
                <w:rStyle w:val="StyleAptos10pt"/>
              </w:rPr>
              <w:t>1</w:t>
            </w:r>
          </w:p>
        </w:tc>
        <w:tc>
          <w:tcPr>
            <w:tcW w:w="1710" w:type="dxa"/>
          </w:tcPr>
          <w:p w:rsidR="00447971" w:rsidRPr="002223A2" w:rsidP="00447971" w14:paraId="1606082F" w14:textId="77777777">
            <w:pPr>
              <w:jc w:val="center"/>
              <w:rPr>
                <w:rStyle w:val="StyleAptos10pt"/>
              </w:rPr>
            </w:pPr>
            <w:r w:rsidRPr="002223A2">
              <w:rPr>
                <w:rStyle w:val="StyleAptos10pt"/>
              </w:rPr>
              <w:t>1</w:t>
            </w:r>
          </w:p>
        </w:tc>
        <w:tc>
          <w:tcPr>
            <w:tcW w:w="1890" w:type="dxa"/>
          </w:tcPr>
          <w:p w:rsidR="00447971" w:rsidRPr="002223A2" w:rsidP="00447971" w14:paraId="0074A14F" w14:textId="77777777">
            <w:pPr>
              <w:jc w:val="center"/>
              <w:rPr>
                <w:rStyle w:val="StyleAptos10pt"/>
              </w:rPr>
            </w:pPr>
            <w:r w:rsidRPr="002223A2">
              <w:rPr>
                <w:rStyle w:val="StyleAptos10pt"/>
              </w:rPr>
              <w:t>1</w:t>
            </w:r>
          </w:p>
        </w:tc>
        <w:tc>
          <w:tcPr>
            <w:tcW w:w="2340" w:type="dxa"/>
          </w:tcPr>
          <w:p w:rsidR="00447971" w:rsidRPr="002223A2" w:rsidP="00447971" w14:paraId="155D09F3" w14:textId="77777777">
            <w:pPr>
              <w:jc w:val="center"/>
              <w:rPr>
                <w:rStyle w:val="StyleAptos10pt"/>
              </w:rPr>
            </w:pPr>
            <w:r w:rsidRPr="002223A2">
              <w:rPr>
                <w:rStyle w:val="StyleAptos10pt"/>
              </w:rPr>
              <w:t>1</w:t>
            </w:r>
          </w:p>
        </w:tc>
      </w:tr>
      <w:tr w14:paraId="1116A5BD" w14:textId="77777777" w:rsidTr="00E2546A">
        <w:tblPrEx>
          <w:tblW w:w="10165" w:type="dxa"/>
          <w:tblLook w:val="04A0"/>
        </w:tblPrEx>
        <w:tc>
          <w:tcPr>
            <w:tcW w:w="2695" w:type="dxa"/>
          </w:tcPr>
          <w:p w:rsidR="00447971" w:rsidRPr="002223A2" w:rsidP="00447971" w14:paraId="75EBC1A9" w14:textId="77777777">
            <w:pPr>
              <w:rPr>
                <w:rStyle w:val="StyleAptos10pt"/>
              </w:rPr>
            </w:pPr>
            <w:r w:rsidRPr="002223A2">
              <w:rPr>
                <w:rStyle w:val="StyleAptos10pt"/>
              </w:rPr>
              <w:t>Section 15.13(a)(3)</w:t>
            </w:r>
          </w:p>
        </w:tc>
        <w:tc>
          <w:tcPr>
            <w:tcW w:w="1530" w:type="dxa"/>
          </w:tcPr>
          <w:p w:rsidR="00447971" w:rsidRPr="002223A2" w:rsidP="00447971" w14:paraId="70715B21" w14:textId="77777777">
            <w:pPr>
              <w:jc w:val="center"/>
              <w:rPr>
                <w:rStyle w:val="StyleAptos10pt"/>
              </w:rPr>
            </w:pPr>
            <w:r w:rsidRPr="002223A2">
              <w:rPr>
                <w:rStyle w:val="StyleAptos10pt"/>
              </w:rPr>
              <w:t>39</w:t>
            </w:r>
          </w:p>
        </w:tc>
        <w:tc>
          <w:tcPr>
            <w:tcW w:w="1710" w:type="dxa"/>
          </w:tcPr>
          <w:p w:rsidR="00447971" w:rsidRPr="002223A2" w:rsidP="00447971" w14:paraId="47C1E46B" w14:textId="77777777">
            <w:pPr>
              <w:jc w:val="center"/>
              <w:rPr>
                <w:rStyle w:val="StyleAptos10pt"/>
              </w:rPr>
            </w:pPr>
            <w:r w:rsidRPr="002223A2">
              <w:rPr>
                <w:rStyle w:val="StyleAptos10pt"/>
              </w:rPr>
              <w:t>1</w:t>
            </w:r>
          </w:p>
        </w:tc>
        <w:tc>
          <w:tcPr>
            <w:tcW w:w="1890" w:type="dxa"/>
          </w:tcPr>
          <w:p w:rsidR="00447971" w:rsidRPr="002223A2" w:rsidP="00447971" w14:paraId="7464B835" w14:textId="77777777">
            <w:pPr>
              <w:jc w:val="center"/>
              <w:rPr>
                <w:rStyle w:val="StyleAptos10pt"/>
              </w:rPr>
            </w:pPr>
            <w:r w:rsidRPr="002223A2">
              <w:rPr>
                <w:rStyle w:val="StyleAptos10pt"/>
              </w:rPr>
              <w:t>1</w:t>
            </w:r>
          </w:p>
        </w:tc>
        <w:tc>
          <w:tcPr>
            <w:tcW w:w="2340" w:type="dxa"/>
          </w:tcPr>
          <w:p w:rsidR="00447971" w:rsidRPr="002223A2" w:rsidP="00447971" w14:paraId="56FBB334" w14:textId="77777777">
            <w:pPr>
              <w:jc w:val="center"/>
              <w:rPr>
                <w:rStyle w:val="StyleAptos10pt"/>
              </w:rPr>
            </w:pPr>
            <w:r w:rsidRPr="002223A2">
              <w:rPr>
                <w:rStyle w:val="StyleAptos10pt"/>
              </w:rPr>
              <w:t>39</w:t>
            </w:r>
          </w:p>
        </w:tc>
      </w:tr>
      <w:tr w14:paraId="083CB14E" w14:textId="77777777" w:rsidTr="00E2546A">
        <w:tblPrEx>
          <w:tblW w:w="10165" w:type="dxa"/>
          <w:tblLook w:val="04A0"/>
        </w:tblPrEx>
        <w:tc>
          <w:tcPr>
            <w:tcW w:w="2695" w:type="dxa"/>
          </w:tcPr>
          <w:p w:rsidR="00447971" w:rsidRPr="002223A2" w:rsidP="00447971" w14:paraId="2CE100F4" w14:textId="77777777">
            <w:pPr>
              <w:rPr>
                <w:rStyle w:val="StyleAptos10pt"/>
              </w:rPr>
            </w:pPr>
            <w:r w:rsidRPr="002223A2">
              <w:rPr>
                <w:rStyle w:val="StyleAptos10pt"/>
              </w:rPr>
              <w:t>Section 15.13(a)(9)(i)</w:t>
            </w:r>
          </w:p>
        </w:tc>
        <w:tc>
          <w:tcPr>
            <w:tcW w:w="1530" w:type="dxa"/>
          </w:tcPr>
          <w:p w:rsidR="00447971" w:rsidRPr="002223A2" w:rsidP="00447971" w14:paraId="4EEE5A72" w14:textId="77777777">
            <w:pPr>
              <w:jc w:val="center"/>
              <w:rPr>
                <w:rStyle w:val="StyleAptos10pt"/>
              </w:rPr>
            </w:pPr>
            <w:r w:rsidRPr="002223A2">
              <w:rPr>
                <w:rStyle w:val="StyleAptos10pt"/>
              </w:rPr>
              <w:t>39</w:t>
            </w:r>
          </w:p>
        </w:tc>
        <w:tc>
          <w:tcPr>
            <w:tcW w:w="1710" w:type="dxa"/>
          </w:tcPr>
          <w:p w:rsidR="00447971" w:rsidRPr="002223A2" w:rsidP="00447971" w14:paraId="29109E08" w14:textId="77777777">
            <w:pPr>
              <w:jc w:val="center"/>
              <w:rPr>
                <w:rStyle w:val="StyleAptos10pt"/>
              </w:rPr>
            </w:pPr>
            <w:r w:rsidRPr="002223A2">
              <w:rPr>
                <w:rStyle w:val="StyleAptos10pt"/>
              </w:rPr>
              <w:t>1</w:t>
            </w:r>
          </w:p>
        </w:tc>
        <w:tc>
          <w:tcPr>
            <w:tcW w:w="1890" w:type="dxa"/>
          </w:tcPr>
          <w:p w:rsidR="00447971" w:rsidRPr="002223A2" w:rsidP="00447971" w14:paraId="7D8B71D8" w14:textId="77777777">
            <w:pPr>
              <w:jc w:val="center"/>
              <w:rPr>
                <w:rStyle w:val="StyleAptos10pt"/>
              </w:rPr>
            </w:pPr>
            <w:r w:rsidRPr="002223A2">
              <w:rPr>
                <w:rStyle w:val="StyleAptos10pt"/>
              </w:rPr>
              <w:t>1</w:t>
            </w:r>
          </w:p>
        </w:tc>
        <w:tc>
          <w:tcPr>
            <w:tcW w:w="2340" w:type="dxa"/>
          </w:tcPr>
          <w:p w:rsidR="00447971" w:rsidRPr="002223A2" w:rsidP="00447971" w14:paraId="699B5C9C" w14:textId="77777777">
            <w:pPr>
              <w:jc w:val="center"/>
              <w:rPr>
                <w:rStyle w:val="StyleAptos10pt"/>
              </w:rPr>
            </w:pPr>
            <w:r w:rsidRPr="002223A2">
              <w:rPr>
                <w:rStyle w:val="StyleAptos10pt"/>
              </w:rPr>
              <w:t>39</w:t>
            </w:r>
          </w:p>
        </w:tc>
      </w:tr>
      <w:tr w14:paraId="62C4D147" w14:textId="77777777" w:rsidTr="00E2546A">
        <w:tblPrEx>
          <w:tblW w:w="10165" w:type="dxa"/>
          <w:tblLook w:val="04A0"/>
        </w:tblPrEx>
        <w:tc>
          <w:tcPr>
            <w:tcW w:w="2695" w:type="dxa"/>
          </w:tcPr>
          <w:p w:rsidR="00447971" w:rsidRPr="002223A2" w:rsidP="00447971" w14:paraId="1B6AAEA4" w14:textId="77777777">
            <w:pPr>
              <w:rPr>
                <w:rStyle w:val="StyleAptos10pt"/>
              </w:rPr>
            </w:pPr>
            <w:r w:rsidRPr="002223A2">
              <w:rPr>
                <w:rStyle w:val="StyleAptos10pt"/>
              </w:rPr>
              <w:t>Section 15.13(a)(9)(ii)</w:t>
            </w:r>
          </w:p>
        </w:tc>
        <w:tc>
          <w:tcPr>
            <w:tcW w:w="1530" w:type="dxa"/>
          </w:tcPr>
          <w:p w:rsidR="00447971" w:rsidRPr="002223A2" w:rsidP="00447971" w14:paraId="66BA90FC" w14:textId="77777777">
            <w:pPr>
              <w:jc w:val="center"/>
              <w:rPr>
                <w:rStyle w:val="StyleAptos10pt"/>
              </w:rPr>
            </w:pPr>
            <w:r w:rsidRPr="002223A2">
              <w:rPr>
                <w:rStyle w:val="StyleAptos10pt"/>
              </w:rPr>
              <w:t>39</w:t>
            </w:r>
          </w:p>
        </w:tc>
        <w:tc>
          <w:tcPr>
            <w:tcW w:w="1710" w:type="dxa"/>
          </w:tcPr>
          <w:p w:rsidR="00447971" w:rsidRPr="002223A2" w:rsidP="00447971" w14:paraId="1E58F15C" w14:textId="77777777">
            <w:pPr>
              <w:jc w:val="center"/>
              <w:rPr>
                <w:rStyle w:val="StyleAptos10pt"/>
              </w:rPr>
            </w:pPr>
            <w:r w:rsidRPr="002223A2">
              <w:rPr>
                <w:rStyle w:val="StyleAptos10pt"/>
              </w:rPr>
              <w:t>1</w:t>
            </w:r>
          </w:p>
        </w:tc>
        <w:tc>
          <w:tcPr>
            <w:tcW w:w="1890" w:type="dxa"/>
          </w:tcPr>
          <w:p w:rsidR="00447971" w:rsidRPr="002223A2" w:rsidP="00447971" w14:paraId="553019C8" w14:textId="77777777">
            <w:pPr>
              <w:jc w:val="center"/>
              <w:rPr>
                <w:rStyle w:val="StyleAptos10pt"/>
              </w:rPr>
            </w:pPr>
            <w:r w:rsidRPr="002223A2">
              <w:rPr>
                <w:rStyle w:val="StyleAptos10pt"/>
              </w:rPr>
              <w:t>1</w:t>
            </w:r>
          </w:p>
        </w:tc>
        <w:tc>
          <w:tcPr>
            <w:tcW w:w="2340" w:type="dxa"/>
          </w:tcPr>
          <w:p w:rsidR="00447971" w:rsidRPr="002223A2" w:rsidP="00447971" w14:paraId="3159F2D0" w14:textId="77777777">
            <w:pPr>
              <w:jc w:val="center"/>
              <w:rPr>
                <w:rStyle w:val="StyleAptos10pt"/>
              </w:rPr>
            </w:pPr>
            <w:r w:rsidRPr="002223A2">
              <w:rPr>
                <w:rStyle w:val="StyleAptos10pt"/>
              </w:rPr>
              <w:t>39</w:t>
            </w:r>
          </w:p>
        </w:tc>
      </w:tr>
      <w:tr w14:paraId="017F5B37" w14:textId="77777777" w:rsidTr="00E2546A">
        <w:tblPrEx>
          <w:tblW w:w="10165" w:type="dxa"/>
          <w:tblLook w:val="04A0"/>
        </w:tblPrEx>
        <w:tc>
          <w:tcPr>
            <w:tcW w:w="2695" w:type="dxa"/>
          </w:tcPr>
          <w:p w:rsidR="00447971" w:rsidRPr="002223A2" w:rsidP="00447971" w14:paraId="339D8814" w14:textId="77777777">
            <w:pPr>
              <w:rPr>
                <w:rStyle w:val="StyleAptos10pt"/>
              </w:rPr>
            </w:pPr>
            <w:r w:rsidRPr="002223A2">
              <w:rPr>
                <w:rStyle w:val="StyleAptos10pt"/>
              </w:rPr>
              <w:t>Section 15.13(a)(9)(iii)</w:t>
            </w:r>
          </w:p>
        </w:tc>
        <w:tc>
          <w:tcPr>
            <w:tcW w:w="1530" w:type="dxa"/>
          </w:tcPr>
          <w:p w:rsidR="00447971" w:rsidRPr="002223A2" w:rsidP="00447971" w14:paraId="3D7A47B3" w14:textId="77777777">
            <w:pPr>
              <w:jc w:val="center"/>
              <w:rPr>
                <w:rStyle w:val="StyleAptos10pt"/>
              </w:rPr>
            </w:pPr>
            <w:r w:rsidRPr="002223A2">
              <w:rPr>
                <w:rStyle w:val="StyleAptos10pt"/>
              </w:rPr>
              <w:t>39</w:t>
            </w:r>
          </w:p>
        </w:tc>
        <w:tc>
          <w:tcPr>
            <w:tcW w:w="1710" w:type="dxa"/>
          </w:tcPr>
          <w:p w:rsidR="00447971" w:rsidRPr="002223A2" w:rsidP="00447971" w14:paraId="171D6F1A" w14:textId="77777777">
            <w:pPr>
              <w:jc w:val="center"/>
              <w:rPr>
                <w:rStyle w:val="StyleAptos10pt"/>
              </w:rPr>
            </w:pPr>
            <w:r w:rsidRPr="002223A2">
              <w:rPr>
                <w:rStyle w:val="StyleAptos10pt"/>
              </w:rPr>
              <w:t>1</w:t>
            </w:r>
          </w:p>
        </w:tc>
        <w:tc>
          <w:tcPr>
            <w:tcW w:w="1890" w:type="dxa"/>
          </w:tcPr>
          <w:p w:rsidR="00447971" w:rsidRPr="002223A2" w:rsidP="00447971" w14:paraId="5F3C0073" w14:textId="77777777">
            <w:pPr>
              <w:jc w:val="center"/>
              <w:rPr>
                <w:rStyle w:val="StyleAptos10pt"/>
              </w:rPr>
            </w:pPr>
            <w:r w:rsidRPr="002223A2">
              <w:rPr>
                <w:rStyle w:val="StyleAptos10pt"/>
              </w:rPr>
              <w:t>1</w:t>
            </w:r>
          </w:p>
        </w:tc>
        <w:tc>
          <w:tcPr>
            <w:tcW w:w="2340" w:type="dxa"/>
          </w:tcPr>
          <w:p w:rsidR="00447971" w:rsidRPr="002223A2" w:rsidP="00447971" w14:paraId="1BEA2AF9" w14:textId="77777777">
            <w:pPr>
              <w:jc w:val="center"/>
              <w:rPr>
                <w:rStyle w:val="StyleAptos10pt"/>
              </w:rPr>
            </w:pPr>
            <w:r w:rsidRPr="002223A2">
              <w:rPr>
                <w:rStyle w:val="StyleAptos10pt"/>
              </w:rPr>
              <w:t>39</w:t>
            </w:r>
          </w:p>
        </w:tc>
      </w:tr>
      <w:tr w14:paraId="4886BF83" w14:textId="77777777" w:rsidTr="00E2546A">
        <w:tblPrEx>
          <w:tblW w:w="10165" w:type="dxa"/>
          <w:tblLook w:val="04A0"/>
        </w:tblPrEx>
        <w:tc>
          <w:tcPr>
            <w:tcW w:w="2695" w:type="dxa"/>
          </w:tcPr>
          <w:p w:rsidR="00447971" w:rsidRPr="002223A2" w:rsidP="00447971" w14:paraId="0DDB0EC5" w14:textId="77777777">
            <w:pPr>
              <w:rPr>
                <w:rStyle w:val="StyleAptos10pt"/>
              </w:rPr>
            </w:pPr>
            <w:r w:rsidRPr="002223A2">
              <w:rPr>
                <w:rStyle w:val="StyleAptos10pt"/>
              </w:rPr>
              <w:t>Section 15.13(a)(10)(iii)</w:t>
            </w:r>
          </w:p>
        </w:tc>
        <w:tc>
          <w:tcPr>
            <w:tcW w:w="1530" w:type="dxa"/>
          </w:tcPr>
          <w:p w:rsidR="00447971" w:rsidRPr="002223A2" w:rsidP="00447971" w14:paraId="27D2617A" w14:textId="77777777">
            <w:pPr>
              <w:jc w:val="center"/>
              <w:rPr>
                <w:rStyle w:val="StyleAptos10pt"/>
              </w:rPr>
            </w:pPr>
            <w:r w:rsidRPr="002223A2">
              <w:rPr>
                <w:rStyle w:val="StyleAptos10pt"/>
              </w:rPr>
              <w:t>1</w:t>
            </w:r>
          </w:p>
        </w:tc>
        <w:tc>
          <w:tcPr>
            <w:tcW w:w="1710" w:type="dxa"/>
          </w:tcPr>
          <w:p w:rsidR="00447971" w:rsidRPr="002223A2" w:rsidP="00447971" w14:paraId="4CF2565B" w14:textId="77777777">
            <w:pPr>
              <w:jc w:val="center"/>
              <w:rPr>
                <w:rStyle w:val="StyleAptos10pt"/>
              </w:rPr>
            </w:pPr>
            <w:r w:rsidRPr="002223A2">
              <w:rPr>
                <w:rStyle w:val="StyleAptos10pt"/>
              </w:rPr>
              <w:t>1</w:t>
            </w:r>
          </w:p>
        </w:tc>
        <w:tc>
          <w:tcPr>
            <w:tcW w:w="1890" w:type="dxa"/>
          </w:tcPr>
          <w:p w:rsidR="00447971" w:rsidRPr="002223A2" w:rsidP="00447971" w14:paraId="07E7B8C4" w14:textId="77777777">
            <w:pPr>
              <w:jc w:val="center"/>
              <w:rPr>
                <w:rStyle w:val="StyleAptos10pt"/>
              </w:rPr>
            </w:pPr>
            <w:r w:rsidRPr="002223A2">
              <w:rPr>
                <w:rStyle w:val="StyleAptos10pt"/>
              </w:rPr>
              <w:t>1</w:t>
            </w:r>
          </w:p>
        </w:tc>
        <w:tc>
          <w:tcPr>
            <w:tcW w:w="2340" w:type="dxa"/>
          </w:tcPr>
          <w:p w:rsidR="00447971" w:rsidRPr="002223A2" w:rsidP="00447971" w14:paraId="5FA7EEF3" w14:textId="77777777">
            <w:pPr>
              <w:jc w:val="center"/>
              <w:rPr>
                <w:rStyle w:val="StyleAptos10pt"/>
              </w:rPr>
            </w:pPr>
            <w:r w:rsidRPr="002223A2">
              <w:rPr>
                <w:rStyle w:val="StyleAptos10pt"/>
              </w:rPr>
              <w:t>1</w:t>
            </w:r>
          </w:p>
        </w:tc>
      </w:tr>
      <w:tr w14:paraId="72EBF07F" w14:textId="77777777" w:rsidTr="00E2546A">
        <w:tblPrEx>
          <w:tblW w:w="10165" w:type="dxa"/>
          <w:tblLook w:val="04A0"/>
        </w:tblPrEx>
        <w:tc>
          <w:tcPr>
            <w:tcW w:w="2695" w:type="dxa"/>
          </w:tcPr>
          <w:p w:rsidR="00447971" w:rsidRPr="002223A2" w:rsidP="00447971" w14:paraId="746DD942" w14:textId="77777777">
            <w:pPr>
              <w:rPr>
                <w:rStyle w:val="StyleAptos10pt"/>
              </w:rPr>
            </w:pPr>
            <w:r w:rsidRPr="002223A2">
              <w:rPr>
                <w:rStyle w:val="StyleAptos10pt"/>
              </w:rPr>
              <w:t>Section 15.13(b)(7)(i)</w:t>
            </w:r>
          </w:p>
        </w:tc>
        <w:tc>
          <w:tcPr>
            <w:tcW w:w="1530" w:type="dxa"/>
          </w:tcPr>
          <w:p w:rsidR="00447971" w:rsidRPr="002223A2" w:rsidP="00447971" w14:paraId="35349C8F" w14:textId="77777777">
            <w:pPr>
              <w:jc w:val="center"/>
              <w:rPr>
                <w:rStyle w:val="StyleAptos10pt"/>
              </w:rPr>
            </w:pPr>
            <w:r w:rsidRPr="002223A2">
              <w:rPr>
                <w:rStyle w:val="StyleAptos10pt"/>
              </w:rPr>
              <w:t>39</w:t>
            </w:r>
          </w:p>
        </w:tc>
        <w:tc>
          <w:tcPr>
            <w:tcW w:w="1710" w:type="dxa"/>
          </w:tcPr>
          <w:p w:rsidR="00447971" w:rsidRPr="002223A2" w:rsidP="00447971" w14:paraId="3E66DCDC" w14:textId="77777777">
            <w:pPr>
              <w:jc w:val="center"/>
              <w:rPr>
                <w:rStyle w:val="StyleAptos10pt"/>
              </w:rPr>
            </w:pPr>
            <w:r w:rsidRPr="002223A2">
              <w:rPr>
                <w:rStyle w:val="StyleAptos10pt"/>
              </w:rPr>
              <w:t>1</w:t>
            </w:r>
          </w:p>
        </w:tc>
        <w:tc>
          <w:tcPr>
            <w:tcW w:w="1890" w:type="dxa"/>
          </w:tcPr>
          <w:p w:rsidR="00447971" w:rsidRPr="002223A2" w:rsidP="00447971" w14:paraId="0B33C5A2" w14:textId="77777777">
            <w:pPr>
              <w:jc w:val="center"/>
              <w:rPr>
                <w:rStyle w:val="StyleAptos10pt"/>
              </w:rPr>
            </w:pPr>
            <w:r w:rsidRPr="002223A2">
              <w:rPr>
                <w:rStyle w:val="StyleAptos10pt"/>
              </w:rPr>
              <w:t>1</w:t>
            </w:r>
          </w:p>
        </w:tc>
        <w:tc>
          <w:tcPr>
            <w:tcW w:w="2340" w:type="dxa"/>
          </w:tcPr>
          <w:p w:rsidR="00447971" w:rsidRPr="002223A2" w:rsidP="00447971" w14:paraId="5C3185EE" w14:textId="77777777">
            <w:pPr>
              <w:jc w:val="center"/>
              <w:rPr>
                <w:rStyle w:val="StyleAptos10pt"/>
              </w:rPr>
            </w:pPr>
            <w:r w:rsidRPr="002223A2">
              <w:rPr>
                <w:rStyle w:val="StyleAptos10pt"/>
              </w:rPr>
              <w:t>39</w:t>
            </w:r>
          </w:p>
        </w:tc>
      </w:tr>
      <w:tr w14:paraId="3C3A9C13" w14:textId="77777777" w:rsidTr="00E2546A">
        <w:tblPrEx>
          <w:tblW w:w="10165" w:type="dxa"/>
          <w:tblLook w:val="04A0"/>
        </w:tblPrEx>
        <w:tc>
          <w:tcPr>
            <w:tcW w:w="2695" w:type="dxa"/>
          </w:tcPr>
          <w:p w:rsidR="00447971" w:rsidRPr="002223A2" w:rsidP="00447971" w14:paraId="60762DB3" w14:textId="77777777">
            <w:pPr>
              <w:rPr>
                <w:rStyle w:val="StyleAptos10pt"/>
              </w:rPr>
            </w:pPr>
            <w:r w:rsidRPr="002223A2">
              <w:rPr>
                <w:rStyle w:val="StyleAptos10pt"/>
              </w:rPr>
              <w:t>Section 15.13(b)(7)(ii)</w:t>
            </w:r>
          </w:p>
        </w:tc>
        <w:tc>
          <w:tcPr>
            <w:tcW w:w="1530" w:type="dxa"/>
          </w:tcPr>
          <w:p w:rsidR="00447971" w:rsidRPr="002223A2" w:rsidP="00447971" w14:paraId="30C405B8" w14:textId="77777777">
            <w:pPr>
              <w:jc w:val="center"/>
              <w:rPr>
                <w:rStyle w:val="StyleAptos10pt"/>
              </w:rPr>
            </w:pPr>
            <w:r w:rsidRPr="002223A2">
              <w:rPr>
                <w:rStyle w:val="StyleAptos10pt"/>
              </w:rPr>
              <w:t>39</w:t>
            </w:r>
          </w:p>
        </w:tc>
        <w:tc>
          <w:tcPr>
            <w:tcW w:w="1710" w:type="dxa"/>
          </w:tcPr>
          <w:p w:rsidR="00447971" w:rsidRPr="002223A2" w:rsidP="00447971" w14:paraId="6B1C2794" w14:textId="77777777">
            <w:pPr>
              <w:jc w:val="center"/>
              <w:rPr>
                <w:rStyle w:val="StyleAptos10pt"/>
              </w:rPr>
            </w:pPr>
            <w:r w:rsidRPr="002223A2">
              <w:rPr>
                <w:rStyle w:val="StyleAptos10pt"/>
              </w:rPr>
              <w:t>1</w:t>
            </w:r>
          </w:p>
        </w:tc>
        <w:tc>
          <w:tcPr>
            <w:tcW w:w="1890" w:type="dxa"/>
          </w:tcPr>
          <w:p w:rsidR="00447971" w:rsidRPr="002223A2" w:rsidP="00447971" w14:paraId="32273A66" w14:textId="77777777">
            <w:pPr>
              <w:jc w:val="center"/>
              <w:rPr>
                <w:rStyle w:val="StyleAptos10pt"/>
              </w:rPr>
            </w:pPr>
            <w:r w:rsidRPr="002223A2">
              <w:rPr>
                <w:rStyle w:val="StyleAptos10pt"/>
              </w:rPr>
              <w:t>1</w:t>
            </w:r>
          </w:p>
        </w:tc>
        <w:tc>
          <w:tcPr>
            <w:tcW w:w="2340" w:type="dxa"/>
          </w:tcPr>
          <w:p w:rsidR="00447971" w:rsidRPr="002223A2" w:rsidP="00447971" w14:paraId="25F8289B" w14:textId="77777777">
            <w:pPr>
              <w:jc w:val="center"/>
              <w:rPr>
                <w:rStyle w:val="StyleAptos10pt"/>
              </w:rPr>
            </w:pPr>
            <w:r w:rsidRPr="002223A2">
              <w:rPr>
                <w:rStyle w:val="StyleAptos10pt"/>
              </w:rPr>
              <w:t>39</w:t>
            </w:r>
          </w:p>
        </w:tc>
      </w:tr>
      <w:tr w14:paraId="191467CF" w14:textId="77777777" w:rsidTr="00E2546A">
        <w:tblPrEx>
          <w:tblW w:w="10165" w:type="dxa"/>
          <w:tblLook w:val="04A0"/>
        </w:tblPrEx>
        <w:tc>
          <w:tcPr>
            <w:tcW w:w="2695" w:type="dxa"/>
          </w:tcPr>
          <w:p w:rsidR="00447971" w:rsidRPr="002223A2" w:rsidP="00447971" w14:paraId="2F824F9B" w14:textId="77777777">
            <w:pPr>
              <w:rPr>
                <w:rStyle w:val="StyleAptos10pt"/>
              </w:rPr>
            </w:pPr>
            <w:r w:rsidRPr="002223A2">
              <w:rPr>
                <w:rStyle w:val="StyleAptos10pt"/>
              </w:rPr>
              <w:t>Section 15.14(h)</w:t>
            </w:r>
          </w:p>
        </w:tc>
        <w:tc>
          <w:tcPr>
            <w:tcW w:w="1530" w:type="dxa"/>
          </w:tcPr>
          <w:p w:rsidR="00447971" w:rsidRPr="002223A2" w:rsidP="00447971" w14:paraId="3534CAD2" w14:textId="77777777">
            <w:pPr>
              <w:jc w:val="center"/>
              <w:rPr>
                <w:rStyle w:val="StyleAptos10pt"/>
              </w:rPr>
            </w:pPr>
            <w:r w:rsidRPr="002223A2">
              <w:rPr>
                <w:rStyle w:val="StyleAptos10pt"/>
              </w:rPr>
              <w:t>39</w:t>
            </w:r>
          </w:p>
        </w:tc>
        <w:tc>
          <w:tcPr>
            <w:tcW w:w="1710" w:type="dxa"/>
          </w:tcPr>
          <w:p w:rsidR="00447971" w:rsidRPr="002223A2" w:rsidP="00447971" w14:paraId="4555A824" w14:textId="77777777">
            <w:pPr>
              <w:jc w:val="center"/>
              <w:rPr>
                <w:rStyle w:val="StyleAptos10pt"/>
              </w:rPr>
            </w:pPr>
            <w:r w:rsidRPr="002223A2">
              <w:rPr>
                <w:rStyle w:val="StyleAptos10pt"/>
              </w:rPr>
              <w:t>52</w:t>
            </w:r>
          </w:p>
        </w:tc>
        <w:tc>
          <w:tcPr>
            <w:tcW w:w="1890" w:type="dxa"/>
          </w:tcPr>
          <w:p w:rsidR="00447971" w:rsidRPr="002223A2" w:rsidP="00447971" w14:paraId="02203C5B" w14:textId="77777777">
            <w:pPr>
              <w:jc w:val="center"/>
              <w:rPr>
                <w:rStyle w:val="StyleAptos10pt"/>
              </w:rPr>
            </w:pPr>
            <w:r w:rsidRPr="002223A2">
              <w:rPr>
                <w:rStyle w:val="StyleAptos10pt"/>
              </w:rPr>
              <w:t>2</w:t>
            </w:r>
          </w:p>
        </w:tc>
        <w:tc>
          <w:tcPr>
            <w:tcW w:w="2340" w:type="dxa"/>
          </w:tcPr>
          <w:p w:rsidR="00447971" w:rsidRPr="002223A2" w:rsidP="00447971" w14:paraId="29B82948" w14:textId="77777777">
            <w:pPr>
              <w:jc w:val="center"/>
              <w:rPr>
                <w:rStyle w:val="StyleAptos10pt"/>
              </w:rPr>
            </w:pPr>
            <w:r w:rsidRPr="002223A2">
              <w:rPr>
                <w:rStyle w:val="StyleAptos10pt"/>
              </w:rPr>
              <w:t>4,056</w:t>
            </w:r>
          </w:p>
        </w:tc>
      </w:tr>
      <w:tr w14:paraId="04585101" w14:textId="77777777" w:rsidTr="00E2546A">
        <w:tblPrEx>
          <w:tblW w:w="10165" w:type="dxa"/>
          <w:tblLook w:val="04A0"/>
        </w:tblPrEx>
        <w:tc>
          <w:tcPr>
            <w:tcW w:w="2695" w:type="dxa"/>
          </w:tcPr>
          <w:p w:rsidR="00447971" w:rsidRPr="002223A2" w:rsidP="00447971" w14:paraId="3EDF209A" w14:textId="77777777">
            <w:pPr>
              <w:rPr>
                <w:rStyle w:val="StyleAptos10pt"/>
              </w:rPr>
            </w:pPr>
            <w:r w:rsidRPr="002223A2">
              <w:rPr>
                <w:rStyle w:val="StyleAptos10pt"/>
              </w:rPr>
              <w:t>Section 15.14(i)</w:t>
            </w:r>
          </w:p>
        </w:tc>
        <w:tc>
          <w:tcPr>
            <w:tcW w:w="1530" w:type="dxa"/>
          </w:tcPr>
          <w:p w:rsidR="00447971" w:rsidRPr="002223A2" w:rsidP="00447971" w14:paraId="10F29AD3" w14:textId="77777777">
            <w:pPr>
              <w:jc w:val="center"/>
              <w:rPr>
                <w:rStyle w:val="StyleAptos10pt"/>
              </w:rPr>
            </w:pPr>
            <w:r w:rsidRPr="002223A2">
              <w:rPr>
                <w:rStyle w:val="StyleAptos10pt"/>
              </w:rPr>
              <w:t>39</w:t>
            </w:r>
          </w:p>
        </w:tc>
        <w:tc>
          <w:tcPr>
            <w:tcW w:w="1710" w:type="dxa"/>
          </w:tcPr>
          <w:p w:rsidR="00447971" w:rsidRPr="002223A2" w:rsidP="00447971" w14:paraId="462A5330" w14:textId="77777777">
            <w:pPr>
              <w:jc w:val="center"/>
              <w:rPr>
                <w:rStyle w:val="StyleAptos10pt"/>
              </w:rPr>
            </w:pPr>
            <w:r w:rsidRPr="002223A2">
              <w:rPr>
                <w:rStyle w:val="StyleAptos10pt"/>
              </w:rPr>
              <w:t>4</w:t>
            </w:r>
          </w:p>
        </w:tc>
        <w:tc>
          <w:tcPr>
            <w:tcW w:w="1890" w:type="dxa"/>
          </w:tcPr>
          <w:p w:rsidR="00447971" w:rsidRPr="002223A2" w:rsidP="00447971" w14:paraId="60C63DAA" w14:textId="77777777">
            <w:pPr>
              <w:jc w:val="center"/>
              <w:rPr>
                <w:rStyle w:val="StyleAptos10pt"/>
              </w:rPr>
            </w:pPr>
            <w:r w:rsidRPr="002223A2">
              <w:rPr>
                <w:rStyle w:val="StyleAptos10pt"/>
              </w:rPr>
              <w:t>16</w:t>
            </w:r>
          </w:p>
        </w:tc>
        <w:tc>
          <w:tcPr>
            <w:tcW w:w="2340" w:type="dxa"/>
          </w:tcPr>
          <w:p w:rsidR="00447971" w:rsidRPr="002223A2" w:rsidP="00447971" w14:paraId="30388BCF" w14:textId="77777777">
            <w:pPr>
              <w:jc w:val="center"/>
              <w:rPr>
                <w:rStyle w:val="StyleAptos10pt"/>
              </w:rPr>
            </w:pPr>
            <w:r w:rsidRPr="002223A2">
              <w:rPr>
                <w:rStyle w:val="StyleAptos10pt"/>
              </w:rPr>
              <w:t>2,496</w:t>
            </w:r>
          </w:p>
        </w:tc>
      </w:tr>
      <w:tr w14:paraId="0FF3BC5A" w14:textId="77777777" w:rsidTr="00E2546A">
        <w:tblPrEx>
          <w:tblW w:w="10165" w:type="dxa"/>
          <w:tblLook w:val="04A0"/>
        </w:tblPrEx>
        <w:tc>
          <w:tcPr>
            <w:tcW w:w="2695" w:type="dxa"/>
          </w:tcPr>
          <w:p w:rsidR="00447971" w:rsidRPr="002223A2" w:rsidP="00447971" w14:paraId="4B284DCF" w14:textId="77777777">
            <w:pPr>
              <w:rPr>
                <w:rStyle w:val="StyleAptos10pt"/>
              </w:rPr>
            </w:pPr>
            <w:r w:rsidRPr="002223A2">
              <w:rPr>
                <w:rStyle w:val="StyleAptos10pt"/>
              </w:rPr>
              <w:t>Section 15.14(j)</w:t>
            </w:r>
          </w:p>
        </w:tc>
        <w:tc>
          <w:tcPr>
            <w:tcW w:w="1530" w:type="dxa"/>
          </w:tcPr>
          <w:p w:rsidR="00447971" w:rsidRPr="002223A2" w:rsidP="00447971" w14:paraId="643DCBC0" w14:textId="77777777">
            <w:pPr>
              <w:jc w:val="center"/>
              <w:rPr>
                <w:rStyle w:val="StyleAptos10pt"/>
              </w:rPr>
            </w:pPr>
            <w:r w:rsidRPr="002223A2">
              <w:rPr>
                <w:rStyle w:val="StyleAptos10pt"/>
              </w:rPr>
              <w:t>39</w:t>
            </w:r>
          </w:p>
        </w:tc>
        <w:tc>
          <w:tcPr>
            <w:tcW w:w="1710" w:type="dxa"/>
          </w:tcPr>
          <w:p w:rsidR="00447971" w:rsidRPr="002223A2" w:rsidP="00447971" w14:paraId="31BE5E84" w14:textId="77777777">
            <w:pPr>
              <w:jc w:val="center"/>
              <w:rPr>
                <w:rStyle w:val="StyleAptos10pt"/>
              </w:rPr>
            </w:pPr>
            <w:r w:rsidRPr="002223A2">
              <w:rPr>
                <w:rStyle w:val="StyleAptos10pt"/>
              </w:rPr>
              <w:t>1</w:t>
            </w:r>
          </w:p>
        </w:tc>
        <w:tc>
          <w:tcPr>
            <w:tcW w:w="1890" w:type="dxa"/>
          </w:tcPr>
          <w:p w:rsidR="00447971" w:rsidRPr="002223A2" w:rsidP="00447971" w14:paraId="6F3CB8A7" w14:textId="77777777">
            <w:pPr>
              <w:jc w:val="center"/>
              <w:rPr>
                <w:rStyle w:val="StyleAptos10pt"/>
              </w:rPr>
            </w:pPr>
            <w:r w:rsidRPr="002223A2">
              <w:rPr>
                <w:rStyle w:val="StyleAptos10pt"/>
              </w:rPr>
              <w:t>40</w:t>
            </w:r>
          </w:p>
        </w:tc>
        <w:tc>
          <w:tcPr>
            <w:tcW w:w="2340" w:type="dxa"/>
          </w:tcPr>
          <w:p w:rsidR="00447971" w:rsidRPr="002223A2" w:rsidP="00447971" w14:paraId="0784E28C" w14:textId="77777777">
            <w:pPr>
              <w:jc w:val="center"/>
              <w:rPr>
                <w:rStyle w:val="StyleAptos10pt"/>
              </w:rPr>
            </w:pPr>
            <w:r w:rsidRPr="002223A2">
              <w:rPr>
                <w:rStyle w:val="StyleAptos10pt"/>
              </w:rPr>
              <w:t>1,560</w:t>
            </w:r>
          </w:p>
        </w:tc>
      </w:tr>
      <w:tr w14:paraId="7D1D5FED" w14:textId="77777777" w:rsidTr="00E2546A">
        <w:tblPrEx>
          <w:tblW w:w="10165" w:type="dxa"/>
          <w:tblLook w:val="04A0"/>
        </w:tblPrEx>
        <w:tc>
          <w:tcPr>
            <w:tcW w:w="2695" w:type="dxa"/>
          </w:tcPr>
          <w:p w:rsidR="00447971" w:rsidRPr="002223A2" w:rsidP="00447971" w14:paraId="148D719C" w14:textId="77777777">
            <w:pPr>
              <w:rPr>
                <w:rStyle w:val="StyleAptos10pt"/>
              </w:rPr>
            </w:pPr>
            <w:r w:rsidRPr="002223A2">
              <w:rPr>
                <w:rStyle w:val="StyleAptos10pt"/>
              </w:rPr>
              <w:t>Section 15.14(k)</w:t>
            </w:r>
          </w:p>
        </w:tc>
        <w:tc>
          <w:tcPr>
            <w:tcW w:w="1530" w:type="dxa"/>
          </w:tcPr>
          <w:p w:rsidR="00447971" w:rsidRPr="002223A2" w:rsidP="00447971" w14:paraId="114C27E5" w14:textId="77777777">
            <w:pPr>
              <w:jc w:val="center"/>
              <w:rPr>
                <w:rStyle w:val="StyleAptos10pt"/>
              </w:rPr>
            </w:pPr>
            <w:r w:rsidRPr="002223A2">
              <w:rPr>
                <w:rStyle w:val="StyleAptos10pt"/>
              </w:rPr>
              <w:t>39</w:t>
            </w:r>
          </w:p>
        </w:tc>
        <w:tc>
          <w:tcPr>
            <w:tcW w:w="1710" w:type="dxa"/>
          </w:tcPr>
          <w:p w:rsidR="00447971" w:rsidRPr="002223A2" w:rsidP="00447971" w14:paraId="31A334D7" w14:textId="77777777">
            <w:pPr>
              <w:jc w:val="center"/>
              <w:rPr>
                <w:rStyle w:val="StyleAptos10pt"/>
              </w:rPr>
            </w:pPr>
            <w:r w:rsidRPr="002223A2">
              <w:rPr>
                <w:rStyle w:val="StyleAptos10pt"/>
              </w:rPr>
              <w:t>1</w:t>
            </w:r>
          </w:p>
        </w:tc>
        <w:tc>
          <w:tcPr>
            <w:tcW w:w="1890" w:type="dxa"/>
          </w:tcPr>
          <w:p w:rsidR="00447971" w:rsidRPr="002223A2" w:rsidP="00447971" w14:paraId="5D2EDBDE" w14:textId="77777777">
            <w:pPr>
              <w:jc w:val="center"/>
              <w:rPr>
                <w:rStyle w:val="StyleAptos10pt"/>
              </w:rPr>
            </w:pPr>
            <w:r w:rsidRPr="002223A2">
              <w:rPr>
                <w:rStyle w:val="StyleAptos10pt"/>
              </w:rPr>
              <w:t>8</w:t>
            </w:r>
          </w:p>
        </w:tc>
        <w:tc>
          <w:tcPr>
            <w:tcW w:w="2340" w:type="dxa"/>
          </w:tcPr>
          <w:p w:rsidR="00447971" w:rsidRPr="002223A2" w:rsidP="00447971" w14:paraId="69B5C397" w14:textId="77777777">
            <w:pPr>
              <w:jc w:val="center"/>
              <w:rPr>
                <w:rStyle w:val="StyleAptos10pt"/>
              </w:rPr>
            </w:pPr>
            <w:r w:rsidRPr="002223A2">
              <w:rPr>
                <w:rStyle w:val="StyleAptos10pt"/>
              </w:rPr>
              <w:t>312</w:t>
            </w:r>
          </w:p>
        </w:tc>
      </w:tr>
      <w:tr w14:paraId="4A83FA11" w14:textId="77777777" w:rsidTr="00E2546A">
        <w:tblPrEx>
          <w:tblW w:w="10165" w:type="dxa"/>
          <w:tblLook w:val="04A0"/>
        </w:tblPrEx>
        <w:tc>
          <w:tcPr>
            <w:tcW w:w="2695" w:type="dxa"/>
          </w:tcPr>
          <w:p w:rsidR="00447971" w:rsidRPr="002223A2" w:rsidP="00447971" w14:paraId="6AF612C3" w14:textId="77777777">
            <w:pPr>
              <w:rPr>
                <w:rStyle w:val="StyleAptos10pt"/>
              </w:rPr>
            </w:pPr>
            <w:r w:rsidRPr="002223A2">
              <w:rPr>
                <w:rStyle w:val="StyleAptos10pt"/>
              </w:rPr>
              <w:t>Section 15.14(l)(1)</w:t>
            </w:r>
          </w:p>
        </w:tc>
        <w:tc>
          <w:tcPr>
            <w:tcW w:w="1530" w:type="dxa"/>
          </w:tcPr>
          <w:p w:rsidR="00447971" w:rsidRPr="002223A2" w:rsidP="00447971" w14:paraId="7D3AB2DB" w14:textId="77777777">
            <w:pPr>
              <w:jc w:val="center"/>
              <w:rPr>
                <w:rStyle w:val="StyleAptos10pt"/>
              </w:rPr>
            </w:pPr>
            <w:r w:rsidRPr="002223A2">
              <w:rPr>
                <w:rStyle w:val="StyleAptos10pt"/>
              </w:rPr>
              <w:t>1</w:t>
            </w:r>
          </w:p>
        </w:tc>
        <w:tc>
          <w:tcPr>
            <w:tcW w:w="1710" w:type="dxa"/>
          </w:tcPr>
          <w:p w:rsidR="00447971" w:rsidRPr="002223A2" w:rsidP="00447971" w14:paraId="4FEC6AAD" w14:textId="77777777">
            <w:pPr>
              <w:jc w:val="center"/>
              <w:rPr>
                <w:rStyle w:val="StyleAptos10pt"/>
              </w:rPr>
            </w:pPr>
            <w:r w:rsidRPr="002223A2">
              <w:rPr>
                <w:rStyle w:val="StyleAptos10pt"/>
              </w:rPr>
              <w:t>1</w:t>
            </w:r>
          </w:p>
        </w:tc>
        <w:tc>
          <w:tcPr>
            <w:tcW w:w="1890" w:type="dxa"/>
          </w:tcPr>
          <w:p w:rsidR="00447971" w:rsidRPr="002223A2" w:rsidP="00447971" w14:paraId="3BC55713" w14:textId="77777777">
            <w:pPr>
              <w:jc w:val="center"/>
              <w:rPr>
                <w:rStyle w:val="StyleAptos10pt"/>
              </w:rPr>
            </w:pPr>
            <w:r w:rsidRPr="002223A2">
              <w:rPr>
                <w:rStyle w:val="StyleAptos10pt"/>
              </w:rPr>
              <w:t>4</w:t>
            </w:r>
          </w:p>
        </w:tc>
        <w:tc>
          <w:tcPr>
            <w:tcW w:w="2340" w:type="dxa"/>
          </w:tcPr>
          <w:p w:rsidR="00447971" w:rsidRPr="002223A2" w:rsidP="00447971" w14:paraId="1CAA40C8" w14:textId="77777777">
            <w:pPr>
              <w:jc w:val="center"/>
              <w:rPr>
                <w:rStyle w:val="StyleAptos10pt"/>
              </w:rPr>
            </w:pPr>
            <w:r w:rsidRPr="002223A2">
              <w:rPr>
                <w:rStyle w:val="StyleAptos10pt"/>
              </w:rPr>
              <w:t>4</w:t>
            </w:r>
          </w:p>
        </w:tc>
      </w:tr>
      <w:tr w14:paraId="5551342A" w14:textId="77777777" w:rsidTr="00E2546A">
        <w:tblPrEx>
          <w:tblW w:w="10165" w:type="dxa"/>
          <w:tblLook w:val="04A0"/>
        </w:tblPrEx>
        <w:tc>
          <w:tcPr>
            <w:tcW w:w="2695" w:type="dxa"/>
          </w:tcPr>
          <w:p w:rsidR="00447971" w:rsidRPr="002223A2" w:rsidP="00447971" w14:paraId="441D4DF8" w14:textId="77777777">
            <w:pPr>
              <w:rPr>
                <w:rStyle w:val="StyleAptos10pt"/>
              </w:rPr>
            </w:pPr>
            <w:r w:rsidRPr="002223A2">
              <w:rPr>
                <w:rStyle w:val="StyleAptos10pt"/>
              </w:rPr>
              <w:t>Section 15.14(l)(2)(ii)</w:t>
            </w:r>
          </w:p>
        </w:tc>
        <w:tc>
          <w:tcPr>
            <w:tcW w:w="1530" w:type="dxa"/>
          </w:tcPr>
          <w:p w:rsidR="00447971" w:rsidRPr="002223A2" w:rsidP="00447971" w14:paraId="3344FD3C" w14:textId="77777777">
            <w:pPr>
              <w:jc w:val="center"/>
              <w:rPr>
                <w:rStyle w:val="StyleAptos10pt"/>
              </w:rPr>
            </w:pPr>
            <w:r w:rsidRPr="002223A2">
              <w:rPr>
                <w:rStyle w:val="StyleAptos10pt"/>
              </w:rPr>
              <w:t>1</w:t>
            </w:r>
          </w:p>
        </w:tc>
        <w:tc>
          <w:tcPr>
            <w:tcW w:w="1710" w:type="dxa"/>
          </w:tcPr>
          <w:p w:rsidR="00447971" w:rsidRPr="002223A2" w:rsidP="00447971" w14:paraId="78B3ADFA" w14:textId="77777777">
            <w:pPr>
              <w:jc w:val="center"/>
              <w:rPr>
                <w:rStyle w:val="StyleAptos10pt"/>
              </w:rPr>
            </w:pPr>
            <w:r w:rsidRPr="002223A2">
              <w:rPr>
                <w:rStyle w:val="StyleAptos10pt"/>
              </w:rPr>
              <w:t>1</w:t>
            </w:r>
          </w:p>
        </w:tc>
        <w:tc>
          <w:tcPr>
            <w:tcW w:w="1890" w:type="dxa"/>
          </w:tcPr>
          <w:p w:rsidR="00447971" w:rsidRPr="002223A2" w:rsidP="00447971" w14:paraId="20263F17" w14:textId="77777777">
            <w:pPr>
              <w:jc w:val="center"/>
              <w:rPr>
                <w:rStyle w:val="StyleAptos10pt"/>
              </w:rPr>
            </w:pPr>
            <w:r w:rsidRPr="002223A2">
              <w:rPr>
                <w:rStyle w:val="StyleAptos10pt"/>
              </w:rPr>
              <w:t>40</w:t>
            </w:r>
          </w:p>
        </w:tc>
        <w:tc>
          <w:tcPr>
            <w:tcW w:w="2340" w:type="dxa"/>
          </w:tcPr>
          <w:p w:rsidR="00447971" w:rsidRPr="002223A2" w:rsidP="00447971" w14:paraId="764F2527" w14:textId="77777777">
            <w:pPr>
              <w:jc w:val="center"/>
              <w:rPr>
                <w:rStyle w:val="StyleAptos10pt"/>
              </w:rPr>
            </w:pPr>
            <w:r w:rsidRPr="002223A2">
              <w:rPr>
                <w:rStyle w:val="StyleAptos10pt"/>
              </w:rPr>
              <w:t>40</w:t>
            </w:r>
          </w:p>
        </w:tc>
      </w:tr>
      <w:tr w14:paraId="4ECAF6E3" w14:textId="77777777" w:rsidTr="00E2546A">
        <w:tblPrEx>
          <w:tblW w:w="10165" w:type="dxa"/>
          <w:tblLook w:val="04A0"/>
        </w:tblPrEx>
        <w:tc>
          <w:tcPr>
            <w:tcW w:w="2695" w:type="dxa"/>
          </w:tcPr>
          <w:p w:rsidR="00447971" w:rsidRPr="002223A2" w:rsidP="00447971" w14:paraId="274B17C9" w14:textId="77777777">
            <w:pPr>
              <w:rPr>
                <w:rStyle w:val="StyleAptos10pt"/>
              </w:rPr>
            </w:pPr>
            <w:r w:rsidRPr="002223A2">
              <w:rPr>
                <w:rStyle w:val="StyleAptos10pt"/>
              </w:rPr>
              <w:t>Section 15.14(l)(2)(iii)</w:t>
            </w:r>
          </w:p>
        </w:tc>
        <w:tc>
          <w:tcPr>
            <w:tcW w:w="1530" w:type="dxa"/>
          </w:tcPr>
          <w:p w:rsidR="00447971" w:rsidRPr="002223A2" w:rsidP="00447971" w14:paraId="06DC3C69" w14:textId="77777777">
            <w:pPr>
              <w:jc w:val="center"/>
              <w:rPr>
                <w:rStyle w:val="StyleAptos10pt"/>
              </w:rPr>
            </w:pPr>
            <w:r w:rsidRPr="002223A2">
              <w:rPr>
                <w:rStyle w:val="StyleAptos10pt"/>
              </w:rPr>
              <w:t>1</w:t>
            </w:r>
          </w:p>
        </w:tc>
        <w:tc>
          <w:tcPr>
            <w:tcW w:w="1710" w:type="dxa"/>
          </w:tcPr>
          <w:p w:rsidR="00447971" w:rsidRPr="002223A2" w:rsidP="00447971" w14:paraId="4A063913" w14:textId="77777777">
            <w:pPr>
              <w:jc w:val="center"/>
              <w:rPr>
                <w:rStyle w:val="StyleAptos10pt"/>
              </w:rPr>
            </w:pPr>
            <w:r w:rsidRPr="002223A2">
              <w:rPr>
                <w:rStyle w:val="StyleAptos10pt"/>
              </w:rPr>
              <w:t>1</w:t>
            </w:r>
          </w:p>
        </w:tc>
        <w:tc>
          <w:tcPr>
            <w:tcW w:w="1890" w:type="dxa"/>
          </w:tcPr>
          <w:p w:rsidR="00447971" w:rsidRPr="002223A2" w:rsidP="00447971" w14:paraId="6BC858D4" w14:textId="77777777">
            <w:pPr>
              <w:jc w:val="center"/>
              <w:rPr>
                <w:rStyle w:val="StyleAptos10pt"/>
              </w:rPr>
            </w:pPr>
            <w:r w:rsidRPr="002223A2">
              <w:rPr>
                <w:rStyle w:val="StyleAptos10pt"/>
              </w:rPr>
              <w:t>16</w:t>
            </w:r>
          </w:p>
        </w:tc>
        <w:tc>
          <w:tcPr>
            <w:tcW w:w="2340" w:type="dxa"/>
          </w:tcPr>
          <w:p w:rsidR="00447971" w:rsidRPr="002223A2" w:rsidP="00447971" w14:paraId="0004AF6F" w14:textId="77777777">
            <w:pPr>
              <w:jc w:val="center"/>
              <w:rPr>
                <w:rStyle w:val="StyleAptos10pt"/>
              </w:rPr>
            </w:pPr>
            <w:r w:rsidRPr="002223A2">
              <w:rPr>
                <w:rStyle w:val="StyleAptos10pt"/>
              </w:rPr>
              <w:t>16</w:t>
            </w:r>
          </w:p>
        </w:tc>
      </w:tr>
      <w:tr w14:paraId="36C41491" w14:textId="77777777" w:rsidTr="00E2546A">
        <w:tblPrEx>
          <w:tblW w:w="10165" w:type="dxa"/>
          <w:tblLook w:val="04A0"/>
        </w:tblPrEx>
        <w:tc>
          <w:tcPr>
            <w:tcW w:w="2695" w:type="dxa"/>
          </w:tcPr>
          <w:p w:rsidR="00447971" w:rsidRPr="002223A2" w:rsidP="00447971" w14:paraId="5B6E39D5" w14:textId="77777777">
            <w:pPr>
              <w:rPr>
                <w:rStyle w:val="StyleAptos10pt"/>
              </w:rPr>
            </w:pPr>
            <w:r w:rsidRPr="002223A2">
              <w:rPr>
                <w:rStyle w:val="StyleAptos10pt"/>
              </w:rPr>
              <w:t>Section 15.14(m)</w:t>
            </w:r>
          </w:p>
        </w:tc>
        <w:tc>
          <w:tcPr>
            <w:tcW w:w="1530" w:type="dxa"/>
          </w:tcPr>
          <w:p w:rsidR="00447971" w:rsidRPr="002223A2" w:rsidP="00447971" w14:paraId="2EAD8023" w14:textId="77777777">
            <w:pPr>
              <w:jc w:val="center"/>
              <w:rPr>
                <w:rStyle w:val="StyleAptos10pt"/>
              </w:rPr>
            </w:pPr>
            <w:r w:rsidRPr="002223A2">
              <w:rPr>
                <w:rStyle w:val="StyleAptos10pt"/>
              </w:rPr>
              <w:t>39</w:t>
            </w:r>
          </w:p>
        </w:tc>
        <w:tc>
          <w:tcPr>
            <w:tcW w:w="1710" w:type="dxa"/>
          </w:tcPr>
          <w:p w:rsidR="00447971" w:rsidRPr="002223A2" w:rsidP="00447971" w14:paraId="51199DCC" w14:textId="77777777">
            <w:pPr>
              <w:jc w:val="center"/>
              <w:rPr>
                <w:rStyle w:val="StyleAptos10pt"/>
              </w:rPr>
            </w:pPr>
            <w:r w:rsidRPr="002223A2">
              <w:rPr>
                <w:rStyle w:val="StyleAptos10pt"/>
              </w:rPr>
              <w:t>1</w:t>
            </w:r>
          </w:p>
        </w:tc>
        <w:tc>
          <w:tcPr>
            <w:tcW w:w="1890" w:type="dxa"/>
          </w:tcPr>
          <w:p w:rsidR="00447971" w:rsidRPr="002223A2" w:rsidP="00447971" w14:paraId="5EC78834" w14:textId="77777777">
            <w:pPr>
              <w:jc w:val="center"/>
              <w:rPr>
                <w:rStyle w:val="StyleAptos10pt"/>
              </w:rPr>
            </w:pPr>
            <w:r w:rsidRPr="002223A2">
              <w:rPr>
                <w:rStyle w:val="StyleAptos10pt"/>
              </w:rPr>
              <w:t>2</w:t>
            </w:r>
          </w:p>
        </w:tc>
        <w:tc>
          <w:tcPr>
            <w:tcW w:w="2340" w:type="dxa"/>
          </w:tcPr>
          <w:p w:rsidR="00447971" w:rsidRPr="002223A2" w:rsidP="00447971" w14:paraId="27C11EB7" w14:textId="77777777">
            <w:pPr>
              <w:jc w:val="center"/>
              <w:rPr>
                <w:rStyle w:val="StyleAptos10pt"/>
              </w:rPr>
            </w:pPr>
            <w:r w:rsidRPr="002223A2">
              <w:rPr>
                <w:rStyle w:val="StyleAptos10pt"/>
              </w:rPr>
              <w:t>78</w:t>
            </w:r>
          </w:p>
        </w:tc>
      </w:tr>
      <w:tr w14:paraId="5EEBCB1B" w14:textId="77777777" w:rsidTr="00E2546A">
        <w:tblPrEx>
          <w:tblW w:w="10165" w:type="dxa"/>
          <w:tblLook w:val="04A0"/>
        </w:tblPrEx>
        <w:tc>
          <w:tcPr>
            <w:tcW w:w="2695" w:type="dxa"/>
          </w:tcPr>
          <w:p w:rsidR="00447971" w:rsidRPr="002223A2" w:rsidP="00447971" w14:paraId="1B55E076" w14:textId="77777777">
            <w:pPr>
              <w:rPr>
                <w:rStyle w:val="StyleAptos10pt"/>
              </w:rPr>
            </w:pPr>
            <w:r w:rsidRPr="002223A2">
              <w:rPr>
                <w:rStyle w:val="StyleAptos10pt"/>
              </w:rPr>
              <w:t>Section 15.15(b)(2)</w:t>
            </w:r>
          </w:p>
        </w:tc>
        <w:tc>
          <w:tcPr>
            <w:tcW w:w="1530" w:type="dxa"/>
          </w:tcPr>
          <w:p w:rsidR="00447971" w:rsidRPr="002223A2" w:rsidP="00447971" w14:paraId="4890C3EB" w14:textId="77777777">
            <w:pPr>
              <w:jc w:val="center"/>
              <w:rPr>
                <w:rStyle w:val="StyleAptos10pt"/>
              </w:rPr>
            </w:pPr>
            <w:r w:rsidRPr="002223A2">
              <w:rPr>
                <w:rStyle w:val="StyleAptos10pt"/>
              </w:rPr>
              <w:t>1</w:t>
            </w:r>
          </w:p>
        </w:tc>
        <w:tc>
          <w:tcPr>
            <w:tcW w:w="1710" w:type="dxa"/>
          </w:tcPr>
          <w:p w:rsidR="00447971" w:rsidRPr="002223A2" w:rsidP="00447971" w14:paraId="74B8D8EC" w14:textId="77777777">
            <w:pPr>
              <w:jc w:val="center"/>
              <w:rPr>
                <w:rStyle w:val="StyleAptos10pt"/>
              </w:rPr>
            </w:pPr>
            <w:r w:rsidRPr="002223A2">
              <w:rPr>
                <w:rStyle w:val="StyleAptos10pt"/>
              </w:rPr>
              <w:t>1</w:t>
            </w:r>
          </w:p>
        </w:tc>
        <w:tc>
          <w:tcPr>
            <w:tcW w:w="1890" w:type="dxa"/>
          </w:tcPr>
          <w:p w:rsidR="00447971" w:rsidRPr="002223A2" w:rsidP="00447971" w14:paraId="7266CBAB" w14:textId="77777777">
            <w:pPr>
              <w:jc w:val="center"/>
              <w:rPr>
                <w:rStyle w:val="StyleAptos10pt"/>
              </w:rPr>
            </w:pPr>
            <w:r w:rsidRPr="002223A2">
              <w:rPr>
                <w:rStyle w:val="StyleAptos10pt"/>
              </w:rPr>
              <w:t>1</w:t>
            </w:r>
          </w:p>
        </w:tc>
        <w:tc>
          <w:tcPr>
            <w:tcW w:w="2340" w:type="dxa"/>
          </w:tcPr>
          <w:p w:rsidR="00447971" w:rsidRPr="002223A2" w:rsidP="00447971" w14:paraId="6CA05BB9" w14:textId="77777777">
            <w:pPr>
              <w:jc w:val="center"/>
              <w:rPr>
                <w:rStyle w:val="StyleAptos10pt"/>
              </w:rPr>
            </w:pPr>
            <w:r w:rsidRPr="002223A2">
              <w:rPr>
                <w:rStyle w:val="StyleAptos10pt"/>
              </w:rPr>
              <w:t>1</w:t>
            </w:r>
          </w:p>
        </w:tc>
      </w:tr>
      <w:tr w14:paraId="658D32F7" w14:textId="77777777" w:rsidTr="00E2546A">
        <w:tblPrEx>
          <w:tblW w:w="10165" w:type="dxa"/>
          <w:tblLook w:val="04A0"/>
        </w:tblPrEx>
        <w:tc>
          <w:tcPr>
            <w:tcW w:w="2695" w:type="dxa"/>
          </w:tcPr>
          <w:p w:rsidR="00447971" w:rsidRPr="002223A2" w:rsidP="00447971" w14:paraId="16DBB13D" w14:textId="77777777">
            <w:pPr>
              <w:rPr>
                <w:rStyle w:val="StyleAptos10pt"/>
              </w:rPr>
            </w:pPr>
            <w:r w:rsidRPr="002223A2">
              <w:rPr>
                <w:rStyle w:val="StyleAptos10pt"/>
              </w:rPr>
              <w:t>Section 15.15(b)(3)</w:t>
            </w:r>
          </w:p>
        </w:tc>
        <w:tc>
          <w:tcPr>
            <w:tcW w:w="1530" w:type="dxa"/>
          </w:tcPr>
          <w:p w:rsidR="00447971" w:rsidRPr="002223A2" w:rsidP="00447971" w14:paraId="052B3041" w14:textId="77777777">
            <w:pPr>
              <w:jc w:val="center"/>
              <w:rPr>
                <w:rStyle w:val="StyleAptos10pt"/>
              </w:rPr>
            </w:pPr>
            <w:r w:rsidRPr="002223A2">
              <w:rPr>
                <w:rStyle w:val="StyleAptos10pt"/>
              </w:rPr>
              <w:t>1</w:t>
            </w:r>
          </w:p>
        </w:tc>
        <w:tc>
          <w:tcPr>
            <w:tcW w:w="1710" w:type="dxa"/>
          </w:tcPr>
          <w:p w:rsidR="00447971" w:rsidRPr="002223A2" w:rsidP="00447971" w14:paraId="64E6DED7" w14:textId="77777777">
            <w:pPr>
              <w:jc w:val="center"/>
              <w:rPr>
                <w:rStyle w:val="StyleAptos10pt"/>
              </w:rPr>
            </w:pPr>
            <w:r w:rsidRPr="002223A2">
              <w:rPr>
                <w:rStyle w:val="StyleAptos10pt"/>
              </w:rPr>
              <w:t>1</w:t>
            </w:r>
          </w:p>
        </w:tc>
        <w:tc>
          <w:tcPr>
            <w:tcW w:w="1890" w:type="dxa"/>
          </w:tcPr>
          <w:p w:rsidR="00447971" w:rsidRPr="002223A2" w:rsidP="00447971" w14:paraId="07FFC4E9" w14:textId="77777777">
            <w:pPr>
              <w:jc w:val="center"/>
              <w:rPr>
                <w:rStyle w:val="StyleAptos10pt"/>
              </w:rPr>
            </w:pPr>
            <w:r w:rsidRPr="002223A2">
              <w:rPr>
                <w:rStyle w:val="StyleAptos10pt"/>
              </w:rPr>
              <w:t>1</w:t>
            </w:r>
          </w:p>
        </w:tc>
        <w:tc>
          <w:tcPr>
            <w:tcW w:w="2340" w:type="dxa"/>
          </w:tcPr>
          <w:p w:rsidR="00447971" w:rsidRPr="002223A2" w:rsidP="00447971" w14:paraId="7A31DA36" w14:textId="77777777">
            <w:pPr>
              <w:jc w:val="center"/>
              <w:rPr>
                <w:rStyle w:val="StyleAptos10pt"/>
              </w:rPr>
            </w:pPr>
            <w:r w:rsidRPr="002223A2">
              <w:rPr>
                <w:rStyle w:val="StyleAptos10pt"/>
              </w:rPr>
              <w:t>1</w:t>
            </w:r>
          </w:p>
        </w:tc>
      </w:tr>
      <w:tr w14:paraId="086014DE" w14:textId="77777777" w:rsidTr="00E2546A">
        <w:tblPrEx>
          <w:tblW w:w="10165" w:type="dxa"/>
          <w:tblLook w:val="04A0"/>
        </w:tblPrEx>
        <w:tc>
          <w:tcPr>
            <w:tcW w:w="2695" w:type="dxa"/>
          </w:tcPr>
          <w:p w:rsidR="00447971" w:rsidRPr="002223A2" w:rsidP="00447971" w14:paraId="74E9168D" w14:textId="77777777">
            <w:pPr>
              <w:rPr>
                <w:rStyle w:val="StyleAptos10pt"/>
              </w:rPr>
            </w:pPr>
            <w:r w:rsidRPr="002223A2">
              <w:rPr>
                <w:rStyle w:val="StyleAptos10pt"/>
              </w:rPr>
              <w:t>Section 15.15(b)(4)</w:t>
            </w:r>
          </w:p>
        </w:tc>
        <w:tc>
          <w:tcPr>
            <w:tcW w:w="1530" w:type="dxa"/>
          </w:tcPr>
          <w:p w:rsidR="00447971" w:rsidRPr="002223A2" w:rsidP="00447971" w14:paraId="2D1323D9" w14:textId="77777777">
            <w:pPr>
              <w:jc w:val="center"/>
              <w:rPr>
                <w:rStyle w:val="StyleAptos10pt"/>
              </w:rPr>
            </w:pPr>
            <w:r w:rsidRPr="002223A2">
              <w:rPr>
                <w:rStyle w:val="StyleAptos10pt"/>
              </w:rPr>
              <w:t>1</w:t>
            </w:r>
          </w:p>
        </w:tc>
        <w:tc>
          <w:tcPr>
            <w:tcW w:w="1710" w:type="dxa"/>
          </w:tcPr>
          <w:p w:rsidR="00447971" w:rsidRPr="002223A2" w:rsidP="00447971" w14:paraId="525302CA" w14:textId="77777777">
            <w:pPr>
              <w:jc w:val="center"/>
              <w:rPr>
                <w:rStyle w:val="StyleAptos10pt"/>
              </w:rPr>
            </w:pPr>
            <w:r w:rsidRPr="002223A2">
              <w:rPr>
                <w:rStyle w:val="StyleAptos10pt"/>
              </w:rPr>
              <w:t>1</w:t>
            </w:r>
          </w:p>
        </w:tc>
        <w:tc>
          <w:tcPr>
            <w:tcW w:w="1890" w:type="dxa"/>
          </w:tcPr>
          <w:p w:rsidR="00447971" w:rsidRPr="002223A2" w:rsidP="00447971" w14:paraId="559ED9BF" w14:textId="77777777">
            <w:pPr>
              <w:jc w:val="center"/>
              <w:rPr>
                <w:rStyle w:val="StyleAptos10pt"/>
              </w:rPr>
            </w:pPr>
            <w:r w:rsidRPr="002223A2">
              <w:rPr>
                <w:rStyle w:val="StyleAptos10pt"/>
              </w:rPr>
              <w:t>1</w:t>
            </w:r>
          </w:p>
        </w:tc>
        <w:tc>
          <w:tcPr>
            <w:tcW w:w="2340" w:type="dxa"/>
          </w:tcPr>
          <w:p w:rsidR="00447971" w:rsidRPr="002223A2" w:rsidP="00447971" w14:paraId="4A145079" w14:textId="77777777">
            <w:pPr>
              <w:jc w:val="center"/>
              <w:rPr>
                <w:rStyle w:val="StyleAptos10pt"/>
              </w:rPr>
            </w:pPr>
            <w:r w:rsidRPr="002223A2">
              <w:rPr>
                <w:rStyle w:val="StyleAptos10pt"/>
              </w:rPr>
              <w:t>1</w:t>
            </w:r>
          </w:p>
        </w:tc>
      </w:tr>
      <w:tr w14:paraId="6494C1DB" w14:textId="77777777" w:rsidTr="00E2546A">
        <w:tblPrEx>
          <w:tblW w:w="10165" w:type="dxa"/>
          <w:tblLook w:val="04A0"/>
        </w:tblPrEx>
        <w:tc>
          <w:tcPr>
            <w:tcW w:w="2695" w:type="dxa"/>
          </w:tcPr>
          <w:p w:rsidR="00447971" w:rsidRPr="002223A2" w:rsidP="00447971" w14:paraId="690D3321" w14:textId="77777777">
            <w:pPr>
              <w:rPr>
                <w:rStyle w:val="StyleAptos10pt"/>
              </w:rPr>
            </w:pPr>
            <w:r w:rsidRPr="002223A2">
              <w:rPr>
                <w:rStyle w:val="StyleAptos10pt"/>
              </w:rPr>
              <w:t>Section 15.15(d)(1)</w:t>
            </w:r>
          </w:p>
        </w:tc>
        <w:tc>
          <w:tcPr>
            <w:tcW w:w="1530" w:type="dxa"/>
          </w:tcPr>
          <w:p w:rsidR="00447971" w:rsidRPr="002223A2" w:rsidP="00447971" w14:paraId="3A6F78D1" w14:textId="77777777">
            <w:pPr>
              <w:jc w:val="center"/>
              <w:rPr>
                <w:rStyle w:val="StyleAptos10pt"/>
              </w:rPr>
            </w:pPr>
            <w:r w:rsidRPr="002223A2">
              <w:rPr>
                <w:rStyle w:val="StyleAptos10pt"/>
              </w:rPr>
              <w:t>1</w:t>
            </w:r>
          </w:p>
        </w:tc>
        <w:tc>
          <w:tcPr>
            <w:tcW w:w="1710" w:type="dxa"/>
          </w:tcPr>
          <w:p w:rsidR="00447971" w:rsidRPr="002223A2" w:rsidP="00447971" w14:paraId="617ABF1E" w14:textId="77777777">
            <w:pPr>
              <w:jc w:val="center"/>
              <w:rPr>
                <w:rStyle w:val="StyleAptos10pt"/>
              </w:rPr>
            </w:pPr>
            <w:r w:rsidRPr="002223A2">
              <w:rPr>
                <w:rStyle w:val="StyleAptos10pt"/>
              </w:rPr>
              <w:t>1</w:t>
            </w:r>
          </w:p>
        </w:tc>
        <w:tc>
          <w:tcPr>
            <w:tcW w:w="1890" w:type="dxa"/>
          </w:tcPr>
          <w:p w:rsidR="00447971" w:rsidRPr="002223A2" w:rsidP="00447971" w14:paraId="3D02CFE5" w14:textId="77777777">
            <w:pPr>
              <w:jc w:val="center"/>
              <w:rPr>
                <w:rStyle w:val="StyleAptos10pt"/>
              </w:rPr>
            </w:pPr>
            <w:r w:rsidRPr="002223A2">
              <w:rPr>
                <w:rStyle w:val="StyleAptos10pt"/>
              </w:rPr>
              <w:t>1</w:t>
            </w:r>
          </w:p>
        </w:tc>
        <w:tc>
          <w:tcPr>
            <w:tcW w:w="2340" w:type="dxa"/>
          </w:tcPr>
          <w:p w:rsidR="00447971" w:rsidRPr="002223A2" w:rsidP="00447971" w14:paraId="2FEE508B" w14:textId="77777777">
            <w:pPr>
              <w:jc w:val="center"/>
              <w:rPr>
                <w:rStyle w:val="StyleAptos10pt"/>
              </w:rPr>
            </w:pPr>
            <w:r w:rsidRPr="002223A2">
              <w:rPr>
                <w:rStyle w:val="StyleAptos10pt"/>
              </w:rPr>
              <w:t>1</w:t>
            </w:r>
          </w:p>
        </w:tc>
      </w:tr>
      <w:tr w14:paraId="5C7CC5E7" w14:textId="77777777" w:rsidTr="00E2546A">
        <w:tblPrEx>
          <w:tblW w:w="10165" w:type="dxa"/>
          <w:tblLook w:val="04A0"/>
        </w:tblPrEx>
        <w:tc>
          <w:tcPr>
            <w:tcW w:w="2695" w:type="dxa"/>
          </w:tcPr>
          <w:p w:rsidR="00447971" w:rsidRPr="002223A2" w:rsidP="00447971" w14:paraId="39DDD4D6" w14:textId="77777777">
            <w:pPr>
              <w:rPr>
                <w:rStyle w:val="StyleAptos10pt"/>
              </w:rPr>
            </w:pPr>
            <w:r w:rsidRPr="002223A2">
              <w:rPr>
                <w:rStyle w:val="StyleAptos10pt"/>
              </w:rPr>
              <w:t>Section 15.30(a)(1)</w:t>
            </w:r>
          </w:p>
        </w:tc>
        <w:tc>
          <w:tcPr>
            <w:tcW w:w="1530" w:type="dxa"/>
          </w:tcPr>
          <w:p w:rsidR="00447971" w:rsidRPr="002223A2" w:rsidP="00447971" w14:paraId="0E3AED43" w14:textId="77777777">
            <w:pPr>
              <w:jc w:val="center"/>
              <w:rPr>
                <w:rStyle w:val="StyleAptos10pt"/>
              </w:rPr>
            </w:pPr>
            <w:r w:rsidRPr="002223A2">
              <w:rPr>
                <w:rStyle w:val="StyleAptos10pt"/>
              </w:rPr>
              <w:t>25</w:t>
            </w:r>
          </w:p>
        </w:tc>
        <w:tc>
          <w:tcPr>
            <w:tcW w:w="1710" w:type="dxa"/>
          </w:tcPr>
          <w:p w:rsidR="00447971" w:rsidRPr="002223A2" w:rsidP="00447971" w14:paraId="05ACDCD0" w14:textId="77777777">
            <w:pPr>
              <w:jc w:val="center"/>
              <w:rPr>
                <w:rStyle w:val="StyleAptos10pt"/>
              </w:rPr>
            </w:pPr>
            <w:r w:rsidRPr="002223A2">
              <w:rPr>
                <w:rStyle w:val="StyleAptos10pt"/>
              </w:rPr>
              <w:t>1</w:t>
            </w:r>
          </w:p>
        </w:tc>
        <w:tc>
          <w:tcPr>
            <w:tcW w:w="1890" w:type="dxa"/>
          </w:tcPr>
          <w:p w:rsidR="00447971" w:rsidRPr="002223A2" w:rsidP="00447971" w14:paraId="539FD740" w14:textId="77777777">
            <w:pPr>
              <w:jc w:val="center"/>
              <w:rPr>
                <w:rStyle w:val="StyleAptos10pt"/>
              </w:rPr>
            </w:pPr>
            <w:r w:rsidRPr="002223A2">
              <w:rPr>
                <w:rStyle w:val="StyleAptos10pt"/>
              </w:rPr>
              <w:t>1</w:t>
            </w:r>
          </w:p>
        </w:tc>
        <w:tc>
          <w:tcPr>
            <w:tcW w:w="2340" w:type="dxa"/>
          </w:tcPr>
          <w:p w:rsidR="00447971" w:rsidRPr="002223A2" w:rsidP="00447971" w14:paraId="36119B3A" w14:textId="77777777">
            <w:pPr>
              <w:jc w:val="center"/>
              <w:rPr>
                <w:rStyle w:val="StyleAptos10pt"/>
              </w:rPr>
            </w:pPr>
            <w:r w:rsidRPr="002223A2">
              <w:rPr>
                <w:rStyle w:val="StyleAptos10pt"/>
              </w:rPr>
              <w:t>25</w:t>
            </w:r>
          </w:p>
        </w:tc>
      </w:tr>
      <w:tr w14:paraId="287A36D6" w14:textId="77777777" w:rsidTr="00E2546A">
        <w:tblPrEx>
          <w:tblW w:w="10165" w:type="dxa"/>
          <w:tblLook w:val="04A0"/>
        </w:tblPrEx>
        <w:tc>
          <w:tcPr>
            <w:tcW w:w="2695" w:type="dxa"/>
          </w:tcPr>
          <w:p w:rsidR="00447971" w:rsidRPr="002223A2" w:rsidP="00447971" w14:paraId="39C113D9" w14:textId="77777777">
            <w:pPr>
              <w:rPr>
                <w:rStyle w:val="StyleAptos10pt"/>
              </w:rPr>
            </w:pPr>
            <w:r w:rsidRPr="002223A2">
              <w:rPr>
                <w:rStyle w:val="StyleAptos10pt"/>
              </w:rPr>
              <w:t>Section 15.30(a)(2)</w:t>
            </w:r>
          </w:p>
        </w:tc>
        <w:tc>
          <w:tcPr>
            <w:tcW w:w="1530" w:type="dxa"/>
          </w:tcPr>
          <w:p w:rsidR="00447971" w:rsidRPr="002223A2" w:rsidP="00447971" w14:paraId="3F233902" w14:textId="77777777">
            <w:pPr>
              <w:jc w:val="center"/>
              <w:rPr>
                <w:rStyle w:val="StyleAptos10pt"/>
              </w:rPr>
            </w:pPr>
            <w:r w:rsidRPr="002223A2">
              <w:rPr>
                <w:rStyle w:val="StyleAptos10pt"/>
              </w:rPr>
              <w:t>14</w:t>
            </w:r>
          </w:p>
        </w:tc>
        <w:tc>
          <w:tcPr>
            <w:tcW w:w="1710" w:type="dxa"/>
          </w:tcPr>
          <w:p w:rsidR="00447971" w:rsidRPr="002223A2" w:rsidP="00447971" w14:paraId="454EDF03" w14:textId="77777777">
            <w:pPr>
              <w:jc w:val="center"/>
              <w:rPr>
                <w:rStyle w:val="StyleAptos10pt"/>
              </w:rPr>
            </w:pPr>
            <w:r w:rsidRPr="002223A2">
              <w:rPr>
                <w:rStyle w:val="StyleAptos10pt"/>
              </w:rPr>
              <w:t>1</w:t>
            </w:r>
          </w:p>
        </w:tc>
        <w:tc>
          <w:tcPr>
            <w:tcW w:w="1890" w:type="dxa"/>
          </w:tcPr>
          <w:p w:rsidR="00447971" w:rsidRPr="002223A2" w:rsidP="00447971" w14:paraId="7DCE5565" w14:textId="77777777">
            <w:pPr>
              <w:jc w:val="center"/>
              <w:rPr>
                <w:rStyle w:val="StyleAptos10pt"/>
              </w:rPr>
            </w:pPr>
            <w:r w:rsidRPr="002223A2">
              <w:rPr>
                <w:rStyle w:val="StyleAptos10pt"/>
              </w:rPr>
              <w:t>1</w:t>
            </w:r>
          </w:p>
        </w:tc>
        <w:tc>
          <w:tcPr>
            <w:tcW w:w="2340" w:type="dxa"/>
          </w:tcPr>
          <w:p w:rsidR="00447971" w:rsidRPr="002223A2" w:rsidP="00447971" w14:paraId="6FAF05B0" w14:textId="77777777">
            <w:pPr>
              <w:jc w:val="center"/>
              <w:rPr>
                <w:rStyle w:val="StyleAptos10pt"/>
              </w:rPr>
            </w:pPr>
            <w:r w:rsidRPr="002223A2">
              <w:rPr>
                <w:rStyle w:val="StyleAptos10pt"/>
              </w:rPr>
              <w:t>14</w:t>
            </w:r>
          </w:p>
        </w:tc>
      </w:tr>
      <w:tr w14:paraId="66D16DB3" w14:textId="77777777" w:rsidTr="00E2546A">
        <w:tblPrEx>
          <w:tblW w:w="10165" w:type="dxa"/>
          <w:tblLook w:val="04A0"/>
        </w:tblPrEx>
        <w:tc>
          <w:tcPr>
            <w:tcW w:w="2695" w:type="dxa"/>
          </w:tcPr>
          <w:p w:rsidR="00447971" w:rsidRPr="00AB1885" w:rsidP="00447971" w14:paraId="739679FE" w14:textId="77777777">
            <w:pPr>
              <w:rPr>
                <w:rFonts w:ascii="Times New Roman" w:hAnsi="Times New Roman" w:cs="Times New Roman"/>
                <w:sz w:val="20"/>
              </w:rPr>
            </w:pPr>
            <w:r w:rsidRPr="002223A2">
              <w:rPr>
                <w:rStyle w:val="StyleAptos10pt"/>
              </w:rPr>
              <w:t>Section 15.30(b)</w:t>
            </w:r>
            <w:r>
              <w:rPr>
                <w:sz w:val="20"/>
                <w:vertAlign w:val="superscript"/>
              </w:rPr>
              <w:footnoteReference w:id="13"/>
            </w:r>
          </w:p>
        </w:tc>
        <w:tc>
          <w:tcPr>
            <w:tcW w:w="1530" w:type="dxa"/>
          </w:tcPr>
          <w:p w:rsidR="00447971" w:rsidRPr="002223A2" w:rsidP="00447971" w14:paraId="6ED305B3" w14:textId="77777777">
            <w:pPr>
              <w:jc w:val="center"/>
              <w:rPr>
                <w:rStyle w:val="StyleAptos10pt"/>
              </w:rPr>
            </w:pPr>
            <w:r w:rsidRPr="002223A2">
              <w:rPr>
                <w:rStyle w:val="StyleAptos10pt"/>
              </w:rPr>
              <w:t>25</w:t>
            </w:r>
          </w:p>
        </w:tc>
        <w:tc>
          <w:tcPr>
            <w:tcW w:w="1710" w:type="dxa"/>
          </w:tcPr>
          <w:p w:rsidR="00447971" w:rsidRPr="002223A2" w:rsidP="00447971" w14:paraId="308E8AC1" w14:textId="77777777">
            <w:pPr>
              <w:jc w:val="center"/>
              <w:rPr>
                <w:rStyle w:val="StyleAptos10pt"/>
              </w:rPr>
            </w:pPr>
            <w:r w:rsidRPr="002223A2">
              <w:rPr>
                <w:rStyle w:val="StyleAptos10pt"/>
              </w:rPr>
              <w:t>1</w:t>
            </w:r>
          </w:p>
        </w:tc>
        <w:tc>
          <w:tcPr>
            <w:tcW w:w="1890" w:type="dxa"/>
          </w:tcPr>
          <w:p w:rsidR="00447971" w:rsidRPr="002223A2" w:rsidP="00447971" w14:paraId="676DE926" w14:textId="77777777">
            <w:pPr>
              <w:jc w:val="center"/>
              <w:rPr>
                <w:rStyle w:val="StyleAptos10pt"/>
              </w:rPr>
            </w:pPr>
            <w:r w:rsidRPr="002223A2">
              <w:rPr>
                <w:rStyle w:val="StyleAptos10pt"/>
              </w:rPr>
              <w:t>1</w:t>
            </w:r>
          </w:p>
        </w:tc>
        <w:tc>
          <w:tcPr>
            <w:tcW w:w="2340" w:type="dxa"/>
          </w:tcPr>
          <w:p w:rsidR="00447971" w:rsidRPr="002223A2" w:rsidP="00447971" w14:paraId="7E964B3D" w14:textId="77777777">
            <w:pPr>
              <w:jc w:val="center"/>
              <w:rPr>
                <w:rStyle w:val="StyleAptos10pt"/>
              </w:rPr>
            </w:pPr>
            <w:r w:rsidRPr="002223A2">
              <w:rPr>
                <w:rStyle w:val="StyleAptos10pt"/>
              </w:rPr>
              <w:t>25</w:t>
            </w:r>
          </w:p>
        </w:tc>
      </w:tr>
      <w:tr w14:paraId="33E8248D" w14:textId="77777777" w:rsidTr="00E2546A">
        <w:tblPrEx>
          <w:tblW w:w="10165" w:type="dxa"/>
          <w:tblLook w:val="04A0"/>
        </w:tblPrEx>
        <w:tc>
          <w:tcPr>
            <w:tcW w:w="2695" w:type="dxa"/>
          </w:tcPr>
          <w:p w:rsidR="00447971" w:rsidRPr="002223A2" w:rsidP="00447971" w14:paraId="0B6A66B0" w14:textId="77777777">
            <w:pPr>
              <w:rPr>
                <w:rStyle w:val="StyleAptos10pt"/>
              </w:rPr>
            </w:pPr>
            <w:r w:rsidRPr="002223A2">
              <w:rPr>
                <w:rStyle w:val="StyleAptos10pt"/>
              </w:rPr>
              <w:t>Section 15.30(f)(1)</w:t>
            </w:r>
          </w:p>
        </w:tc>
        <w:tc>
          <w:tcPr>
            <w:tcW w:w="1530" w:type="dxa"/>
          </w:tcPr>
          <w:p w:rsidR="00447971" w:rsidRPr="002223A2" w:rsidP="00447971" w14:paraId="0BF22EAE" w14:textId="77777777">
            <w:pPr>
              <w:jc w:val="center"/>
              <w:rPr>
                <w:rStyle w:val="StyleAptos10pt"/>
              </w:rPr>
            </w:pPr>
            <w:r w:rsidRPr="002223A2">
              <w:rPr>
                <w:rStyle w:val="StyleAptos10pt"/>
              </w:rPr>
              <w:t>14</w:t>
            </w:r>
          </w:p>
        </w:tc>
        <w:tc>
          <w:tcPr>
            <w:tcW w:w="1710" w:type="dxa"/>
          </w:tcPr>
          <w:p w:rsidR="00447971" w:rsidRPr="002223A2" w:rsidP="00447971" w14:paraId="64F57A49" w14:textId="77777777">
            <w:pPr>
              <w:jc w:val="center"/>
              <w:rPr>
                <w:rStyle w:val="StyleAptos10pt"/>
              </w:rPr>
            </w:pPr>
            <w:r w:rsidRPr="002223A2">
              <w:rPr>
                <w:rStyle w:val="StyleAptos10pt"/>
              </w:rPr>
              <w:t>1</w:t>
            </w:r>
          </w:p>
        </w:tc>
        <w:tc>
          <w:tcPr>
            <w:tcW w:w="1890" w:type="dxa"/>
          </w:tcPr>
          <w:p w:rsidR="00447971" w:rsidRPr="002223A2" w:rsidP="00447971" w14:paraId="386141C0" w14:textId="77777777">
            <w:pPr>
              <w:jc w:val="center"/>
              <w:rPr>
                <w:rStyle w:val="StyleAptos10pt"/>
              </w:rPr>
            </w:pPr>
            <w:r w:rsidRPr="002223A2">
              <w:rPr>
                <w:rStyle w:val="StyleAptos10pt"/>
              </w:rPr>
              <w:t>1</w:t>
            </w:r>
          </w:p>
        </w:tc>
        <w:tc>
          <w:tcPr>
            <w:tcW w:w="2340" w:type="dxa"/>
          </w:tcPr>
          <w:p w:rsidR="00447971" w:rsidRPr="002223A2" w:rsidP="00447971" w14:paraId="06242690" w14:textId="77777777">
            <w:pPr>
              <w:jc w:val="center"/>
              <w:rPr>
                <w:rStyle w:val="StyleAptos10pt"/>
              </w:rPr>
            </w:pPr>
            <w:r w:rsidRPr="002223A2">
              <w:rPr>
                <w:rStyle w:val="StyleAptos10pt"/>
              </w:rPr>
              <w:t>14</w:t>
            </w:r>
          </w:p>
        </w:tc>
      </w:tr>
      <w:tr w14:paraId="44FA31B2" w14:textId="77777777" w:rsidTr="00E2546A">
        <w:tblPrEx>
          <w:tblW w:w="10165" w:type="dxa"/>
          <w:tblLook w:val="04A0"/>
        </w:tblPrEx>
        <w:tc>
          <w:tcPr>
            <w:tcW w:w="2695" w:type="dxa"/>
          </w:tcPr>
          <w:p w:rsidR="00447971" w:rsidRPr="002223A2" w:rsidP="00447971" w14:paraId="6BCEFE93" w14:textId="77777777">
            <w:pPr>
              <w:rPr>
                <w:rStyle w:val="StyleAptos10pt"/>
              </w:rPr>
            </w:pPr>
            <w:r w:rsidRPr="002223A2">
              <w:rPr>
                <w:rStyle w:val="StyleAptos10pt"/>
              </w:rPr>
              <w:t>Section 15.30(f)(3)</w:t>
            </w:r>
          </w:p>
        </w:tc>
        <w:tc>
          <w:tcPr>
            <w:tcW w:w="1530" w:type="dxa"/>
          </w:tcPr>
          <w:p w:rsidR="00447971" w:rsidRPr="002223A2" w:rsidP="00447971" w14:paraId="7F0946EF" w14:textId="77777777">
            <w:pPr>
              <w:jc w:val="center"/>
              <w:rPr>
                <w:rStyle w:val="StyleAptos10pt"/>
              </w:rPr>
            </w:pPr>
            <w:r w:rsidRPr="002223A2">
              <w:rPr>
                <w:rStyle w:val="StyleAptos10pt"/>
              </w:rPr>
              <w:t>1</w:t>
            </w:r>
          </w:p>
        </w:tc>
        <w:tc>
          <w:tcPr>
            <w:tcW w:w="1710" w:type="dxa"/>
          </w:tcPr>
          <w:p w:rsidR="00447971" w:rsidRPr="002223A2" w:rsidP="00447971" w14:paraId="21F330A4" w14:textId="77777777">
            <w:pPr>
              <w:jc w:val="center"/>
              <w:rPr>
                <w:rStyle w:val="StyleAptos10pt"/>
              </w:rPr>
            </w:pPr>
            <w:r w:rsidRPr="002223A2">
              <w:rPr>
                <w:rStyle w:val="StyleAptos10pt"/>
              </w:rPr>
              <w:t>1</w:t>
            </w:r>
          </w:p>
        </w:tc>
        <w:tc>
          <w:tcPr>
            <w:tcW w:w="1890" w:type="dxa"/>
          </w:tcPr>
          <w:p w:rsidR="00447971" w:rsidRPr="002223A2" w:rsidP="00447971" w14:paraId="099DDA20" w14:textId="77777777">
            <w:pPr>
              <w:jc w:val="center"/>
              <w:rPr>
                <w:rStyle w:val="StyleAptos10pt"/>
              </w:rPr>
            </w:pPr>
            <w:r w:rsidRPr="002223A2">
              <w:rPr>
                <w:rStyle w:val="StyleAptos10pt"/>
              </w:rPr>
              <w:t>1</w:t>
            </w:r>
          </w:p>
        </w:tc>
        <w:tc>
          <w:tcPr>
            <w:tcW w:w="2340" w:type="dxa"/>
          </w:tcPr>
          <w:p w:rsidR="00447971" w:rsidRPr="002223A2" w:rsidP="00447971" w14:paraId="07C5A93D" w14:textId="77777777">
            <w:pPr>
              <w:jc w:val="center"/>
              <w:rPr>
                <w:rStyle w:val="StyleAptos10pt"/>
              </w:rPr>
            </w:pPr>
            <w:r w:rsidRPr="002223A2">
              <w:rPr>
                <w:rStyle w:val="StyleAptos10pt"/>
              </w:rPr>
              <w:t>1</w:t>
            </w:r>
          </w:p>
        </w:tc>
      </w:tr>
      <w:tr w14:paraId="6C63AD7B" w14:textId="77777777" w:rsidTr="00E2546A">
        <w:tblPrEx>
          <w:tblW w:w="10165" w:type="dxa"/>
          <w:tblLook w:val="04A0"/>
        </w:tblPrEx>
        <w:tc>
          <w:tcPr>
            <w:tcW w:w="2695" w:type="dxa"/>
          </w:tcPr>
          <w:p w:rsidR="00447971" w:rsidRPr="002223A2" w:rsidP="00447971" w14:paraId="4D515DC5" w14:textId="77777777">
            <w:pPr>
              <w:rPr>
                <w:rStyle w:val="StyleAptos10pt"/>
              </w:rPr>
            </w:pPr>
            <w:r w:rsidRPr="002223A2">
              <w:rPr>
                <w:rStyle w:val="StyleAptos10pt"/>
              </w:rPr>
              <w:t>Section 15.30(g)(1)</w:t>
            </w:r>
          </w:p>
        </w:tc>
        <w:tc>
          <w:tcPr>
            <w:tcW w:w="1530" w:type="dxa"/>
          </w:tcPr>
          <w:p w:rsidR="00447971" w:rsidRPr="002223A2" w:rsidP="00447971" w14:paraId="45871BD1" w14:textId="77777777">
            <w:pPr>
              <w:jc w:val="center"/>
              <w:rPr>
                <w:rStyle w:val="StyleAptos10pt"/>
              </w:rPr>
            </w:pPr>
            <w:r w:rsidRPr="002223A2">
              <w:rPr>
                <w:rStyle w:val="StyleAptos10pt"/>
              </w:rPr>
              <w:t>25</w:t>
            </w:r>
          </w:p>
        </w:tc>
        <w:tc>
          <w:tcPr>
            <w:tcW w:w="1710" w:type="dxa"/>
          </w:tcPr>
          <w:p w:rsidR="00447971" w:rsidRPr="002223A2" w:rsidP="00447971" w14:paraId="6B43052D" w14:textId="77777777">
            <w:pPr>
              <w:jc w:val="center"/>
              <w:rPr>
                <w:rStyle w:val="StyleAptos10pt"/>
              </w:rPr>
            </w:pPr>
            <w:r w:rsidRPr="002223A2">
              <w:rPr>
                <w:rStyle w:val="StyleAptos10pt"/>
              </w:rPr>
              <w:t>1</w:t>
            </w:r>
          </w:p>
        </w:tc>
        <w:tc>
          <w:tcPr>
            <w:tcW w:w="1890" w:type="dxa"/>
          </w:tcPr>
          <w:p w:rsidR="00447971" w:rsidRPr="002223A2" w:rsidP="00447971" w14:paraId="052A90E7" w14:textId="77777777">
            <w:pPr>
              <w:jc w:val="center"/>
              <w:rPr>
                <w:rStyle w:val="StyleAptos10pt"/>
              </w:rPr>
            </w:pPr>
            <w:r w:rsidRPr="002223A2">
              <w:rPr>
                <w:rStyle w:val="StyleAptos10pt"/>
              </w:rPr>
              <w:t>1</w:t>
            </w:r>
          </w:p>
        </w:tc>
        <w:tc>
          <w:tcPr>
            <w:tcW w:w="2340" w:type="dxa"/>
          </w:tcPr>
          <w:p w:rsidR="00447971" w:rsidRPr="002223A2" w:rsidP="00447971" w14:paraId="4D05A3A4" w14:textId="77777777">
            <w:pPr>
              <w:jc w:val="center"/>
              <w:rPr>
                <w:rStyle w:val="StyleAptos10pt"/>
              </w:rPr>
            </w:pPr>
            <w:r w:rsidRPr="002223A2">
              <w:rPr>
                <w:rStyle w:val="StyleAptos10pt"/>
              </w:rPr>
              <w:t>25</w:t>
            </w:r>
          </w:p>
        </w:tc>
      </w:tr>
      <w:tr w14:paraId="1A2BB0C1" w14:textId="77777777" w:rsidTr="00E2546A">
        <w:tblPrEx>
          <w:tblW w:w="10165" w:type="dxa"/>
          <w:tblLook w:val="04A0"/>
        </w:tblPrEx>
        <w:tc>
          <w:tcPr>
            <w:tcW w:w="2695" w:type="dxa"/>
          </w:tcPr>
          <w:p w:rsidR="00447971" w:rsidRPr="002223A2" w:rsidP="00447971" w14:paraId="47033EE5" w14:textId="77777777">
            <w:pPr>
              <w:rPr>
                <w:rStyle w:val="StyleAptos10pt"/>
              </w:rPr>
            </w:pPr>
            <w:r w:rsidRPr="002223A2">
              <w:rPr>
                <w:rStyle w:val="StyleAptos10pt"/>
              </w:rPr>
              <w:t>Section 15.30(g)(2)</w:t>
            </w:r>
          </w:p>
        </w:tc>
        <w:tc>
          <w:tcPr>
            <w:tcW w:w="1530" w:type="dxa"/>
          </w:tcPr>
          <w:p w:rsidR="00447971" w:rsidRPr="002223A2" w:rsidP="00447971" w14:paraId="6290B0BB" w14:textId="77777777">
            <w:pPr>
              <w:jc w:val="center"/>
              <w:rPr>
                <w:rStyle w:val="StyleAptos10pt"/>
              </w:rPr>
            </w:pPr>
            <w:r w:rsidRPr="002223A2">
              <w:rPr>
                <w:rStyle w:val="StyleAptos10pt"/>
              </w:rPr>
              <w:t>14</w:t>
            </w:r>
          </w:p>
        </w:tc>
        <w:tc>
          <w:tcPr>
            <w:tcW w:w="1710" w:type="dxa"/>
          </w:tcPr>
          <w:p w:rsidR="00447971" w:rsidRPr="002223A2" w:rsidP="00447971" w14:paraId="63D8D218" w14:textId="77777777">
            <w:pPr>
              <w:jc w:val="center"/>
              <w:rPr>
                <w:rStyle w:val="StyleAptos10pt"/>
              </w:rPr>
            </w:pPr>
            <w:r w:rsidRPr="002223A2">
              <w:rPr>
                <w:rStyle w:val="StyleAptos10pt"/>
              </w:rPr>
              <w:t>1</w:t>
            </w:r>
          </w:p>
        </w:tc>
        <w:tc>
          <w:tcPr>
            <w:tcW w:w="1890" w:type="dxa"/>
          </w:tcPr>
          <w:p w:rsidR="00447971" w:rsidRPr="002223A2" w:rsidP="00447971" w14:paraId="1000CC98" w14:textId="77777777">
            <w:pPr>
              <w:jc w:val="center"/>
              <w:rPr>
                <w:rStyle w:val="StyleAptos10pt"/>
              </w:rPr>
            </w:pPr>
            <w:r w:rsidRPr="002223A2">
              <w:rPr>
                <w:rStyle w:val="StyleAptos10pt"/>
              </w:rPr>
              <w:t>1</w:t>
            </w:r>
          </w:p>
        </w:tc>
        <w:tc>
          <w:tcPr>
            <w:tcW w:w="2340" w:type="dxa"/>
          </w:tcPr>
          <w:p w:rsidR="00447971" w:rsidRPr="002223A2" w:rsidP="00447971" w14:paraId="09B5AFF3" w14:textId="77777777">
            <w:pPr>
              <w:jc w:val="center"/>
              <w:rPr>
                <w:rStyle w:val="StyleAptos10pt"/>
              </w:rPr>
            </w:pPr>
            <w:r w:rsidRPr="002223A2">
              <w:rPr>
                <w:rStyle w:val="StyleAptos10pt"/>
              </w:rPr>
              <w:t>14</w:t>
            </w:r>
          </w:p>
        </w:tc>
      </w:tr>
      <w:tr w14:paraId="59F91B18" w14:textId="77777777" w:rsidTr="00E2546A">
        <w:tblPrEx>
          <w:tblW w:w="10165" w:type="dxa"/>
          <w:tblLook w:val="04A0"/>
        </w:tblPrEx>
        <w:tc>
          <w:tcPr>
            <w:tcW w:w="2695" w:type="dxa"/>
          </w:tcPr>
          <w:p w:rsidR="00447971" w:rsidRPr="00AB1885" w:rsidP="00447971" w14:paraId="1928ADCA" w14:textId="77777777">
            <w:pPr>
              <w:rPr>
                <w:rFonts w:ascii="Times New Roman" w:hAnsi="Times New Roman" w:cs="Times New Roman"/>
                <w:sz w:val="20"/>
              </w:rPr>
            </w:pPr>
            <w:r w:rsidRPr="002223A2">
              <w:rPr>
                <w:rStyle w:val="StyleAptos10pt"/>
              </w:rPr>
              <w:t>Section 15.31(a)(3)(ii)(D)(</w:t>
            </w:r>
            <w:r w:rsidRPr="002223A2">
              <w:rPr>
                <w:rStyle w:val="StyleAptos10ptItalic"/>
              </w:rPr>
              <w:t>1)</w:t>
            </w:r>
          </w:p>
        </w:tc>
        <w:tc>
          <w:tcPr>
            <w:tcW w:w="1530" w:type="dxa"/>
          </w:tcPr>
          <w:p w:rsidR="00447971" w:rsidRPr="002223A2" w:rsidP="00447971" w14:paraId="489FD169" w14:textId="77777777">
            <w:pPr>
              <w:jc w:val="center"/>
              <w:rPr>
                <w:rStyle w:val="StyleAptos10pt"/>
              </w:rPr>
            </w:pPr>
            <w:r w:rsidRPr="002223A2">
              <w:rPr>
                <w:rStyle w:val="StyleAptos10pt"/>
              </w:rPr>
              <w:t>1</w:t>
            </w:r>
          </w:p>
        </w:tc>
        <w:tc>
          <w:tcPr>
            <w:tcW w:w="1710" w:type="dxa"/>
          </w:tcPr>
          <w:p w:rsidR="00447971" w:rsidRPr="002223A2" w:rsidP="00447971" w14:paraId="3631775F" w14:textId="77777777">
            <w:pPr>
              <w:jc w:val="center"/>
              <w:rPr>
                <w:rStyle w:val="StyleAptos10pt"/>
              </w:rPr>
            </w:pPr>
            <w:r w:rsidRPr="002223A2">
              <w:rPr>
                <w:rStyle w:val="StyleAptos10pt"/>
              </w:rPr>
              <w:t>1</w:t>
            </w:r>
          </w:p>
        </w:tc>
        <w:tc>
          <w:tcPr>
            <w:tcW w:w="1890" w:type="dxa"/>
          </w:tcPr>
          <w:p w:rsidR="00447971" w:rsidRPr="002223A2" w:rsidP="00447971" w14:paraId="22BD4344" w14:textId="77777777">
            <w:pPr>
              <w:jc w:val="center"/>
              <w:rPr>
                <w:rStyle w:val="StyleAptos10pt"/>
              </w:rPr>
            </w:pPr>
            <w:r w:rsidRPr="002223A2">
              <w:rPr>
                <w:rStyle w:val="StyleAptos10pt"/>
              </w:rPr>
              <w:t>1</w:t>
            </w:r>
          </w:p>
        </w:tc>
        <w:tc>
          <w:tcPr>
            <w:tcW w:w="2340" w:type="dxa"/>
          </w:tcPr>
          <w:p w:rsidR="00447971" w:rsidRPr="002223A2" w:rsidP="00447971" w14:paraId="51CA53AE" w14:textId="77777777">
            <w:pPr>
              <w:jc w:val="center"/>
              <w:rPr>
                <w:rStyle w:val="StyleAptos10pt"/>
              </w:rPr>
            </w:pPr>
            <w:r w:rsidRPr="002223A2">
              <w:rPr>
                <w:rStyle w:val="StyleAptos10pt"/>
              </w:rPr>
              <w:t>1</w:t>
            </w:r>
          </w:p>
        </w:tc>
      </w:tr>
      <w:tr w14:paraId="4DD01C09" w14:textId="77777777" w:rsidTr="00E2546A">
        <w:tblPrEx>
          <w:tblW w:w="10165" w:type="dxa"/>
          <w:tblLook w:val="04A0"/>
        </w:tblPrEx>
        <w:tc>
          <w:tcPr>
            <w:tcW w:w="2695" w:type="dxa"/>
          </w:tcPr>
          <w:p w:rsidR="00447971" w:rsidRPr="002223A2" w:rsidP="00447971" w14:paraId="44913C3D" w14:textId="77777777">
            <w:pPr>
              <w:rPr>
                <w:rStyle w:val="StyleAptos10pt"/>
              </w:rPr>
            </w:pPr>
            <w:r w:rsidRPr="002223A2">
              <w:rPr>
                <w:rStyle w:val="StyleAptos10pt"/>
              </w:rPr>
              <w:t>Section 15.31(b)(2)(i)</w:t>
            </w:r>
          </w:p>
        </w:tc>
        <w:tc>
          <w:tcPr>
            <w:tcW w:w="1530" w:type="dxa"/>
          </w:tcPr>
          <w:p w:rsidR="00447971" w:rsidRPr="002223A2" w:rsidP="00447971" w14:paraId="12C0C5CE" w14:textId="77777777">
            <w:pPr>
              <w:jc w:val="center"/>
              <w:rPr>
                <w:rStyle w:val="StyleAptos10pt"/>
              </w:rPr>
            </w:pPr>
            <w:r w:rsidRPr="002223A2">
              <w:rPr>
                <w:rStyle w:val="StyleAptos10pt"/>
              </w:rPr>
              <w:t>1</w:t>
            </w:r>
          </w:p>
        </w:tc>
        <w:tc>
          <w:tcPr>
            <w:tcW w:w="1710" w:type="dxa"/>
          </w:tcPr>
          <w:p w:rsidR="00447971" w:rsidRPr="002223A2" w:rsidP="00447971" w14:paraId="08713AEB" w14:textId="77777777">
            <w:pPr>
              <w:jc w:val="center"/>
              <w:rPr>
                <w:rStyle w:val="StyleAptos10pt"/>
              </w:rPr>
            </w:pPr>
            <w:r w:rsidRPr="002223A2">
              <w:rPr>
                <w:rStyle w:val="StyleAptos10pt"/>
              </w:rPr>
              <w:t>1</w:t>
            </w:r>
          </w:p>
        </w:tc>
        <w:tc>
          <w:tcPr>
            <w:tcW w:w="1890" w:type="dxa"/>
          </w:tcPr>
          <w:p w:rsidR="00447971" w:rsidRPr="002223A2" w:rsidP="00447971" w14:paraId="7AEDFCFE" w14:textId="77777777">
            <w:pPr>
              <w:jc w:val="center"/>
              <w:rPr>
                <w:rStyle w:val="StyleAptos10pt"/>
              </w:rPr>
            </w:pPr>
            <w:r w:rsidRPr="002223A2">
              <w:rPr>
                <w:rStyle w:val="StyleAptos10pt"/>
              </w:rPr>
              <w:t>80</w:t>
            </w:r>
          </w:p>
        </w:tc>
        <w:tc>
          <w:tcPr>
            <w:tcW w:w="2340" w:type="dxa"/>
          </w:tcPr>
          <w:p w:rsidR="00447971" w:rsidRPr="002223A2" w:rsidP="00447971" w14:paraId="170FA23F" w14:textId="77777777">
            <w:pPr>
              <w:jc w:val="center"/>
              <w:rPr>
                <w:rStyle w:val="StyleAptos10pt"/>
              </w:rPr>
            </w:pPr>
            <w:r w:rsidRPr="002223A2">
              <w:rPr>
                <w:rStyle w:val="StyleAptos10pt"/>
              </w:rPr>
              <w:t>80</w:t>
            </w:r>
          </w:p>
        </w:tc>
      </w:tr>
      <w:tr w14:paraId="6A3B8C5C" w14:textId="77777777" w:rsidTr="00E2546A">
        <w:tblPrEx>
          <w:tblW w:w="10165" w:type="dxa"/>
          <w:tblLook w:val="04A0"/>
        </w:tblPrEx>
        <w:tc>
          <w:tcPr>
            <w:tcW w:w="2695" w:type="dxa"/>
          </w:tcPr>
          <w:p w:rsidR="00447971" w:rsidRPr="002223A2" w:rsidP="00447971" w14:paraId="43D0543E" w14:textId="77777777">
            <w:pPr>
              <w:rPr>
                <w:rStyle w:val="StyleAptos10pt"/>
              </w:rPr>
            </w:pPr>
            <w:r w:rsidRPr="002223A2">
              <w:rPr>
                <w:rStyle w:val="StyleAptos10pt"/>
              </w:rPr>
              <w:t>Section 15.31(b)(2)(ii)</w:t>
            </w:r>
          </w:p>
        </w:tc>
        <w:tc>
          <w:tcPr>
            <w:tcW w:w="1530" w:type="dxa"/>
          </w:tcPr>
          <w:p w:rsidR="00447971" w:rsidRPr="002223A2" w:rsidP="00447971" w14:paraId="2A3CB999" w14:textId="77777777">
            <w:pPr>
              <w:jc w:val="center"/>
              <w:rPr>
                <w:rStyle w:val="StyleAptos10pt"/>
              </w:rPr>
            </w:pPr>
            <w:r w:rsidRPr="002223A2">
              <w:rPr>
                <w:rStyle w:val="StyleAptos10pt"/>
              </w:rPr>
              <w:t>1</w:t>
            </w:r>
          </w:p>
        </w:tc>
        <w:tc>
          <w:tcPr>
            <w:tcW w:w="1710" w:type="dxa"/>
          </w:tcPr>
          <w:p w:rsidR="00447971" w:rsidRPr="002223A2" w:rsidP="00447971" w14:paraId="76A8EBB6" w14:textId="77777777">
            <w:pPr>
              <w:jc w:val="center"/>
              <w:rPr>
                <w:rStyle w:val="StyleAptos10pt"/>
              </w:rPr>
            </w:pPr>
            <w:r w:rsidRPr="002223A2">
              <w:rPr>
                <w:rStyle w:val="StyleAptos10pt"/>
              </w:rPr>
              <w:t>1</w:t>
            </w:r>
          </w:p>
        </w:tc>
        <w:tc>
          <w:tcPr>
            <w:tcW w:w="1890" w:type="dxa"/>
          </w:tcPr>
          <w:p w:rsidR="00447971" w:rsidRPr="002223A2" w:rsidP="00447971" w14:paraId="496789BF" w14:textId="77777777">
            <w:pPr>
              <w:jc w:val="center"/>
              <w:rPr>
                <w:rStyle w:val="StyleAptos10pt"/>
              </w:rPr>
            </w:pPr>
            <w:r w:rsidRPr="002223A2">
              <w:rPr>
                <w:rStyle w:val="StyleAptos10pt"/>
              </w:rPr>
              <w:t>1</w:t>
            </w:r>
          </w:p>
        </w:tc>
        <w:tc>
          <w:tcPr>
            <w:tcW w:w="2340" w:type="dxa"/>
          </w:tcPr>
          <w:p w:rsidR="00447971" w:rsidRPr="002223A2" w:rsidP="00447971" w14:paraId="241C3C21" w14:textId="77777777">
            <w:pPr>
              <w:jc w:val="center"/>
              <w:rPr>
                <w:rStyle w:val="StyleAptos10pt"/>
              </w:rPr>
            </w:pPr>
            <w:r w:rsidRPr="002223A2">
              <w:rPr>
                <w:rStyle w:val="StyleAptos10pt"/>
              </w:rPr>
              <w:t>1</w:t>
            </w:r>
          </w:p>
        </w:tc>
      </w:tr>
      <w:tr w14:paraId="38BE4451" w14:textId="77777777" w:rsidTr="00E2546A">
        <w:tblPrEx>
          <w:tblW w:w="10165" w:type="dxa"/>
          <w:tblLook w:val="04A0"/>
        </w:tblPrEx>
        <w:tc>
          <w:tcPr>
            <w:tcW w:w="2695" w:type="dxa"/>
          </w:tcPr>
          <w:p w:rsidR="00447971" w:rsidRPr="002223A2" w:rsidP="00447971" w14:paraId="0984A57A" w14:textId="77777777">
            <w:pPr>
              <w:rPr>
                <w:rStyle w:val="StyleAptos10pt"/>
              </w:rPr>
            </w:pPr>
            <w:r w:rsidRPr="002223A2">
              <w:rPr>
                <w:rStyle w:val="StyleAptos10pt"/>
              </w:rPr>
              <w:t>Section 15.32(a)</w:t>
            </w:r>
          </w:p>
        </w:tc>
        <w:tc>
          <w:tcPr>
            <w:tcW w:w="1530" w:type="dxa"/>
          </w:tcPr>
          <w:p w:rsidR="00447971" w:rsidRPr="002223A2" w:rsidP="00447971" w14:paraId="40CCFD0E" w14:textId="77777777">
            <w:pPr>
              <w:jc w:val="center"/>
              <w:rPr>
                <w:rStyle w:val="StyleAptos10pt"/>
              </w:rPr>
            </w:pPr>
            <w:r w:rsidRPr="002223A2">
              <w:rPr>
                <w:rStyle w:val="StyleAptos10pt"/>
              </w:rPr>
              <w:t>1</w:t>
            </w:r>
          </w:p>
        </w:tc>
        <w:tc>
          <w:tcPr>
            <w:tcW w:w="1710" w:type="dxa"/>
          </w:tcPr>
          <w:p w:rsidR="00447971" w:rsidRPr="002223A2" w:rsidP="00447971" w14:paraId="1314E3B8" w14:textId="77777777">
            <w:pPr>
              <w:jc w:val="center"/>
              <w:rPr>
                <w:rStyle w:val="StyleAptos10pt"/>
              </w:rPr>
            </w:pPr>
            <w:r w:rsidRPr="002223A2">
              <w:rPr>
                <w:rStyle w:val="StyleAptos10pt"/>
              </w:rPr>
              <w:t>1</w:t>
            </w:r>
          </w:p>
        </w:tc>
        <w:tc>
          <w:tcPr>
            <w:tcW w:w="1890" w:type="dxa"/>
          </w:tcPr>
          <w:p w:rsidR="00447971" w:rsidRPr="002223A2" w:rsidP="00447971" w14:paraId="2370D752" w14:textId="77777777">
            <w:pPr>
              <w:jc w:val="center"/>
              <w:rPr>
                <w:rStyle w:val="StyleAptos10pt"/>
              </w:rPr>
            </w:pPr>
            <w:r w:rsidRPr="002223A2">
              <w:rPr>
                <w:rStyle w:val="StyleAptos10pt"/>
              </w:rPr>
              <w:t>1</w:t>
            </w:r>
          </w:p>
        </w:tc>
        <w:tc>
          <w:tcPr>
            <w:tcW w:w="2340" w:type="dxa"/>
          </w:tcPr>
          <w:p w:rsidR="00447971" w:rsidRPr="002223A2" w:rsidP="00447971" w14:paraId="3B013796" w14:textId="77777777">
            <w:pPr>
              <w:jc w:val="center"/>
              <w:rPr>
                <w:rStyle w:val="StyleAptos10pt"/>
              </w:rPr>
            </w:pPr>
            <w:r w:rsidRPr="002223A2">
              <w:rPr>
                <w:rStyle w:val="StyleAptos10pt"/>
              </w:rPr>
              <w:t>1</w:t>
            </w:r>
          </w:p>
        </w:tc>
      </w:tr>
      <w:tr w14:paraId="11FB8B24" w14:textId="77777777" w:rsidTr="00E2546A">
        <w:tblPrEx>
          <w:tblW w:w="10165" w:type="dxa"/>
          <w:tblLook w:val="04A0"/>
        </w:tblPrEx>
        <w:tc>
          <w:tcPr>
            <w:tcW w:w="2695" w:type="dxa"/>
          </w:tcPr>
          <w:p w:rsidR="00447971" w:rsidRPr="002223A2" w:rsidP="00447971" w14:paraId="764FB48F" w14:textId="77777777">
            <w:pPr>
              <w:rPr>
                <w:rStyle w:val="StyleAptos10pt"/>
              </w:rPr>
            </w:pPr>
            <w:r w:rsidRPr="002223A2">
              <w:rPr>
                <w:rStyle w:val="StyleAptos10pt"/>
              </w:rPr>
              <w:t>Section 15.32(b)</w:t>
            </w:r>
          </w:p>
        </w:tc>
        <w:tc>
          <w:tcPr>
            <w:tcW w:w="1530" w:type="dxa"/>
          </w:tcPr>
          <w:p w:rsidR="00447971" w:rsidRPr="002223A2" w:rsidP="00447971" w14:paraId="6ACEC9AF" w14:textId="77777777">
            <w:pPr>
              <w:jc w:val="center"/>
              <w:rPr>
                <w:rStyle w:val="StyleAptos10pt"/>
              </w:rPr>
            </w:pPr>
            <w:r w:rsidRPr="002223A2">
              <w:rPr>
                <w:rStyle w:val="StyleAptos10pt"/>
              </w:rPr>
              <w:t>1</w:t>
            </w:r>
          </w:p>
        </w:tc>
        <w:tc>
          <w:tcPr>
            <w:tcW w:w="1710" w:type="dxa"/>
          </w:tcPr>
          <w:p w:rsidR="00447971" w:rsidRPr="002223A2" w:rsidP="00447971" w14:paraId="1A1C229B" w14:textId="77777777">
            <w:pPr>
              <w:jc w:val="center"/>
              <w:rPr>
                <w:rStyle w:val="StyleAptos10pt"/>
              </w:rPr>
            </w:pPr>
            <w:r w:rsidRPr="002223A2">
              <w:rPr>
                <w:rStyle w:val="StyleAptos10pt"/>
              </w:rPr>
              <w:t>1</w:t>
            </w:r>
          </w:p>
        </w:tc>
        <w:tc>
          <w:tcPr>
            <w:tcW w:w="1890" w:type="dxa"/>
          </w:tcPr>
          <w:p w:rsidR="00447971" w:rsidRPr="002223A2" w:rsidP="00447971" w14:paraId="44685AAB" w14:textId="77777777">
            <w:pPr>
              <w:jc w:val="center"/>
              <w:rPr>
                <w:rStyle w:val="StyleAptos10pt"/>
              </w:rPr>
            </w:pPr>
            <w:r w:rsidRPr="002223A2">
              <w:rPr>
                <w:rStyle w:val="StyleAptos10pt"/>
              </w:rPr>
              <w:t>1</w:t>
            </w:r>
          </w:p>
        </w:tc>
        <w:tc>
          <w:tcPr>
            <w:tcW w:w="2340" w:type="dxa"/>
          </w:tcPr>
          <w:p w:rsidR="00447971" w:rsidRPr="002223A2" w:rsidP="00447971" w14:paraId="726B1B19" w14:textId="77777777">
            <w:pPr>
              <w:jc w:val="center"/>
              <w:rPr>
                <w:rStyle w:val="StyleAptos10pt"/>
              </w:rPr>
            </w:pPr>
            <w:r w:rsidRPr="002223A2">
              <w:rPr>
                <w:rStyle w:val="StyleAptos10pt"/>
              </w:rPr>
              <w:t>1</w:t>
            </w:r>
          </w:p>
        </w:tc>
      </w:tr>
      <w:tr w14:paraId="7FEAF9CA" w14:textId="77777777" w:rsidTr="00E2546A">
        <w:tblPrEx>
          <w:tblW w:w="10165" w:type="dxa"/>
          <w:tblLook w:val="04A0"/>
        </w:tblPrEx>
        <w:tc>
          <w:tcPr>
            <w:tcW w:w="2695" w:type="dxa"/>
          </w:tcPr>
          <w:p w:rsidR="00447971" w:rsidRPr="002223A2" w:rsidP="00447971" w14:paraId="7A159DB2" w14:textId="77777777">
            <w:pPr>
              <w:rPr>
                <w:rStyle w:val="StyleAptos10pt"/>
              </w:rPr>
            </w:pPr>
            <w:r w:rsidRPr="002223A2">
              <w:rPr>
                <w:rStyle w:val="StyleAptos10pt"/>
              </w:rPr>
              <w:t>Section 15.32(e)(3)(i)</w:t>
            </w:r>
          </w:p>
        </w:tc>
        <w:tc>
          <w:tcPr>
            <w:tcW w:w="1530" w:type="dxa"/>
          </w:tcPr>
          <w:p w:rsidR="00447971" w:rsidRPr="002223A2" w:rsidP="00447971" w14:paraId="2A4FA9A8" w14:textId="77777777">
            <w:pPr>
              <w:jc w:val="center"/>
              <w:rPr>
                <w:rStyle w:val="StyleAptos10pt"/>
              </w:rPr>
            </w:pPr>
            <w:r w:rsidRPr="002223A2">
              <w:rPr>
                <w:rStyle w:val="StyleAptos10pt"/>
              </w:rPr>
              <w:t>1</w:t>
            </w:r>
          </w:p>
        </w:tc>
        <w:tc>
          <w:tcPr>
            <w:tcW w:w="1710" w:type="dxa"/>
          </w:tcPr>
          <w:p w:rsidR="00447971" w:rsidRPr="002223A2" w:rsidP="00447971" w14:paraId="4D2C4C66" w14:textId="77777777">
            <w:pPr>
              <w:jc w:val="center"/>
              <w:rPr>
                <w:rStyle w:val="StyleAptos10pt"/>
              </w:rPr>
            </w:pPr>
            <w:r w:rsidRPr="002223A2">
              <w:rPr>
                <w:rStyle w:val="StyleAptos10pt"/>
              </w:rPr>
              <w:t>12</w:t>
            </w:r>
          </w:p>
        </w:tc>
        <w:tc>
          <w:tcPr>
            <w:tcW w:w="1890" w:type="dxa"/>
          </w:tcPr>
          <w:p w:rsidR="00447971" w:rsidRPr="002223A2" w:rsidP="00447971" w14:paraId="377BD200" w14:textId="77777777">
            <w:pPr>
              <w:jc w:val="center"/>
              <w:rPr>
                <w:rStyle w:val="StyleAptos10pt"/>
              </w:rPr>
            </w:pPr>
            <w:r w:rsidRPr="002223A2">
              <w:rPr>
                <w:rStyle w:val="StyleAptos10pt"/>
              </w:rPr>
              <w:t>1</w:t>
            </w:r>
          </w:p>
        </w:tc>
        <w:tc>
          <w:tcPr>
            <w:tcW w:w="2340" w:type="dxa"/>
          </w:tcPr>
          <w:p w:rsidR="00447971" w:rsidRPr="002223A2" w:rsidP="00447971" w14:paraId="243427E3" w14:textId="77777777">
            <w:pPr>
              <w:jc w:val="center"/>
              <w:rPr>
                <w:rStyle w:val="StyleAptos10pt"/>
              </w:rPr>
            </w:pPr>
            <w:r w:rsidRPr="002223A2">
              <w:rPr>
                <w:rStyle w:val="StyleAptos10pt"/>
              </w:rPr>
              <w:t>12</w:t>
            </w:r>
          </w:p>
        </w:tc>
      </w:tr>
      <w:tr w14:paraId="23021877" w14:textId="77777777" w:rsidTr="00E2546A">
        <w:tblPrEx>
          <w:tblW w:w="10165" w:type="dxa"/>
          <w:tblLook w:val="04A0"/>
        </w:tblPrEx>
        <w:tc>
          <w:tcPr>
            <w:tcW w:w="2695" w:type="dxa"/>
          </w:tcPr>
          <w:p w:rsidR="00447971" w:rsidRPr="002223A2" w:rsidP="00447971" w14:paraId="747DC1C6" w14:textId="77777777">
            <w:pPr>
              <w:rPr>
                <w:rStyle w:val="StyleAptos10pt"/>
              </w:rPr>
            </w:pPr>
            <w:r w:rsidRPr="002223A2">
              <w:rPr>
                <w:rStyle w:val="StyleAptos10pt"/>
              </w:rPr>
              <w:t>Section 15.32(e)(3)(ii)</w:t>
            </w:r>
          </w:p>
        </w:tc>
        <w:tc>
          <w:tcPr>
            <w:tcW w:w="1530" w:type="dxa"/>
          </w:tcPr>
          <w:p w:rsidR="00447971" w:rsidRPr="002223A2" w:rsidP="00447971" w14:paraId="177FD1D4" w14:textId="77777777">
            <w:pPr>
              <w:jc w:val="center"/>
              <w:rPr>
                <w:rStyle w:val="StyleAptos10pt"/>
              </w:rPr>
            </w:pPr>
            <w:r w:rsidRPr="002223A2">
              <w:rPr>
                <w:rStyle w:val="StyleAptos10pt"/>
              </w:rPr>
              <w:t>1</w:t>
            </w:r>
          </w:p>
        </w:tc>
        <w:tc>
          <w:tcPr>
            <w:tcW w:w="1710" w:type="dxa"/>
          </w:tcPr>
          <w:p w:rsidR="00447971" w:rsidRPr="002223A2" w:rsidP="00447971" w14:paraId="1DA16019" w14:textId="77777777">
            <w:pPr>
              <w:jc w:val="center"/>
              <w:rPr>
                <w:rStyle w:val="StyleAptos10pt"/>
              </w:rPr>
            </w:pPr>
            <w:r w:rsidRPr="002223A2">
              <w:rPr>
                <w:rStyle w:val="StyleAptos10pt"/>
              </w:rPr>
              <w:t>12</w:t>
            </w:r>
          </w:p>
        </w:tc>
        <w:tc>
          <w:tcPr>
            <w:tcW w:w="1890" w:type="dxa"/>
          </w:tcPr>
          <w:p w:rsidR="00447971" w:rsidRPr="002223A2" w:rsidP="00447971" w14:paraId="52F06DC2" w14:textId="77777777">
            <w:pPr>
              <w:jc w:val="center"/>
              <w:rPr>
                <w:rStyle w:val="StyleAptos10pt"/>
              </w:rPr>
            </w:pPr>
            <w:r w:rsidRPr="002223A2">
              <w:rPr>
                <w:rStyle w:val="StyleAptos10pt"/>
              </w:rPr>
              <w:t>1</w:t>
            </w:r>
          </w:p>
        </w:tc>
        <w:tc>
          <w:tcPr>
            <w:tcW w:w="2340" w:type="dxa"/>
          </w:tcPr>
          <w:p w:rsidR="00447971" w:rsidRPr="002223A2" w:rsidP="00447971" w14:paraId="6CAF7AAC" w14:textId="77777777">
            <w:pPr>
              <w:jc w:val="center"/>
              <w:rPr>
                <w:rStyle w:val="StyleAptos10pt"/>
              </w:rPr>
            </w:pPr>
            <w:r w:rsidRPr="002223A2">
              <w:rPr>
                <w:rStyle w:val="StyleAptos10pt"/>
              </w:rPr>
              <w:t>12</w:t>
            </w:r>
          </w:p>
        </w:tc>
      </w:tr>
      <w:tr w14:paraId="5B8E9ADC" w14:textId="77777777" w:rsidTr="00E2546A">
        <w:tblPrEx>
          <w:tblW w:w="10165" w:type="dxa"/>
          <w:tblLook w:val="04A0"/>
        </w:tblPrEx>
        <w:tc>
          <w:tcPr>
            <w:tcW w:w="2695" w:type="dxa"/>
          </w:tcPr>
          <w:p w:rsidR="00447971" w:rsidRPr="002223A2" w:rsidP="00447971" w14:paraId="22714A00" w14:textId="77777777">
            <w:pPr>
              <w:rPr>
                <w:rStyle w:val="StyleAptos10pt"/>
              </w:rPr>
            </w:pPr>
            <w:r w:rsidRPr="002223A2">
              <w:rPr>
                <w:rStyle w:val="StyleAptos10pt"/>
              </w:rPr>
              <w:t>Section 15.32(e)(3)(ii) Table</w:t>
            </w:r>
          </w:p>
        </w:tc>
        <w:tc>
          <w:tcPr>
            <w:tcW w:w="1530" w:type="dxa"/>
          </w:tcPr>
          <w:p w:rsidR="00447971" w:rsidRPr="002223A2" w:rsidP="00447971" w14:paraId="6F30A163" w14:textId="77777777">
            <w:pPr>
              <w:jc w:val="center"/>
              <w:rPr>
                <w:rStyle w:val="StyleAptos10pt"/>
              </w:rPr>
            </w:pPr>
            <w:r w:rsidRPr="002223A2">
              <w:rPr>
                <w:rStyle w:val="StyleAptos10pt"/>
              </w:rPr>
              <w:t>1</w:t>
            </w:r>
          </w:p>
        </w:tc>
        <w:tc>
          <w:tcPr>
            <w:tcW w:w="1710" w:type="dxa"/>
          </w:tcPr>
          <w:p w:rsidR="00447971" w:rsidRPr="002223A2" w:rsidP="00447971" w14:paraId="37AC466E" w14:textId="77777777">
            <w:pPr>
              <w:jc w:val="center"/>
              <w:rPr>
                <w:rStyle w:val="StyleAptos10pt"/>
              </w:rPr>
            </w:pPr>
            <w:r w:rsidRPr="002223A2">
              <w:rPr>
                <w:rStyle w:val="StyleAptos10pt"/>
              </w:rPr>
              <w:t>12</w:t>
            </w:r>
          </w:p>
        </w:tc>
        <w:tc>
          <w:tcPr>
            <w:tcW w:w="1890" w:type="dxa"/>
          </w:tcPr>
          <w:p w:rsidR="00447971" w:rsidRPr="002223A2" w:rsidP="00447971" w14:paraId="6716C05A" w14:textId="77777777">
            <w:pPr>
              <w:jc w:val="center"/>
              <w:rPr>
                <w:rStyle w:val="StyleAptos10pt"/>
              </w:rPr>
            </w:pPr>
            <w:r w:rsidRPr="002223A2">
              <w:rPr>
                <w:rStyle w:val="StyleAptos10pt"/>
              </w:rPr>
              <w:t>2</w:t>
            </w:r>
          </w:p>
        </w:tc>
        <w:tc>
          <w:tcPr>
            <w:tcW w:w="2340" w:type="dxa"/>
          </w:tcPr>
          <w:p w:rsidR="00447971" w:rsidRPr="002223A2" w:rsidP="00447971" w14:paraId="6EDE2717" w14:textId="77777777">
            <w:pPr>
              <w:jc w:val="center"/>
              <w:rPr>
                <w:rStyle w:val="StyleAptos10pt"/>
              </w:rPr>
            </w:pPr>
            <w:r w:rsidRPr="002223A2">
              <w:rPr>
                <w:rStyle w:val="StyleAptos10pt"/>
              </w:rPr>
              <w:t>24</w:t>
            </w:r>
          </w:p>
        </w:tc>
      </w:tr>
      <w:tr w14:paraId="458AD88E" w14:textId="77777777" w:rsidTr="00E2546A">
        <w:tblPrEx>
          <w:tblW w:w="10165" w:type="dxa"/>
          <w:tblLook w:val="04A0"/>
        </w:tblPrEx>
        <w:tc>
          <w:tcPr>
            <w:tcW w:w="2695" w:type="dxa"/>
          </w:tcPr>
          <w:p w:rsidR="00447971" w:rsidRPr="002223A2" w:rsidP="00447971" w14:paraId="08D7CD5B" w14:textId="77777777">
            <w:pPr>
              <w:rPr>
                <w:rStyle w:val="StyleAptos10pt"/>
              </w:rPr>
            </w:pPr>
            <w:r w:rsidRPr="002223A2">
              <w:rPr>
                <w:rStyle w:val="StyleAptos10pt"/>
              </w:rPr>
              <w:t>Section 15.32(e)(3)(iii)</w:t>
            </w:r>
          </w:p>
        </w:tc>
        <w:tc>
          <w:tcPr>
            <w:tcW w:w="1530" w:type="dxa"/>
          </w:tcPr>
          <w:p w:rsidR="00447971" w:rsidRPr="002223A2" w:rsidP="00447971" w14:paraId="59EDD0F5" w14:textId="77777777">
            <w:pPr>
              <w:jc w:val="center"/>
              <w:rPr>
                <w:rStyle w:val="StyleAptos10pt"/>
              </w:rPr>
            </w:pPr>
            <w:r w:rsidRPr="002223A2">
              <w:rPr>
                <w:rStyle w:val="StyleAptos10pt"/>
              </w:rPr>
              <w:t>1</w:t>
            </w:r>
          </w:p>
        </w:tc>
        <w:tc>
          <w:tcPr>
            <w:tcW w:w="1710" w:type="dxa"/>
          </w:tcPr>
          <w:p w:rsidR="00447971" w:rsidRPr="002223A2" w:rsidP="00447971" w14:paraId="137629FD" w14:textId="77777777">
            <w:pPr>
              <w:jc w:val="center"/>
              <w:rPr>
                <w:rStyle w:val="StyleAptos10pt"/>
              </w:rPr>
            </w:pPr>
            <w:r w:rsidRPr="002223A2">
              <w:rPr>
                <w:rStyle w:val="StyleAptos10pt"/>
              </w:rPr>
              <w:t>1</w:t>
            </w:r>
          </w:p>
        </w:tc>
        <w:tc>
          <w:tcPr>
            <w:tcW w:w="1890" w:type="dxa"/>
          </w:tcPr>
          <w:p w:rsidR="00447971" w:rsidRPr="002223A2" w:rsidP="00447971" w14:paraId="3735805D" w14:textId="77777777">
            <w:pPr>
              <w:jc w:val="center"/>
              <w:rPr>
                <w:rStyle w:val="StyleAptos10pt"/>
              </w:rPr>
            </w:pPr>
            <w:r w:rsidRPr="002223A2">
              <w:rPr>
                <w:rStyle w:val="StyleAptos10pt"/>
              </w:rPr>
              <w:t>1</w:t>
            </w:r>
          </w:p>
        </w:tc>
        <w:tc>
          <w:tcPr>
            <w:tcW w:w="2340" w:type="dxa"/>
          </w:tcPr>
          <w:p w:rsidR="00447971" w:rsidRPr="002223A2" w:rsidP="00447971" w14:paraId="1A8A4522" w14:textId="77777777">
            <w:pPr>
              <w:jc w:val="center"/>
              <w:rPr>
                <w:rStyle w:val="StyleAptos10pt"/>
              </w:rPr>
            </w:pPr>
            <w:r w:rsidRPr="002223A2">
              <w:rPr>
                <w:rStyle w:val="StyleAptos10pt"/>
              </w:rPr>
              <w:t>1</w:t>
            </w:r>
          </w:p>
        </w:tc>
      </w:tr>
      <w:tr w14:paraId="0C541026" w14:textId="77777777" w:rsidTr="00E2546A">
        <w:tblPrEx>
          <w:tblW w:w="10165" w:type="dxa"/>
          <w:tblLook w:val="04A0"/>
        </w:tblPrEx>
        <w:tc>
          <w:tcPr>
            <w:tcW w:w="2695" w:type="dxa"/>
          </w:tcPr>
          <w:p w:rsidR="00447971" w:rsidRPr="002223A2" w:rsidP="00447971" w14:paraId="7AA2AA0E" w14:textId="77777777">
            <w:pPr>
              <w:rPr>
                <w:rStyle w:val="StyleAptos10pt"/>
              </w:rPr>
            </w:pPr>
            <w:r w:rsidRPr="002223A2">
              <w:rPr>
                <w:rStyle w:val="StyleAptos10pt"/>
              </w:rPr>
              <w:t>Section 15.32(g)(2)</w:t>
            </w:r>
          </w:p>
        </w:tc>
        <w:tc>
          <w:tcPr>
            <w:tcW w:w="1530" w:type="dxa"/>
          </w:tcPr>
          <w:p w:rsidR="00447971" w:rsidRPr="002223A2" w:rsidP="00447971" w14:paraId="4D62DF8F" w14:textId="77777777">
            <w:pPr>
              <w:jc w:val="center"/>
              <w:rPr>
                <w:rStyle w:val="StyleAptos10pt"/>
              </w:rPr>
            </w:pPr>
            <w:r w:rsidRPr="002223A2">
              <w:rPr>
                <w:rStyle w:val="StyleAptos10pt"/>
              </w:rPr>
              <w:t>1</w:t>
            </w:r>
          </w:p>
        </w:tc>
        <w:tc>
          <w:tcPr>
            <w:tcW w:w="1710" w:type="dxa"/>
          </w:tcPr>
          <w:p w:rsidR="00447971" w:rsidRPr="002223A2" w:rsidP="00447971" w14:paraId="6527502E" w14:textId="77777777">
            <w:pPr>
              <w:jc w:val="center"/>
              <w:rPr>
                <w:rStyle w:val="StyleAptos10pt"/>
              </w:rPr>
            </w:pPr>
            <w:r w:rsidRPr="002223A2">
              <w:rPr>
                <w:rStyle w:val="StyleAptos10pt"/>
              </w:rPr>
              <w:t>1</w:t>
            </w:r>
          </w:p>
        </w:tc>
        <w:tc>
          <w:tcPr>
            <w:tcW w:w="1890" w:type="dxa"/>
          </w:tcPr>
          <w:p w:rsidR="00447971" w:rsidRPr="002223A2" w:rsidP="00447971" w14:paraId="303BEFBF" w14:textId="77777777">
            <w:pPr>
              <w:jc w:val="center"/>
              <w:rPr>
                <w:rStyle w:val="StyleAptos10pt"/>
              </w:rPr>
            </w:pPr>
            <w:r w:rsidRPr="002223A2">
              <w:rPr>
                <w:rStyle w:val="StyleAptos10pt"/>
              </w:rPr>
              <w:t>1</w:t>
            </w:r>
          </w:p>
        </w:tc>
        <w:tc>
          <w:tcPr>
            <w:tcW w:w="2340" w:type="dxa"/>
          </w:tcPr>
          <w:p w:rsidR="00447971" w:rsidRPr="002223A2" w:rsidP="00447971" w14:paraId="06692F9B" w14:textId="77777777">
            <w:pPr>
              <w:jc w:val="center"/>
              <w:rPr>
                <w:rStyle w:val="StyleAptos10pt"/>
              </w:rPr>
            </w:pPr>
            <w:r w:rsidRPr="002223A2">
              <w:rPr>
                <w:rStyle w:val="StyleAptos10pt"/>
              </w:rPr>
              <w:t>1</w:t>
            </w:r>
          </w:p>
        </w:tc>
      </w:tr>
      <w:tr w14:paraId="44B54B8A" w14:textId="77777777" w:rsidTr="00E2546A">
        <w:tblPrEx>
          <w:tblW w:w="10165" w:type="dxa"/>
          <w:tblLook w:val="04A0"/>
        </w:tblPrEx>
        <w:tc>
          <w:tcPr>
            <w:tcW w:w="2695" w:type="dxa"/>
          </w:tcPr>
          <w:p w:rsidR="00447971" w:rsidRPr="002223A2" w:rsidP="00447971" w14:paraId="0FFC362F" w14:textId="77777777">
            <w:pPr>
              <w:rPr>
                <w:rStyle w:val="StyleAptos10pt"/>
              </w:rPr>
            </w:pPr>
            <w:r w:rsidRPr="002223A2">
              <w:rPr>
                <w:rStyle w:val="StyleAptos10pt"/>
              </w:rPr>
              <w:t>Section 15.32(g)(5)</w:t>
            </w:r>
          </w:p>
        </w:tc>
        <w:tc>
          <w:tcPr>
            <w:tcW w:w="1530" w:type="dxa"/>
          </w:tcPr>
          <w:p w:rsidR="00447971" w:rsidRPr="002223A2" w:rsidP="00447971" w14:paraId="59B75B46" w14:textId="77777777">
            <w:pPr>
              <w:jc w:val="center"/>
              <w:rPr>
                <w:rStyle w:val="StyleAptos10pt"/>
              </w:rPr>
            </w:pPr>
            <w:r w:rsidRPr="002223A2">
              <w:rPr>
                <w:rStyle w:val="StyleAptos10pt"/>
              </w:rPr>
              <w:t>1</w:t>
            </w:r>
          </w:p>
        </w:tc>
        <w:tc>
          <w:tcPr>
            <w:tcW w:w="1710" w:type="dxa"/>
          </w:tcPr>
          <w:p w:rsidR="00447971" w:rsidRPr="002223A2" w:rsidP="00447971" w14:paraId="6A358117" w14:textId="77777777">
            <w:pPr>
              <w:jc w:val="center"/>
              <w:rPr>
                <w:rStyle w:val="StyleAptos10pt"/>
              </w:rPr>
            </w:pPr>
            <w:r w:rsidRPr="002223A2">
              <w:rPr>
                <w:rStyle w:val="StyleAptos10pt"/>
              </w:rPr>
              <w:t>1</w:t>
            </w:r>
          </w:p>
        </w:tc>
        <w:tc>
          <w:tcPr>
            <w:tcW w:w="1890" w:type="dxa"/>
          </w:tcPr>
          <w:p w:rsidR="00447971" w:rsidRPr="002223A2" w:rsidP="00447971" w14:paraId="21A64871" w14:textId="77777777">
            <w:pPr>
              <w:jc w:val="center"/>
              <w:rPr>
                <w:rStyle w:val="StyleAptos10pt"/>
              </w:rPr>
            </w:pPr>
            <w:r w:rsidRPr="002223A2">
              <w:rPr>
                <w:rStyle w:val="StyleAptos10pt"/>
              </w:rPr>
              <w:t>1</w:t>
            </w:r>
          </w:p>
        </w:tc>
        <w:tc>
          <w:tcPr>
            <w:tcW w:w="2340" w:type="dxa"/>
          </w:tcPr>
          <w:p w:rsidR="00447971" w:rsidRPr="002223A2" w:rsidP="00447971" w14:paraId="0335DEE9" w14:textId="77777777">
            <w:pPr>
              <w:jc w:val="center"/>
              <w:rPr>
                <w:rStyle w:val="StyleAptos10pt"/>
              </w:rPr>
            </w:pPr>
            <w:r w:rsidRPr="002223A2">
              <w:rPr>
                <w:rStyle w:val="StyleAptos10pt"/>
              </w:rPr>
              <w:t>1</w:t>
            </w:r>
          </w:p>
        </w:tc>
      </w:tr>
      <w:tr w14:paraId="502FC51F" w14:textId="77777777" w:rsidTr="00E2546A">
        <w:tblPrEx>
          <w:tblW w:w="10165" w:type="dxa"/>
          <w:tblLook w:val="04A0"/>
        </w:tblPrEx>
        <w:trPr>
          <w:trHeight w:val="197"/>
        </w:trPr>
        <w:tc>
          <w:tcPr>
            <w:tcW w:w="2695" w:type="dxa"/>
          </w:tcPr>
          <w:p w:rsidR="00447971" w:rsidRPr="002223A2" w:rsidP="00447971" w14:paraId="7A1FBE21" w14:textId="77777777">
            <w:pPr>
              <w:rPr>
                <w:rStyle w:val="StyleAptos10pt"/>
              </w:rPr>
            </w:pPr>
            <w:r w:rsidRPr="002223A2">
              <w:rPr>
                <w:rStyle w:val="StyleAptos10pt"/>
              </w:rPr>
              <w:t>Section 15.40(c)(5)</w:t>
            </w:r>
          </w:p>
        </w:tc>
        <w:tc>
          <w:tcPr>
            <w:tcW w:w="1530" w:type="dxa"/>
          </w:tcPr>
          <w:p w:rsidR="00447971" w:rsidRPr="002223A2" w:rsidP="00447971" w14:paraId="2ECDF665" w14:textId="77777777">
            <w:pPr>
              <w:jc w:val="center"/>
              <w:rPr>
                <w:rStyle w:val="StyleAptos10pt"/>
              </w:rPr>
            </w:pPr>
            <w:r w:rsidRPr="002223A2">
              <w:rPr>
                <w:rStyle w:val="StyleAptos10pt"/>
              </w:rPr>
              <w:t>39</w:t>
            </w:r>
          </w:p>
        </w:tc>
        <w:tc>
          <w:tcPr>
            <w:tcW w:w="1710" w:type="dxa"/>
          </w:tcPr>
          <w:p w:rsidR="00447971" w:rsidRPr="002223A2" w:rsidP="00447971" w14:paraId="2E7244A7" w14:textId="77777777">
            <w:pPr>
              <w:jc w:val="center"/>
              <w:rPr>
                <w:rStyle w:val="StyleAptos10pt"/>
              </w:rPr>
            </w:pPr>
            <w:r w:rsidRPr="002223A2">
              <w:rPr>
                <w:rStyle w:val="StyleAptos10pt"/>
              </w:rPr>
              <w:t>1</w:t>
            </w:r>
          </w:p>
        </w:tc>
        <w:tc>
          <w:tcPr>
            <w:tcW w:w="1890" w:type="dxa"/>
          </w:tcPr>
          <w:p w:rsidR="00447971" w:rsidRPr="002223A2" w:rsidP="00447971" w14:paraId="70C08AD7" w14:textId="77777777">
            <w:pPr>
              <w:jc w:val="center"/>
              <w:rPr>
                <w:rStyle w:val="StyleAptos10pt"/>
              </w:rPr>
            </w:pPr>
            <w:r w:rsidRPr="002223A2">
              <w:rPr>
                <w:rStyle w:val="StyleAptos10pt"/>
              </w:rPr>
              <w:t>1</w:t>
            </w:r>
          </w:p>
        </w:tc>
        <w:tc>
          <w:tcPr>
            <w:tcW w:w="2340" w:type="dxa"/>
          </w:tcPr>
          <w:p w:rsidR="00447971" w:rsidRPr="002223A2" w:rsidP="00447971" w14:paraId="259B4195" w14:textId="77777777">
            <w:pPr>
              <w:jc w:val="center"/>
              <w:rPr>
                <w:rStyle w:val="StyleAptos10pt"/>
              </w:rPr>
            </w:pPr>
            <w:r w:rsidRPr="002223A2">
              <w:rPr>
                <w:rStyle w:val="StyleAptos10pt"/>
              </w:rPr>
              <w:t>39</w:t>
            </w:r>
          </w:p>
        </w:tc>
      </w:tr>
      <w:tr w14:paraId="67ECCE6A" w14:textId="77777777" w:rsidTr="00E2546A">
        <w:tblPrEx>
          <w:tblW w:w="10165" w:type="dxa"/>
          <w:tblLook w:val="04A0"/>
        </w:tblPrEx>
        <w:trPr>
          <w:trHeight w:val="197"/>
        </w:trPr>
        <w:tc>
          <w:tcPr>
            <w:tcW w:w="2695" w:type="dxa"/>
          </w:tcPr>
          <w:p w:rsidR="00447971" w:rsidRPr="002223A2" w:rsidP="00447971" w14:paraId="53AA27DA" w14:textId="77777777">
            <w:pPr>
              <w:rPr>
                <w:rStyle w:val="StyleAptos10pt"/>
              </w:rPr>
            </w:pPr>
            <w:r w:rsidRPr="002223A2">
              <w:rPr>
                <w:rStyle w:val="StyleAptos10pt"/>
              </w:rPr>
              <w:t>Section 15.41(b)(1)(iii)</w:t>
            </w:r>
          </w:p>
        </w:tc>
        <w:tc>
          <w:tcPr>
            <w:tcW w:w="1530" w:type="dxa"/>
          </w:tcPr>
          <w:p w:rsidR="00447971" w:rsidRPr="002223A2" w:rsidP="00447971" w14:paraId="41C7BE1F" w14:textId="77777777">
            <w:pPr>
              <w:jc w:val="center"/>
              <w:rPr>
                <w:rStyle w:val="StyleAptos10pt"/>
              </w:rPr>
            </w:pPr>
            <w:r w:rsidRPr="002223A2">
              <w:rPr>
                <w:rStyle w:val="StyleAptos10pt"/>
              </w:rPr>
              <w:t>39</w:t>
            </w:r>
          </w:p>
        </w:tc>
        <w:tc>
          <w:tcPr>
            <w:tcW w:w="1710" w:type="dxa"/>
          </w:tcPr>
          <w:p w:rsidR="00447971" w:rsidRPr="002223A2" w:rsidP="00447971" w14:paraId="26D582A1" w14:textId="77777777">
            <w:pPr>
              <w:jc w:val="center"/>
              <w:rPr>
                <w:rStyle w:val="StyleAptos10pt"/>
              </w:rPr>
            </w:pPr>
            <w:r w:rsidRPr="002223A2">
              <w:rPr>
                <w:rStyle w:val="StyleAptos10pt"/>
              </w:rPr>
              <w:t>1</w:t>
            </w:r>
          </w:p>
        </w:tc>
        <w:tc>
          <w:tcPr>
            <w:tcW w:w="1890" w:type="dxa"/>
          </w:tcPr>
          <w:p w:rsidR="00447971" w:rsidRPr="002223A2" w:rsidP="00447971" w14:paraId="68012C62" w14:textId="77777777">
            <w:pPr>
              <w:jc w:val="center"/>
              <w:rPr>
                <w:rStyle w:val="StyleAptos10pt"/>
              </w:rPr>
            </w:pPr>
            <w:r w:rsidRPr="002223A2">
              <w:rPr>
                <w:rStyle w:val="StyleAptos10pt"/>
              </w:rPr>
              <w:t>1</w:t>
            </w:r>
          </w:p>
        </w:tc>
        <w:tc>
          <w:tcPr>
            <w:tcW w:w="2340" w:type="dxa"/>
          </w:tcPr>
          <w:p w:rsidR="00447971" w:rsidRPr="002223A2" w:rsidP="00447971" w14:paraId="101099E6" w14:textId="77777777">
            <w:pPr>
              <w:jc w:val="center"/>
              <w:rPr>
                <w:rStyle w:val="StyleAptos10pt"/>
              </w:rPr>
            </w:pPr>
            <w:r w:rsidRPr="002223A2">
              <w:rPr>
                <w:rStyle w:val="StyleAptos10pt"/>
              </w:rPr>
              <w:t>39</w:t>
            </w:r>
          </w:p>
        </w:tc>
      </w:tr>
      <w:tr w14:paraId="602722EE" w14:textId="77777777" w:rsidTr="00E2546A">
        <w:tblPrEx>
          <w:tblW w:w="10165" w:type="dxa"/>
          <w:tblLook w:val="04A0"/>
        </w:tblPrEx>
        <w:trPr>
          <w:trHeight w:val="197"/>
        </w:trPr>
        <w:tc>
          <w:tcPr>
            <w:tcW w:w="2695" w:type="dxa"/>
          </w:tcPr>
          <w:p w:rsidR="00447971" w:rsidRPr="002223A2" w:rsidP="00447971" w14:paraId="02B7ABC0" w14:textId="77777777">
            <w:pPr>
              <w:rPr>
                <w:rStyle w:val="StyleAptos10pt"/>
              </w:rPr>
            </w:pPr>
            <w:r w:rsidRPr="002223A2">
              <w:rPr>
                <w:rStyle w:val="StyleAptos10pt"/>
              </w:rPr>
              <w:t>Section 15.41(c)(1)(i)</w:t>
            </w:r>
          </w:p>
        </w:tc>
        <w:tc>
          <w:tcPr>
            <w:tcW w:w="1530" w:type="dxa"/>
          </w:tcPr>
          <w:p w:rsidR="00447971" w:rsidRPr="002223A2" w:rsidP="00447971" w14:paraId="5B44A629" w14:textId="77777777">
            <w:pPr>
              <w:jc w:val="center"/>
              <w:rPr>
                <w:rStyle w:val="StyleAptos10pt"/>
              </w:rPr>
            </w:pPr>
            <w:r w:rsidRPr="002223A2">
              <w:rPr>
                <w:rStyle w:val="StyleAptos10pt"/>
              </w:rPr>
              <w:t>39</w:t>
            </w:r>
          </w:p>
        </w:tc>
        <w:tc>
          <w:tcPr>
            <w:tcW w:w="1710" w:type="dxa"/>
          </w:tcPr>
          <w:p w:rsidR="00447971" w:rsidRPr="002223A2" w:rsidP="00447971" w14:paraId="73A762B0" w14:textId="77777777">
            <w:pPr>
              <w:jc w:val="center"/>
              <w:rPr>
                <w:rStyle w:val="StyleAptos10pt"/>
              </w:rPr>
            </w:pPr>
            <w:r w:rsidRPr="002223A2">
              <w:rPr>
                <w:rStyle w:val="StyleAptos10pt"/>
              </w:rPr>
              <w:t>4</w:t>
            </w:r>
          </w:p>
        </w:tc>
        <w:tc>
          <w:tcPr>
            <w:tcW w:w="1890" w:type="dxa"/>
          </w:tcPr>
          <w:p w:rsidR="00447971" w:rsidRPr="002223A2" w:rsidP="00447971" w14:paraId="7781EB13" w14:textId="77777777">
            <w:pPr>
              <w:jc w:val="center"/>
              <w:rPr>
                <w:rStyle w:val="StyleAptos10pt"/>
              </w:rPr>
            </w:pPr>
            <w:r w:rsidRPr="002223A2">
              <w:rPr>
                <w:rStyle w:val="StyleAptos10pt"/>
              </w:rPr>
              <w:t>0.5</w:t>
            </w:r>
          </w:p>
        </w:tc>
        <w:tc>
          <w:tcPr>
            <w:tcW w:w="2340" w:type="dxa"/>
          </w:tcPr>
          <w:p w:rsidR="00447971" w:rsidRPr="002223A2" w:rsidP="00447971" w14:paraId="4E2442E5" w14:textId="77777777">
            <w:pPr>
              <w:jc w:val="center"/>
              <w:rPr>
                <w:rStyle w:val="StyleAptos10pt"/>
              </w:rPr>
            </w:pPr>
            <w:r w:rsidRPr="002223A2">
              <w:rPr>
                <w:rStyle w:val="StyleAptos10pt"/>
              </w:rPr>
              <w:t>78</w:t>
            </w:r>
          </w:p>
        </w:tc>
      </w:tr>
      <w:tr w14:paraId="049F21B5" w14:textId="77777777" w:rsidTr="00E2546A">
        <w:tblPrEx>
          <w:tblW w:w="10165" w:type="dxa"/>
          <w:tblLook w:val="04A0"/>
        </w:tblPrEx>
        <w:trPr>
          <w:trHeight w:val="197"/>
        </w:trPr>
        <w:tc>
          <w:tcPr>
            <w:tcW w:w="2695" w:type="dxa"/>
          </w:tcPr>
          <w:p w:rsidR="00447971" w:rsidRPr="002223A2" w:rsidP="00447971" w14:paraId="5873F933" w14:textId="77777777">
            <w:pPr>
              <w:rPr>
                <w:rStyle w:val="StyleAptos10pt"/>
              </w:rPr>
            </w:pPr>
            <w:r w:rsidRPr="002223A2">
              <w:rPr>
                <w:rStyle w:val="StyleAptos10pt"/>
              </w:rPr>
              <w:t>Section 15.41(c)(1)(ii)</w:t>
            </w:r>
          </w:p>
        </w:tc>
        <w:tc>
          <w:tcPr>
            <w:tcW w:w="1530" w:type="dxa"/>
          </w:tcPr>
          <w:p w:rsidR="00447971" w:rsidRPr="002223A2" w:rsidP="00447971" w14:paraId="742BF337" w14:textId="77777777">
            <w:pPr>
              <w:jc w:val="center"/>
              <w:rPr>
                <w:rStyle w:val="StyleAptos10pt"/>
              </w:rPr>
            </w:pPr>
            <w:r w:rsidRPr="002223A2">
              <w:rPr>
                <w:rStyle w:val="StyleAptos10pt"/>
              </w:rPr>
              <w:t>39</w:t>
            </w:r>
          </w:p>
        </w:tc>
        <w:tc>
          <w:tcPr>
            <w:tcW w:w="1710" w:type="dxa"/>
          </w:tcPr>
          <w:p w:rsidR="00447971" w:rsidRPr="002223A2" w:rsidP="00447971" w14:paraId="551E6F14" w14:textId="77777777">
            <w:pPr>
              <w:jc w:val="center"/>
              <w:rPr>
                <w:rStyle w:val="StyleAptos10pt"/>
              </w:rPr>
            </w:pPr>
            <w:r w:rsidRPr="002223A2">
              <w:rPr>
                <w:rStyle w:val="StyleAptos10pt"/>
              </w:rPr>
              <w:t>4</w:t>
            </w:r>
          </w:p>
        </w:tc>
        <w:tc>
          <w:tcPr>
            <w:tcW w:w="1890" w:type="dxa"/>
          </w:tcPr>
          <w:p w:rsidR="00447971" w:rsidRPr="002223A2" w:rsidP="00447971" w14:paraId="0B9833E7" w14:textId="77777777">
            <w:pPr>
              <w:jc w:val="center"/>
              <w:rPr>
                <w:rStyle w:val="StyleAptos10pt"/>
              </w:rPr>
            </w:pPr>
            <w:r w:rsidRPr="002223A2">
              <w:rPr>
                <w:rStyle w:val="StyleAptos10pt"/>
              </w:rPr>
              <w:t>0.5</w:t>
            </w:r>
          </w:p>
        </w:tc>
        <w:tc>
          <w:tcPr>
            <w:tcW w:w="2340" w:type="dxa"/>
          </w:tcPr>
          <w:p w:rsidR="00447971" w:rsidRPr="002223A2" w:rsidP="00447971" w14:paraId="690BCC07" w14:textId="77777777">
            <w:pPr>
              <w:jc w:val="center"/>
              <w:rPr>
                <w:rStyle w:val="StyleAptos10pt"/>
              </w:rPr>
            </w:pPr>
            <w:r w:rsidRPr="002223A2">
              <w:rPr>
                <w:rStyle w:val="StyleAptos10pt"/>
              </w:rPr>
              <w:t>78</w:t>
            </w:r>
          </w:p>
        </w:tc>
      </w:tr>
      <w:tr w14:paraId="1E15A462" w14:textId="77777777" w:rsidTr="00E2546A">
        <w:tblPrEx>
          <w:tblW w:w="10165" w:type="dxa"/>
          <w:tblLook w:val="04A0"/>
        </w:tblPrEx>
        <w:trPr>
          <w:trHeight w:val="197"/>
        </w:trPr>
        <w:tc>
          <w:tcPr>
            <w:tcW w:w="2695" w:type="dxa"/>
          </w:tcPr>
          <w:p w:rsidR="00447971" w:rsidRPr="002223A2" w:rsidP="00447971" w14:paraId="67DCC537" w14:textId="77777777">
            <w:pPr>
              <w:rPr>
                <w:rStyle w:val="StyleAptos10pt"/>
              </w:rPr>
            </w:pPr>
            <w:r w:rsidRPr="002223A2">
              <w:rPr>
                <w:rStyle w:val="StyleAptos10pt"/>
              </w:rPr>
              <w:t>Section 15.41(d)(1)</w:t>
            </w:r>
          </w:p>
        </w:tc>
        <w:tc>
          <w:tcPr>
            <w:tcW w:w="1530" w:type="dxa"/>
          </w:tcPr>
          <w:p w:rsidR="00447971" w:rsidRPr="002223A2" w:rsidP="00447971" w14:paraId="1B86AC1E" w14:textId="77777777">
            <w:pPr>
              <w:jc w:val="center"/>
              <w:rPr>
                <w:rStyle w:val="StyleAptos10pt"/>
              </w:rPr>
            </w:pPr>
            <w:r w:rsidRPr="002223A2">
              <w:rPr>
                <w:rStyle w:val="StyleAptos10pt"/>
              </w:rPr>
              <w:t>1</w:t>
            </w:r>
          </w:p>
        </w:tc>
        <w:tc>
          <w:tcPr>
            <w:tcW w:w="1710" w:type="dxa"/>
          </w:tcPr>
          <w:p w:rsidR="00447971" w:rsidRPr="002223A2" w:rsidP="00447971" w14:paraId="1885CC46" w14:textId="77777777">
            <w:pPr>
              <w:jc w:val="center"/>
              <w:rPr>
                <w:rStyle w:val="StyleAptos10pt"/>
              </w:rPr>
            </w:pPr>
            <w:r w:rsidRPr="002223A2">
              <w:rPr>
                <w:rStyle w:val="StyleAptos10pt"/>
              </w:rPr>
              <w:t>1</w:t>
            </w:r>
          </w:p>
        </w:tc>
        <w:tc>
          <w:tcPr>
            <w:tcW w:w="1890" w:type="dxa"/>
          </w:tcPr>
          <w:p w:rsidR="00447971" w:rsidRPr="002223A2" w:rsidP="00447971" w14:paraId="5FFA56F2" w14:textId="77777777">
            <w:pPr>
              <w:jc w:val="center"/>
              <w:rPr>
                <w:rStyle w:val="StyleAptos10pt"/>
              </w:rPr>
            </w:pPr>
            <w:r w:rsidRPr="002223A2">
              <w:rPr>
                <w:rStyle w:val="StyleAptos10pt"/>
              </w:rPr>
              <w:t>1</w:t>
            </w:r>
          </w:p>
        </w:tc>
        <w:tc>
          <w:tcPr>
            <w:tcW w:w="2340" w:type="dxa"/>
          </w:tcPr>
          <w:p w:rsidR="00447971" w:rsidRPr="002223A2" w:rsidP="00447971" w14:paraId="21E660A0" w14:textId="77777777">
            <w:pPr>
              <w:jc w:val="center"/>
              <w:rPr>
                <w:rStyle w:val="StyleAptos10pt"/>
              </w:rPr>
            </w:pPr>
            <w:r w:rsidRPr="002223A2">
              <w:rPr>
                <w:rStyle w:val="StyleAptos10pt"/>
              </w:rPr>
              <w:t>1</w:t>
            </w:r>
          </w:p>
        </w:tc>
      </w:tr>
      <w:tr w14:paraId="10A12B3E" w14:textId="77777777" w:rsidTr="00E2546A">
        <w:tblPrEx>
          <w:tblW w:w="10165" w:type="dxa"/>
          <w:tblLook w:val="04A0"/>
        </w:tblPrEx>
        <w:trPr>
          <w:trHeight w:val="197"/>
        </w:trPr>
        <w:tc>
          <w:tcPr>
            <w:tcW w:w="2695" w:type="dxa"/>
          </w:tcPr>
          <w:p w:rsidR="00447971" w:rsidRPr="002223A2" w:rsidP="00447971" w14:paraId="3F4FF74D" w14:textId="77777777">
            <w:pPr>
              <w:rPr>
                <w:rStyle w:val="StyleAptos10pt"/>
              </w:rPr>
            </w:pPr>
            <w:r w:rsidRPr="002223A2">
              <w:rPr>
                <w:rStyle w:val="StyleAptos10pt"/>
              </w:rPr>
              <w:t>Section 15.41(d)(2)</w:t>
            </w:r>
          </w:p>
        </w:tc>
        <w:tc>
          <w:tcPr>
            <w:tcW w:w="1530" w:type="dxa"/>
          </w:tcPr>
          <w:p w:rsidR="00447971" w:rsidRPr="002223A2" w:rsidP="00447971" w14:paraId="79CF2B8C" w14:textId="77777777">
            <w:pPr>
              <w:jc w:val="center"/>
              <w:rPr>
                <w:rStyle w:val="StyleAptos10pt"/>
              </w:rPr>
            </w:pPr>
            <w:r w:rsidRPr="002223A2">
              <w:rPr>
                <w:rStyle w:val="StyleAptos10pt"/>
              </w:rPr>
              <w:t>1</w:t>
            </w:r>
          </w:p>
        </w:tc>
        <w:tc>
          <w:tcPr>
            <w:tcW w:w="1710" w:type="dxa"/>
          </w:tcPr>
          <w:p w:rsidR="00447971" w:rsidRPr="002223A2" w:rsidP="00447971" w14:paraId="1BC68D40" w14:textId="77777777">
            <w:pPr>
              <w:jc w:val="center"/>
              <w:rPr>
                <w:rStyle w:val="StyleAptos10pt"/>
              </w:rPr>
            </w:pPr>
            <w:r w:rsidRPr="002223A2">
              <w:rPr>
                <w:rStyle w:val="StyleAptos10pt"/>
              </w:rPr>
              <w:t>1</w:t>
            </w:r>
          </w:p>
        </w:tc>
        <w:tc>
          <w:tcPr>
            <w:tcW w:w="1890" w:type="dxa"/>
          </w:tcPr>
          <w:p w:rsidR="00447971" w:rsidRPr="002223A2" w:rsidP="00447971" w14:paraId="2B259F9A" w14:textId="77777777">
            <w:pPr>
              <w:jc w:val="center"/>
              <w:rPr>
                <w:rStyle w:val="StyleAptos10pt"/>
              </w:rPr>
            </w:pPr>
            <w:r w:rsidRPr="002223A2">
              <w:rPr>
                <w:rStyle w:val="StyleAptos10pt"/>
              </w:rPr>
              <w:t>1</w:t>
            </w:r>
          </w:p>
        </w:tc>
        <w:tc>
          <w:tcPr>
            <w:tcW w:w="2340" w:type="dxa"/>
          </w:tcPr>
          <w:p w:rsidR="00447971" w:rsidRPr="002223A2" w:rsidP="00447971" w14:paraId="5D689822" w14:textId="77777777">
            <w:pPr>
              <w:jc w:val="center"/>
              <w:rPr>
                <w:rStyle w:val="StyleAptos10pt"/>
              </w:rPr>
            </w:pPr>
            <w:r w:rsidRPr="002223A2">
              <w:rPr>
                <w:rStyle w:val="StyleAptos10pt"/>
              </w:rPr>
              <w:t>1</w:t>
            </w:r>
          </w:p>
        </w:tc>
      </w:tr>
      <w:tr w14:paraId="706F7931" w14:textId="77777777" w:rsidTr="00E2546A">
        <w:tblPrEx>
          <w:tblW w:w="10165" w:type="dxa"/>
          <w:tblLook w:val="04A0"/>
        </w:tblPrEx>
        <w:trPr>
          <w:trHeight w:val="197"/>
        </w:trPr>
        <w:tc>
          <w:tcPr>
            <w:tcW w:w="2695" w:type="dxa"/>
          </w:tcPr>
          <w:p w:rsidR="00447971" w:rsidRPr="002223A2" w:rsidP="00447971" w14:paraId="1204A9AA" w14:textId="77777777">
            <w:pPr>
              <w:rPr>
                <w:rStyle w:val="StyleAptos10pt"/>
              </w:rPr>
            </w:pPr>
            <w:r w:rsidRPr="002223A2">
              <w:rPr>
                <w:rStyle w:val="StyleAptos10pt"/>
              </w:rPr>
              <w:t>Section 15.41(d)(4)</w:t>
            </w:r>
          </w:p>
        </w:tc>
        <w:tc>
          <w:tcPr>
            <w:tcW w:w="1530" w:type="dxa"/>
          </w:tcPr>
          <w:p w:rsidR="00447971" w:rsidRPr="002223A2" w:rsidP="00447971" w14:paraId="57EDA4D1" w14:textId="77777777">
            <w:pPr>
              <w:jc w:val="center"/>
              <w:rPr>
                <w:rStyle w:val="StyleAptos10pt"/>
              </w:rPr>
            </w:pPr>
            <w:r w:rsidRPr="002223A2">
              <w:rPr>
                <w:rStyle w:val="StyleAptos10pt"/>
              </w:rPr>
              <w:t>1</w:t>
            </w:r>
          </w:p>
        </w:tc>
        <w:tc>
          <w:tcPr>
            <w:tcW w:w="1710" w:type="dxa"/>
          </w:tcPr>
          <w:p w:rsidR="00447971" w:rsidRPr="002223A2" w:rsidP="00447971" w14:paraId="52D8B965" w14:textId="77777777">
            <w:pPr>
              <w:jc w:val="center"/>
              <w:rPr>
                <w:rStyle w:val="StyleAptos10pt"/>
              </w:rPr>
            </w:pPr>
            <w:r w:rsidRPr="002223A2">
              <w:rPr>
                <w:rStyle w:val="StyleAptos10pt"/>
              </w:rPr>
              <w:t>1</w:t>
            </w:r>
          </w:p>
        </w:tc>
        <w:tc>
          <w:tcPr>
            <w:tcW w:w="1890" w:type="dxa"/>
          </w:tcPr>
          <w:p w:rsidR="00447971" w:rsidRPr="002223A2" w:rsidP="00447971" w14:paraId="5F4D3EDE" w14:textId="77777777">
            <w:pPr>
              <w:jc w:val="center"/>
              <w:rPr>
                <w:rStyle w:val="StyleAptos10pt"/>
              </w:rPr>
            </w:pPr>
            <w:r w:rsidRPr="002223A2">
              <w:rPr>
                <w:rStyle w:val="StyleAptos10pt"/>
              </w:rPr>
              <w:t>1</w:t>
            </w:r>
          </w:p>
        </w:tc>
        <w:tc>
          <w:tcPr>
            <w:tcW w:w="2340" w:type="dxa"/>
          </w:tcPr>
          <w:p w:rsidR="00447971" w:rsidRPr="002223A2" w:rsidP="00447971" w14:paraId="3171A90F" w14:textId="77777777">
            <w:pPr>
              <w:jc w:val="center"/>
              <w:rPr>
                <w:rStyle w:val="StyleAptos10pt"/>
              </w:rPr>
            </w:pPr>
            <w:r w:rsidRPr="002223A2">
              <w:rPr>
                <w:rStyle w:val="StyleAptos10pt"/>
              </w:rPr>
              <w:t>1</w:t>
            </w:r>
          </w:p>
        </w:tc>
      </w:tr>
      <w:tr w14:paraId="30CF71E9" w14:textId="77777777" w:rsidTr="00E2546A">
        <w:tblPrEx>
          <w:tblW w:w="10165" w:type="dxa"/>
          <w:tblLook w:val="04A0"/>
        </w:tblPrEx>
        <w:trPr>
          <w:trHeight w:val="197"/>
        </w:trPr>
        <w:tc>
          <w:tcPr>
            <w:tcW w:w="2695" w:type="dxa"/>
          </w:tcPr>
          <w:p w:rsidR="00447971" w:rsidRPr="002223A2" w:rsidP="00447971" w14:paraId="7F893758" w14:textId="77777777">
            <w:pPr>
              <w:rPr>
                <w:rStyle w:val="StyleAptos10pt"/>
              </w:rPr>
            </w:pPr>
            <w:r w:rsidRPr="002223A2">
              <w:rPr>
                <w:rStyle w:val="StyleAptos10pt"/>
              </w:rPr>
              <w:t>Section 15.42(c)(2)(i)</w:t>
            </w:r>
          </w:p>
        </w:tc>
        <w:tc>
          <w:tcPr>
            <w:tcW w:w="1530" w:type="dxa"/>
          </w:tcPr>
          <w:p w:rsidR="00447971" w:rsidRPr="002223A2" w:rsidP="00447971" w14:paraId="4E1D368F" w14:textId="77777777">
            <w:pPr>
              <w:jc w:val="center"/>
              <w:rPr>
                <w:rStyle w:val="StyleAptos10pt"/>
              </w:rPr>
            </w:pPr>
            <w:r w:rsidRPr="002223A2">
              <w:rPr>
                <w:rStyle w:val="StyleAptos10pt"/>
              </w:rPr>
              <w:t>39</w:t>
            </w:r>
          </w:p>
        </w:tc>
        <w:tc>
          <w:tcPr>
            <w:tcW w:w="1710" w:type="dxa"/>
          </w:tcPr>
          <w:p w:rsidR="00447971" w:rsidRPr="002223A2" w:rsidP="00447971" w14:paraId="51C2F513" w14:textId="77777777">
            <w:pPr>
              <w:jc w:val="center"/>
              <w:rPr>
                <w:rStyle w:val="StyleAptos10pt"/>
              </w:rPr>
            </w:pPr>
            <w:r w:rsidRPr="002223A2">
              <w:rPr>
                <w:rStyle w:val="StyleAptos10pt"/>
              </w:rPr>
              <w:t>1</w:t>
            </w:r>
          </w:p>
        </w:tc>
        <w:tc>
          <w:tcPr>
            <w:tcW w:w="1890" w:type="dxa"/>
          </w:tcPr>
          <w:p w:rsidR="00447971" w:rsidRPr="002223A2" w:rsidP="00447971" w14:paraId="3F40ADAC" w14:textId="77777777">
            <w:pPr>
              <w:jc w:val="center"/>
              <w:rPr>
                <w:rStyle w:val="StyleAptos10pt"/>
              </w:rPr>
            </w:pPr>
            <w:r w:rsidRPr="002223A2">
              <w:rPr>
                <w:rStyle w:val="StyleAptos10pt"/>
              </w:rPr>
              <w:t>1</w:t>
            </w:r>
          </w:p>
        </w:tc>
        <w:tc>
          <w:tcPr>
            <w:tcW w:w="2340" w:type="dxa"/>
          </w:tcPr>
          <w:p w:rsidR="00447971" w:rsidRPr="002223A2" w:rsidP="00447971" w14:paraId="2F537C2C" w14:textId="77777777">
            <w:pPr>
              <w:jc w:val="center"/>
              <w:rPr>
                <w:rStyle w:val="StyleAptos10pt"/>
              </w:rPr>
            </w:pPr>
            <w:r w:rsidRPr="002223A2">
              <w:rPr>
                <w:rStyle w:val="StyleAptos10pt"/>
              </w:rPr>
              <w:t>39</w:t>
            </w:r>
          </w:p>
        </w:tc>
      </w:tr>
      <w:tr w14:paraId="170D694C" w14:textId="77777777" w:rsidTr="00E2546A">
        <w:tblPrEx>
          <w:tblW w:w="10165" w:type="dxa"/>
          <w:tblLook w:val="04A0"/>
        </w:tblPrEx>
        <w:trPr>
          <w:trHeight w:val="197"/>
        </w:trPr>
        <w:tc>
          <w:tcPr>
            <w:tcW w:w="2695" w:type="dxa"/>
          </w:tcPr>
          <w:p w:rsidR="00447971" w:rsidRPr="002223A2" w:rsidP="00447971" w14:paraId="2151CDE4" w14:textId="77777777">
            <w:pPr>
              <w:rPr>
                <w:rStyle w:val="StyleAptos10pt"/>
              </w:rPr>
            </w:pPr>
            <w:r w:rsidRPr="002223A2">
              <w:rPr>
                <w:rStyle w:val="StyleAptos10pt"/>
              </w:rPr>
              <w:t>Section 15.42(c)(4)</w:t>
            </w:r>
          </w:p>
        </w:tc>
        <w:tc>
          <w:tcPr>
            <w:tcW w:w="1530" w:type="dxa"/>
          </w:tcPr>
          <w:p w:rsidR="00447971" w:rsidRPr="002223A2" w:rsidP="00447971" w14:paraId="5A5459ED" w14:textId="77777777">
            <w:pPr>
              <w:jc w:val="center"/>
              <w:rPr>
                <w:rStyle w:val="StyleAptos10pt"/>
              </w:rPr>
            </w:pPr>
            <w:r w:rsidRPr="002223A2">
              <w:rPr>
                <w:rStyle w:val="StyleAptos10pt"/>
              </w:rPr>
              <w:t>39</w:t>
            </w:r>
          </w:p>
        </w:tc>
        <w:tc>
          <w:tcPr>
            <w:tcW w:w="1710" w:type="dxa"/>
          </w:tcPr>
          <w:p w:rsidR="00447971" w:rsidRPr="002223A2" w:rsidP="00447971" w14:paraId="710AB87B" w14:textId="77777777">
            <w:pPr>
              <w:jc w:val="center"/>
              <w:rPr>
                <w:rStyle w:val="StyleAptos10pt"/>
              </w:rPr>
            </w:pPr>
            <w:r w:rsidRPr="002223A2">
              <w:rPr>
                <w:rStyle w:val="StyleAptos10pt"/>
              </w:rPr>
              <w:t>1</w:t>
            </w:r>
          </w:p>
        </w:tc>
        <w:tc>
          <w:tcPr>
            <w:tcW w:w="1890" w:type="dxa"/>
          </w:tcPr>
          <w:p w:rsidR="00447971" w:rsidRPr="002223A2" w:rsidP="00447971" w14:paraId="4354294A" w14:textId="77777777">
            <w:pPr>
              <w:jc w:val="center"/>
              <w:rPr>
                <w:rStyle w:val="StyleAptos10pt"/>
              </w:rPr>
            </w:pPr>
            <w:r w:rsidRPr="002223A2">
              <w:rPr>
                <w:rStyle w:val="StyleAptos10pt"/>
              </w:rPr>
              <w:t>1</w:t>
            </w:r>
          </w:p>
        </w:tc>
        <w:tc>
          <w:tcPr>
            <w:tcW w:w="2340" w:type="dxa"/>
          </w:tcPr>
          <w:p w:rsidR="00447971" w:rsidRPr="002223A2" w:rsidP="00447971" w14:paraId="0EC0D739" w14:textId="77777777">
            <w:pPr>
              <w:jc w:val="center"/>
              <w:rPr>
                <w:rStyle w:val="StyleAptos10pt"/>
              </w:rPr>
            </w:pPr>
            <w:r w:rsidRPr="002223A2">
              <w:rPr>
                <w:rStyle w:val="StyleAptos10pt"/>
              </w:rPr>
              <w:t>39</w:t>
            </w:r>
          </w:p>
        </w:tc>
      </w:tr>
      <w:tr w14:paraId="5C5B3444" w14:textId="77777777" w:rsidTr="00E2546A">
        <w:tblPrEx>
          <w:tblW w:w="10165" w:type="dxa"/>
          <w:tblLook w:val="04A0"/>
        </w:tblPrEx>
        <w:trPr>
          <w:trHeight w:val="197"/>
        </w:trPr>
        <w:tc>
          <w:tcPr>
            <w:tcW w:w="10165" w:type="dxa"/>
            <w:gridSpan w:val="5"/>
          </w:tcPr>
          <w:p w:rsidR="00447971" w:rsidRPr="002223A2" w:rsidP="00447971" w14:paraId="788D35F0" w14:textId="77777777">
            <w:pPr>
              <w:rPr>
                <w:rStyle w:val="StyleAptos10ptBoldItalic"/>
              </w:rPr>
            </w:pPr>
            <w:r w:rsidRPr="002223A2">
              <w:rPr>
                <w:rStyle w:val="StyleAptos10ptBoldItalic"/>
              </w:rPr>
              <w:t>Total Reporting Burden                                                                                                                                   12,257</w:t>
            </w:r>
          </w:p>
        </w:tc>
      </w:tr>
      <w:tr w14:paraId="0790E768" w14:textId="77777777" w:rsidTr="00447971">
        <w:tblPrEx>
          <w:tblW w:w="10165" w:type="dxa"/>
          <w:tblLook w:val="04A0"/>
        </w:tblPrEx>
        <w:trPr>
          <w:trHeight w:val="197"/>
        </w:trPr>
        <w:tc>
          <w:tcPr>
            <w:tcW w:w="10165" w:type="dxa"/>
            <w:gridSpan w:val="5"/>
            <w:shd w:val="clear" w:color="auto" w:fill="D9D9D9"/>
          </w:tcPr>
          <w:p w:rsidR="00447971" w:rsidRPr="00AB1885" w:rsidP="00447971" w14:paraId="31F10D1D" w14:textId="77777777">
            <w:pPr>
              <w:jc w:val="center"/>
              <w:rPr>
                <w:rFonts w:ascii="Times New Roman" w:hAnsi="Times New Roman" w:cs="Times New Roman"/>
                <w:sz w:val="20"/>
              </w:rPr>
            </w:pPr>
          </w:p>
        </w:tc>
      </w:tr>
      <w:tr w14:paraId="6C6F4F0B" w14:textId="77777777" w:rsidTr="00E2546A">
        <w:tblPrEx>
          <w:tblW w:w="10165" w:type="dxa"/>
          <w:tblLook w:val="04A0"/>
        </w:tblPrEx>
        <w:tc>
          <w:tcPr>
            <w:tcW w:w="10165" w:type="dxa"/>
            <w:gridSpan w:val="5"/>
          </w:tcPr>
          <w:p w:rsidR="00447971" w:rsidRPr="002223A2" w:rsidP="00447971" w14:paraId="5D0A3A66" w14:textId="77777777">
            <w:pPr>
              <w:jc w:val="both"/>
              <w:rPr>
                <w:rStyle w:val="StyleAptos10ptBold"/>
              </w:rPr>
            </w:pPr>
            <w:r w:rsidRPr="002223A2">
              <w:rPr>
                <w:rStyle w:val="StyleAptos10ptBold"/>
              </w:rPr>
              <w:t>Recordkeeping Burden</w:t>
            </w:r>
          </w:p>
        </w:tc>
      </w:tr>
      <w:tr w14:paraId="668D0FE2" w14:textId="77777777" w:rsidTr="00E2546A">
        <w:tblPrEx>
          <w:tblW w:w="10165" w:type="dxa"/>
          <w:tblLook w:val="04A0"/>
        </w:tblPrEx>
        <w:tc>
          <w:tcPr>
            <w:tcW w:w="2695" w:type="dxa"/>
          </w:tcPr>
          <w:p w:rsidR="00447971" w:rsidRPr="002223A2" w:rsidP="00447971" w14:paraId="053839BC" w14:textId="77777777">
            <w:pPr>
              <w:rPr>
                <w:rStyle w:val="StyleAptos10pt"/>
              </w:rPr>
            </w:pPr>
            <w:r w:rsidRPr="002223A2">
              <w:rPr>
                <w:rStyle w:val="StyleAptos10pt"/>
              </w:rPr>
              <w:t>Section 15.11(a)(1)</w:t>
            </w:r>
          </w:p>
        </w:tc>
        <w:tc>
          <w:tcPr>
            <w:tcW w:w="1530" w:type="dxa"/>
          </w:tcPr>
          <w:p w:rsidR="00447971" w:rsidRPr="002223A2" w:rsidP="00447971" w14:paraId="590B8197" w14:textId="77777777">
            <w:pPr>
              <w:jc w:val="center"/>
              <w:rPr>
                <w:rStyle w:val="StyleAptos10pt"/>
              </w:rPr>
            </w:pPr>
            <w:r w:rsidRPr="002223A2">
              <w:rPr>
                <w:rStyle w:val="StyleAptos10pt"/>
              </w:rPr>
              <w:t>39</w:t>
            </w:r>
          </w:p>
        </w:tc>
        <w:tc>
          <w:tcPr>
            <w:tcW w:w="1710" w:type="dxa"/>
          </w:tcPr>
          <w:p w:rsidR="00447971" w:rsidRPr="002223A2" w:rsidP="00447971" w14:paraId="297762B6" w14:textId="77777777">
            <w:pPr>
              <w:jc w:val="center"/>
              <w:rPr>
                <w:rStyle w:val="StyleAptos10pt"/>
              </w:rPr>
            </w:pPr>
            <w:r w:rsidRPr="002223A2">
              <w:rPr>
                <w:rStyle w:val="StyleAptos10pt"/>
              </w:rPr>
              <w:t>12</w:t>
            </w:r>
          </w:p>
        </w:tc>
        <w:tc>
          <w:tcPr>
            <w:tcW w:w="1890" w:type="dxa"/>
          </w:tcPr>
          <w:p w:rsidR="00447971" w:rsidRPr="002223A2" w:rsidP="00447971" w14:paraId="6412A653" w14:textId="77777777">
            <w:pPr>
              <w:jc w:val="center"/>
              <w:rPr>
                <w:rStyle w:val="StyleAptos10pt"/>
              </w:rPr>
            </w:pPr>
            <w:r w:rsidRPr="002223A2">
              <w:rPr>
                <w:rStyle w:val="StyleAptos10pt"/>
              </w:rPr>
              <w:t>4</w:t>
            </w:r>
          </w:p>
        </w:tc>
        <w:tc>
          <w:tcPr>
            <w:tcW w:w="2340" w:type="dxa"/>
          </w:tcPr>
          <w:p w:rsidR="00447971" w:rsidRPr="002223A2" w:rsidP="00447971" w14:paraId="3A839F8F" w14:textId="77777777">
            <w:pPr>
              <w:jc w:val="center"/>
              <w:rPr>
                <w:rStyle w:val="StyleAptos10pt"/>
              </w:rPr>
            </w:pPr>
            <w:r w:rsidRPr="002223A2">
              <w:rPr>
                <w:rStyle w:val="StyleAptos10pt"/>
              </w:rPr>
              <w:t>1,872</w:t>
            </w:r>
          </w:p>
        </w:tc>
      </w:tr>
      <w:tr w14:paraId="0CD2407B" w14:textId="77777777" w:rsidTr="00E2546A">
        <w:tblPrEx>
          <w:tblW w:w="10165" w:type="dxa"/>
          <w:tblLook w:val="04A0"/>
        </w:tblPrEx>
        <w:tc>
          <w:tcPr>
            <w:tcW w:w="2695" w:type="dxa"/>
          </w:tcPr>
          <w:p w:rsidR="00447971" w:rsidRPr="002223A2" w:rsidP="00447971" w14:paraId="4CA73043" w14:textId="77777777">
            <w:pPr>
              <w:rPr>
                <w:rStyle w:val="StyleAptos10pt"/>
              </w:rPr>
            </w:pPr>
            <w:r w:rsidRPr="002223A2">
              <w:rPr>
                <w:rStyle w:val="StyleAptos10pt"/>
              </w:rPr>
              <w:t>Section 15.11(f)(1)</w:t>
            </w:r>
          </w:p>
        </w:tc>
        <w:tc>
          <w:tcPr>
            <w:tcW w:w="1530" w:type="dxa"/>
          </w:tcPr>
          <w:p w:rsidR="00447971" w:rsidRPr="002223A2" w:rsidP="00447971" w14:paraId="44F3480A" w14:textId="77777777">
            <w:pPr>
              <w:jc w:val="center"/>
              <w:rPr>
                <w:rStyle w:val="StyleAptos10pt"/>
              </w:rPr>
            </w:pPr>
            <w:r w:rsidRPr="002223A2">
              <w:rPr>
                <w:rStyle w:val="StyleAptos10pt"/>
              </w:rPr>
              <w:t>39</w:t>
            </w:r>
          </w:p>
        </w:tc>
        <w:tc>
          <w:tcPr>
            <w:tcW w:w="1710" w:type="dxa"/>
          </w:tcPr>
          <w:p w:rsidR="00447971" w:rsidRPr="002223A2" w:rsidP="00447971" w14:paraId="441F8F55" w14:textId="77777777">
            <w:pPr>
              <w:jc w:val="center"/>
              <w:rPr>
                <w:rStyle w:val="StyleAptos10pt"/>
              </w:rPr>
            </w:pPr>
            <w:r w:rsidRPr="002223A2">
              <w:rPr>
                <w:rStyle w:val="StyleAptos10pt"/>
              </w:rPr>
              <w:t>12</w:t>
            </w:r>
          </w:p>
        </w:tc>
        <w:tc>
          <w:tcPr>
            <w:tcW w:w="1890" w:type="dxa"/>
          </w:tcPr>
          <w:p w:rsidR="00447971" w:rsidRPr="002223A2" w:rsidP="00447971" w14:paraId="09CA98B5" w14:textId="77777777">
            <w:pPr>
              <w:jc w:val="center"/>
              <w:rPr>
                <w:rStyle w:val="StyleAptos10pt"/>
              </w:rPr>
            </w:pPr>
            <w:r w:rsidRPr="002223A2">
              <w:rPr>
                <w:rStyle w:val="StyleAptos10pt"/>
              </w:rPr>
              <w:t>2</w:t>
            </w:r>
          </w:p>
        </w:tc>
        <w:tc>
          <w:tcPr>
            <w:tcW w:w="2340" w:type="dxa"/>
          </w:tcPr>
          <w:p w:rsidR="00447971" w:rsidRPr="002223A2" w:rsidP="00447971" w14:paraId="3C510FA7" w14:textId="77777777">
            <w:pPr>
              <w:jc w:val="center"/>
              <w:rPr>
                <w:rStyle w:val="StyleAptos10pt"/>
              </w:rPr>
            </w:pPr>
            <w:r w:rsidRPr="002223A2">
              <w:rPr>
                <w:rStyle w:val="StyleAptos10pt"/>
              </w:rPr>
              <w:t>936</w:t>
            </w:r>
          </w:p>
        </w:tc>
      </w:tr>
      <w:tr w14:paraId="2F7678EA" w14:textId="77777777" w:rsidTr="00E2546A">
        <w:tblPrEx>
          <w:tblW w:w="10165" w:type="dxa"/>
          <w:tblLook w:val="04A0"/>
        </w:tblPrEx>
        <w:tc>
          <w:tcPr>
            <w:tcW w:w="2695" w:type="dxa"/>
          </w:tcPr>
          <w:p w:rsidR="00447971" w:rsidRPr="002223A2" w:rsidP="00447971" w14:paraId="790054BE" w14:textId="77777777">
            <w:pPr>
              <w:rPr>
                <w:rStyle w:val="StyleAptos10pt"/>
              </w:rPr>
            </w:pPr>
            <w:r w:rsidRPr="002223A2">
              <w:rPr>
                <w:rStyle w:val="StyleAptos10pt"/>
              </w:rPr>
              <w:t>Section 15.11(f)(2)</w:t>
            </w:r>
          </w:p>
        </w:tc>
        <w:tc>
          <w:tcPr>
            <w:tcW w:w="1530" w:type="dxa"/>
          </w:tcPr>
          <w:p w:rsidR="00447971" w:rsidRPr="002223A2" w:rsidP="00447971" w14:paraId="1CC007B8" w14:textId="77777777">
            <w:pPr>
              <w:jc w:val="center"/>
              <w:rPr>
                <w:rStyle w:val="StyleAptos10pt"/>
              </w:rPr>
            </w:pPr>
            <w:r w:rsidRPr="002223A2">
              <w:rPr>
                <w:rStyle w:val="StyleAptos10pt"/>
              </w:rPr>
              <w:t>39</w:t>
            </w:r>
          </w:p>
        </w:tc>
        <w:tc>
          <w:tcPr>
            <w:tcW w:w="1710" w:type="dxa"/>
          </w:tcPr>
          <w:p w:rsidR="00447971" w:rsidRPr="002223A2" w:rsidP="00447971" w14:paraId="0DF4D9B7" w14:textId="77777777">
            <w:pPr>
              <w:jc w:val="center"/>
              <w:rPr>
                <w:rStyle w:val="StyleAptos10pt"/>
              </w:rPr>
            </w:pPr>
            <w:r w:rsidRPr="002223A2">
              <w:rPr>
                <w:rStyle w:val="StyleAptos10pt"/>
              </w:rPr>
              <w:t>12</w:t>
            </w:r>
          </w:p>
        </w:tc>
        <w:tc>
          <w:tcPr>
            <w:tcW w:w="1890" w:type="dxa"/>
          </w:tcPr>
          <w:p w:rsidR="00447971" w:rsidRPr="002223A2" w:rsidP="00447971" w14:paraId="0550F9FB" w14:textId="77777777">
            <w:pPr>
              <w:jc w:val="center"/>
              <w:rPr>
                <w:rStyle w:val="StyleAptos10pt"/>
              </w:rPr>
            </w:pPr>
            <w:r w:rsidRPr="002223A2">
              <w:rPr>
                <w:rStyle w:val="StyleAptos10pt"/>
              </w:rPr>
              <w:t>0.25</w:t>
            </w:r>
          </w:p>
        </w:tc>
        <w:tc>
          <w:tcPr>
            <w:tcW w:w="2340" w:type="dxa"/>
          </w:tcPr>
          <w:p w:rsidR="00447971" w:rsidRPr="002223A2" w:rsidP="00447971" w14:paraId="0E92C404" w14:textId="77777777">
            <w:pPr>
              <w:jc w:val="center"/>
              <w:rPr>
                <w:rStyle w:val="StyleAptos10pt"/>
              </w:rPr>
            </w:pPr>
            <w:r w:rsidRPr="002223A2">
              <w:rPr>
                <w:rStyle w:val="StyleAptos10pt"/>
              </w:rPr>
              <w:t>117</w:t>
            </w:r>
          </w:p>
        </w:tc>
      </w:tr>
      <w:tr w14:paraId="4FB94F5E" w14:textId="77777777" w:rsidTr="00E2546A">
        <w:tblPrEx>
          <w:tblW w:w="10165" w:type="dxa"/>
          <w:tblLook w:val="04A0"/>
        </w:tblPrEx>
        <w:tc>
          <w:tcPr>
            <w:tcW w:w="2695" w:type="dxa"/>
          </w:tcPr>
          <w:p w:rsidR="00447971" w:rsidRPr="002223A2" w:rsidP="00447971" w14:paraId="6F0969F8" w14:textId="77777777">
            <w:pPr>
              <w:rPr>
                <w:rStyle w:val="StyleAptos10pt"/>
              </w:rPr>
            </w:pPr>
            <w:r w:rsidRPr="002223A2">
              <w:rPr>
                <w:rStyle w:val="StyleAptos10pt"/>
              </w:rPr>
              <w:t>Section 15.12(c)</w:t>
            </w:r>
          </w:p>
        </w:tc>
        <w:tc>
          <w:tcPr>
            <w:tcW w:w="1530" w:type="dxa"/>
          </w:tcPr>
          <w:p w:rsidR="00447971" w:rsidRPr="002223A2" w:rsidP="00447971" w14:paraId="57333B70" w14:textId="77777777">
            <w:pPr>
              <w:jc w:val="center"/>
              <w:rPr>
                <w:rStyle w:val="StyleAptos10pt"/>
              </w:rPr>
            </w:pPr>
            <w:r w:rsidRPr="002223A2">
              <w:rPr>
                <w:rStyle w:val="StyleAptos10pt"/>
              </w:rPr>
              <w:t>39</w:t>
            </w:r>
          </w:p>
        </w:tc>
        <w:tc>
          <w:tcPr>
            <w:tcW w:w="1710" w:type="dxa"/>
          </w:tcPr>
          <w:p w:rsidR="00447971" w:rsidRPr="002223A2" w:rsidP="00447971" w14:paraId="637C2AB3" w14:textId="77777777">
            <w:pPr>
              <w:jc w:val="center"/>
              <w:rPr>
                <w:rStyle w:val="StyleAptos10pt"/>
              </w:rPr>
            </w:pPr>
            <w:r w:rsidRPr="002223A2">
              <w:rPr>
                <w:rStyle w:val="StyleAptos10pt"/>
              </w:rPr>
              <w:t>1</w:t>
            </w:r>
          </w:p>
        </w:tc>
        <w:tc>
          <w:tcPr>
            <w:tcW w:w="1890" w:type="dxa"/>
          </w:tcPr>
          <w:p w:rsidR="00447971" w:rsidRPr="002223A2" w:rsidP="00447971" w14:paraId="2D7F0E43" w14:textId="77777777">
            <w:pPr>
              <w:jc w:val="center"/>
              <w:rPr>
                <w:rStyle w:val="StyleAptos10pt"/>
              </w:rPr>
            </w:pPr>
            <w:r w:rsidRPr="002223A2">
              <w:rPr>
                <w:rStyle w:val="StyleAptos10pt"/>
              </w:rPr>
              <w:t>4</w:t>
            </w:r>
          </w:p>
        </w:tc>
        <w:tc>
          <w:tcPr>
            <w:tcW w:w="2340" w:type="dxa"/>
          </w:tcPr>
          <w:p w:rsidR="00447971" w:rsidRPr="002223A2" w:rsidP="00447971" w14:paraId="7E52F621" w14:textId="77777777">
            <w:pPr>
              <w:jc w:val="center"/>
              <w:rPr>
                <w:rStyle w:val="StyleAptos10pt"/>
              </w:rPr>
            </w:pPr>
            <w:r w:rsidRPr="002223A2">
              <w:rPr>
                <w:rStyle w:val="StyleAptos10pt"/>
              </w:rPr>
              <w:t>156</w:t>
            </w:r>
          </w:p>
        </w:tc>
      </w:tr>
      <w:tr w14:paraId="71A46B54" w14:textId="77777777" w:rsidTr="00E2546A">
        <w:tblPrEx>
          <w:tblW w:w="10165" w:type="dxa"/>
          <w:tblLook w:val="04A0"/>
        </w:tblPrEx>
        <w:tc>
          <w:tcPr>
            <w:tcW w:w="2695" w:type="dxa"/>
          </w:tcPr>
          <w:p w:rsidR="00447971" w:rsidRPr="002223A2" w:rsidP="00447971" w14:paraId="13269AE6" w14:textId="77777777">
            <w:pPr>
              <w:rPr>
                <w:rStyle w:val="StyleAptos10pt"/>
              </w:rPr>
            </w:pPr>
            <w:r w:rsidRPr="002223A2">
              <w:rPr>
                <w:rStyle w:val="StyleAptos10pt"/>
              </w:rPr>
              <w:t>Section 15.13(a)(1)</w:t>
            </w:r>
          </w:p>
        </w:tc>
        <w:tc>
          <w:tcPr>
            <w:tcW w:w="1530" w:type="dxa"/>
          </w:tcPr>
          <w:p w:rsidR="00447971" w:rsidRPr="002223A2" w:rsidP="00447971" w14:paraId="4B11238D" w14:textId="77777777">
            <w:pPr>
              <w:jc w:val="center"/>
              <w:rPr>
                <w:rStyle w:val="StyleAptos10pt"/>
              </w:rPr>
            </w:pPr>
            <w:r w:rsidRPr="002223A2">
              <w:rPr>
                <w:rStyle w:val="StyleAptos10pt"/>
              </w:rPr>
              <w:t>39</w:t>
            </w:r>
          </w:p>
        </w:tc>
        <w:tc>
          <w:tcPr>
            <w:tcW w:w="1710" w:type="dxa"/>
          </w:tcPr>
          <w:p w:rsidR="00447971" w:rsidRPr="002223A2" w:rsidP="00447971" w14:paraId="6B8DA253" w14:textId="77777777">
            <w:pPr>
              <w:jc w:val="center"/>
              <w:rPr>
                <w:rStyle w:val="StyleAptos10pt"/>
              </w:rPr>
            </w:pPr>
            <w:r w:rsidRPr="002223A2">
              <w:rPr>
                <w:rStyle w:val="StyleAptos10pt"/>
              </w:rPr>
              <w:t>1</w:t>
            </w:r>
          </w:p>
        </w:tc>
        <w:tc>
          <w:tcPr>
            <w:tcW w:w="1890" w:type="dxa"/>
          </w:tcPr>
          <w:p w:rsidR="00447971" w:rsidRPr="002223A2" w:rsidP="00447971" w14:paraId="33993CA5" w14:textId="77777777">
            <w:pPr>
              <w:jc w:val="center"/>
              <w:rPr>
                <w:rStyle w:val="StyleAptos10pt"/>
              </w:rPr>
            </w:pPr>
            <w:r w:rsidRPr="002223A2">
              <w:rPr>
                <w:rStyle w:val="StyleAptos10pt"/>
              </w:rPr>
              <w:t>1</w:t>
            </w:r>
          </w:p>
        </w:tc>
        <w:tc>
          <w:tcPr>
            <w:tcW w:w="2340" w:type="dxa"/>
          </w:tcPr>
          <w:p w:rsidR="00447971" w:rsidRPr="002223A2" w:rsidP="00447971" w14:paraId="18B84E66" w14:textId="77777777">
            <w:pPr>
              <w:jc w:val="center"/>
              <w:rPr>
                <w:rStyle w:val="StyleAptos10pt"/>
              </w:rPr>
            </w:pPr>
            <w:r w:rsidRPr="002223A2">
              <w:rPr>
                <w:rStyle w:val="StyleAptos10pt"/>
              </w:rPr>
              <w:t>39</w:t>
            </w:r>
          </w:p>
        </w:tc>
      </w:tr>
      <w:tr w14:paraId="330AE206" w14:textId="77777777" w:rsidTr="00E2546A">
        <w:tblPrEx>
          <w:tblW w:w="10165" w:type="dxa"/>
          <w:tblLook w:val="04A0"/>
        </w:tblPrEx>
        <w:tc>
          <w:tcPr>
            <w:tcW w:w="2695" w:type="dxa"/>
          </w:tcPr>
          <w:p w:rsidR="00447971" w:rsidRPr="002223A2" w:rsidP="00447971" w14:paraId="4BB67245" w14:textId="77777777">
            <w:pPr>
              <w:rPr>
                <w:rStyle w:val="StyleAptos10pt"/>
              </w:rPr>
            </w:pPr>
            <w:r w:rsidRPr="002223A2">
              <w:rPr>
                <w:rStyle w:val="StyleAptos10pt"/>
              </w:rPr>
              <w:t>Section 15.13(a)(2)</w:t>
            </w:r>
          </w:p>
        </w:tc>
        <w:tc>
          <w:tcPr>
            <w:tcW w:w="1530" w:type="dxa"/>
          </w:tcPr>
          <w:p w:rsidR="00447971" w:rsidRPr="002223A2" w:rsidP="00447971" w14:paraId="314AAB8A" w14:textId="77777777">
            <w:pPr>
              <w:jc w:val="center"/>
              <w:rPr>
                <w:rStyle w:val="StyleAptos10pt"/>
              </w:rPr>
            </w:pPr>
            <w:r w:rsidRPr="002223A2">
              <w:rPr>
                <w:rStyle w:val="StyleAptos10pt"/>
              </w:rPr>
              <w:t>39</w:t>
            </w:r>
          </w:p>
        </w:tc>
        <w:tc>
          <w:tcPr>
            <w:tcW w:w="1710" w:type="dxa"/>
          </w:tcPr>
          <w:p w:rsidR="00447971" w:rsidRPr="002223A2" w:rsidP="00447971" w14:paraId="18A3AB3F" w14:textId="77777777">
            <w:pPr>
              <w:jc w:val="center"/>
              <w:rPr>
                <w:rStyle w:val="StyleAptos10pt"/>
              </w:rPr>
            </w:pPr>
            <w:r w:rsidRPr="002223A2">
              <w:rPr>
                <w:rStyle w:val="StyleAptos10pt"/>
              </w:rPr>
              <w:t>1</w:t>
            </w:r>
          </w:p>
        </w:tc>
        <w:tc>
          <w:tcPr>
            <w:tcW w:w="1890" w:type="dxa"/>
          </w:tcPr>
          <w:p w:rsidR="00447971" w:rsidRPr="002223A2" w:rsidP="00447971" w14:paraId="59ED48C2" w14:textId="77777777">
            <w:pPr>
              <w:jc w:val="center"/>
              <w:rPr>
                <w:rStyle w:val="StyleAptos10pt"/>
              </w:rPr>
            </w:pPr>
            <w:r w:rsidRPr="002223A2">
              <w:rPr>
                <w:rStyle w:val="StyleAptos10pt"/>
              </w:rPr>
              <w:t>1</w:t>
            </w:r>
          </w:p>
        </w:tc>
        <w:tc>
          <w:tcPr>
            <w:tcW w:w="2340" w:type="dxa"/>
          </w:tcPr>
          <w:p w:rsidR="00447971" w:rsidRPr="002223A2" w:rsidP="00447971" w14:paraId="7F0D0F24" w14:textId="77777777">
            <w:pPr>
              <w:jc w:val="center"/>
              <w:rPr>
                <w:rStyle w:val="StyleAptos10pt"/>
              </w:rPr>
            </w:pPr>
            <w:r w:rsidRPr="002223A2">
              <w:rPr>
                <w:rStyle w:val="StyleAptos10pt"/>
              </w:rPr>
              <w:t>39</w:t>
            </w:r>
          </w:p>
        </w:tc>
      </w:tr>
      <w:tr w14:paraId="7DF47E56" w14:textId="77777777" w:rsidTr="00E2546A">
        <w:tblPrEx>
          <w:tblW w:w="10165" w:type="dxa"/>
          <w:tblLook w:val="04A0"/>
        </w:tblPrEx>
        <w:tc>
          <w:tcPr>
            <w:tcW w:w="2695" w:type="dxa"/>
          </w:tcPr>
          <w:p w:rsidR="00447971" w:rsidRPr="002223A2" w:rsidP="00447971" w14:paraId="438DC317" w14:textId="77777777">
            <w:pPr>
              <w:rPr>
                <w:rStyle w:val="StyleAptos10pt"/>
              </w:rPr>
            </w:pPr>
            <w:r w:rsidRPr="002223A2">
              <w:rPr>
                <w:rStyle w:val="StyleAptos10pt"/>
              </w:rPr>
              <w:t>Section 15.13(a)(5)</w:t>
            </w:r>
          </w:p>
        </w:tc>
        <w:tc>
          <w:tcPr>
            <w:tcW w:w="1530" w:type="dxa"/>
          </w:tcPr>
          <w:p w:rsidR="00447971" w:rsidRPr="002223A2" w:rsidP="00447971" w14:paraId="30822B10" w14:textId="77777777">
            <w:pPr>
              <w:jc w:val="center"/>
              <w:rPr>
                <w:rStyle w:val="StyleAptos10pt"/>
              </w:rPr>
            </w:pPr>
            <w:r w:rsidRPr="002223A2">
              <w:rPr>
                <w:rStyle w:val="StyleAptos10pt"/>
              </w:rPr>
              <w:t>39</w:t>
            </w:r>
          </w:p>
        </w:tc>
        <w:tc>
          <w:tcPr>
            <w:tcW w:w="1710" w:type="dxa"/>
          </w:tcPr>
          <w:p w:rsidR="00447971" w:rsidRPr="002223A2" w:rsidP="00447971" w14:paraId="0CBAD943" w14:textId="77777777">
            <w:pPr>
              <w:jc w:val="center"/>
              <w:rPr>
                <w:rStyle w:val="StyleAptos10pt"/>
              </w:rPr>
            </w:pPr>
            <w:r w:rsidRPr="002223A2">
              <w:rPr>
                <w:rStyle w:val="StyleAptos10pt"/>
              </w:rPr>
              <w:t>1</w:t>
            </w:r>
          </w:p>
        </w:tc>
        <w:tc>
          <w:tcPr>
            <w:tcW w:w="1890" w:type="dxa"/>
          </w:tcPr>
          <w:p w:rsidR="00447971" w:rsidRPr="002223A2" w:rsidP="00447971" w14:paraId="772D87A6" w14:textId="77777777">
            <w:pPr>
              <w:jc w:val="center"/>
              <w:rPr>
                <w:rStyle w:val="StyleAptos10pt"/>
              </w:rPr>
            </w:pPr>
            <w:r w:rsidRPr="002223A2">
              <w:rPr>
                <w:rStyle w:val="StyleAptos10pt"/>
              </w:rPr>
              <w:t>1</w:t>
            </w:r>
          </w:p>
        </w:tc>
        <w:tc>
          <w:tcPr>
            <w:tcW w:w="2340" w:type="dxa"/>
          </w:tcPr>
          <w:p w:rsidR="00447971" w:rsidRPr="002223A2" w:rsidP="00447971" w14:paraId="28B9E0DE" w14:textId="77777777">
            <w:pPr>
              <w:jc w:val="center"/>
              <w:rPr>
                <w:rStyle w:val="StyleAptos10pt"/>
              </w:rPr>
            </w:pPr>
            <w:r w:rsidRPr="002223A2">
              <w:rPr>
                <w:rStyle w:val="StyleAptos10pt"/>
              </w:rPr>
              <w:t>39</w:t>
            </w:r>
          </w:p>
        </w:tc>
      </w:tr>
      <w:tr w14:paraId="7C407224" w14:textId="77777777" w:rsidTr="00E2546A">
        <w:tblPrEx>
          <w:tblW w:w="10165" w:type="dxa"/>
          <w:tblLook w:val="04A0"/>
        </w:tblPrEx>
        <w:tc>
          <w:tcPr>
            <w:tcW w:w="2695" w:type="dxa"/>
          </w:tcPr>
          <w:p w:rsidR="00447971" w:rsidRPr="002223A2" w:rsidP="00447971" w14:paraId="279F9358" w14:textId="77777777">
            <w:pPr>
              <w:rPr>
                <w:rStyle w:val="StyleAptos10pt"/>
              </w:rPr>
            </w:pPr>
            <w:r w:rsidRPr="002223A2">
              <w:rPr>
                <w:rStyle w:val="StyleAptos10pt"/>
              </w:rPr>
              <w:t>Section 15.13(a)(6)(i)(D)</w:t>
            </w:r>
          </w:p>
        </w:tc>
        <w:tc>
          <w:tcPr>
            <w:tcW w:w="1530" w:type="dxa"/>
          </w:tcPr>
          <w:p w:rsidR="00447971" w:rsidRPr="002223A2" w:rsidP="00447971" w14:paraId="2FE4523D" w14:textId="77777777">
            <w:pPr>
              <w:jc w:val="center"/>
              <w:rPr>
                <w:rStyle w:val="StyleAptos10pt"/>
              </w:rPr>
            </w:pPr>
            <w:r w:rsidRPr="002223A2">
              <w:rPr>
                <w:rStyle w:val="StyleAptos10pt"/>
              </w:rPr>
              <w:t>39</w:t>
            </w:r>
          </w:p>
        </w:tc>
        <w:tc>
          <w:tcPr>
            <w:tcW w:w="1710" w:type="dxa"/>
          </w:tcPr>
          <w:p w:rsidR="00447971" w:rsidRPr="002223A2" w:rsidP="00447971" w14:paraId="6533BBA2" w14:textId="77777777">
            <w:pPr>
              <w:jc w:val="center"/>
              <w:rPr>
                <w:rStyle w:val="StyleAptos10pt"/>
              </w:rPr>
            </w:pPr>
            <w:r w:rsidRPr="002223A2">
              <w:rPr>
                <w:rStyle w:val="StyleAptos10pt"/>
              </w:rPr>
              <w:t>1</w:t>
            </w:r>
          </w:p>
        </w:tc>
        <w:tc>
          <w:tcPr>
            <w:tcW w:w="1890" w:type="dxa"/>
          </w:tcPr>
          <w:p w:rsidR="00447971" w:rsidRPr="002223A2" w:rsidP="00447971" w14:paraId="0CB22F04" w14:textId="77777777">
            <w:pPr>
              <w:jc w:val="center"/>
              <w:rPr>
                <w:rStyle w:val="StyleAptos10pt"/>
              </w:rPr>
            </w:pPr>
            <w:r w:rsidRPr="002223A2">
              <w:rPr>
                <w:rStyle w:val="StyleAptos10pt"/>
              </w:rPr>
              <w:t>1</w:t>
            </w:r>
          </w:p>
        </w:tc>
        <w:tc>
          <w:tcPr>
            <w:tcW w:w="2340" w:type="dxa"/>
          </w:tcPr>
          <w:p w:rsidR="00447971" w:rsidRPr="002223A2" w:rsidP="00447971" w14:paraId="2AC254EB" w14:textId="77777777">
            <w:pPr>
              <w:jc w:val="center"/>
              <w:rPr>
                <w:rStyle w:val="StyleAptos10pt"/>
              </w:rPr>
            </w:pPr>
            <w:r w:rsidRPr="002223A2">
              <w:rPr>
                <w:rStyle w:val="StyleAptos10pt"/>
              </w:rPr>
              <w:t>39</w:t>
            </w:r>
          </w:p>
        </w:tc>
      </w:tr>
      <w:tr w14:paraId="5FBDE0F8" w14:textId="77777777" w:rsidTr="00E2546A">
        <w:tblPrEx>
          <w:tblW w:w="10165" w:type="dxa"/>
          <w:tblLook w:val="04A0"/>
        </w:tblPrEx>
        <w:tc>
          <w:tcPr>
            <w:tcW w:w="2695" w:type="dxa"/>
          </w:tcPr>
          <w:p w:rsidR="00447971" w:rsidRPr="002223A2" w:rsidP="00447971" w14:paraId="4F67C6D0" w14:textId="77777777">
            <w:pPr>
              <w:rPr>
                <w:rStyle w:val="StyleAptos10pt"/>
              </w:rPr>
            </w:pPr>
            <w:r w:rsidRPr="002223A2">
              <w:rPr>
                <w:rStyle w:val="StyleAptos10pt"/>
              </w:rPr>
              <w:t>Section 15.13(a)(10)(ii)(D)</w:t>
            </w:r>
          </w:p>
        </w:tc>
        <w:tc>
          <w:tcPr>
            <w:tcW w:w="1530" w:type="dxa"/>
          </w:tcPr>
          <w:p w:rsidR="00447971" w:rsidRPr="002223A2" w:rsidP="00447971" w14:paraId="5B42FD97" w14:textId="77777777">
            <w:pPr>
              <w:jc w:val="center"/>
              <w:rPr>
                <w:rStyle w:val="StyleAptos10pt"/>
              </w:rPr>
            </w:pPr>
            <w:r w:rsidRPr="002223A2">
              <w:rPr>
                <w:rStyle w:val="StyleAptos10pt"/>
              </w:rPr>
              <w:t>1</w:t>
            </w:r>
          </w:p>
        </w:tc>
        <w:tc>
          <w:tcPr>
            <w:tcW w:w="1710" w:type="dxa"/>
          </w:tcPr>
          <w:p w:rsidR="00447971" w:rsidRPr="002223A2" w:rsidP="00447971" w14:paraId="34077681" w14:textId="77777777">
            <w:pPr>
              <w:jc w:val="center"/>
              <w:rPr>
                <w:rStyle w:val="StyleAptos10pt"/>
              </w:rPr>
            </w:pPr>
            <w:r w:rsidRPr="002223A2">
              <w:rPr>
                <w:rStyle w:val="StyleAptos10pt"/>
              </w:rPr>
              <w:t>1</w:t>
            </w:r>
          </w:p>
        </w:tc>
        <w:tc>
          <w:tcPr>
            <w:tcW w:w="1890" w:type="dxa"/>
          </w:tcPr>
          <w:p w:rsidR="00447971" w:rsidRPr="002223A2" w:rsidP="00447971" w14:paraId="1D59F4E1" w14:textId="77777777">
            <w:pPr>
              <w:jc w:val="center"/>
              <w:rPr>
                <w:rStyle w:val="StyleAptos10pt"/>
              </w:rPr>
            </w:pPr>
            <w:r w:rsidRPr="002223A2">
              <w:rPr>
                <w:rStyle w:val="StyleAptos10pt"/>
              </w:rPr>
              <w:t>1</w:t>
            </w:r>
          </w:p>
        </w:tc>
        <w:tc>
          <w:tcPr>
            <w:tcW w:w="2340" w:type="dxa"/>
          </w:tcPr>
          <w:p w:rsidR="00447971" w:rsidRPr="002223A2" w:rsidP="00447971" w14:paraId="1F141031" w14:textId="77777777">
            <w:pPr>
              <w:jc w:val="center"/>
              <w:rPr>
                <w:rStyle w:val="StyleAptos10pt"/>
              </w:rPr>
            </w:pPr>
            <w:r w:rsidRPr="002223A2">
              <w:rPr>
                <w:rStyle w:val="StyleAptos10pt"/>
              </w:rPr>
              <w:t>1</w:t>
            </w:r>
          </w:p>
        </w:tc>
      </w:tr>
      <w:tr w14:paraId="51932DEB" w14:textId="77777777" w:rsidTr="00E2546A">
        <w:tblPrEx>
          <w:tblW w:w="10165" w:type="dxa"/>
          <w:tblLook w:val="04A0"/>
        </w:tblPrEx>
        <w:tc>
          <w:tcPr>
            <w:tcW w:w="2695" w:type="dxa"/>
          </w:tcPr>
          <w:p w:rsidR="00447971" w:rsidRPr="002223A2" w:rsidP="00447971" w14:paraId="126C7AA4" w14:textId="77777777">
            <w:pPr>
              <w:rPr>
                <w:rStyle w:val="StyleAptos10pt"/>
              </w:rPr>
            </w:pPr>
            <w:r w:rsidRPr="002223A2">
              <w:rPr>
                <w:rStyle w:val="StyleAptos10pt"/>
              </w:rPr>
              <w:t>Section 15.13(b)(1), (2), (3), (4), (6), and (8)</w:t>
            </w:r>
          </w:p>
        </w:tc>
        <w:tc>
          <w:tcPr>
            <w:tcW w:w="1530" w:type="dxa"/>
          </w:tcPr>
          <w:p w:rsidR="00447971" w:rsidRPr="002223A2" w:rsidP="00447971" w14:paraId="66A9924F" w14:textId="77777777">
            <w:pPr>
              <w:jc w:val="center"/>
              <w:rPr>
                <w:rStyle w:val="StyleAptos10pt"/>
              </w:rPr>
            </w:pPr>
            <w:r w:rsidRPr="002223A2">
              <w:rPr>
                <w:rStyle w:val="StyleAptos10pt"/>
              </w:rPr>
              <w:t>39</w:t>
            </w:r>
          </w:p>
        </w:tc>
        <w:tc>
          <w:tcPr>
            <w:tcW w:w="1710" w:type="dxa"/>
          </w:tcPr>
          <w:p w:rsidR="00447971" w:rsidRPr="002223A2" w:rsidP="00447971" w14:paraId="125ECB66" w14:textId="77777777">
            <w:pPr>
              <w:jc w:val="center"/>
              <w:rPr>
                <w:rStyle w:val="StyleAptos10pt"/>
              </w:rPr>
            </w:pPr>
            <w:r w:rsidRPr="002223A2">
              <w:rPr>
                <w:rStyle w:val="StyleAptos10pt"/>
              </w:rPr>
              <w:t>1</w:t>
            </w:r>
          </w:p>
        </w:tc>
        <w:tc>
          <w:tcPr>
            <w:tcW w:w="1890" w:type="dxa"/>
          </w:tcPr>
          <w:p w:rsidR="00447971" w:rsidRPr="002223A2" w:rsidP="00447971" w14:paraId="59ADD4B5" w14:textId="77777777">
            <w:pPr>
              <w:jc w:val="center"/>
              <w:rPr>
                <w:rStyle w:val="StyleAptos10pt"/>
              </w:rPr>
            </w:pPr>
            <w:r w:rsidRPr="002223A2">
              <w:rPr>
                <w:rStyle w:val="StyleAptos10pt"/>
              </w:rPr>
              <w:t>1</w:t>
            </w:r>
          </w:p>
        </w:tc>
        <w:tc>
          <w:tcPr>
            <w:tcW w:w="2340" w:type="dxa"/>
          </w:tcPr>
          <w:p w:rsidR="00447971" w:rsidRPr="002223A2" w:rsidP="00447971" w14:paraId="7CC5F69F" w14:textId="77777777">
            <w:pPr>
              <w:jc w:val="center"/>
              <w:rPr>
                <w:rStyle w:val="StyleAptos10pt"/>
              </w:rPr>
            </w:pPr>
            <w:r w:rsidRPr="002223A2">
              <w:rPr>
                <w:rStyle w:val="StyleAptos10pt"/>
              </w:rPr>
              <w:t>39</w:t>
            </w:r>
          </w:p>
        </w:tc>
      </w:tr>
      <w:tr w14:paraId="572A13BF" w14:textId="77777777" w:rsidTr="00E2546A">
        <w:tblPrEx>
          <w:tblW w:w="10165" w:type="dxa"/>
          <w:tblLook w:val="04A0"/>
        </w:tblPrEx>
        <w:tc>
          <w:tcPr>
            <w:tcW w:w="2695" w:type="dxa"/>
          </w:tcPr>
          <w:p w:rsidR="00447971" w:rsidRPr="002223A2" w:rsidP="00447971" w14:paraId="16556977" w14:textId="77777777">
            <w:pPr>
              <w:rPr>
                <w:rStyle w:val="StyleAptos10pt"/>
              </w:rPr>
            </w:pPr>
            <w:r w:rsidRPr="002223A2">
              <w:rPr>
                <w:rStyle w:val="StyleAptos10pt"/>
              </w:rPr>
              <w:t>Section 15.13(b)(5)</w:t>
            </w:r>
          </w:p>
        </w:tc>
        <w:tc>
          <w:tcPr>
            <w:tcW w:w="1530" w:type="dxa"/>
          </w:tcPr>
          <w:p w:rsidR="00447971" w:rsidRPr="002223A2" w:rsidP="00447971" w14:paraId="65BBAC95" w14:textId="77777777">
            <w:pPr>
              <w:jc w:val="center"/>
              <w:rPr>
                <w:rStyle w:val="StyleAptos10pt"/>
              </w:rPr>
            </w:pPr>
            <w:r w:rsidRPr="002223A2">
              <w:rPr>
                <w:rStyle w:val="StyleAptos10pt"/>
              </w:rPr>
              <w:t>39</w:t>
            </w:r>
          </w:p>
        </w:tc>
        <w:tc>
          <w:tcPr>
            <w:tcW w:w="1710" w:type="dxa"/>
          </w:tcPr>
          <w:p w:rsidR="00447971" w:rsidRPr="002223A2" w:rsidP="00447971" w14:paraId="6BD8AC5D" w14:textId="77777777">
            <w:pPr>
              <w:jc w:val="center"/>
              <w:rPr>
                <w:rStyle w:val="StyleAptos10pt"/>
              </w:rPr>
            </w:pPr>
            <w:r w:rsidRPr="002223A2">
              <w:rPr>
                <w:rStyle w:val="StyleAptos10pt"/>
              </w:rPr>
              <w:t>1</w:t>
            </w:r>
          </w:p>
        </w:tc>
        <w:tc>
          <w:tcPr>
            <w:tcW w:w="1890" w:type="dxa"/>
          </w:tcPr>
          <w:p w:rsidR="00447971" w:rsidRPr="002223A2" w:rsidP="00447971" w14:paraId="72595CA0" w14:textId="77777777">
            <w:pPr>
              <w:jc w:val="center"/>
              <w:rPr>
                <w:rStyle w:val="StyleAptos10pt"/>
              </w:rPr>
            </w:pPr>
            <w:r w:rsidRPr="002223A2">
              <w:rPr>
                <w:rStyle w:val="StyleAptos10pt"/>
              </w:rPr>
              <w:t>1</w:t>
            </w:r>
          </w:p>
        </w:tc>
        <w:tc>
          <w:tcPr>
            <w:tcW w:w="2340" w:type="dxa"/>
          </w:tcPr>
          <w:p w:rsidR="00447971" w:rsidRPr="002223A2" w:rsidP="00447971" w14:paraId="6943553E" w14:textId="77777777">
            <w:pPr>
              <w:jc w:val="center"/>
              <w:rPr>
                <w:rStyle w:val="StyleAptos10pt"/>
              </w:rPr>
            </w:pPr>
            <w:r w:rsidRPr="002223A2">
              <w:rPr>
                <w:rStyle w:val="StyleAptos10pt"/>
              </w:rPr>
              <w:t>39</w:t>
            </w:r>
          </w:p>
        </w:tc>
      </w:tr>
      <w:tr w14:paraId="082A3BFD" w14:textId="77777777" w:rsidTr="00E2546A">
        <w:tblPrEx>
          <w:tblW w:w="10165" w:type="dxa"/>
          <w:tblLook w:val="04A0"/>
        </w:tblPrEx>
        <w:tc>
          <w:tcPr>
            <w:tcW w:w="2695" w:type="dxa"/>
          </w:tcPr>
          <w:p w:rsidR="00447971" w:rsidRPr="002223A2" w:rsidP="00447971" w14:paraId="044479A1" w14:textId="77777777">
            <w:pPr>
              <w:rPr>
                <w:rStyle w:val="StyleAptos10pt"/>
              </w:rPr>
            </w:pPr>
            <w:r w:rsidRPr="002223A2">
              <w:rPr>
                <w:rStyle w:val="StyleAptos10pt"/>
              </w:rPr>
              <w:t>Section 15.14(f)</w:t>
            </w:r>
          </w:p>
        </w:tc>
        <w:tc>
          <w:tcPr>
            <w:tcW w:w="1530" w:type="dxa"/>
          </w:tcPr>
          <w:p w:rsidR="00447971" w:rsidRPr="002223A2" w:rsidP="00447971" w14:paraId="51FAD6E6" w14:textId="77777777">
            <w:pPr>
              <w:jc w:val="center"/>
              <w:rPr>
                <w:rStyle w:val="StyleAptos10pt"/>
              </w:rPr>
            </w:pPr>
            <w:r w:rsidRPr="002223A2">
              <w:rPr>
                <w:rStyle w:val="StyleAptos10pt"/>
              </w:rPr>
              <w:t>39</w:t>
            </w:r>
          </w:p>
        </w:tc>
        <w:tc>
          <w:tcPr>
            <w:tcW w:w="1710" w:type="dxa"/>
          </w:tcPr>
          <w:p w:rsidR="00447971" w:rsidRPr="002223A2" w:rsidP="00447971" w14:paraId="1F13255A" w14:textId="77777777">
            <w:pPr>
              <w:jc w:val="center"/>
              <w:rPr>
                <w:rStyle w:val="StyleAptos10pt"/>
              </w:rPr>
            </w:pPr>
            <w:r w:rsidRPr="002223A2">
              <w:rPr>
                <w:rStyle w:val="StyleAptos10pt"/>
              </w:rPr>
              <w:t>1</w:t>
            </w:r>
          </w:p>
        </w:tc>
        <w:tc>
          <w:tcPr>
            <w:tcW w:w="1890" w:type="dxa"/>
          </w:tcPr>
          <w:p w:rsidR="00447971" w:rsidRPr="002223A2" w:rsidP="00447971" w14:paraId="3C8CA179" w14:textId="77777777">
            <w:pPr>
              <w:jc w:val="center"/>
              <w:rPr>
                <w:rStyle w:val="StyleAptos10pt"/>
              </w:rPr>
            </w:pPr>
            <w:r w:rsidRPr="002223A2">
              <w:rPr>
                <w:rStyle w:val="StyleAptos10pt"/>
              </w:rPr>
              <w:t>8</w:t>
            </w:r>
          </w:p>
        </w:tc>
        <w:tc>
          <w:tcPr>
            <w:tcW w:w="2340" w:type="dxa"/>
          </w:tcPr>
          <w:p w:rsidR="00447971" w:rsidRPr="002223A2" w:rsidP="00447971" w14:paraId="7A1B6623" w14:textId="77777777">
            <w:pPr>
              <w:jc w:val="center"/>
              <w:rPr>
                <w:rStyle w:val="StyleAptos10pt"/>
              </w:rPr>
            </w:pPr>
            <w:r w:rsidRPr="002223A2">
              <w:rPr>
                <w:rStyle w:val="StyleAptos10pt"/>
              </w:rPr>
              <w:t>312</w:t>
            </w:r>
          </w:p>
        </w:tc>
      </w:tr>
      <w:tr w14:paraId="30A4DAF0" w14:textId="77777777" w:rsidTr="00E2546A">
        <w:tblPrEx>
          <w:tblW w:w="10165" w:type="dxa"/>
          <w:tblLook w:val="04A0"/>
        </w:tblPrEx>
        <w:tc>
          <w:tcPr>
            <w:tcW w:w="2695" w:type="dxa"/>
          </w:tcPr>
          <w:p w:rsidR="00447971" w:rsidRPr="002223A2" w:rsidP="00447971" w14:paraId="574C0258" w14:textId="77777777">
            <w:pPr>
              <w:rPr>
                <w:rStyle w:val="StyleAptos10pt"/>
              </w:rPr>
            </w:pPr>
            <w:r w:rsidRPr="002223A2">
              <w:rPr>
                <w:rStyle w:val="StyleAptos10pt"/>
              </w:rPr>
              <w:t>Section 15.14(g)</w:t>
            </w:r>
          </w:p>
        </w:tc>
        <w:tc>
          <w:tcPr>
            <w:tcW w:w="1530" w:type="dxa"/>
          </w:tcPr>
          <w:p w:rsidR="00447971" w:rsidRPr="002223A2" w:rsidP="00447971" w14:paraId="1A02D4F8" w14:textId="77777777">
            <w:pPr>
              <w:jc w:val="center"/>
              <w:rPr>
                <w:rStyle w:val="StyleAptos10pt"/>
              </w:rPr>
            </w:pPr>
            <w:r w:rsidRPr="002223A2">
              <w:rPr>
                <w:rStyle w:val="StyleAptos10pt"/>
              </w:rPr>
              <w:t>39</w:t>
            </w:r>
          </w:p>
        </w:tc>
        <w:tc>
          <w:tcPr>
            <w:tcW w:w="1710" w:type="dxa"/>
          </w:tcPr>
          <w:p w:rsidR="00447971" w:rsidRPr="002223A2" w:rsidP="00447971" w14:paraId="79B0F041" w14:textId="77777777">
            <w:pPr>
              <w:jc w:val="center"/>
              <w:rPr>
                <w:rStyle w:val="StyleAptos10pt"/>
              </w:rPr>
            </w:pPr>
            <w:r w:rsidRPr="002223A2">
              <w:rPr>
                <w:rStyle w:val="StyleAptos10pt"/>
              </w:rPr>
              <w:t>1</w:t>
            </w:r>
          </w:p>
        </w:tc>
        <w:tc>
          <w:tcPr>
            <w:tcW w:w="1890" w:type="dxa"/>
          </w:tcPr>
          <w:p w:rsidR="00447971" w:rsidRPr="002223A2" w:rsidP="00447971" w14:paraId="13FDD65E" w14:textId="77777777">
            <w:pPr>
              <w:jc w:val="center"/>
              <w:rPr>
                <w:rStyle w:val="StyleAptos10pt"/>
              </w:rPr>
            </w:pPr>
            <w:r w:rsidRPr="002223A2">
              <w:rPr>
                <w:rStyle w:val="StyleAptos10pt"/>
              </w:rPr>
              <w:t>1</w:t>
            </w:r>
          </w:p>
        </w:tc>
        <w:tc>
          <w:tcPr>
            <w:tcW w:w="2340" w:type="dxa"/>
          </w:tcPr>
          <w:p w:rsidR="00447971" w:rsidRPr="002223A2" w:rsidP="00447971" w14:paraId="0C15853B" w14:textId="77777777">
            <w:pPr>
              <w:jc w:val="center"/>
              <w:rPr>
                <w:rStyle w:val="StyleAptos10pt"/>
              </w:rPr>
            </w:pPr>
            <w:r w:rsidRPr="002223A2">
              <w:rPr>
                <w:rStyle w:val="StyleAptos10pt"/>
              </w:rPr>
              <w:t>39</w:t>
            </w:r>
          </w:p>
        </w:tc>
      </w:tr>
      <w:tr w14:paraId="0A990FFF" w14:textId="77777777" w:rsidTr="00E2546A">
        <w:tblPrEx>
          <w:tblW w:w="10165" w:type="dxa"/>
          <w:tblLook w:val="04A0"/>
        </w:tblPrEx>
        <w:tc>
          <w:tcPr>
            <w:tcW w:w="2695" w:type="dxa"/>
          </w:tcPr>
          <w:p w:rsidR="00447971" w:rsidRPr="002223A2" w:rsidP="00447971" w14:paraId="3F6FECFF" w14:textId="77777777">
            <w:pPr>
              <w:rPr>
                <w:rStyle w:val="StyleAptos10pt"/>
              </w:rPr>
            </w:pPr>
            <w:r w:rsidRPr="002223A2">
              <w:rPr>
                <w:rStyle w:val="StyleAptos10pt"/>
              </w:rPr>
              <w:t>Section 15.14(l)(1)</w:t>
            </w:r>
          </w:p>
        </w:tc>
        <w:tc>
          <w:tcPr>
            <w:tcW w:w="1530" w:type="dxa"/>
          </w:tcPr>
          <w:p w:rsidR="00447971" w:rsidRPr="002223A2" w:rsidP="00447971" w14:paraId="43E3DB3D" w14:textId="77777777">
            <w:pPr>
              <w:jc w:val="center"/>
              <w:rPr>
                <w:rStyle w:val="StyleAptos10pt"/>
              </w:rPr>
            </w:pPr>
            <w:r w:rsidRPr="002223A2">
              <w:rPr>
                <w:rStyle w:val="StyleAptos10pt"/>
              </w:rPr>
              <w:t>1</w:t>
            </w:r>
          </w:p>
        </w:tc>
        <w:tc>
          <w:tcPr>
            <w:tcW w:w="1710" w:type="dxa"/>
          </w:tcPr>
          <w:p w:rsidR="00447971" w:rsidRPr="002223A2" w:rsidP="00447971" w14:paraId="175E7C85" w14:textId="77777777">
            <w:pPr>
              <w:jc w:val="center"/>
              <w:rPr>
                <w:rStyle w:val="StyleAptos10pt"/>
              </w:rPr>
            </w:pPr>
            <w:r w:rsidRPr="002223A2">
              <w:rPr>
                <w:rStyle w:val="StyleAptos10pt"/>
              </w:rPr>
              <w:t>1</w:t>
            </w:r>
          </w:p>
        </w:tc>
        <w:tc>
          <w:tcPr>
            <w:tcW w:w="1890" w:type="dxa"/>
          </w:tcPr>
          <w:p w:rsidR="00447971" w:rsidRPr="002223A2" w:rsidP="00447971" w14:paraId="1EDBA720" w14:textId="77777777">
            <w:pPr>
              <w:jc w:val="center"/>
              <w:rPr>
                <w:rStyle w:val="StyleAptos10pt"/>
              </w:rPr>
            </w:pPr>
            <w:r w:rsidRPr="002223A2">
              <w:rPr>
                <w:rStyle w:val="StyleAptos10pt"/>
              </w:rPr>
              <w:t>1</w:t>
            </w:r>
          </w:p>
        </w:tc>
        <w:tc>
          <w:tcPr>
            <w:tcW w:w="2340" w:type="dxa"/>
          </w:tcPr>
          <w:p w:rsidR="00447971" w:rsidRPr="002223A2" w:rsidP="00447971" w14:paraId="6BA741ED" w14:textId="77777777">
            <w:pPr>
              <w:jc w:val="center"/>
              <w:rPr>
                <w:rStyle w:val="StyleAptos10pt"/>
              </w:rPr>
            </w:pPr>
            <w:r w:rsidRPr="002223A2">
              <w:rPr>
                <w:rStyle w:val="StyleAptos10pt"/>
              </w:rPr>
              <w:t>1</w:t>
            </w:r>
          </w:p>
        </w:tc>
      </w:tr>
      <w:tr w14:paraId="391D7529" w14:textId="77777777" w:rsidTr="00E2546A">
        <w:tblPrEx>
          <w:tblW w:w="10165" w:type="dxa"/>
          <w:tblLook w:val="04A0"/>
        </w:tblPrEx>
        <w:tc>
          <w:tcPr>
            <w:tcW w:w="2695" w:type="dxa"/>
          </w:tcPr>
          <w:p w:rsidR="00447971" w:rsidRPr="002223A2" w:rsidP="00447971" w14:paraId="2D075685" w14:textId="77777777">
            <w:pPr>
              <w:rPr>
                <w:rStyle w:val="StyleAptos10pt"/>
              </w:rPr>
            </w:pPr>
            <w:r w:rsidRPr="002223A2">
              <w:rPr>
                <w:rStyle w:val="StyleAptos10pt"/>
              </w:rPr>
              <w:t>Section 15.15(b)(1)(i) and (ii)</w:t>
            </w:r>
          </w:p>
        </w:tc>
        <w:tc>
          <w:tcPr>
            <w:tcW w:w="1530" w:type="dxa"/>
          </w:tcPr>
          <w:p w:rsidR="00447971" w:rsidRPr="002223A2" w:rsidP="00447971" w14:paraId="0D8EFE97" w14:textId="77777777">
            <w:pPr>
              <w:jc w:val="center"/>
              <w:rPr>
                <w:rStyle w:val="StyleAptos10pt"/>
              </w:rPr>
            </w:pPr>
            <w:r w:rsidRPr="002223A2">
              <w:rPr>
                <w:rStyle w:val="StyleAptos10pt"/>
              </w:rPr>
              <w:t>1</w:t>
            </w:r>
          </w:p>
        </w:tc>
        <w:tc>
          <w:tcPr>
            <w:tcW w:w="1710" w:type="dxa"/>
          </w:tcPr>
          <w:p w:rsidR="00447971" w:rsidRPr="002223A2" w:rsidP="00447971" w14:paraId="41C9AB44" w14:textId="77777777">
            <w:pPr>
              <w:jc w:val="center"/>
              <w:rPr>
                <w:rStyle w:val="StyleAptos10pt"/>
              </w:rPr>
            </w:pPr>
            <w:r w:rsidRPr="002223A2">
              <w:rPr>
                <w:rStyle w:val="StyleAptos10pt"/>
              </w:rPr>
              <w:t>1</w:t>
            </w:r>
          </w:p>
        </w:tc>
        <w:tc>
          <w:tcPr>
            <w:tcW w:w="1890" w:type="dxa"/>
          </w:tcPr>
          <w:p w:rsidR="00447971" w:rsidRPr="002223A2" w:rsidP="00447971" w14:paraId="70BC2352" w14:textId="77777777">
            <w:pPr>
              <w:jc w:val="center"/>
              <w:rPr>
                <w:rStyle w:val="StyleAptos10pt"/>
              </w:rPr>
            </w:pPr>
            <w:r w:rsidRPr="002223A2">
              <w:rPr>
                <w:rStyle w:val="StyleAptos10pt"/>
              </w:rPr>
              <w:t>1</w:t>
            </w:r>
          </w:p>
        </w:tc>
        <w:tc>
          <w:tcPr>
            <w:tcW w:w="2340" w:type="dxa"/>
          </w:tcPr>
          <w:p w:rsidR="00447971" w:rsidRPr="002223A2" w:rsidP="00447971" w14:paraId="7CA3F5E6" w14:textId="77777777">
            <w:pPr>
              <w:jc w:val="center"/>
              <w:rPr>
                <w:rStyle w:val="StyleAptos10pt"/>
              </w:rPr>
            </w:pPr>
            <w:r w:rsidRPr="002223A2">
              <w:rPr>
                <w:rStyle w:val="StyleAptos10pt"/>
              </w:rPr>
              <w:t>1</w:t>
            </w:r>
          </w:p>
        </w:tc>
      </w:tr>
      <w:tr w14:paraId="3B1DAEAF" w14:textId="77777777" w:rsidTr="00E2546A">
        <w:tblPrEx>
          <w:tblW w:w="10165" w:type="dxa"/>
          <w:tblLook w:val="04A0"/>
        </w:tblPrEx>
        <w:tc>
          <w:tcPr>
            <w:tcW w:w="2695" w:type="dxa"/>
          </w:tcPr>
          <w:p w:rsidR="00447971" w:rsidRPr="002223A2" w:rsidP="00447971" w14:paraId="3A24826F" w14:textId="77777777">
            <w:pPr>
              <w:rPr>
                <w:rStyle w:val="StyleAptos10pt"/>
              </w:rPr>
            </w:pPr>
            <w:r w:rsidRPr="002223A2">
              <w:rPr>
                <w:rStyle w:val="StyleAptos10pt"/>
              </w:rPr>
              <w:t>Section 15.15(b)(4)(ii)</w:t>
            </w:r>
          </w:p>
        </w:tc>
        <w:tc>
          <w:tcPr>
            <w:tcW w:w="1530" w:type="dxa"/>
          </w:tcPr>
          <w:p w:rsidR="00447971" w:rsidRPr="002223A2" w:rsidP="00447971" w14:paraId="25AC9C51" w14:textId="77777777">
            <w:pPr>
              <w:jc w:val="center"/>
              <w:rPr>
                <w:rStyle w:val="StyleAptos10pt"/>
              </w:rPr>
            </w:pPr>
            <w:r w:rsidRPr="002223A2">
              <w:rPr>
                <w:rStyle w:val="StyleAptos10pt"/>
              </w:rPr>
              <w:t>1</w:t>
            </w:r>
          </w:p>
        </w:tc>
        <w:tc>
          <w:tcPr>
            <w:tcW w:w="1710" w:type="dxa"/>
          </w:tcPr>
          <w:p w:rsidR="00447971" w:rsidRPr="002223A2" w:rsidP="00447971" w14:paraId="69F5878B" w14:textId="77777777">
            <w:pPr>
              <w:jc w:val="center"/>
              <w:rPr>
                <w:rStyle w:val="StyleAptos10pt"/>
              </w:rPr>
            </w:pPr>
            <w:r w:rsidRPr="002223A2">
              <w:rPr>
                <w:rStyle w:val="StyleAptos10pt"/>
              </w:rPr>
              <w:t>1</w:t>
            </w:r>
          </w:p>
        </w:tc>
        <w:tc>
          <w:tcPr>
            <w:tcW w:w="1890" w:type="dxa"/>
          </w:tcPr>
          <w:p w:rsidR="00447971" w:rsidRPr="002223A2" w:rsidP="00447971" w14:paraId="0B5DE193" w14:textId="77777777">
            <w:pPr>
              <w:jc w:val="center"/>
              <w:rPr>
                <w:rStyle w:val="StyleAptos10pt"/>
              </w:rPr>
            </w:pPr>
            <w:r w:rsidRPr="002223A2">
              <w:rPr>
                <w:rStyle w:val="StyleAptos10pt"/>
              </w:rPr>
              <w:t>1</w:t>
            </w:r>
          </w:p>
        </w:tc>
        <w:tc>
          <w:tcPr>
            <w:tcW w:w="2340" w:type="dxa"/>
          </w:tcPr>
          <w:p w:rsidR="00447971" w:rsidRPr="002223A2" w:rsidP="00447971" w14:paraId="2BA38478" w14:textId="77777777">
            <w:pPr>
              <w:jc w:val="center"/>
              <w:rPr>
                <w:rStyle w:val="StyleAptos10pt"/>
              </w:rPr>
            </w:pPr>
            <w:r w:rsidRPr="002223A2">
              <w:rPr>
                <w:rStyle w:val="StyleAptos10pt"/>
              </w:rPr>
              <w:t>1</w:t>
            </w:r>
          </w:p>
        </w:tc>
      </w:tr>
      <w:tr w14:paraId="1C20ED06" w14:textId="77777777" w:rsidTr="00E2546A">
        <w:tblPrEx>
          <w:tblW w:w="10165" w:type="dxa"/>
          <w:tblLook w:val="04A0"/>
        </w:tblPrEx>
        <w:tc>
          <w:tcPr>
            <w:tcW w:w="2695" w:type="dxa"/>
          </w:tcPr>
          <w:p w:rsidR="00447971" w:rsidRPr="002223A2" w:rsidP="00447971" w14:paraId="7CC34729" w14:textId="77777777">
            <w:pPr>
              <w:rPr>
                <w:rStyle w:val="StyleAptos10pt"/>
              </w:rPr>
            </w:pPr>
            <w:r w:rsidRPr="002223A2">
              <w:rPr>
                <w:rStyle w:val="StyleAptos10pt"/>
              </w:rPr>
              <w:t>Section 15.21(b)(1)</w:t>
            </w:r>
          </w:p>
        </w:tc>
        <w:tc>
          <w:tcPr>
            <w:tcW w:w="1530" w:type="dxa"/>
          </w:tcPr>
          <w:p w:rsidR="00447971" w:rsidRPr="002223A2" w:rsidP="00447971" w14:paraId="6A8DFD0F" w14:textId="77777777">
            <w:pPr>
              <w:jc w:val="center"/>
              <w:rPr>
                <w:rStyle w:val="StyleAptos10pt"/>
              </w:rPr>
            </w:pPr>
            <w:r w:rsidRPr="002223A2">
              <w:rPr>
                <w:rStyle w:val="StyleAptos10pt"/>
              </w:rPr>
              <w:t>21</w:t>
            </w:r>
          </w:p>
        </w:tc>
        <w:tc>
          <w:tcPr>
            <w:tcW w:w="1710" w:type="dxa"/>
          </w:tcPr>
          <w:p w:rsidR="00447971" w:rsidRPr="002223A2" w:rsidP="00447971" w14:paraId="64320A61" w14:textId="77777777">
            <w:pPr>
              <w:jc w:val="center"/>
              <w:rPr>
                <w:rStyle w:val="StyleAptos10pt"/>
              </w:rPr>
            </w:pPr>
            <w:r w:rsidRPr="002223A2">
              <w:rPr>
                <w:rStyle w:val="StyleAptos10pt"/>
              </w:rPr>
              <w:t>1</w:t>
            </w:r>
          </w:p>
        </w:tc>
        <w:tc>
          <w:tcPr>
            <w:tcW w:w="1890" w:type="dxa"/>
          </w:tcPr>
          <w:p w:rsidR="00447971" w:rsidRPr="002223A2" w:rsidP="00447971" w14:paraId="6EC51496" w14:textId="77777777">
            <w:pPr>
              <w:jc w:val="center"/>
              <w:rPr>
                <w:rStyle w:val="StyleAptos10pt"/>
              </w:rPr>
            </w:pPr>
            <w:r w:rsidRPr="002223A2">
              <w:rPr>
                <w:rStyle w:val="StyleAptos10pt"/>
              </w:rPr>
              <w:t>1</w:t>
            </w:r>
          </w:p>
        </w:tc>
        <w:tc>
          <w:tcPr>
            <w:tcW w:w="2340" w:type="dxa"/>
          </w:tcPr>
          <w:p w:rsidR="00447971" w:rsidRPr="002223A2" w:rsidP="00447971" w14:paraId="19B3A72B" w14:textId="77777777">
            <w:pPr>
              <w:jc w:val="center"/>
              <w:rPr>
                <w:rStyle w:val="StyleAptos10pt"/>
              </w:rPr>
            </w:pPr>
            <w:r w:rsidRPr="002223A2">
              <w:rPr>
                <w:rStyle w:val="StyleAptos10pt"/>
              </w:rPr>
              <w:t>21</w:t>
            </w:r>
          </w:p>
        </w:tc>
      </w:tr>
      <w:tr w14:paraId="3262664F" w14:textId="77777777" w:rsidTr="00E2546A">
        <w:tblPrEx>
          <w:tblW w:w="10165" w:type="dxa"/>
          <w:tblLook w:val="04A0"/>
        </w:tblPrEx>
        <w:tc>
          <w:tcPr>
            <w:tcW w:w="2695" w:type="dxa"/>
          </w:tcPr>
          <w:p w:rsidR="00447971" w:rsidRPr="002223A2" w:rsidP="00447971" w14:paraId="3631AED6" w14:textId="77777777">
            <w:pPr>
              <w:rPr>
                <w:rStyle w:val="StyleAptos10pt"/>
              </w:rPr>
            </w:pPr>
            <w:r w:rsidRPr="002223A2">
              <w:rPr>
                <w:rStyle w:val="StyleAptos10pt"/>
              </w:rPr>
              <w:t>Section 15.21(b)(2)(i)</w:t>
            </w:r>
          </w:p>
        </w:tc>
        <w:tc>
          <w:tcPr>
            <w:tcW w:w="1530" w:type="dxa"/>
          </w:tcPr>
          <w:p w:rsidR="00447971" w:rsidRPr="002223A2" w:rsidP="00447971" w14:paraId="2B0D0F4D" w14:textId="77777777">
            <w:pPr>
              <w:jc w:val="center"/>
              <w:rPr>
                <w:rStyle w:val="StyleAptos10pt"/>
              </w:rPr>
            </w:pPr>
            <w:r w:rsidRPr="002223A2">
              <w:rPr>
                <w:rStyle w:val="StyleAptos10pt"/>
              </w:rPr>
              <w:t>1</w:t>
            </w:r>
          </w:p>
        </w:tc>
        <w:tc>
          <w:tcPr>
            <w:tcW w:w="1710" w:type="dxa"/>
          </w:tcPr>
          <w:p w:rsidR="00447971" w:rsidRPr="002223A2" w:rsidP="00447971" w14:paraId="2F10C25C" w14:textId="77777777">
            <w:pPr>
              <w:jc w:val="center"/>
              <w:rPr>
                <w:rStyle w:val="StyleAptos10pt"/>
              </w:rPr>
            </w:pPr>
            <w:r w:rsidRPr="002223A2">
              <w:rPr>
                <w:rStyle w:val="StyleAptos10pt"/>
              </w:rPr>
              <w:t>1</w:t>
            </w:r>
          </w:p>
        </w:tc>
        <w:tc>
          <w:tcPr>
            <w:tcW w:w="1890" w:type="dxa"/>
          </w:tcPr>
          <w:p w:rsidR="00447971" w:rsidRPr="002223A2" w:rsidP="00447971" w14:paraId="30FCFE8B" w14:textId="77777777">
            <w:pPr>
              <w:jc w:val="center"/>
              <w:rPr>
                <w:rStyle w:val="StyleAptos10pt"/>
              </w:rPr>
            </w:pPr>
            <w:r w:rsidRPr="002223A2">
              <w:rPr>
                <w:rStyle w:val="StyleAptos10pt"/>
              </w:rPr>
              <w:t>1</w:t>
            </w:r>
          </w:p>
        </w:tc>
        <w:tc>
          <w:tcPr>
            <w:tcW w:w="2340" w:type="dxa"/>
          </w:tcPr>
          <w:p w:rsidR="00447971" w:rsidRPr="002223A2" w:rsidP="00447971" w14:paraId="74BDDA08" w14:textId="77777777">
            <w:pPr>
              <w:jc w:val="center"/>
              <w:rPr>
                <w:rStyle w:val="StyleAptos10pt"/>
              </w:rPr>
            </w:pPr>
            <w:r w:rsidRPr="002223A2">
              <w:rPr>
                <w:rStyle w:val="StyleAptos10pt"/>
              </w:rPr>
              <w:t>1</w:t>
            </w:r>
          </w:p>
        </w:tc>
      </w:tr>
      <w:tr w14:paraId="5AD3ED5B" w14:textId="77777777" w:rsidTr="00E2546A">
        <w:tblPrEx>
          <w:tblW w:w="10165" w:type="dxa"/>
          <w:tblLook w:val="04A0"/>
        </w:tblPrEx>
        <w:tc>
          <w:tcPr>
            <w:tcW w:w="2695" w:type="dxa"/>
          </w:tcPr>
          <w:p w:rsidR="00447971" w:rsidRPr="002223A2" w:rsidP="00447971" w14:paraId="03FBB2DA" w14:textId="77777777">
            <w:pPr>
              <w:rPr>
                <w:rStyle w:val="StyleAptos10pt"/>
              </w:rPr>
            </w:pPr>
            <w:r w:rsidRPr="002223A2">
              <w:rPr>
                <w:rStyle w:val="StyleAptos10pt"/>
              </w:rPr>
              <w:t>Section 15.22(c)</w:t>
            </w:r>
          </w:p>
        </w:tc>
        <w:tc>
          <w:tcPr>
            <w:tcW w:w="1530" w:type="dxa"/>
          </w:tcPr>
          <w:p w:rsidR="00447971" w:rsidRPr="002223A2" w:rsidP="00447971" w14:paraId="6A0919FA" w14:textId="77777777">
            <w:pPr>
              <w:jc w:val="center"/>
              <w:rPr>
                <w:rStyle w:val="StyleAptos10pt"/>
              </w:rPr>
            </w:pPr>
            <w:r w:rsidRPr="002223A2">
              <w:rPr>
                <w:rStyle w:val="StyleAptos10pt"/>
              </w:rPr>
              <w:t>1</w:t>
            </w:r>
          </w:p>
        </w:tc>
        <w:tc>
          <w:tcPr>
            <w:tcW w:w="1710" w:type="dxa"/>
          </w:tcPr>
          <w:p w:rsidR="00447971" w:rsidRPr="002223A2" w:rsidP="00447971" w14:paraId="7A368247" w14:textId="77777777">
            <w:pPr>
              <w:jc w:val="center"/>
              <w:rPr>
                <w:rStyle w:val="StyleAptos10pt"/>
              </w:rPr>
            </w:pPr>
            <w:r w:rsidRPr="002223A2">
              <w:rPr>
                <w:rStyle w:val="StyleAptos10pt"/>
              </w:rPr>
              <w:t>1</w:t>
            </w:r>
          </w:p>
        </w:tc>
        <w:tc>
          <w:tcPr>
            <w:tcW w:w="1890" w:type="dxa"/>
          </w:tcPr>
          <w:p w:rsidR="00447971" w:rsidRPr="002223A2" w:rsidP="00447971" w14:paraId="1830E4AB" w14:textId="77777777">
            <w:pPr>
              <w:jc w:val="center"/>
              <w:rPr>
                <w:rStyle w:val="StyleAptos10pt"/>
              </w:rPr>
            </w:pPr>
            <w:r w:rsidRPr="002223A2">
              <w:rPr>
                <w:rStyle w:val="StyleAptos10pt"/>
              </w:rPr>
              <w:t>1</w:t>
            </w:r>
          </w:p>
        </w:tc>
        <w:tc>
          <w:tcPr>
            <w:tcW w:w="2340" w:type="dxa"/>
          </w:tcPr>
          <w:p w:rsidR="00447971" w:rsidRPr="002223A2" w:rsidP="00447971" w14:paraId="26C125CD" w14:textId="77777777">
            <w:pPr>
              <w:jc w:val="center"/>
              <w:rPr>
                <w:rStyle w:val="StyleAptos10pt"/>
              </w:rPr>
            </w:pPr>
            <w:r w:rsidRPr="002223A2">
              <w:rPr>
                <w:rStyle w:val="StyleAptos10pt"/>
              </w:rPr>
              <w:t>1</w:t>
            </w:r>
          </w:p>
        </w:tc>
      </w:tr>
      <w:tr w14:paraId="5551B790" w14:textId="77777777" w:rsidTr="00E2546A">
        <w:tblPrEx>
          <w:tblW w:w="10165" w:type="dxa"/>
          <w:tblLook w:val="04A0"/>
        </w:tblPrEx>
        <w:tc>
          <w:tcPr>
            <w:tcW w:w="2695" w:type="dxa"/>
          </w:tcPr>
          <w:p w:rsidR="00447971" w:rsidRPr="002223A2" w:rsidP="00447971" w14:paraId="0F45ABA1" w14:textId="77777777">
            <w:pPr>
              <w:rPr>
                <w:rStyle w:val="StyleAptos10pt"/>
              </w:rPr>
            </w:pPr>
            <w:r w:rsidRPr="002223A2">
              <w:rPr>
                <w:rStyle w:val="StyleAptos10pt"/>
              </w:rPr>
              <w:t>Section 15.41(a)(2)(ii)</w:t>
            </w:r>
          </w:p>
        </w:tc>
        <w:tc>
          <w:tcPr>
            <w:tcW w:w="1530" w:type="dxa"/>
          </w:tcPr>
          <w:p w:rsidR="00447971" w:rsidRPr="002223A2" w:rsidP="00447971" w14:paraId="7ED604B8" w14:textId="77777777">
            <w:pPr>
              <w:jc w:val="center"/>
              <w:rPr>
                <w:rStyle w:val="StyleAptos10pt"/>
              </w:rPr>
            </w:pPr>
            <w:r w:rsidRPr="002223A2">
              <w:rPr>
                <w:rStyle w:val="StyleAptos10pt"/>
              </w:rPr>
              <w:t>39</w:t>
            </w:r>
          </w:p>
        </w:tc>
        <w:tc>
          <w:tcPr>
            <w:tcW w:w="1710" w:type="dxa"/>
          </w:tcPr>
          <w:p w:rsidR="00447971" w:rsidRPr="002223A2" w:rsidP="00447971" w14:paraId="738000C0" w14:textId="77777777">
            <w:pPr>
              <w:jc w:val="center"/>
              <w:rPr>
                <w:rStyle w:val="StyleAptos10pt"/>
              </w:rPr>
            </w:pPr>
            <w:r w:rsidRPr="002223A2">
              <w:rPr>
                <w:rStyle w:val="StyleAptos10pt"/>
              </w:rPr>
              <w:t>1</w:t>
            </w:r>
          </w:p>
        </w:tc>
        <w:tc>
          <w:tcPr>
            <w:tcW w:w="1890" w:type="dxa"/>
          </w:tcPr>
          <w:p w:rsidR="00447971" w:rsidRPr="002223A2" w:rsidP="00447971" w14:paraId="10A9B3F9" w14:textId="77777777">
            <w:pPr>
              <w:jc w:val="center"/>
              <w:rPr>
                <w:rStyle w:val="StyleAptos10pt"/>
              </w:rPr>
            </w:pPr>
            <w:r w:rsidRPr="002223A2">
              <w:rPr>
                <w:rStyle w:val="StyleAptos10pt"/>
              </w:rPr>
              <w:t>1</w:t>
            </w:r>
          </w:p>
        </w:tc>
        <w:tc>
          <w:tcPr>
            <w:tcW w:w="2340" w:type="dxa"/>
          </w:tcPr>
          <w:p w:rsidR="00447971" w:rsidRPr="002223A2" w:rsidP="00447971" w14:paraId="596A126D" w14:textId="77777777">
            <w:pPr>
              <w:jc w:val="center"/>
              <w:rPr>
                <w:rStyle w:val="StyleAptos10pt"/>
              </w:rPr>
            </w:pPr>
            <w:r w:rsidRPr="002223A2">
              <w:rPr>
                <w:rStyle w:val="StyleAptos10pt"/>
              </w:rPr>
              <w:t>39</w:t>
            </w:r>
          </w:p>
        </w:tc>
      </w:tr>
      <w:tr w14:paraId="67E8CA36" w14:textId="77777777" w:rsidTr="00E2546A">
        <w:tblPrEx>
          <w:tblW w:w="10165" w:type="dxa"/>
          <w:tblLook w:val="04A0"/>
        </w:tblPrEx>
        <w:tc>
          <w:tcPr>
            <w:tcW w:w="2695" w:type="dxa"/>
          </w:tcPr>
          <w:p w:rsidR="00447971" w:rsidRPr="002223A2" w:rsidP="00447971" w14:paraId="3AFBF298" w14:textId="77777777">
            <w:pPr>
              <w:rPr>
                <w:rStyle w:val="StyleAptos10pt"/>
              </w:rPr>
            </w:pPr>
            <w:r w:rsidRPr="002223A2">
              <w:rPr>
                <w:rStyle w:val="StyleAptos10pt"/>
              </w:rPr>
              <w:t>Section 15.41(c)(5)</w:t>
            </w:r>
          </w:p>
        </w:tc>
        <w:tc>
          <w:tcPr>
            <w:tcW w:w="1530" w:type="dxa"/>
          </w:tcPr>
          <w:p w:rsidR="00447971" w:rsidRPr="002223A2" w:rsidP="00447971" w14:paraId="6E967E8B" w14:textId="77777777">
            <w:pPr>
              <w:jc w:val="center"/>
              <w:rPr>
                <w:rStyle w:val="StyleAptos10pt"/>
              </w:rPr>
            </w:pPr>
            <w:r w:rsidRPr="002223A2">
              <w:rPr>
                <w:rStyle w:val="StyleAptos10pt"/>
              </w:rPr>
              <w:t>39</w:t>
            </w:r>
          </w:p>
        </w:tc>
        <w:tc>
          <w:tcPr>
            <w:tcW w:w="1710" w:type="dxa"/>
          </w:tcPr>
          <w:p w:rsidR="00447971" w:rsidRPr="002223A2" w:rsidP="00447971" w14:paraId="1E8185B9" w14:textId="77777777">
            <w:pPr>
              <w:jc w:val="center"/>
              <w:rPr>
                <w:rStyle w:val="StyleAptos10pt"/>
              </w:rPr>
            </w:pPr>
            <w:r w:rsidRPr="002223A2">
              <w:rPr>
                <w:rStyle w:val="StyleAptos10pt"/>
              </w:rPr>
              <w:t>1</w:t>
            </w:r>
          </w:p>
        </w:tc>
        <w:tc>
          <w:tcPr>
            <w:tcW w:w="1890" w:type="dxa"/>
          </w:tcPr>
          <w:p w:rsidR="00447971" w:rsidRPr="002223A2" w:rsidP="00447971" w14:paraId="69F3BAFC" w14:textId="77777777">
            <w:pPr>
              <w:jc w:val="center"/>
              <w:rPr>
                <w:rStyle w:val="StyleAptos10pt"/>
              </w:rPr>
            </w:pPr>
            <w:r w:rsidRPr="002223A2">
              <w:rPr>
                <w:rStyle w:val="StyleAptos10pt"/>
              </w:rPr>
              <w:t>1</w:t>
            </w:r>
          </w:p>
        </w:tc>
        <w:tc>
          <w:tcPr>
            <w:tcW w:w="2340" w:type="dxa"/>
          </w:tcPr>
          <w:p w:rsidR="00447971" w:rsidRPr="002223A2" w:rsidP="00447971" w14:paraId="465938E7" w14:textId="77777777">
            <w:pPr>
              <w:jc w:val="center"/>
              <w:rPr>
                <w:rStyle w:val="StyleAptos10pt"/>
              </w:rPr>
            </w:pPr>
            <w:r w:rsidRPr="002223A2">
              <w:rPr>
                <w:rStyle w:val="StyleAptos10pt"/>
              </w:rPr>
              <w:t>39</w:t>
            </w:r>
          </w:p>
        </w:tc>
      </w:tr>
      <w:tr w14:paraId="38654A49" w14:textId="77777777" w:rsidTr="00E2546A">
        <w:tblPrEx>
          <w:tblW w:w="10165" w:type="dxa"/>
          <w:tblLook w:val="04A0"/>
        </w:tblPrEx>
        <w:tc>
          <w:tcPr>
            <w:tcW w:w="10165" w:type="dxa"/>
            <w:gridSpan w:val="5"/>
          </w:tcPr>
          <w:p w:rsidR="00447971" w:rsidRPr="002223A2" w:rsidP="00447971" w14:paraId="68A260B7" w14:textId="77777777">
            <w:pPr>
              <w:rPr>
                <w:rStyle w:val="StyleAptos10ptBoldItalic"/>
              </w:rPr>
            </w:pPr>
            <w:r w:rsidRPr="002223A2">
              <w:rPr>
                <w:rStyle w:val="StyleAptos10ptBoldItalic"/>
              </w:rPr>
              <w:t>Total Recordkeeping Burden                                                                                                                            3,771</w:t>
            </w:r>
          </w:p>
        </w:tc>
      </w:tr>
      <w:tr w14:paraId="3FBEB8C6" w14:textId="77777777" w:rsidTr="00447971">
        <w:tblPrEx>
          <w:tblW w:w="10165" w:type="dxa"/>
          <w:tblLook w:val="04A0"/>
        </w:tblPrEx>
        <w:tc>
          <w:tcPr>
            <w:tcW w:w="10165" w:type="dxa"/>
            <w:gridSpan w:val="5"/>
            <w:shd w:val="clear" w:color="auto" w:fill="D9D9D9"/>
          </w:tcPr>
          <w:p w:rsidR="00447971" w:rsidRPr="00AB1885" w:rsidP="00447971" w14:paraId="20DFAB63" w14:textId="77777777">
            <w:pPr>
              <w:jc w:val="center"/>
              <w:rPr>
                <w:rFonts w:ascii="Times New Roman" w:hAnsi="Times New Roman" w:cs="Times New Roman"/>
                <w:sz w:val="20"/>
              </w:rPr>
            </w:pPr>
          </w:p>
        </w:tc>
      </w:tr>
      <w:tr w14:paraId="6E2766C2" w14:textId="77777777" w:rsidTr="00E2546A">
        <w:tblPrEx>
          <w:tblW w:w="10165" w:type="dxa"/>
          <w:tblLook w:val="04A0"/>
        </w:tblPrEx>
        <w:tc>
          <w:tcPr>
            <w:tcW w:w="10165" w:type="dxa"/>
            <w:gridSpan w:val="5"/>
          </w:tcPr>
          <w:p w:rsidR="00447971" w:rsidRPr="002223A2" w:rsidP="00447971" w14:paraId="12C36C88" w14:textId="77777777">
            <w:pPr>
              <w:rPr>
                <w:rStyle w:val="StyleAptos10ptBold"/>
              </w:rPr>
            </w:pPr>
            <w:r w:rsidRPr="002223A2">
              <w:rPr>
                <w:rStyle w:val="StyleAptos10ptBold"/>
              </w:rPr>
              <w:t>Disclosure Burden</w:t>
            </w:r>
          </w:p>
        </w:tc>
      </w:tr>
      <w:tr w14:paraId="7104BA5B" w14:textId="77777777" w:rsidTr="00E2546A">
        <w:tblPrEx>
          <w:tblW w:w="10165" w:type="dxa"/>
          <w:tblLook w:val="04A0"/>
        </w:tblPrEx>
        <w:tc>
          <w:tcPr>
            <w:tcW w:w="2695" w:type="dxa"/>
          </w:tcPr>
          <w:p w:rsidR="00447971" w:rsidRPr="002223A2" w:rsidP="00447971" w14:paraId="789E1A02" w14:textId="77777777">
            <w:pPr>
              <w:rPr>
                <w:rStyle w:val="StyleAptos10pt"/>
              </w:rPr>
            </w:pPr>
            <w:r w:rsidRPr="002223A2">
              <w:rPr>
                <w:rStyle w:val="StyleAptos10pt"/>
              </w:rPr>
              <w:t>Section 15.11(e)(1)</w:t>
            </w:r>
          </w:p>
        </w:tc>
        <w:tc>
          <w:tcPr>
            <w:tcW w:w="1530" w:type="dxa"/>
          </w:tcPr>
          <w:p w:rsidR="00447971" w:rsidRPr="002223A2" w:rsidP="00447971" w14:paraId="6458B08A" w14:textId="77777777">
            <w:pPr>
              <w:jc w:val="center"/>
              <w:rPr>
                <w:rStyle w:val="StyleAptos10pt"/>
              </w:rPr>
            </w:pPr>
            <w:r w:rsidRPr="002223A2">
              <w:rPr>
                <w:rStyle w:val="StyleAptos10pt"/>
              </w:rPr>
              <w:t>39</w:t>
            </w:r>
          </w:p>
        </w:tc>
        <w:tc>
          <w:tcPr>
            <w:tcW w:w="1710" w:type="dxa"/>
          </w:tcPr>
          <w:p w:rsidR="00447971" w:rsidRPr="002223A2" w:rsidP="00447971" w14:paraId="39799B0A" w14:textId="77777777">
            <w:pPr>
              <w:jc w:val="center"/>
              <w:rPr>
                <w:rStyle w:val="StyleAptos10pt"/>
              </w:rPr>
            </w:pPr>
            <w:r w:rsidRPr="002223A2">
              <w:rPr>
                <w:rStyle w:val="StyleAptos10pt"/>
              </w:rPr>
              <w:t>12</w:t>
            </w:r>
          </w:p>
        </w:tc>
        <w:tc>
          <w:tcPr>
            <w:tcW w:w="1890" w:type="dxa"/>
          </w:tcPr>
          <w:p w:rsidR="00447971" w:rsidRPr="002223A2" w:rsidP="00447971" w14:paraId="093DA09C" w14:textId="77777777">
            <w:pPr>
              <w:jc w:val="center"/>
              <w:rPr>
                <w:rStyle w:val="StyleAptos10pt"/>
              </w:rPr>
            </w:pPr>
            <w:r w:rsidRPr="002223A2">
              <w:rPr>
                <w:rStyle w:val="StyleAptos10pt"/>
              </w:rPr>
              <w:t>8</w:t>
            </w:r>
          </w:p>
        </w:tc>
        <w:tc>
          <w:tcPr>
            <w:tcW w:w="2340" w:type="dxa"/>
          </w:tcPr>
          <w:p w:rsidR="00447971" w:rsidRPr="002223A2" w:rsidP="00447971" w14:paraId="1C472936" w14:textId="77777777">
            <w:pPr>
              <w:jc w:val="center"/>
              <w:rPr>
                <w:rStyle w:val="StyleAptos10pt"/>
              </w:rPr>
            </w:pPr>
            <w:r w:rsidRPr="002223A2">
              <w:rPr>
                <w:rStyle w:val="StyleAptos10pt"/>
              </w:rPr>
              <w:t>3,744</w:t>
            </w:r>
          </w:p>
        </w:tc>
      </w:tr>
      <w:tr w14:paraId="058F671F" w14:textId="77777777" w:rsidTr="00E2546A">
        <w:tblPrEx>
          <w:tblW w:w="10165" w:type="dxa"/>
          <w:tblLook w:val="04A0"/>
        </w:tblPrEx>
        <w:tc>
          <w:tcPr>
            <w:tcW w:w="2695" w:type="dxa"/>
          </w:tcPr>
          <w:p w:rsidR="00447971" w:rsidRPr="002223A2" w:rsidP="00447971" w14:paraId="5D6E28AC" w14:textId="77777777">
            <w:pPr>
              <w:rPr>
                <w:rStyle w:val="StyleAptos10pt"/>
              </w:rPr>
            </w:pPr>
            <w:r w:rsidRPr="002223A2">
              <w:rPr>
                <w:rStyle w:val="StyleAptos10pt"/>
              </w:rPr>
              <w:t>Section 15.12(b)</w:t>
            </w:r>
          </w:p>
        </w:tc>
        <w:tc>
          <w:tcPr>
            <w:tcW w:w="1530" w:type="dxa"/>
          </w:tcPr>
          <w:p w:rsidR="00447971" w:rsidRPr="002223A2" w:rsidP="00447971" w14:paraId="661B32D0" w14:textId="77777777">
            <w:pPr>
              <w:jc w:val="center"/>
              <w:rPr>
                <w:rStyle w:val="StyleAptos10pt"/>
              </w:rPr>
            </w:pPr>
            <w:r w:rsidRPr="002223A2">
              <w:rPr>
                <w:rStyle w:val="StyleAptos10pt"/>
              </w:rPr>
              <w:t>39</w:t>
            </w:r>
          </w:p>
        </w:tc>
        <w:tc>
          <w:tcPr>
            <w:tcW w:w="1710" w:type="dxa"/>
          </w:tcPr>
          <w:p w:rsidR="00447971" w:rsidRPr="002223A2" w:rsidP="00447971" w14:paraId="3C7937B8" w14:textId="77777777">
            <w:pPr>
              <w:jc w:val="center"/>
              <w:rPr>
                <w:rStyle w:val="StyleAptos10pt"/>
              </w:rPr>
            </w:pPr>
            <w:r w:rsidRPr="002223A2">
              <w:rPr>
                <w:rStyle w:val="StyleAptos10pt"/>
              </w:rPr>
              <w:t>1</w:t>
            </w:r>
          </w:p>
        </w:tc>
        <w:tc>
          <w:tcPr>
            <w:tcW w:w="1890" w:type="dxa"/>
          </w:tcPr>
          <w:p w:rsidR="00447971" w:rsidRPr="002223A2" w:rsidP="00447971" w14:paraId="115B65BD" w14:textId="77777777">
            <w:pPr>
              <w:jc w:val="center"/>
              <w:rPr>
                <w:rStyle w:val="StyleAptos10pt"/>
              </w:rPr>
            </w:pPr>
            <w:r w:rsidRPr="002223A2">
              <w:rPr>
                <w:rStyle w:val="StyleAptos10pt"/>
              </w:rPr>
              <w:t>0.5</w:t>
            </w:r>
          </w:p>
        </w:tc>
        <w:tc>
          <w:tcPr>
            <w:tcW w:w="2340" w:type="dxa"/>
          </w:tcPr>
          <w:p w:rsidR="00447971" w:rsidRPr="002223A2" w:rsidP="00447971" w14:paraId="7A5AB99B" w14:textId="77777777">
            <w:pPr>
              <w:jc w:val="center"/>
              <w:rPr>
                <w:rStyle w:val="StyleAptos10pt"/>
              </w:rPr>
            </w:pPr>
            <w:r w:rsidRPr="002223A2">
              <w:rPr>
                <w:rStyle w:val="StyleAptos10pt"/>
              </w:rPr>
              <w:t>19.5</w:t>
            </w:r>
          </w:p>
        </w:tc>
      </w:tr>
      <w:tr w14:paraId="03D08DBA" w14:textId="77777777" w:rsidTr="00E2546A">
        <w:tblPrEx>
          <w:tblW w:w="10165" w:type="dxa"/>
          <w:tblLook w:val="04A0"/>
        </w:tblPrEx>
        <w:tc>
          <w:tcPr>
            <w:tcW w:w="2695" w:type="dxa"/>
          </w:tcPr>
          <w:p w:rsidR="00447971" w:rsidRPr="002223A2" w:rsidP="00447971" w14:paraId="6973D4D2" w14:textId="77777777">
            <w:pPr>
              <w:rPr>
                <w:rStyle w:val="StyleAptos10pt"/>
              </w:rPr>
            </w:pPr>
            <w:r w:rsidRPr="002223A2">
              <w:rPr>
                <w:rStyle w:val="StyleAptos10pt"/>
              </w:rPr>
              <w:t>Section 15.12(e)</w:t>
            </w:r>
          </w:p>
        </w:tc>
        <w:tc>
          <w:tcPr>
            <w:tcW w:w="1530" w:type="dxa"/>
          </w:tcPr>
          <w:p w:rsidR="00447971" w:rsidRPr="002223A2" w:rsidP="00447971" w14:paraId="1BB85DD9" w14:textId="77777777">
            <w:pPr>
              <w:jc w:val="center"/>
              <w:rPr>
                <w:rStyle w:val="StyleAptos10pt"/>
              </w:rPr>
            </w:pPr>
            <w:r w:rsidRPr="002223A2">
              <w:rPr>
                <w:rStyle w:val="StyleAptos10pt"/>
              </w:rPr>
              <w:t>39</w:t>
            </w:r>
          </w:p>
        </w:tc>
        <w:tc>
          <w:tcPr>
            <w:tcW w:w="1710" w:type="dxa"/>
          </w:tcPr>
          <w:p w:rsidR="00447971" w:rsidRPr="002223A2" w:rsidP="00447971" w14:paraId="0AF51458" w14:textId="77777777">
            <w:pPr>
              <w:jc w:val="center"/>
              <w:rPr>
                <w:rStyle w:val="StyleAptos10pt"/>
              </w:rPr>
            </w:pPr>
            <w:r w:rsidRPr="002223A2">
              <w:rPr>
                <w:rStyle w:val="StyleAptos10pt"/>
              </w:rPr>
              <w:t>1</w:t>
            </w:r>
          </w:p>
        </w:tc>
        <w:tc>
          <w:tcPr>
            <w:tcW w:w="1890" w:type="dxa"/>
          </w:tcPr>
          <w:p w:rsidR="00447971" w:rsidRPr="002223A2" w:rsidP="00447971" w14:paraId="771A2485" w14:textId="77777777">
            <w:pPr>
              <w:jc w:val="center"/>
              <w:rPr>
                <w:rStyle w:val="StyleAptos10pt"/>
              </w:rPr>
            </w:pPr>
            <w:r w:rsidRPr="002223A2">
              <w:rPr>
                <w:rStyle w:val="StyleAptos10pt"/>
              </w:rPr>
              <w:t>1</w:t>
            </w:r>
          </w:p>
        </w:tc>
        <w:tc>
          <w:tcPr>
            <w:tcW w:w="2340" w:type="dxa"/>
          </w:tcPr>
          <w:p w:rsidR="00447971" w:rsidRPr="002223A2" w:rsidP="00447971" w14:paraId="40F7F721" w14:textId="77777777">
            <w:pPr>
              <w:jc w:val="center"/>
              <w:rPr>
                <w:rStyle w:val="StyleAptos10pt"/>
              </w:rPr>
            </w:pPr>
            <w:r w:rsidRPr="002223A2">
              <w:rPr>
                <w:rStyle w:val="StyleAptos10pt"/>
              </w:rPr>
              <w:t>39</w:t>
            </w:r>
          </w:p>
        </w:tc>
      </w:tr>
      <w:tr w14:paraId="33A1D15D" w14:textId="77777777" w:rsidTr="00E2546A">
        <w:tblPrEx>
          <w:tblW w:w="10165" w:type="dxa"/>
          <w:tblLook w:val="04A0"/>
        </w:tblPrEx>
        <w:tc>
          <w:tcPr>
            <w:tcW w:w="2695" w:type="dxa"/>
          </w:tcPr>
          <w:p w:rsidR="00447971" w:rsidRPr="002223A2" w:rsidP="00447971" w14:paraId="72D9B8C9" w14:textId="77777777">
            <w:pPr>
              <w:rPr>
                <w:rStyle w:val="StyleAptos10pt"/>
              </w:rPr>
            </w:pPr>
            <w:r w:rsidRPr="002223A2">
              <w:rPr>
                <w:rStyle w:val="StyleAptos10pt"/>
              </w:rPr>
              <w:t>Section 15.14(l)</w:t>
            </w:r>
          </w:p>
        </w:tc>
        <w:tc>
          <w:tcPr>
            <w:tcW w:w="1530" w:type="dxa"/>
          </w:tcPr>
          <w:p w:rsidR="00447971" w:rsidRPr="002223A2" w:rsidP="00447971" w14:paraId="2592FB45" w14:textId="77777777">
            <w:pPr>
              <w:jc w:val="center"/>
              <w:rPr>
                <w:rStyle w:val="StyleAptos10pt"/>
              </w:rPr>
            </w:pPr>
            <w:r w:rsidRPr="002223A2">
              <w:rPr>
                <w:rStyle w:val="StyleAptos10pt"/>
              </w:rPr>
              <w:t>1</w:t>
            </w:r>
          </w:p>
        </w:tc>
        <w:tc>
          <w:tcPr>
            <w:tcW w:w="1710" w:type="dxa"/>
          </w:tcPr>
          <w:p w:rsidR="00447971" w:rsidRPr="002223A2" w:rsidP="00447971" w14:paraId="12BE5079" w14:textId="77777777">
            <w:pPr>
              <w:jc w:val="center"/>
              <w:rPr>
                <w:rStyle w:val="StyleAptos10pt"/>
              </w:rPr>
            </w:pPr>
            <w:r w:rsidRPr="002223A2">
              <w:rPr>
                <w:rStyle w:val="StyleAptos10pt"/>
              </w:rPr>
              <w:t>1</w:t>
            </w:r>
          </w:p>
        </w:tc>
        <w:tc>
          <w:tcPr>
            <w:tcW w:w="1890" w:type="dxa"/>
          </w:tcPr>
          <w:p w:rsidR="00447971" w:rsidRPr="002223A2" w:rsidP="00447971" w14:paraId="2A21F399" w14:textId="77777777">
            <w:pPr>
              <w:jc w:val="center"/>
              <w:rPr>
                <w:rStyle w:val="StyleAptos10pt"/>
              </w:rPr>
            </w:pPr>
            <w:r w:rsidRPr="002223A2">
              <w:rPr>
                <w:rStyle w:val="StyleAptos10pt"/>
              </w:rPr>
              <w:t>8</w:t>
            </w:r>
          </w:p>
        </w:tc>
        <w:tc>
          <w:tcPr>
            <w:tcW w:w="2340" w:type="dxa"/>
          </w:tcPr>
          <w:p w:rsidR="00447971" w:rsidRPr="002223A2" w:rsidP="00447971" w14:paraId="738AEC8D" w14:textId="77777777">
            <w:pPr>
              <w:jc w:val="center"/>
              <w:rPr>
                <w:rStyle w:val="StyleAptos10pt"/>
              </w:rPr>
            </w:pPr>
            <w:r w:rsidRPr="002223A2">
              <w:rPr>
                <w:rStyle w:val="StyleAptos10pt"/>
              </w:rPr>
              <w:t>8</w:t>
            </w:r>
          </w:p>
        </w:tc>
      </w:tr>
      <w:tr w14:paraId="48EAE4D6" w14:textId="77777777" w:rsidTr="00E2546A">
        <w:tblPrEx>
          <w:tblW w:w="10165" w:type="dxa"/>
          <w:tblLook w:val="04A0"/>
        </w:tblPrEx>
        <w:tc>
          <w:tcPr>
            <w:tcW w:w="2695" w:type="dxa"/>
          </w:tcPr>
          <w:p w:rsidR="00447971" w:rsidRPr="002223A2" w:rsidP="00447971" w14:paraId="61E9A53D" w14:textId="77777777">
            <w:pPr>
              <w:rPr>
                <w:rStyle w:val="StyleAptos10pt"/>
              </w:rPr>
            </w:pPr>
            <w:r w:rsidRPr="002223A2">
              <w:rPr>
                <w:rStyle w:val="StyleAptos10pt"/>
              </w:rPr>
              <w:t>Section 15.14(2)(i)</w:t>
            </w:r>
          </w:p>
        </w:tc>
        <w:tc>
          <w:tcPr>
            <w:tcW w:w="1530" w:type="dxa"/>
          </w:tcPr>
          <w:p w:rsidR="00447971" w:rsidRPr="002223A2" w:rsidP="00447971" w14:paraId="5B7507CD" w14:textId="77777777">
            <w:pPr>
              <w:jc w:val="center"/>
              <w:rPr>
                <w:rStyle w:val="StyleAptos10pt"/>
              </w:rPr>
            </w:pPr>
            <w:r w:rsidRPr="002223A2">
              <w:rPr>
                <w:rStyle w:val="StyleAptos10pt"/>
              </w:rPr>
              <w:t>1</w:t>
            </w:r>
          </w:p>
        </w:tc>
        <w:tc>
          <w:tcPr>
            <w:tcW w:w="1710" w:type="dxa"/>
          </w:tcPr>
          <w:p w:rsidR="00447971" w:rsidRPr="002223A2" w:rsidP="00447971" w14:paraId="33B919DE" w14:textId="77777777">
            <w:pPr>
              <w:jc w:val="center"/>
              <w:rPr>
                <w:rStyle w:val="StyleAptos10pt"/>
              </w:rPr>
            </w:pPr>
            <w:r w:rsidRPr="002223A2">
              <w:rPr>
                <w:rStyle w:val="StyleAptos10pt"/>
              </w:rPr>
              <w:t>1</w:t>
            </w:r>
          </w:p>
        </w:tc>
        <w:tc>
          <w:tcPr>
            <w:tcW w:w="1890" w:type="dxa"/>
          </w:tcPr>
          <w:p w:rsidR="00447971" w:rsidRPr="002223A2" w:rsidP="00447971" w14:paraId="5F221DAF" w14:textId="77777777">
            <w:pPr>
              <w:jc w:val="center"/>
              <w:rPr>
                <w:rStyle w:val="StyleAptos10pt"/>
              </w:rPr>
            </w:pPr>
            <w:r w:rsidRPr="002223A2">
              <w:rPr>
                <w:rStyle w:val="StyleAptos10pt"/>
              </w:rPr>
              <w:t>8</w:t>
            </w:r>
          </w:p>
        </w:tc>
        <w:tc>
          <w:tcPr>
            <w:tcW w:w="2340" w:type="dxa"/>
          </w:tcPr>
          <w:p w:rsidR="00447971" w:rsidRPr="002223A2" w:rsidP="00447971" w14:paraId="3AD999B7" w14:textId="77777777">
            <w:pPr>
              <w:jc w:val="center"/>
              <w:rPr>
                <w:rStyle w:val="StyleAptos10pt"/>
              </w:rPr>
            </w:pPr>
            <w:r w:rsidRPr="002223A2">
              <w:rPr>
                <w:rStyle w:val="StyleAptos10pt"/>
              </w:rPr>
              <w:t>8</w:t>
            </w:r>
          </w:p>
        </w:tc>
      </w:tr>
      <w:tr w14:paraId="6423B0A1" w14:textId="77777777" w:rsidTr="00E2546A">
        <w:tblPrEx>
          <w:tblW w:w="10165" w:type="dxa"/>
          <w:tblLook w:val="04A0"/>
        </w:tblPrEx>
        <w:tc>
          <w:tcPr>
            <w:tcW w:w="2695" w:type="dxa"/>
          </w:tcPr>
          <w:p w:rsidR="00447971" w:rsidRPr="002223A2" w:rsidP="00447971" w14:paraId="7659BA09" w14:textId="77777777">
            <w:pPr>
              <w:rPr>
                <w:rStyle w:val="StyleAptos10pt"/>
              </w:rPr>
            </w:pPr>
            <w:r w:rsidRPr="002223A2">
              <w:rPr>
                <w:rStyle w:val="StyleAptos10pt"/>
              </w:rPr>
              <w:t>Section 15.22(b)</w:t>
            </w:r>
          </w:p>
        </w:tc>
        <w:tc>
          <w:tcPr>
            <w:tcW w:w="1530" w:type="dxa"/>
          </w:tcPr>
          <w:p w:rsidR="00447971" w:rsidRPr="002223A2" w:rsidP="00447971" w14:paraId="6B42D25E" w14:textId="77777777">
            <w:pPr>
              <w:jc w:val="center"/>
              <w:rPr>
                <w:rStyle w:val="StyleAptos10pt"/>
              </w:rPr>
            </w:pPr>
            <w:r w:rsidRPr="002223A2">
              <w:rPr>
                <w:rStyle w:val="StyleAptos10pt"/>
              </w:rPr>
              <w:t>1</w:t>
            </w:r>
          </w:p>
        </w:tc>
        <w:tc>
          <w:tcPr>
            <w:tcW w:w="1710" w:type="dxa"/>
          </w:tcPr>
          <w:p w:rsidR="00447971" w:rsidRPr="002223A2" w:rsidP="00447971" w14:paraId="7D8D5DF3" w14:textId="77777777">
            <w:pPr>
              <w:jc w:val="center"/>
              <w:rPr>
                <w:rStyle w:val="StyleAptos10pt"/>
              </w:rPr>
            </w:pPr>
            <w:r w:rsidRPr="002223A2">
              <w:rPr>
                <w:rStyle w:val="StyleAptos10pt"/>
              </w:rPr>
              <w:t>1</w:t>
            </w:r>
          </w:p>
        </w:tc>
        <w:tc>
          <w:tcPr>
            <w:tcW w:w="1890" w:type="dxa"/>
          </w:tcPr>
          <w:p w:rsidR="00447971" w:rsidRPr="002223A2" w:rsidP="00447971" w14:paraId="335A3295" w14:textId="77777777">
            <w:pPr>
              <w:jc w:val="center"/>
              <w:rPr>
                <w:rStyle w:val="StyleAptos10pt"/>
              </w:rPr>
            </w:pPr>
            <w:r w:rsidRPr="002223A2">
              <w:rPr>
                <w:rStyle w:val="StyleAptos10pt"/>
              </w:rPr>
              <w:t>1</w:t>
            </w:r>
          </w:p>
        </w:tc>
        <w:tc>
          <w:tcPr>
            <w:tcW w:w="2340" w:type="dxa"/>
          </w:tcPr>
          <w:p w:rsidR="00447971" w:rsidRPr="002223A2" w:rsidP="00447971" w14:paraId="265348FC" w14:textId="77777777">
            <w:pPr>
              <w:jc w:val="center"/>
              <w:rPr>
                <w:rStyle w:val="StyleAptos10pt"/>
              </w:rPr>
            </w:pPr>
            <w:r w:rsidRPr="002223A2">
              <w:rPr>
                <w:rStyle w:val="StyleAptos10pt"/>
              </w:rPr>
              <w:t>1</w:t>
            </w:r>
          </w:p>
        </w:tc>
      </w:tr>
      <w:tr w14:paraId="46ACE284" w14:textId="77777777" w:rsidTr="00E2546A">
        <w:tblPrEx>
          <w:tblW w:w="10165" w:type="dxa"/>
          <w:tblLook w:val="04A0"/>
        </w:tblPrEx>
        <w:tc>
          <w:tcPr>
            <w:tcW w:w="2695" w:type="dxa"/>
          </w:tcPr>
          <w:p w:rsidR="00447971" w:rsidRPr="002223A2" w:rsidP="00447971" w14:paraId="483BFC76" w14:textId="77777777">
            <w:pPr>
              <w:rPr>
                <w:rStyle w:val="StyleAptos10pt"/>
              </w:rPr>
            </w:pPr>
            <w:r w:rsidRPr="002223A2">
              <w:rPr>
                <w:rStyle w:val="StyleAptos10pt"/>
              </w:rPr>
              <w:t>Section 15.32(e)(1) and (2)</w:t>
            </w:r>
          </w:p>
        </w:tc>
        <w:tc>
          <w:tcPr>
            <w:tcW w:w="1530" w:type="dxa"/>
          </w:tcPr>
          <w:p w:rsidR="00447971" w:rsidRPr="002223A2" w:rsidP="00447971" w14:paraId="40510AE4" w14:textId="77777777">
            <w:pPr>
              <w:jc w:val="center"/>
              <w:rPr>
                <w:rStyle w:val="StyleAptos10pt"/>
              </w:rPr>
            </w:pPr>
            <w:r w:rsidRPr="002223A2">
              <w:rPr>
                <w:rStyle w:val="StyleAptos10pt"/>
              </w:rPr>
              <w:t>1</w:t>
            </w:r>
          </w:p>
        </w:tc>
        <w:tc>
          <w:tcPr>
            <w:tcW w:w="1710" w:type="dxa"/>
          </w:tcPr>
          <w:p w:rsidR="00447971" w:rsidRPr="002223A2" w:rsidP="00447971" w14:paraId="001BA65F" w14:textId="77777777">
            <w:pPr>
              <w:jc w:val="center"/>
              <w:rPr>
                <w:rStyle w:val="StyleAptos10pt"/>
              </w:rPr>
            </w:pPr>
            <w:r w:rsidRPr="002223A2">
              <w:rPr>
                <w:rStyle w:val="StyleAptos10pt"/>
              </w:rPr>
              <w:t>1</w:t>
            </w:r>
          </w:p>
        </w:tc>
        <w:tc>
          <w:tcPr>
            <w:tcW w:w="1890" w:type="dxa"/>
          </w:tcPr>
          <w:p w:rsidR="00447971" w:rsidRPr="002223A2" w:rsidP="00447971" w14:paraId="3FCA4050" w14:textId="77777777">
            <w:pPr>
              <w:jc w:val="center"/>
              <w:rPr>
                <w:rStyle w:val="StyleAptos10pt"/>
              </w:rPr>
            </w:pPr>
            <w:r w:rsidRPr="002223A2">
              <w:rPr>
                <w:rStyle w:val="StyleAptos10pt"/>
              </w:rPr>
              <w:t>1</w:t>
            </w:r>
          </w:p>
        </w:tc>
        <w:tc>
          <w:tcPr>
            <w:tcW w:w="2340" w:type="dxa"/>
          </w:tcPr>
          <w:p w:rsidR="00447971" w:rsidRPr="002223A2" w:rsidP="00447971" w14:paraId="4D120093" w14:textId="77777777">
            <w:pPr>
              <w:jc w:val="center"/>
              <w:rPr>
                <w:rStyle w:val="StyleAptos10pt"/>
              </w:rPr>
            </w:pPr>
            <w:r w:rsidRPr="002223A2">
              <w:rPr>
                <w:rStyle w:val="StyleAptos10pt"/>
              </w:rPr>
              <w:t>1</w:t>
            </w:r>
          </w:p>
        </w:tc>
      </w:tr>
      <w:tr w14:paraId="0BCB34B3" w14:textId="77777777" w:rsidTr="00E2546A">
        <w:tblPrEx>
          <w:tblW w:w="10165" w:type="dxa"/>
          <w:tblLook w:val="04A0"/>
        </w:tblPrEx>
        <w:tc>
          <w:tcPr>
            <w:tcW w:w="10165" w:type="dxa"/>
            <w:gridSpan w:val="5"/>
            <w:tcBorders>
              <w:bottom w:val="nil"/>
            </w:tcBorders>
          </w:tcPr>
          <w:p w:rsidR="00447971" w:rsidRPr="002223A2" w:rsidP="00447971" w14:paraId="717AB6FE" w14:textId="77777777">
            <w:pPr>
              <w:rPr>
                <w:rStyle w:val="StyleAptos10ptBoldItalic"/>
              </w:rPr>
            </w:pPr>
            <w:r w:rsidRPr="002223A2">
              <w:rPr>
                <w:rStyle w:val="StyleAptos10ptBoldItalic"/>
              </w:rPr>
              <w:t>Total Disclosure Burden                                                                                                                                  3,821 (rounded)</w:t>
            </w:r>
          </w:p>
        </w:tc>
      </w:tr>
      <w:tr w14:paraId="698C3154" w14:textId="77777777" w:rsidTr="00E2546A">
        <w:tblPrEx>
          <w:tblW w:w="10165" w:type="dxa"/>
          <w:tblLook w:val="04A0"/>
        </w:tblPrEx>
        <w:tc>
          <w:tcPr>
            <w:tcW w:w="10165" w:type="dxa"/>
            <w:gridSpan w:val="5"/>
            <w:tcBorders>
              <w:top w:val="nil"/>
              <w:bottom w:val="nil"/>
            </w:tcBorders>
          </w:tcPr>
          <w:p w:rsidR="00447971" w:rsidRPr="00AB1885" w:rsidP="00447971" w14:paraId="0DB16569" w14:textId="77777777">
            <w:pPr>
              <w:rPr>
                <w:rFonts w:ascii="Times New Roman" w:hAnsi="Times New Roman" w:cs="Times New Roman"/>
                <w:b/>
                <w:bCs/>
                <w:i/>
                <w:iCs/>
                <w:sz w:val="20"/>
              </w:rPr>
            </w:pPr>
          </w:p>
        </w:tc>
      </w:tr>
      <w:tr w14:paraId="3E5684CB" w14:textId="77777777" w:rsidTr="00E2546A">
        <w:tblPrEx>
          <w:tblW w:w="10165" w:type="dxa"/>
          <w:tblLook w:val="04A0"/>
        </w:tblPrEx>
        <w:tc>
          <w:tcPr>
            <w:tcW w:w="10165" w:type="dxa"/>
            <w:gridSpan w:val="5"/>
            <w:tcBorders>
              <w:top w:val="nil"/>
              <w:bottom w:val="nil"/>
            </w:tcBorders>
          </w:tcPr>
          <w:p w:rsidR="00447971" w:rsidRPr="002223A2" w:rsidP="00447971" w14:paraId="424D4898" w14:textId="292C5708">
            <w:pPr>
              <w:rPr>
                <w:rStyle w:val="StyleAptos10ptBoldItalic"/>
              </w:rPr>
            </w:pPr>
            <w:r w:rsidRPr="002223A2">
              <w:rPr>
                <w:rStyle w:val="StyleAptos10ptBoldItalic"/>
              </w:rPr>
              <w:t>Total Ongoing Compliance                                                                                                                             19,849</w:t>
            </w:r>
          </w:p>
          <w:p w:rsidR="00447971" w:rsidRPr="00AB1885" w:rsidP="00447971" w14:paraId="29E6CA55" w14:textId="77777777">
            <w:pPr>
              <w:rPr>
                <w:rFonts w:ascii="Times New Roman" w:hAnsi="Times New Roman" w:cs="Times New Roman"/>
                <w:b/>
                <w:bCs/>
                <w:i/>
                <w:iCs/>
                <w:sz w:val="20"/>
              </w:rPr>
            </w:pPr>
          </w:p>
          <w:p w:rsidR="00447971" w:rsidRPr="002223A2" w:rsidP="00447971" w14:paraId="15ECF3ED" w14:textId="25138608">
            <w:pPr>
              <w:rPr>
                <w:rStyle w:val="StyleAptos10ptBoldItalic"/>
              </w:rPr>
            </w:pPr>
            <w:r w:rsidRPr="002223A2">
              <w:rPr>
                <w:rStyle w:val="StyleAptos10ptBoldItalic"/>
              </w:rPr>
              <w:t xml:space="preserve">Grand Total                                                                                                                                                     </w:t>
            </w:r>
            <w:r w:rsidRPr="002223A2" w:rsidR="00292702">
              <w:rPr>
                <w:rStyle w:val="StyleAptos10ptBoldItalic"/>
              </w:rPr>
              <w:t xml:space="preserve"> </w:t>
            </w:r>
            <w:r w:rsidRPr="002223A2">
              <w:rPr>
                <w:rStyle w:val="StyleAptos10ptBoldItalic"/>
              </w:rPr>
              <w:t xml:space="preserve">89,137 </w:t>
            </w:r>
          </w:p>
        </w:tc>
      </w:tr>
      <w:tr w14:paraId="32B1CA38" w14:textId="77777777" w:rsidTr="00E2546A">
        <w:tblPrEx>
          <w:tblW w:w="10165" w:type="dxa"/>
          <w:tblLook w:val="04A0"/>
        </w:tblPrEx>
        <w:tc>
          <w:tcPr>
            <w:tcW w:w="10165" w:type="dxa"/>
            <w:gridSpan w:val="5"/>
            <w:tcBorders>
              <w:top w:val="nil"/>
            </w:tcBorders>
          </w:tcPr>
          <w:p w:rsidR="00447971" w:rsidRPr="00AB1885" w:rsidP="00447971" w14:paraId="18313458" w14:textId="77777777">
            <w:pPr>
              <w:jc w:val="center"/>
              <w:rPr>
                <w:rFonts w:ascii="Times New Roman" w:hAnsi="Times New Roman" w:cs="Times New Roman"/>
                <w:sz w:val="20"/>
              </w:rPr>
            </w:pPr>
          </w:p>
        </w:tc>
      </w:tr>
    </w:tbl>
    <w:p w:rsidR="00447971" w:rsidRPr="00447971" w:rsidP="00447971" w14:paraId="69A78D4C" w14:textId="77777777">
      <w:pPr>
        <w:spacing w:after="160" w:line="278" w:lineRule="auto"/>
        <w:rPr>
          <w:i/>
          <w:szCs w:val="22"/>
        </w:rPr>
      </w:pPr>
      <w:r w:rsidRPr="00447971">
        <w:rPr>
          <w:i/>
          <w:szCs w:val="22"/>
        </w:rPr>
        <w:t xml:space="preserve">Total estimated annual burden hours: </w:t>
      </w:r>
      <w:r w:rsidRPr="00447971">
        <w:rPr>
          <w:szCs w:val="22"/>
        </w:rPr>
        <w:t>89,137 (69,288 hours for initial setup and 19,849 hours for ongoing compliance).</w:t>
      </w:r>
    </w:p>
    <w:p w:rsidR="00C17E40" w:rsidRPr="00EF69A4" w:rsidP="00C17E40" w14:paraId="765E8699" w14:textId="77777777">
      <w:pPr>
        <w:rPr>
          <w:sz w:val="20"/>
        </w:rPr>
      </w:pPr>
    </w:p>
    <w:p w:rsidR="00B94181" w:rsidRPr="00F17C93" w:rsidP="00AD02D9" w14:paraId="235E9485" w14:textId="77777777">
      <w:pPr>
        <w:tabs>
          <w:tab w:val="left" w:pos="7290"/>
        </w:tabs>
        <w:ind w:right="-90"/>
        <w:rPr>
          <w:b/>
          <w:szCs w:val="24"/>
        </w:rPr>
      </w:pPr>
      <w:r w:rsidRPr="00F17C93">
        <w:rPr>
          <w:b/>
          <w:szCs w:val="24"/>
        </w:rPr>
        <w:t>Cost of Hour Burden:</w:t>
      </w:r>
    </w:p>
    <w:p w:rsidR="00B94181" w:rsidRPr="00F17C93" w:rsidP="00AD02D9" w14:paraId="7E746C62" w14:textId="77777777">
      <w:pPr>
        <w:tabs>
          <w:tab w:val="left" w:pos="7290"/>
        </w:tabs>
        <w:ind w:right="-90"/>
        <w:rPr>
          <w:b/>
          <w:szCs w:val="24"/>
        </w:rPr>
      </w:pPr>
    </w:p>
    <w:p w:rsidR="00B94181" w:rsidRPr="00F17C93" w:rsidP="00AD02D9" w14:paraId="536EE309" w14:textId="5ACACBF9">
      <w:pPr>
        <w:tabs>
          <w:tab w:val="left" w:pos="7290"/>
        </w:tabs>
        <w:ind w:right="-90"/>
        <w:rPr>
          <w:b/>
          <w:szCs w:val="24"/>
        </w:rPr>
      </w:pPr>
      <w:r>
        <w:rPr>
          <w:b/>
          <w:bCs/>
          <w:szCs w:val="24"/>
        </w:rPr>
        <w:t>89</w:t>
      </w:r>
      <w:r w:rsidR="00FB1892">
        <w:rPr>
          <w:b/>
          <w:bCs/>
          <w:szCs w:val="24"/>
        </w:rPr>
        <w:t>,</w:t>
      </w:r>
      <w:r>
        <w:rPr>
          <w:b/>
          <w:bCs/>
          <w:szCs w:val="24"/>
        </w:rPr>
        <w:t>137</w:t>
      </w:r>
      <w:r w:rsidR="00FB1892">
        <w:rPr>
          <w:b/>
          <w:bCs/>
          <w:szCs w:val="24"/>
        </w:rPr>
        <w:t xml:space="preserve"> hours</w:t>
      </w:r>
      <w:r w:rsidR="00210B53">
        <w:rPr>
          <w:b/>
          <w:bCs/>
          <w:sz w:val="20"/>
        </w:rPr>
        <w:t xml:space="preserve"> </w:t>
      </w:r>
      <w:r w:rsidR="00FC12D0">
        <w:rPr>
          <w:b/>
          <w:szCs w:val="24"/>
        </w:rPr>
        <w:t>x $ 1</w:t>
      </w:r>
      <w:r>
        <w:rPr>
          <w:b/>
          <w:szCs w:val="24"/>
        </w:rPr>
        <w:t>58</w:t>
      </w:r>
      <w:r w:rsidR="00495DD3">
        <w:rPr>
          <w:b/>
          <w:szCs w:val="24"/>
        </w:rPr>
        <w:t>.</w:t>
      </w:r>
      <w:r>
        <w:rPr>
          <w:b/>
          <w:szCs w:val="24"/>
        </w:rPr>
        <w:t>73</w:t>
      </w:r>
      <w:r w:rsidRPr="00F17C93" w:rsidR="00F17C93">
        <w:rPr>
          <w:b/>
          <w:szCs w:val="24"/>
        </w:rPr>
        <w:t xml:space="preserve"> =</w:t>
      </w:r>
      <w:r w:rsidR="00FC12D0">
        <w:rPr>
          <w:b/>
          <w:szCs w:val="24"/>
        </w:rPr>
        <w:t xml:space="preserve"> $ </w:t>
      </w:r>
      <w:r>
        <w:rPr>
          <w:b/>
          <w:szCs w:val="24"/>
        </w:rPr>
        <w:t>14</w:t>
      </w:r>
      <w:r w:rsidR="006909A7">
        <w:rPr>
          <w:b/>
          <w:szCs w:val="24"/>
        </w:rPr>
        <w:t>,</w:t>
      </w:r>
      <w:r>
        <w:rPr>
          <w:b/>
          <w:szCs w:val="24"/>
        </w:rPr>
        <w:t>148</w:t>
      </w:r>
      <w:r w:rsidR="00FB1892">
        <w:rPr>
          <w:b/>
          <w:szCs w:val="24"/>
        </w:rPr>
        <w:t>,</w:t>
      </w:r>
      <w:r>
        <w:rPr>
          <w:b/>
          <w:szCs w:val="24"/>
        </w:rPr>
        <w:t>716</w:t>
      </w:r>
      <w:r w:rsidR="006909A7">
        <w:rPr>
          <w:b/>
          <w:szCs w:val="24"/>
        </w:rPr>
        <w:t>.0</w:t>
      </w:r>
      <w:r>
        <w:rPr>
          <w:b/>
          <w:szCs w:val="24"/>
        </w:rPr>
        <w:t>1</w:t>
      </w:r>
    </w:p>
    <w:p w:rsidR="00B94181" w:rsidP="00AD02D9" w14:paraId="6008BECA" w14:textId="77777777">
      <w:pPr>
        <w:tabs>
          <w:tab w:val="left" w:pos="7290"/>
        </w:tabs>
        <w:ind w:right="-90"/>
        <w:rPr>
          <w:szCs w:val="24"/>
        </w:rPr>
      </w:pPr>
    </w:p>
    <w:p w:rsidR="00FB1892" w:rsidRPr="00447971" w:rsidP="00AB1885" w14:paraId="5E9994E9" w14:textId="476F9A29">
      <w:pPr>
        <w:ind w:firstLine="720"/>
        <w:rPr>
          <w:color w:val="000000"/>
          <w:szCs w:val="24"/>
        </w:rPr>
      </w:pPr>
      <w:r w:rsidRPr="00AB1885">
        <w:rPr>
          <w:color w:val="000000"/>
          <w:szCs w:val="24"/>
        </w:rPr>
        <w:t>To estimate wages the OCC reviewed May 2025 data for wages (by industry and occupation) from the U.S. Bureau of Labor Statistics (BLS) for credit intermediation and related activities (NAICS 5220A1).  To estimate compensation costs associated with the rule, the OCC uses $158.73 per hour, which is based on the average of the 90th percentile for six occupations adjusted for inflation (3.4 percent as of Q1 2026), plus an additional 35.3 percent for benefits (based on the percent of total compensation allocated to benefits as of Q4 2025 for NAICS 522: credit intermediation and related activities</w:t>
      </w:r>
      <w:r w:rsidRPr="00AB1885">
        <w:rPr>
          <w:color w:val="000000"/>
          <w:szCs w:val="24"/>
        </w:rPr>
        <w:t>).</w:t>
      </w:r>
      <w:r w:rsidRPr="00447971">
        <w:rPr>
          <w:color w:val="000000"/>
          <w:szCs w:val="24"/>
        </w:rPr>
        <w:t>credit</w:t>
      </w:r>
      <w:r w:rsidRPr="00447971">
        <w:rPr>
          <w:color w:val="000000"/>
          <w:szCs w:val="24"/>
        </w:rPr>
        <w:t xml:space="preserve"> intermediation and related activities).</w:t>
      </w:r>
    </w:p>
    <w:p w:rsidR="00811CB2" w:rsidRPr="00447971" w:rsidP="00AD02D9" w14:paraId="7D06F2AE" w14:textId="40A6EB31">
      <w:pPr>
        <w:rPr>
          <w:szCs w:val="24"/>
        </w:rPr>
      </w:pPr>
      <w:r w:rsidRPr="00447971">
        <w:rPr>
          <w:color w:val="000000"/>
          <w:szCs w:val="24"/>
        </w:rPr>
        <w:t xml:space="preserve">                                                                                                    </w:t>
      </w:r>
    </w:p>
    <w:p w:rsidR="00811CB2" w:rsidRPr="00E71711" w:rsidP="00AD02D9" w14:paraId="0E98E61D" w14:textId="1F79FA54">
      <w:pPr>
        <w:pStyle w:val="BodyText"/>
        <w:rPr>
          <w:i/>
        </w:rPr>
      </w:pPr>
      <w:r w:rsidRPr="00E71711">
        <w:rPr>
          <w:i/>
        </w:rPr>
        <w:t>13. Estimate of the total annualized cost to respondents</w:t>
      </w:r>
      <w:r w:rsidRPr="00E71711" w:rsidR="00A75944">
        <w:rPr>
          <w:i/>
        </w:rPr>
        <w:t>:</w:t>
      </w:r>
    </w:p>
    <w:p w:rsidR="00811CB2" w:rsidP="00AD02D9" w14:paraId="1AC0A567" w14:textId="77777777"/>
    <w:p w:rsidR="00357531" w:rsidP="003C4513" w14:paraId="6B96231A" w14:textId="1B7D63A2">
      <w:pPr>
        <w:ind w:firstLine="720"/>
      </w:pPr>
      <w:r>
        <w:t>None</w:t>
      </w:r>
      <w:r w:rsidR="007805CA">
        <w:t>.</w:t>
      </w:r>
    </w:p>
    <w:p w:rsidR="00FC1E26" w:rsidP="00AD02D9" w14:paraId="79CD8F9B" w14:textId="77777777">
      <w:pPr>
        <w:ind w:firstLine="720"/>
      </w:pPr>
    </w:p>
    <w:p w:rsidR="00811CB2" w:rsidRPr="00E71711" w:rsidP="00AD02D9" w14:paraId="5E0B348D" w14:textId="25851D6B">
      <w:pPr>
        <w:rPr>
          <w:b/>
          <w:i/>
        </w:rPr>
      </w:pPr>
      <w:r w:rsidRPr="00E71711">
        <w:rPr>
          <w:b/>
          <w:bCs/>
          <w:i/>
        </w:rPr>
        <w:t xml:space="preserve">14. Estimate of annualized cost to the </w:t>
      </w:r>
      <w:r w:rsidR="009D4F9D">
        <w:rPr>
          <w:b/>
          <w:bCs/>
          <w:i/>
        </w:rPr>
        <w:t>f</w:t>
      </w:r>
      <w:r w:rsidRPr="00E71711">
        <w:rPr>
          <w:b/>
          <w:bCs/>
          <w:i/>
        </w:rPr>
        <w:t>ederal government</w:t>
      </w:r>
      <w:r w:rsidRPr="00E71711" w:rsidR="00A75944">
        <w:rPr>
          <w:b/>
          <w:bCs/>
          <w:i/>
        </w:rPr>
        <w:t>:</w:t>
      </w:r>
    </w:p>
    <w:p w:rsidR="00811CB2" w:rsidP="00AD02D9" w14:paraId="6EEC002D" w14:textId="77777777"/>
    <w:p w:rsidR="00AD7DD3" w:rsidP="00C3034C" w14:paraId="3338541C" w14:textId="420DAAF8">
      <w:pPr>
        <w:ind w:firstLine="720"/>
      </w:pPr>
      <w:r>
        <w:t>None</w:t>
      </w:r>
      <w:r w:rsidR="007805CA">
        <w:t>.</w:t>
      </w:r>
    </w:p>
    <w:p w:rsidR="00447971" w:rsidRPr="00C3034C" w:rsidP="00C3034C" w14:paraId="45A7D0FB" w14:textId="77777777">
      <w:pPr>
        <w:ind w:firstLine="720"/>
      </w:pPr>
    </w:p>
    <w:p w:rsidR="00811CB2" w:rsidRPr="00B417E6" w:rsidP="00AD02D9" w14:paraId="12FF909D" w14:textId="7EC64E7C">
      <w:pPr>
        <w:pStyle w:val="BodyText"/>
        <w:rPr>
          <w:i/>
        </w:rPr>
      </w:pPr>
      <w:r w:rsidRPr="00B417E6">
        <w:rPr>
          <w:i/>
        </w:rPr>
        <w:t>15. Changes in burden:</w:t>
      </w:r>
    </w:p>
    <w:p w:rsidR="00811CB2" w:rsidP="00AD02D9" w14:paraId="7838FCEC" w14:textId="77777777"/>
    <w:p w:rsidR="007805CA" w:rsidP="00AD02D9" w14:paraId="3D4BDA0D" w14:textId="5B04360F">
      <w:pPr>
        <w:rPr>
          <w:bCs/>
        </w:rPr>
      </w:pPr>
      <w:r>
        <w:rPr>
          <w:bCs/>
        </w:rPr>
        <w:tab/>
      </w:r>
      <w:r w:rsidRPr="00717741" w:rsidR="00717741">
        <w:rPr>
          <w:bCs/>
        </w:rPr>
        <w:t xml:space="preserve">This is the first time this data </w:t>
      </w:r>
      <w:r w:rsidRPr="00717741" w:rsidR="00717741">
        <w:rPr>
          <w:bCs/>
        </w:rPr>
        <w:t>is being</w:t>
      </w:r>
      <w:r w:rsidRPr="00717741" w:rsidR="00717741">
        <w:rPr>
          <w:bCs/>
        </w:rPr>
        <w:t xml:space="preserve"> collected.</w:t>
      </w:r>
      <w:r w:rsidR="00392BE8">
        <w:rPr>
          <w:bCs/>
        </w:rPr>
        <w:t xml:space="preserve"> </w:t>
      </w:r>
      <w:r w:rsidRPr="00717741" w:rsidR="00717741">
        <w:rPr>
          <w:bCs/>
        </w:rPr>
        <w:t xml:space="preserve"> There are no program changes or adjustments made to the information collection request at the time of submission.</w:t>
      </w:r>
    </w:p>
    <w:p w:rsidR="00351E1F" w:rsidRPr="00351E1F" w:rsidP="00AD02D9" w14:paraId="21F9095A" w14:textId="77777777">
      <w:pPr>
        <w:rPr>
          <w:bCs/>
        </w:rPr>
      </w:pPr>
    </w:p>
    <w:p w:rsidR="00811CB2" w:rsidRPr="00E71711" w:rsidP="00AD02D9" w14:paraId="69E8995C" w14:textId="18BDE93B">
      <w:pPr>
        <w:rPr>
          <w:b/>
          <w:i/>
        </w:rPr>
      </w:pPr>
      <w:r w:rsidRPr="00E71711">
        <w:rPr>
          <w:b/>
          <w:bCs/>
          <w:i/>
        </w:rPr>
        <w:t>16</w:t>
      </w:r>
      <w:r w:rsidRPr="00E71711" w:rsidR="00447971">
        <w:rPr>
          <w:b/>
          <w:bCs/>
          <w:i/>
        </w:rPr>
        <w:t>. Information</w:t>
      </w:r>
      <w:r w:rsidRPr="00E71711">
        <w:rPr>
          <w:b/>
          <w:bCs/>
          <w:i/>
        </w:rPr>
        <w:t xml:space="preserve"> regarding collections whose results are planned to be published</w:t>
      </w:r>
      <w:r w:rsidRPr="00E71711" w:rsidR="00FC1E26">
        <w:rPr>
          <w:b/>
          <w:bCs/>
          <w:i/>
        </w:rPr>
        <w:t xml:space="preserve"> for statistical purposes</w:t>
      </w:r>
      <w:r w:rsidRPr="00E71711" w:rsidR="00A75944">
        <w:rPr>
          <w:b/>
          <w:bCs/>
          <w:i/>
        </w:rPr>
        <w:t>:</w:t>
      </w:r>
    </w:p>
    <w:p w:rsidR="00811CB2" w:rsidRPr="00E71711" w:rsidP="00AD02D9" w14:paraId="1B504C32" w14:textId="77777777">
      <w:pPr>
        <w:rPr>
          <w:b/>
          <w:i/>
        </w:rPr>
      </w:pPr>
    </w:p>
    <w:p w:rsidR="00811CB2" w:rsidP="003C4513" w14:paraId="7287D19C" w14:textId="0575B501">
      <w:pPr>
        <w:ind w:firstLine="720"/>
      </w:pPr>
      <w:r>
        <w:t>The OCC has no plans to publish the information for statistical purposes</w:t>
      </w:r>
      <w:r w:rsidR="00215514">
        <w:t>.</w:t>
      </w:r>
    </w:p>
    <w:p w:rsidR="00B45715" w:rsidP="00AD02D9" w14:paraId="5F813765" w14:textId="77777777">
      <w:pPr>
        <w:rPr>
          <w:b/>
          <w:bCs/>
          <w:i/>
        </w:rPr>
      </w:pPr>
    </w:p>
    <w:p w:rsidR="00811CB2" w:rsidRPr="00E71711" w:rsidP="00AD02D9" w14:paraId="7B3702EB" w14:textId="48A92B6A">
      <w:pPr>
        <w:rPr>
          <w:b/>
          <w:bCs/>
          <w:i/>
        </w:rPr>
      </w:pPr>
      <w:r w:rsidRPr="00E71711">
        <w:rPr>
          <w:b/>
          <w:bCs/>
          <w:i/>
        </w:rPr>
        <w:t>17. Display of expiration date</w:t>
      </w:r>
      <w:r w:rsidRPr="00E71711" w:rsidR="00A75944">
        <w:rPr>
          <w:b/>
          <w:bCs/>
          <w:i/>
        </w:rPr>
        <w:t>:</w:t>
      </w:r>
    </w:p>
    <w:p w:rsidR="00811CB2" w:rsidP="00AD02D9" w14:paraId="0877DA6D" w14:textId="77777777"/>
    <w:p w:rsidR="00811CB2" w:rsidP="003C4513" w14:paraId="79032E2F" w14:textId="4D4766ED">
      <w:pPr>
        <w:ind w:firstLine="720"/>
      </w:pPr>
      <w:r>
        <w:t xml:space="preserve">Not applicable.  </w:t>
      </w:r>
    </w:p>
    <w:p w:rsidR="00DF26C9" w:rsidP="00AD02D9" w14:paraId="0A0FAFD2" w14:textId="77777777">
      <w:pPr>
        <w:rPr>
          <w:bCs/>
        </w:rPr>
      </w:pPr>
    </w:p>
    <w:p w:rsidR="00811CB2" w:rsidRPr="00E71711" w:rsidP="00AD02D9" w14:paraId="16D8D0C0" w14:textId="1CF35714">
      <w:pPr>
        <w:rPr>
          <w:b/>
          <w:bCs/>
          <w:i/>
        </w:rPr>
      </w:pPr>
      <w:r w:rsidRPr="00E71711">
        <w:rPr>
          <w:b/>
          <w:bCs/>
          <w:i/>
        </w:rPr>
        <w:t>18</w:t>
      </w:r>
      <w:r w:rsidRPr="00E71711" w:rsidR="00292702">
        <w:rPr>
          <w:b/>
          <w:bCs/>
          <w:i/>
        </w:rPr>
        <w:t>. Exceptions</w:t>
      </w:r>
      <w:r w:rsidRPr="00E71711">
        <w:rPr>
          <w:b/>
          <w:bCs/>
          <w:i/>
        </w:rPr>
        <w:t xml:space="preserve"> to certification statement</w:t>
      </w:r>
      <w:r w:rsidR="00484B82">
        <w:rPr>
          <w:b/>
          <w:bCs/>
          <w:i/>
        </w:rPr>
        <w:t xml:space="preserve"> in Item 19 of OMB Form 83-I</w:t>
      </w:r>
      <w:r w:rsidRPr="00E71711" w:rsidR="00A75944">
        <w:rPr>
          <w:b/>
          <w:bCs/>
          <w:i/>
        </w:rPr>
        <w:t>:</w:t>
      </w:r>
    </w:p>
    <w:p w:rsidR="00811CB2" w:rsidP="00AD02D9" w14:paraId="16CD17D7" w14:textId="77777777"/>
    <w:p w:rsidR="00811CB2" w:rsidP="003C4513" w14:paraId="55184E86" w14:textId="16AF4F13">
      <w:pPr>
        <w:ind w:firstLine="720"/>
      </w:pPr>
      <w:r>
        <w:t>No</w:t>
      </w:r>
      <w:r w:rsidR="00484B82">
        <w:t>ne</w:t>
      </w:r>
      <w:r>
        <w:t>.</w:t>
      </w:r>
    </w:p>
    <w:p w:rsidR="00811CB2" w:rsidP="00AD02D9" w14:paraId="20894618" w14:textId="77777777">
      <w:pPr>
        <w:rPr>
          <w:b/>
        </w:rPr>
      </w:pPr>
    </w:p>
    <w:p w:rsidR="00811CB2" w:rsidRPr="00E71711" w:rsidP="00AD02D9" w14:paraId="4D52D146" w14:textId="63875087">
      <w:pPr>
        <w:pStyle w:val="Heading2"/>
        <w:spacing w:before="0" w:after="0"/>
        <w:rPr>
          <w:bCs/>
        </w:rPr>
      </w:pPr>
      <w:r w:rsidRPr="00E71711">
        <w:rPr>
          <w:bCs/>
        </w:rPr>
        <w:t>B.  Collections of information employing statistical methods</w:t>
      </w:r>
    </w:p>
    <w:p w:rsidR="00811CB2" w:rsidP="00AD02D9" w14:paraId="7D333A00" w14:textId="77777777"/>
    <w:p w:rsidR="00811CB2" w:rsidP="003C4513" w14:paraId="31450E75" w14:textId="77777777">
      <w:pPr>
        <w:ind w:firstLine="720"/>
      </w:pPr>
      <w:r>
        <w:t>Not applicable.</w:t>
      </w:r>
    </w:p>
    <w:p w:rsidR="00811CB2" w:rsidP="00AD02D9" w14:paraId="41486D1B" w14:textId="77777777"/>
    <w:sectPr w:rsidSect="00F4260C">
      <w:footerReference w:type="even" r:id="rId6"/>
      <w:footerReference w:type="default" r:id="rId7"/>
      <w:pgSz w:w="12240" w:h="15840" w:code="1"/>
      <w:pgMar w:top="1440" w:right="1440" w:bottom="1440" w:left="1440" w:header="0" w:footer="432"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7C90" w14:paraId="6793BCD4"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7C90" w14:paraId="29C00E2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7C90" w14:paraId="31D97454"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A16B4">
      <w:rPr>
        <w:rStyle w:val="PageNumber"/>
        <w:noProof/>
      </w:rPr>
      <w:t>2</w:t>
    </w:r>
    <w:r>
      <w:rPr>
        <w:rStyle w:val="PageNumber"/>
      </w:rPr>
      <w:fldChar w:fldCharType="end"/>
    </w:r>
  </w:p>
  <w:p w:rsidR="00737C90" w14:paraId="7E50796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F2566" w14:paraId="740EB7A8" w14:textId="77777777">
      <w:r>
        <w:separator/>
      </w:r>
    </w:p>
  </w:footnote>
  <w:footnote w:type="continuationSeparator" w:id="1">
    <w:p w:rsidR="009F2566" w14:paraId="29814994" w14:textId="77777777">
      <w:r>
        <w:continuationSeparator/>
      </w:r>
    </w:p>
  </w:footnote>
  <w:footnote w:id="2">
    <w:p w:rsidR="007013AF" w:rsidP="007013AF" w14:paraId="0738CA01" w14:textId="4684F19D">
      <w:pPr>
        <w:pStyle w:val="FootnoteText"/>
      </w:pPr>
      <w:r>
        <w:rPr>
          <w:rStyle w:val="FootnoteReference"/>
        </w:rPr>
        <w:footnoteRef/>
      </w:r>
      <w:r>
        <w:t xml:space="preserve"> </w:t>
      </w:r>
      <w:r w:rsidRPr="00163D75">
        <w:rPr>
          <w:i/>
          <w:iCs/>
        </w:rPr>
        <w:t>See</w:t>
      </w:r>
      <w:r>
        <w:t xml:space="preserve"> 12 U.S.C. 5902(a). See also 12 U.S.C. 5916 (excepting foreign payment stablecoin issuers that meet certain requirements from the prohibition in section 3 of the Act).</w:t>
      </w:r>
    </w:p>
  </w:footnote>
  <w:footnote w:id="3">
    <w:p w:rsidR="007013AF" w:rsidP="007013AF" w14:paraId="406813CD" w14:textId="16E33A0D">
      <w:pPr>
        <w:pStyle w:val="FootnoteText"/>
      </w:pPr>
      <w:r>
        <w:rPr>
          <w:rStyle w:val="FootnoteReference"/>
        </w:rPr>
        <w:footnoteRef/>
      </w:r>
      <w:r>
        <w:t xml:space="preserve"> </w:t>
      </w:r>
      <w:r w:rsidR="00544530">
        <w:t>“</w:t>
      </w:r>
      <w:r>
        <w:t>Digital asset service provider</w:t>
      </w:r>
      <w:r w:rsidR="00544530">
        <w:t>”</w:t>
      </w:r>
      <w:r>
        <w:t xml:space="preserve"> means a person that, for compensation or profit, engages in the business in the United States (including on behalf of customers or users in the United States) of: (1) exchanging digital assets for monetary value; (2) exchanging digital assets for other digital assets; (3) transferring digital assets to a third party; (4) acting as a digital asset custodian; or (5) participating in financial services relating to digital asset issuance. </w:t>
      </w:r>
      <w:r w:rsidRPr="007013AF">
        <w:rPr>
          <w:i/>
          <w:iCs/>
        </w:rPr>
        <w:t>See</w:t>
      </w:r>
      <w:r>
        <w:rPr>
          <w:i/>
          <w:iCs/>
        </w:rPr>
        <w:t xml:space="preserve"> </w:t>
      </w:r>
      <w:r>
        <w:t xml:space="preserve">12 U.S.C. 5901(7). The term ‘‘digital asset service provider’’ does not include (1) a distributed ledger protocol; (2) an immutable and self-custodial software interface; or (3) a person solely by virtue of their (A) developing, operating, or engaging in the business of developing distributed ledger protocols or self-custodial software interfaces; (B) developing, operating, or engaging in the business of validating transactions or operating a distributed ledger; or (C) participating in a liquidity pool or other similar mechanism for the provisioning of liquidity for peer-to-peer transactions. </w:t>
      </w:r>
      <w:r w:rsidRPr="005666FC">
        <w:rPr>
          <w:i/>
          <w:iCs/>
        </w:rPr>
        <w:t>See id</w:t>
      </w:r>
      <w:r>
        <w:t xml:space="preserve">. </w:t>
      </w:r>
    </w:p>
  </w:footnote>
  <w:footnote w:id="4">
    <w:p w:rsidR="005666FC" w:rsidP="005666FC" w14:paraId="329C0820" w14:textId="102425FF">
      <w:pPr>
        <w:pStyle w:val="FootnoteText"/>
      </w:pPr>
      <w:r>
        <w:rPr>
          <w:rStyle w:val="FootnoteReference"/>
        </w:rPr>
        <w:footnoteRef/>
      </w:r>
      <w:r>
        <w:t xml:space="preserve"> The prohibition against digital asset service providers offering or selling payment stablecoins that are not issued by permitted payment stablecoin issuers begins on July 18, 2028. </w:t>
      </w:r>
      <w:r w:rsidRPr="005666FC">
        <w:rPr>
          <w:i/>
          <w:iCs/>
        </w:rPr>
        <w:t>See</w:t>
      </w:r>
      <w:r>
        <w:t xml:space="preserve"> 12 U.S.C. 5902(b)(1). The prohibition against digital asset service providers offering or selling payment stablecoins that are not issued by foreign payment stablecoin issuers that meet certain requirements goes into effect as of the effective date of the GENIUS Act. </w:t>
      </w:r>
      <w:r w:rsidRPr="005666FC">
        <w:rPr>
          <w:i/>
          <w:iCs/>
        </w:rPr>
        <w:t>See</w:t>
      </w:r>
      <w:r>
        <w:t xml:space="preserve"> 12 U.S.C. 5902(b)(2). The prohibitions that apply to a digital asset service provider would apply to an issuer to the extent that the issuer is a digital asset service provider.</w:t>
      </w:r>
    </w:p>
  </w:footnote>
  <w:footnote w:id="5">
    <w:p w:rsidR="00754FD0" w14:paraId="34BAE9C4" w14:textId="7DC1E413">
      <w:pPr>
        <w:pStyle w:val="FootnoteText"/>
      </w:pPr>
      <w:r>
        <w:rPr>
          <w:rStyle w:val="FootnoteReference"/>
        </w:rPr>
        <w:footnoteRef/>
      </w:r>
      <w:r>
        <w:t xml:space="preserve"> </w:t>
      </w:r>
      <w:r w:rsidRPr="00754FD0">
        <w:rPr>
          <w:i/>
          <w:iCs/>
        </w:rPr>
        <w:t>See, e.g.,</w:t>
      </w:r>
      <w:r w:rsidRPr="00754FD0">
        <w:t xml:space="preserve"> 12 U.S.C. 5903(a)(4), (b), (h).</w:t>
      </w:r>
    </w:p>
  </w:footnote>
  <w:footnote w:id="6">
    <w:p w:rsidR="00450157" w:rsidRPr="00516307" w:rsidP="00450157" w14:paraId="3BD9769C" w14:textId="77777777">
      <w:pPr>
        <w:pStyle w:val="FootnoteText"/>
      </w:pPr>
      <w:r w:rsidRPr="000B2A3B">
        <w:rPr>
          <w:rStyle w:val="FootnoteReference"/>
        </w:rPr>
        <w:footnoteRef/>
      </w:r>
      <w:r w:rsidRPr="000B2A3B">
        <w:t xml:space="preserve"> </w:t>
      </w:r>
      <w:r>
        <w:t xml:space="preserve">The reporting burden associated with the </w:t>
      </w:r>
      <w:r w:rsidRPr="00267529">
        <w:t xml:space="preserve">Interagency Biographical and Financial Report and Corporate Background and Financial Report </w:t>
      </w:r>
      <w:r>
        <w:t>are c</w:t>
      </w:r>
      <w:r w:rsidRPr="00516307">
        <w:t>overed under OMB control number 1557-0014.</w:t>
      </w:r>
    </w:p>
    <w:p w:rsidR="00450157" w:rsidRPr="000B2A3B" w:rsidP="00450157" w14:paraId="20A80448" w14:textId="77777777">
      <w:pPr>
        <w:pStyle w:val="FootnoteText"/>
      </w:pPr>
    </w:p>
  </w:footnote>
  <w:footnote w:id="7">
    <w:p w:rsidR="00450157" w:rsidRPr="000B2A3B" w:rsidP="00450157" w14:paraId="68B90E2D" w14:textId="77777777">
      <w:pPr>
        <w:pStyle w:val="FootnoteText"/>
      </w:pPr>
      <w:r w:rsidRPr="000B2A3B">
        <w:rPr>
          <w:rStyle w:val="FootnoteReference"/>
        </w:rPr>
        <w:footnoteRef/>
      </w:r>
      <w:r w:rsidRPr="000B2A3B">
        <w:t xml:space="preserve"> </w:t>
      </w:r>
      <w:r>
        <w:t>Reporting burden is covered under section 15.14(</w:t>
      </w:r>
      <w:r w:rsidRPr="09B5F378">
        <w:t>i</w:t>
      </w:r>
      <w:r>
        <w:t>).</w:t>
      </w:r>
    </w:p>
  </w:footnote>
  <w:footnote w:id="8">
    <w:p w:rsidR="00450157" w:rsidRPr="000758EF" w:rsidP="00450157" w14:paraId="1E61D441" w14:textId="77777777">
      <w:pPr>
        <w:pStyle w:val="FootnoteText"/>
        <w:contextualSpacing/>
      </w:pPr>
      <w:r w:rsidRPr="000758EF">
        <w:rPr>
          <w:rStyle w:val="FootnoteReference"/>
        </w:rPr>
        <w:footnoteRef/>
      </w:r>
      <w:r w:rsidRPr="000758EF">
        <w:t xml:space="preserve"> If a permitted payment stablecoin issuer holds digital assets on a customer’s behalf, the permitted payment stablecoin issuer’s risk management practices must reflect this activity. Consistent with the July 14, 2025 </w:t>
      </w:r>
      <w:r w:rsidRPr="00535D22">
        <w:rPr>
          <w:i/>
          <w:iCs/>
        </w:rPr>
        <w:t>Joint Statement on Risk-Management Considerations for Crypto-Asset Safekeeping</w:t>
      </w:r>
      <w:r w:rsidRPr="000758EF">
        <w:t xml:space="preserve">, permitted payment stablecoin issuers holding digital assets on a customer’s behalf would be required to maintain risk management practices, and information security practices in particular, that reflect a permitted payment stablecoin issuer’s capacity to understand a complex and evolving asset class, ability to ensure a strong control environment, and appropriate contingency plans to address unanticipated challenges in effectively providing services to customers. </w:t>
      </w:r>
    </w:p>
  </w:footnote>
  <w:footnote w:id="9">
    <w:p w:rsidR="008E3A5E" w:rsidP="008E3A5E" w14:paraId="28DEA308" w14:textId="01699193">
      <w:pPr>
        <w:pStyle w:val="FootnoteText"/>
      </w:pPr>
      <w:r>
        <w:rPr>
          <w:rStyle w:val="FootnoteReference"/>
        </w:rPr>
        <w:footnoteRef/>
      </w:r>
      <w:r>
        <w:t xml:space="preserve"> </w:t>
      </w:r>
      <w:r w:rsidRPr="00DD053E">
        <w:rPr>
          <w:i/>
          <w:iCs/>
        </w:rPr>
        <w:t>See The Financial Data Transparency Act of 2022</w:t>
      </w:r>
      <w:r>
        <w:t>, Public Law 117–263, title LVIII, 136 Stat. 3421.</w:t>
      </w:r>
    </w:p>
  </w:footnote>
  <w:footnote w:id="10">
    <w:p w:rsidR="008E3A5E" w:rsidRPr="00DD053E" w:rsidP="008E3A5E" w14:paraId="50FE34F2" w14:textId="1EBC2B90">
      <w:pPr>
        <w:pStyle w:val="FootnoteText"/>
        <w:rPr>
          <w:i/>
          <w:iCs/>
        </w:rPr>
      </w:pPr>
      <w:r>
        <w:rPr>
          <w:rStyle w:val="FootnoteReference"/>
        </w:rPr>
        <w:footnoteRef/>
      </w:r>
      <w:r>
        <w:t xml:space="preserve"> </w:t>
      </w:r>
      <w:r w:rsidRPr="008E3A5E">
        <w:rPr>
          <w:i/>
          <w:iCs/>
        </w:rPr>
        <w:t>See Financial Data Transparency Act Joint</w:t>
      </w:r>
      <w:r>
        <w:rPr>
          <w:i/>
          <w:iCs/>
        </w:rPr>
        <w:t xml:space="preserve"> </w:t>
      </w:r>
      <w:r w:rsidRPr="008E3A5E">
        <w:rPr>
          <w:i/>
          <w:iCs/>
        </w:rPr>
        <w:t xml:space="preserve">Data Standards, </w:t>
      </w:r>
      <w:r w:rsidRPr="008E3A5E">
        <w:t>91 FR 38246 (June 25, 2026).</w:t>
      </w:r>
    </w:p>
  </w:footnote>
  <w:footnote w:id="11">
    <w:p w:rsidR="003104D7" w14:paraId="30674D79" w14:textId="655FF514">
      <w:pPr>
        <w:pStyle w:val="FootnoteText"/>
      </w:pPr>
      <w:r>
        <w:rPr>
          <w:rStyle w:val="FootnoteReference"/>
        </w:rPr>
        <w:footnoteRef/>
      </w:r>
      <w:r>
        <w:t xml:space="preserve"> </w:t>
      </w:r>
      <w:r w:rsidRPr="003104D7">
        <w:t> Although not a defined term in the GENIUS Act, the OCC interprets the term “Federal qualified nonbank payment stablecoin issuers” to mean Federal qualified payment stablecoin issuers that are nonbank entities.</w:t>
      </w:r>
    </w:p>
  </w:footnote>
  <w:footnote w:id="12">
    <w:p w:rsidR="00447971" w:rsidRPr="00A14FE9" w:rsidP="00447971" w14:paraId="5BE49D56" w14:textId="77777777">
      <w:pPr>
        <w:pStyle w:val="FootnoteText"/>
      </w:pPr>
      <w:r w:rsidRPr="00A14FE9">
        <w:rPr>
          <w:rStyle w:val="FootnoteReference"/>
        </w:rPr>
        <w:footnoteRef/>
      </w:r>
      <w:r w:rsidRPr="00A14FE9">
        <w:t xml:space="preserve"> The reporting burden associated with the Interagency Biographical and Financial Report and Corporate Background and Financial Report </w:t>
      </w:r>
      <w:r>
        <w:t>referenced in § 15.30(b)(1)(ii) is</w:t>
      </w:r>
      <w:r w:rsidRPr="00A14FE9">
        <w:t xml:space="preserve"> covered under OMB control number 1557-0014.</w:t>
      </w:r>
    </w:p>
  </w:footnote>
  <w:footnote w:id="13">
    <w:p w:rsidR="00447971" w:rsidRPr="00A14FE9" w:rsidP="00447971" w14:paraId="6C74C854" w14:textId="77777777">
      <w:pPr>
        <w:pStyle w:val="FootnoteText"/>
      </w:pPr>
      <w:r w:rsidRPr="00A14FE9">
        <w:rPr>
          <w:rStyle w:val="FootnoteReference"/>
        </w:rPr>
        <w:footnoteRef/>
      </w:r>
      <w:r w:rsidRPr="00A14FE9">
        <w:t xml:space="preserve"> The reporting burden associated with the Interagency Biographical and Financial Report and Corporate Background and Financial Report </w:t>
      </w:r>
      <w:r>
        <w:t>referenced in § 15.30(b)(1)(ii) is</w:t>
      </w:r>
      <w:r w:rsidRPr="00A14FE9">
        <w:t xml:space="preserve"> covered under OMB control number 1557-0014.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03199B"/>
    <w:multiLevelType w:val="hybridMultilevel"/>
    <w:tmpl w:val="A7EEE19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8183B22"/>
    <w:multiLevelType w:val="multilevel"/>
    <w:tmpl w:val="E124A508"/>
    <w:lvl w:ilvl="0">
      <w:start w:val="1"/>
      <w:numFmt w:val="upperRoman"/>
      <w:pStyle w:val="ArticleNumber"/>
      <w:suff w:val="nothing"/>
      <w:lvlText w:val="Article %1"/>
      <w:lvlJc w:val="left"/>
      <w:pPr>
        <w:ind w:left="0" w:firstLine="0"/>
      </w:pPr>
      <w:rPr>
        <w:b w:val="0"/>
        <w:i w:val="0"/>
      </w:rPr>
    </w:lvl>
    <w:lvl w:ilvl="1">
      <w:start w:val="1"/>
      <w:numFmt w:val="decimal"/>
      <w:pStyle w:val="ArticleLevel1"/>
      <w:lvlText w:val="(%2)"/>
      <w:lvlJc w:val="left"/>
      <w:pPr>
        <w:tabs>
          <w:tab w:val="num" w:pos="1080"/>
        </w:tabs>
        <w:ind w:left="0" w:firstLine="720"/>
      </w:pPr>
    </w:lvl>
    <w:lvl w:ilvl="2">
      <w:start w:val="1"/>
      <w:numFmt w:val="lowerLetter"/>
      <w:pStyle w:val="ArticleLevela"/>
      <w:lvlText w:val="(%3)"/>
      <w:lvlJc w:val="left"/>
      <w:pPr>
        <w:tabs>
          <w:tab w:val="num" w:pos="1440"/>
        </w:tabs>
        <w:ind w:left="1440" w:hanging="720"/>
      </w:pPr>
    </w:lvl>
    <w:lvl w:ilvl="3">
      <w:start w:val="1"/>
      <w:numFmt w:val="lowerRoman"/>
      <w:pStyle w:val="ArticleLevela"/>
      <w:lvlText w:val="(%4)"/>
      <w:lvlJc w:val="left"/>
      <w:pPr>
        <w:tabs>
          <w:tab w:val="num" w:pos="2160"/>
        </w:tabs>
        <w:ind w:left="2160" w:hanging="720"/>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2027369353">
    <w:abstractNumId w:val="1"/>
  </w:num>
  <w:num w:numId="2" w16cid:durableId="10112584">
    <w:abstractNumId w:val="1"/>
  </w:num>
  <w:num w:numId="3" w16cid:durableId="1724786504">
    <w:abstractNumId w:val="1"/>
  </w:num>
  <w:num w:numId="4" w16cid:durableId="169930969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footnotePr>
    <w:footnote w:id="0"/>
    <w:footnote w:id="1"/>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DBC"/>
    <w:rsid w:val="00000607"/>
    <w:rsid w:val="000056D0"/>
    <w:rsid w:val="000074B0"/>
    <w:rsid w:val="00010170"/>
    <w:rsid w:val="00010A7C"/>
    <w:rsid w:val="00011B4C"/>
    <w:rsid w:val="00012BA3"/>
    <w:rsid w:val="00020D77"/>
    <w:rsid w:val="00021C88"/>
    <w:rsid w:val="00026CBC"/>
    <w:rsid w:val="0004266B"/>
    <w:rsid w:val="00050E5A"/>
    <w:rsid w:val="0006524C"/>
    <w:rsid w:val="00067517"/>
    <w:rsid w:val="0007241B"/>
    <w:rsid w:val="000758EF"/>
    <w:rsid w:val="00076595"/>
    <w:rsid w:val="00080467"/>
    <w:rsid w:val="00084AA5"/>
    <w:rsid w:val="00087A0E"/>
    <w:rsid w:val="00092BD9"/>
    <w:rsid w:val="000A0F04"/>
    <w:rsid w:val="000A3180"/>
    <w:rsid w:val="000A3413"/>
    <w:rsid w:val="000B2A3B"/>
    <w:rsid w:val="000B732C"/>
    <w:rsid w:val="000C737E"/>
    <w:rsid w:val="000C7BCB"/>
    <w:rsid w:val="000D5613"/>
    <w:rsid w:val="000E6DD2"/>
    <w:rsid w:val="000F1D63"/>
    <w:rsid w:val="001015A0"/>
    <w:rsid w:val="001070C0"/>
    <w:rsid w:val="001132B2"/>
    <w:rsid w:val="00115AA6"/>
    <w:rsid w:val="00131BB7"/>
    <w:rsid w:val="00132F06"/>
    <w:rsid w:val="0013466B"/>
    <w:rsid w:val="00156A9C"/>
    <w:rsid w:val="00161D9C"/>
    <w:rsid w:val="00162689"/>
    <w:rsid w:val="00163D6D"/>
    <w:rsid w:val="00163D75"/>
    <w:rsid w:val="001728A0"/>
    <w:rsid w:val="00177B20"/>
    <w:rsid w:val="00186ED6"/>
    <w:rsid w:val="00192874"/>
    <w:rsid w:val="00196FCE"/>
    <w:rsid w:val="001A2CA9"/>
    <w:rsid w:val="001A60D1"/>
    <w:rsid w:val="001A74EC"/>
    <w:rsid w:val="001B0520"/>
    <w:rsid w:val="001B6B27"/>
    <w:rsid w:val="001D2642"/>
    <w:rsid w:val="001E1285"/>
    <w:rsid w:val="001F1806"/>
    <w:rsid w:val="001F587C"/>
    <w:rsid w:val="00200E4D"/>
    <w:rsid w:val="00207064"/>
    <w:rsid w:val="002070C4"/>
    <w:rsid w:val="00210B53"/>
    <w:rsid w:val="00215514"/>
    <w:rsid w:val="00215C3B"/>
    <w:rsid w:val="00217E09"/>
    <w:rsid w:val="002216C2"/>
    <w:rsid w:val="00221EAD"/>
    <w:rsid w:val="002223A2"/>
    <w:rsid w:val="0023236B"/>
    <w:rsid w:val="00232BF7"/>
    <w:rsid w:val="00234B76"/>
    <w:rsid w:val="00241945"/>
    <w:rsid w:val="002428DA"/>
    <w:rsid w:val="00242DAA"/>
    <w:rsid w:val="00251049"/>
    <w:rsid w:val="002523CF"/>
    <w:rsid w:val="00252D5C"/>
    <w:rsid w:val="00255A58"/>
    <w:rsid w:val="00256DBC"/>
    <w:rsid w:val="00260007"/>
    <w:rsid w:val="00262840"/>
    <w:rsid w:val="00264D6B"/>
    <w:rsid w:val="00267529"/>
    <w:rsid w:val="00271F7B"/>
    <w:rsid w:val="00275DFB"/>
    <w:rsid w:val="00277FC8"/>
    <w:rsid w:val="0028071B"/>
    <w:rsid w:val="00281849"/>
    <w:rsid w:val="002827BA"/>
    <w:rsid w:val="00283B5B"/>
    <w:rsid w:val="00292702"/>
    <w:rsid w:val="0029337C"/>
    <w:rsid w:val="00293D6F"/>
    <w:rsid w:val="00295C66"/>
    <w:rsid w:val="00296651"/>
    <w:rsid w:val="00297417"/>
    <w:rsid w:val="002A0859"/>
    <w:rsid w:val="002A5D68"/>
    <w:rsid w:val="002B07B2"/>
    <w:rsid w:val="002B4BEB"/>
    <w:rsid w:val="002B7F97"/>
    <w:rsid w:val="002C1100"/>
    <w:rsid w:val="002C1203"/>
    <w:rsid w:val="002D35E6"/>
    <w:rsid w:val="002D38C1"/>
    <w:rsid w:val="002D535F"/>
    <w:rsid w:val="002E1265"/>
    <w:rsid w:val="002E17C6"/>
    <w:rsid w:val="002F1C90"/>
    <w:rsid w:val="002F2828"/>
    <w:rsid w:val="0030156D"/>
    <w:rsid w:val="0030176C"/>
    <w:rsid w:val="00302FD2"/>
    <w:rsid w:val="003064E5"/>
    <w:rsid w:val="003104D7"/>
    <w:rsid w:val="00321633"/>
    <w:rsid w:val="00323778"/>
    <w:rsid w:val="00325F37"/>
    <w:rsid w:val="00330C62"/>
    <w:rsid w:val="003365DB"/>
    <w:rsid w:val="00342014"/>
    <w:rsid w:val="00342C8A"/>
    <w:rsid w:val="00344408"/>
    <w:rsid w:val="00344DDD"/>
    <w:rsid w:val="00351E1F"/>
    <w:rsid w:val="00356632"/>
    <w:rsid w:val="00357531"/>
    <w:rsid w:val="0037195E"/>
    <w:rsid w:val="00375170"/>
    <w:rsid w:val="003843F7"/>
    <w:rsid w:val="00385C21"/>
    <w:rsid w:val="003914EC"/>
    <w:rsid w:val="00392BE8"/>
    <w:rsid w:val="0039300C"/>
    <w:rsid w:val="003954DF"/>
    <w:rsid w:val="003962BD"/>
    <w:rsid w:val="003A1BCE"/>
    <w:rsid w:val="003A79C4"/>
    <w:rsid w:val="003B20D4"/>
    <w:rsid w:val="003C0D59"/>
    <w:rsid w:val="003C4513"/>
    <w:rsid w:val="003C4605"/>
    <w:rsid w:val="003C47FC"/>
    <w:rsid w:val="003C6231"/>
    <w:rsid w:val="003D3BDD"/>
    <w:rsid w:val="003F5EFD"/>
    <w:rsid w:val="00402D41"/>
    <w:rsid w:val="00410B9C"/>
    <w:rsid w:val="0042094C"/>
    <w:rsid w:val="00421FE9"/>
    <w:rsid w:val="00425D79"/>
    <w:rsid w:val="00447971"/>
    <w:rsid w:val="00450157"/>
    <w:rsid w:val="0046227E"/>
    <w:rsid w:val="00470128"/>
    <w:rsid w:val="0047125F"/>
    <w:rsid w:val="00473E94"/>
    <w:rsid w:val="00475F55"/>
    <w:rsid w:val="00480EF7"/>
    <w:rsid w:val="00481BC4"/>
    <w:rsid w:val="00484B82"/>
    <w:rsid w:val="00486AF8"/>
    <w:rsid w:val="00490CAD"/>
    <w:rsid w:val="00495DD3"/>
    <w:rsid w:val="004A4142"/>
    <w:rsid w:val="004B0FDE"/>
    <w:rsid w:val="004B1424"/>
    <w:rsid w:val="004B35C3"/>
    <w:rsid w:val="004B62D0"/>
    <w:rsid w:val="004C3B22"/>
    <w:rsid w:val="004C6CE2"/>
    <w:rsid w:val="004D4D97"/>
    <w:rsid w:val="004D585A"/>
    <w:rsid w:val="004D7288"/>
    <w:rsid w:val="004D755F"/>
    <w:rsid w:val="004E041F"/>
    <w:rsid w:val="004E0ADE"/>
    <w:rsid w:val="004E0DF1"/>
    <w:rsid w:val="004E626F"/>
    <w:rsid w:val="004E658D"/>
    <w:rsid w:val="004F13FD"/>
    <w:rsid w:val="004F6ABA"/>
    <w:rsid w:val="00501289"/>
    <w:rsid w:val="005109FB"/>
    <w:rsid w:val="00513A30"/>
    <w:rsid w:val="00516307"/>
    <w:rsid w:val="00516481"/>
    <w:rsid w:val="00516979"/>
    <w:rsid w:val="005230FF"/>
    <w:rsid w:val="00523AAB"/>
    <w:rsid w:val="00526405"/>
    <w:rsid w:val="00535D22"/>
    <w:rsid w:val="00540B3D"/>
    <w:rsid w:val="00544530"/>
    <w:rsid w:val="00550CBB"/>
    <w:rsid w:val="00550F30"/>
    <w:rsid w:val="005520BA"/>
    <w:rsid w:val="00561528"/>
    <w:rsid w:val="00562EE5"/>
    <w:rsid w:val="005666FC"/>
    <w:rsid w:val="00575B1F"/>
    <w:rsid w:val="00582644"/>
    <w:rsid w:val="00582744"/>
    <w:rsid w:val="00591814"/>
    <w:rsid w:val="00593A01"/>
    <w:rsid w:val="0059537D"/>
    <w:rsid w:val="00595A56"/>
    <w:rsid w:val="005961CC"/>
    <w:rsid w:val="005A4760"/>
    <w:rsid w:val="005B12A0"/>
    <w:rsid w:val="005B4659"/>
    <w:rsid w:val="005B7A3D"/>
    <w:rsid w:val="005C08C7"/>
    <w:rsid w:val="005C0BD1"/>
    <w:rsid w:val="005C2B31"/>
    <w:rsid w:val="005C63A7"/>
    <w:rsid w:val="005E46BC"/>
    <w:rsid w:val="005F5440"/>
    <w:rsid w:val="005F5BE0"/>
    <w:rsid w:val="005F77B3"/>
    <w:rsid w:val="006003C0"/>
    <w:rsid w:val="00613E78"/>
    <w:rsid w:val="00624C52"/>
    <w:rsid w:val="0062559E"/>
    <w:rsid w:val="006263C0"/>
    <w:rsid w:val="00627C63"/>
    <w:rsid w:val="006352BC"/>
    <w:rsid w:val="00636BFA"/>
    <w:rsid w:val="00637908"/>
    <w:rsid w:val="0065184B"/>
    <w:rsid w:val="00651AB5"/>
    <w:rsid w:val="00651F8C"/>
    <w:rsid w:val="006526F3"/>
    <w:rsid w:val="00671A80"/>
    <w:rsid w:val="00675A72"/>
    <w:rsid w:val="00690910"/>
    <w:rsid w:val="006909A7"/>
    <w:rsid w:val="00691167"/>
    <w:rsid w:val="006B0DFB"/>
    <w:rsid w:val="006B4B47"/>
    <w:rsid w:val="006B58F7"/>
    <w:rsid w:val="006C2216"/>
    <w:rsid w:val="006C4BBD"/>
    <w:rsid w:val="006D69E9"/>
    <w:rsid w:val="006F2DAB"/>
    <w:rsid w:val="006F5E7E"/>
    <w:rsid w:val="006F61A0"/>
    <w:rsid w:val="006F706C"/>
    <w:rsid w:val="007013AF"/>
    <w:rsid w:val="007069EC"/>
    <w:rsid w:val="00706C8C"/>
    <w:rsid w:val="007073C8"/>
    <w:rsid w:val="00712717"/>
    <w:rsid w:val="00713508"/>
    <w:rsid w:val="0071389B"/>
    <w:rsid w:val="00717741"/>
    <w:rsid w:val="00722FE1"/>
    <w:rsid w:val="00723285"/>
    <w:rsid w:val="00737C90"/>
    <w:rsid w:val="0074043A"/>
    <w:rsid w:val="00754FD0"/>
    <w:rsid w:val="00761554"/>
    <w:rsid w:val="0076694B"/>
    <w:rsid w:val="00773C16"/>
    <w:rsid w:val="007777E9"/>
    <w:rsid w:val="007805CA"/>
    <w:rsid w:val="007943A5"/>
    <w:rsid w:val="00796645"/>
    <w:rsid w:val="00797FC2"/>
    <w:rsid w:val="007A0131"/>
    <w:rsid w:val="007B5931"/>
    <w:rsid w:val="007B7D67"/>
    <w:rsid w:val="007D2DF0"/>
    <w:rsid w:val="007D7148"/>
    <w:rsid w:val="007E0192"/>
    <w:rsid w:val="007E1504"/>
    <w:rsid w:val="007E213B"/>
    <w:rsid w:val="007E4587"/>
    <w:rsid w:val="007F49E8"/>
    <w:rsid w:val="00800F7F"/>
    <w:rsid w:val="00801D43"/>
    <w:rsid w:val="00805672"/>
    <w:rsid w:val="00807E02"/>
    <w:rsid w:val="00811002"/>
    <w:rsid w:val="00811CB2"/>
    <w:rsid w:val="00813527"/>
    <w:rsid w:val="00821EFB"/>
    <w:rsid w:val="008234F4"/>
    <w:rsid w:val="00827C59"/>
    <w:rsid w:val="00850EDE"/>
    <w:rsid w:val="00851766"/>
    <w:rsid w:val="008630C4"/>
    <w:rsid w:val="008706A6"/>
    <w:rsid w:val="0087204E"/>
    <w:rsid w:val="0087475F"/>
    <w:rsid w:val="008800CF"/>
    <w:rsid w:val="00882DBF"/>
    <w:rsid w:val="00883C67"/>
    <w:rsid w:val="008A1C1E"/>
    <w:rsid w:val="008A7ED2"/>
    <w:rsid w:val="008B4E17"/>
    <w:rsid w:val="008B50FF"/>
    <w:rsid w:val="008C4CC0"/>
    <w:rsid w:val="008D28D1"/>
    <w:rsid w:val="008D5BEA"/>
    <w:rsid w:val="008D7771"/>
    <w:rsid w:val="008D7D04"/>
    <w:rsid w:val="008E1224"/>
    <w:rsid w:val="008E2F2E"/>
    <w:rsid w:val="008E3A5E"/>
    <w:rsid w:val="008F029C"/>
    <w:rsid w:val="008F19B1"/>
    <w:rsid w:val="008F5C9D"/>
    <w:rsid w:val="0090108B"/>
    <w:rsid w:val="00902951"/>
    <w:rsid w:val="00910839"/>
    <w:rsid w:val="00923D22"/>
    <w:rsid w:val="00924D61"/>
    <w:rsid w:val="00931577"/>
    <w:rsid w:val="00942AE9"/>
    <w:rsid w:val="009507EC"/>
    <w:rsid w:val="00952305"/>
    <w:rsid w:val="00962AFF"/>
    <w:rsid w:val="00963371"/>
    <w:rsid w:val="00971E58"/>
    <w:rsid w:val="00974182"/>
    <w:rsid w:val="00976EAA"/>
    <w:rsid w:val="00980006"/>
    <w:rsid w:val="009861F5"/>
    <w:rsid w:val="009913B6"/>
    <w:rsid w:val="00994307"/>
    <w:rsid w:val="009A0328"/>
    <w:rsid w:val="009B0C05"/>
    <w:rsid w:val="009B589B"/>
    <w:rsid w:val="009B59E3"/>
    <w:rsid w:val="009D2C9D"/>
    <w:rsid w:val="009D31B1"/>
    <w:rsid w:val="009D455C"/>
    <w:rsid w:val="009D4F9D"/>
    <w:rsid w:val="009F0782"/>
    <w:rsid w:val="009F2566"/>
    <w:rsid w:val="009F4A34"/>
    <w:rsid w:val="00A06C0F"/>
    <w:rsid w:val="00A12466"/>
    <w:rsid w:val="00A131B2"/>
    <w:rsid w:val="00A14FE9"/>
    <w:rsid w:val="00A22148"/>
    <w:rsid w:val="00A2492B"/>
    <w:rsid w:val="00A407C9"/>
    <w:rsid w:val="00A42F8D"/>
    <w:rsid w:val="00A52CC4"/>
    <w:rsid w:val="00A53C77"/>
    <w:rsid w:val="00A60AA0"/>
    <w:rsid w:val="00A65CA1"/>
    <w:rsid w:val="00A75944"/>
    <w:rsid w:val="00A76727"/>
    <w:rsid w:val="00A87DF7"/>
    <w:rsid w:val="00A94CDC"/>
    <w:rsid w:val="00AA016C"/>
    <w:rsid w:val="00AA0B95"/>
    <w:rsid w:val="00AA16B4"/>
    <w:rsid w:val="00AA4F3A"/>
    <w:rsid w:val="00AB1885"/>
    <w:rsid w:val="00AB7625"/>
    <w:rsid w:val="00AC59C0"/>
    <w:rsid w:val="00AC6F96"/>
    <w:rsid w:val="00AD004F"/>
    <w:rsid w:val="00AD02D9"/>
    <w:rsid w:val="00AD20A9"/>
    <w:rsid w:val="00AD7DD3"/>
    <w:rsid w:val="00AE35FD"/>
    <w:rsid w:val="00AE7B3D"/>
    <w:rsid w:val="00AF2454"/>
    <w:rsid w:val="00AF488C"/>
    <w:rsid w:val="00B00AB7"/>
    <w:rsid w:val="00B02EB3"/>
    <w:rsid w:val="00B10E1C"/>
    <w:rsid w:val="00B11ED6"/>
    <w:rsid w:val="00B15E1B"/>
    <w:rsid w:val="00B21ECB"/>
    <w:rsid w:val="00B30DBB"/>
    <w:rsid w:val="00B374D6"/>
    <w:rsid w:val="00B417E6"/>
    <w:rsid w:val="00B43D32"/>
    <w:rsid w:val="00B45715"/>
    <w:rsid w:val="00B72B9D"/>
    <w:rsid w:val="00B7682F"/>
    <w:rsid w:val="00B870DB"/>
    <w:rsid w:val="00B94181"/>
    <w:rsid w:val="00B9636B"/>
    <w:rsid w:val="00BA0DC3"/>
    <w:rsid w:val="00BA4658"/>
    <w:rsid w:val="00BC6A39"/>
    <w:rsid w:val="00BD486E"/>
    <w:rsid w:val="00BE46AE"/>
    <w:rsid w:val="00BE66E0"/>
    <w:rsid w:val="00BF1E3E"/>
    <w:rsid w:val="00C0389B"/>
    <w:rsid w:val="00C065C8"/>
    <w:rsid w:val="00C17E40"/>
    <w:rsid w:val="00C17F51"/>
    <w:rsid w:val="00C20D04"/>
    <w:rsid w:val="00C22F4A"/>
    <w:rsid w:val="00C233A5"/>
    <w:rsid w:val="00C26456"/>
    <w:rsid w:val="00C26832"/>
    <w:rsid w:val="00C3034C"/>
    <w:rsid w:val="00C331EC"/>
    <w:rsid w:val="00C33F04"/>
    <w:rsid w:val="00C342B2"/>
    <w:rsid w:val="00C34B37"/>
    <w:rsid w:val="00C40508"/>
    <w:rsid w:val="00C41CF6"/>
    <w:rsid w:val="00C4200B"/>
    <w:rsid w:val="00C4452E"/>
    <w:rsid w:val="00C51AC4"/>
    <w:rsid w:val="00C61634"/>
    <w:rsid w:val="00C647F7"/>
    <w:rsid w:val="00C70486"/>
    <w:rsid w:val="00C71967"/>
    <w:rsid w:val="00C7532D"/>
    <w:rsid w:val="00C8216E"/>
    <w:rsid w:val="00C8467A"/>
    <w:rsid w:val="00C91C37"/>
    <w:rsid w:val="00C92816"/>
    <w:rsid w:val="00C94260"/>
    <w:rsid w:val="00C9453D"/>
    <w:rsid w:val="00C97111"/>
    <w:rsid w:val="00C97D6B"/>
    <w:rsid w:val="00CA3154"/>
    <w:rsid w:val="00CB785D"/>
    <w:rsid w:val="00CC01A5"/>
    <w:rsid w:val="00CC22AA"/>
    <w:rsid w:val="00CC2BEF"/>
    <w:rsid w:val="00CD6944"/>
    <w:rsid w:val="00CE2776"/>
    <w:rsid w:val="00CF13AE"/>
    <w:rsid w:val="00CF7585"/>
    <w:rsid w:val="00CF75E5"/>
    <w:rsid w:val="00CF77D1"/>
    <w:rsid w:val="00CF7F1A"/>
    <w:rsid w:val="00D157B0"/>
    <w:rsid w:val="00D26881"/>
    <w:rsid w:val="00D33ED7"/>
    <w:rsid w:val="00D37986"/>
    <w:rsid w:val="00D37FB9"/>
    <w:rsid w:val="00D40106"/>
    <w:rsid w:val="00D466F7"/>
    <w:rsid w:val="00D47BD3"/>
    <w:rsid w:val="00D506C6"/>
    <w:rsid w:val="00D614B9"/>
    <w:rsid w:val="00D62D96"/>
    <w:rsid w:val="00D6397B"/>
    <w:rsid w:val="00D726E7"/>
    <w:rsid w:val="00D755E5"/>
    <w:rsid w:val="00D85B82"/>
    <w:rsid w:val="00D87DB4"/>
    <w:rsid w:val="00D93AB8"/>
    <w:rsid w:val="00DB0772"/>
    <w:rsid w:val="00DB2567"/>
    <w:rsid w:val="00DC5578"/>
    <w:rsid w:val="00DD053E"/>
    <w:rsid w:val="00DE2F1A"/>
    <w:rsid w:val="00DE3652"/>
    <w:rsid w:val="00DE4C42"/>
    <w:rsid w:val="00DE5EC3"/>
    <w:rsid w:val="00DE638F"/>
    <w:rsid w:val="00DF0CF3"/>
    <w:rsid w:val="00DF26C9"/>
    <w:rsid w:val="00DF7E50"/>
    <w:rsid w:val="00E12009"/>
    <w:rsid w:val="00E15739"/>
    <w:rsid w:val="00E31E29"/>
    <w:rsid w:val="00E3270B"/>
    <w:rsid w:val="00E32AF7"/>
    <w:rsid w:val="00E32E00"/>
    <w:rsid w:val="00E405F1"/>
    <w:rsid w:val="00E552EF"/>
    <w:rsid w:val="00E614E3"/>
    <w:rsid w:val="00E64128"/>
    <w:rsid w:val="00E71711"/>
    <w:rsid w:val="00E82D5C"/>
    <w:rsid w:val="00E9439A"/>
    <w:rsid w:val="00E961A0"/>
    <w:rsid w:val="00E976AA"/>
    <w:rsid w:val="00EA0A78"/>
    <w:rsid w:val="00EA2CBE"/>
    <w:rsid w:val="00EA4371"/>
    <w:rsid w:val="00EA4E0D"/>
    <w:rsid w:val="00EB22DB"/>
    <w:rsid w:val="00EB4369"/>
    <w:rsid w:val="00EC22D1"/>
    <w:rsid w:val="00EC3533"/>
    <w:rsid w:val="00EC3EE2"/>
    <w:rsid w:val="00EC6960"/>
    <w:rsid w:val="00EE209E"/>
    <w:rsid w:val="00EF24C5"/>
    <w:rsid w:val="00EF5BDB"/>
    <w:rsid w:val="00EF69A4"/>
    <w:rsid w:val="00EF7194"/>
    <w:rsid w:val="00F008E8"/>
    <w:rsid w:val="00F02E82"/>
    <w:rsid w:val="00F17C93"/>
    <w:rsid w:val="00F24564"/>
    <w:rsid w:val="00F3091B"/>
    <w:rsid w:val="00F327E9"/>
    <w:rsid w:val="00F37AA9"/>
    <w:rsid w:val="00F420B5"/>
    <w:rsid w:val="00F4260C"/>
    <w:rsid w:val="00F53692"/>
    <w:rsid w:val="00F5695B"/>
    <w:rsid w:val="00F62B37"/>
    <w:rsid w:val="00F8429E"/>
    <w:rsid w:val="00F84300"/>
    <w:rsid w:val="00F84C99"/>
    <w:rsid w:val="00F859E6"/>
    <w:rsid w:val="00F9559E"/>
    <w:rsid w:val="00FA51DB"/>
    <w:rsid w:val="00FB1892"/>
    <w:rsid w:val="00FC12D0"/>
    <w:rsid w:val="00FC1E26"/>
    <w:rsid w:val="00FC2759"/>
    <w:rsid w:val="00FD0F77"/>
    <w:rsid w:val="00FD2844"/>
    <w:rsid w:val="00FD45BE"/>
    <w:rsid w:val="00FD7538"/>
    <w:rsid w:val="00FF1E56"/>
    <w:rsid w:val="00FF2470"/>
    <w:rsid w:val="00FF68D3"/>
    <w:rsid w:val="09B5F37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6978E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Variable" w:semiHidden="1" w:unhideWhenUsed="1"/>
    <w:lsdException w:name="Normal Table" w:semiHidden="1" w:unhideWhenUsed="1"/>
    <w:lsdException w:name="annotation subjec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uiPriority w:val="9"/>
    <w:qFormat/>
    <w:pPr>
      <w:keepNext/>
      <w:spacing w:before="240" w:after="60"/>
      <w:outlineLvl w:val="0"/>
    </w:pPr>
    <w:rPr>
      <w:b/>
      <w:kern w:val="28"/>
      <w:sz w:val="28"/>
    </w:rPr>
  </w:style>
  <w:style w:type="paragraph" w:styleId="Heading2">
    <w:name w:val="heading 2"/>
    <w:basedOn w:val="Normal"/>
    <w:next w:val="Normal"/>
    <w:link w:val="Heading2Char"/>
    <w:uiPriority w:val="9"/>
    <w:qFormat/>
    <w:pPr>
      <w:keepNext/>
      <w:spacing w:before="240" w:after="60"/>
      <w:outlineLvl w:val="1"/>
    </w:pPr>
    <w:rPr>
      <w:b/>
    </w:rPr>
  </w:style>
  <w:style w:type="paragraph" w:styleId="Heading3">
    <w:name w:val="heading 3"/>
    <w:basedOn w:val="Normal"/>
    <w:next w:val="Normal"/>
    <w:link w:val="Heading3Char"/>
    <w:uiPriority w:val="9"/>
    <w:qFormat/>
    <w:pPr>
      <w:keepNext/>
      <w:spacing w:before="240" w:after="60"/>
      <w:outlineLvl w:val="2"/>
    </w:pPr>
    <w:rPr>
      <w:u w:val="single"/>
    </w:rPr>
  </w:style>
  <w:style w:type="paragraph" w:styleId="Heading4">
    <w:name w:val="heading 4"/>
    <w:basedOn w:val="Normal"/>
    <w:next w:val="Normal"/>
    <w:link w:val="Heading4Char"/>
    <w:uiPriority w:val="9"/>
    <w:qFormat/>
    <w:pPr>
      <w:keepNext/>
      <w:outlineLvl w:val="3"/>
    </w:pPr>
    <w:rPr>
      <w:i/>
      <w:iCs/>
      <w:sz w:val="20"/>
      <w:u w:val="single"/>
    </w:rPr>
  </w:style>
  <w:style w:type="paragraph" w:styleId="Heading5">
    <w:name w:val="heading 5"/>
    <w:basedOn w:val="Normal"/>
    <w:next w:val="Normal"/>
    <w:link w:val="Heading5Char"/>
    <w:uiPriority w:val="9"/>
    <w:qFormat/>
    <w:pPr>
      <w:keepNext/>
      <w:outlineLvl w:val="4"/>
    </w:pPr>
    <w:rPr>
      <w:b/>
      <w:bCs/>
      <w:u w:val="single"/>
    </w:rPr>
  </w:style>
  <w:style w:type="paragraph" w:styleId="Heading6">
    <w:name w:val="heading 6"/>
    <w:basedOn w:val="Normal"/>
    <w:next w:val="Normal"/>
    <w:link w:val="Heading6Char"/>
    <w:uiPriority w:val="9"/>
    <w:qFormat/>
    <w:pPr>
      <w:keepNext/>
      <w:jc w:val="center"/>
      <w:outlineLvl w:val="5"/>
    </w:pPr>
    <w:rPr>
      <w:b/>
      <w:bCs/>
    </w:rPr>
  </w:style>
  <w:style w:type="paragraph" w:styleId="Heading7">
    <w:name w:val="heading 7"/>
    <w:basedOn w:val="Normal"/>
    <w:next w:val="Normal"/>
    <w:link w:val="Heading7Char"/>
    <w:uiPriority w:val="9"/>
    <w:qFormat/>
    <w:pPr>
      <w:keepNext/>
      <w:jc w:val="right"/>
      <w:outlineLvl w:val="6"/>
    </w:pPr>
    <w:rPr>
      <w:b/>
      <w:bCs/>
    </w:rPr>
  </w:style>
  <w:style w:type="paragraph" w:styleId="Heading8">
    <w:name w:val="heading 8"/>
    <w:basedOn w:val="Normal"/>
    <w:next w:val="Normal"/>
    <w:link w:val="Heading8Char"/>
    <w:uiPriority w:val="9"/>
    <w:qFormat/>
    <w:pPr>
      <w:keepNext/>
      <w:outlineLvl w:val="7"/>
    </w:pPr>
    <w:rPr>
      <w:b/>
      <w:bCs/>
      <w:sz w:val="20"/>
    </w:rPr>
  </w:style>
  <w:style w:type="paragraph" w:styleId="Heading9">
    <w:name w:val="heading 9"/>
    <w:basedOn w:val="Normal"/>
    <w:next w:val="Normal"/>
    <w:link w:val="Heading9Char"/>
    <w:uiPriority w:val="9"/>
    <w:qFormat/>
    <w:pPr>
      <w:keepNext/>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Footnote Reference),12,Appel note de bas de p,BVI fnr,EN Footnote Reference,Footnote,Footnote Reference Superscript,Footnote reference number,Footnote symbol,Nota,Ref,SUPERS,Style 16,Style 19,Style 35,Voetnootverwijzing,fr,note TESI"/>
    <w:uiPriority w:val="99"/>
    <w:qFormat/>
    <w:rPr>
      <w:vertAlign w:val="superscript"/>
    </w:rPr>
  </w:style>
  <w:style w:type="paragraph" w:styleId="FootnoteText">
    <w:name w:val="footnote text"/>
    <w:aliases w:val="ALTS FOOTNOTE,Car,Footnote Text Char Char,Footnote Text Char Char Char Char,Footnote Text Char Char Char Char Char Char Char Char Char Char Char Char Char Char Char Char Char,Footnote Text Char1,Footnote Text Char1 Char Char,Style 15,fn,ft"/>
    <w:basedOn w:val="Normal"/>
    <w:link w:val="FootnoteTextChar"/>
    <w:uiPriority w:val="99"/>
    <w:qFormat/>
    <w:rPr>
      <w:sz w:val="20"/>
    </w:rPr>
  </w:style>
  <w:style w:type="paragraph" w:customStyle="1" w:styleId="ArticleNumber">
    <w:name w:val="Article Number"/>
    <w:basedOn w:val="Normal"/>
    <w:pPr>
      <w:numPr>
        <w:numId w:val="3"/>
      </w:numPr>
      <w:spacing w:line="480" w:lineRule="auto"/>
      <w:jc w:val="center"/>
    </w:pPr>
  </w:style>
  <w:style w:type="paragraph" w:customStyle="1" w:styleId="ArticleLevel1">
    <w:name w:val="Article Level (1)"/>
    <w:basedOn w:val="Normal"/>
    <w:pPr>
      <w:numPr>
        <w:ilvl w:val="1"/>
        <w:numId w:val="1"/>
      </w:numPr>
      <w:tabs>
        <w:tab w:val="clear" w:pos="1080"/>
      </w:tabs>
      <w:spacing w:line="480" w:lineRule="auto"/>
    </w:pPr>
  </w:style>
  <w:style w:type="paragraph" w:customStyle="1" w:styleId="ArticleLevela">
    <w:name w:val="Article Level (a)"/>
    <w:basedOn w:val="Normal"/>
    <w:pPr>
      <w:numPr>
        <w:ilvl w:val="2"/>
        <w:numId w:val="2"/>
      </w:numPr>
      <w:tabs>
        <w:tab w:val="clear" w:pos="1440"/>
      </w:tabs>
      <w:spacing w:line="480" w:lineRule="auto"/>
      <w:ind w:left="2160"/>
    </w:pPr>
  </w:style>
  <w:style w:type="paragraph" w:customStyle="1" w:styleId="ArticleLeveli">
    <w:name w:val="Article Level (i)"/>
    <w:basedOn w:val="Normal"/>
    <w:pPr>
      <w:spacing w:line="480" w:lineRule="auto"/>
      <w:ind w:left="2880" w:hanging="720"/>
    </w:pPr>
  </w:style>
  <w:style w:type="character" w:styleId="Hyperlink">
    <w:name w:val="Hyperlink"/>
    <w:uiPriority w:val="99"/>
    <w:rPr>
      <w:color w:val="0000FF"/>
      <w:u w:val="single"/>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rPr>
      <w:b/>
      <w:bCs/>
    </w:rPr>
  </w:style>
  <w:style w:type="paragraph" w:styleId="BalloonText">
    <w:name w:val="Balloon Text"/>
    <w:basedOn w:val="Normal"/>
    <w:link w:val="BalloonTextChar"/>
    <w:uiPriority w:val="99"/>
    <w:rsid w:val="00D614B9"/>
    <w:rPr>
      <w:rFonts w:ascii="Tahoma" w:hAnsi="Tahoma" w:cs="Tahoma"/>
      <w:sz w:val="16"/>
      <w:szCs w:val="16"/>
    </w:rPr>
  </w:style>
  <w:style w:type="paragraph" w:styleId="EnvelopeAddress">
    <w:name w:val="envelope address"/>
    <w:basedOn w:val="Normal"/>
    <w:rsid w:val="0065184B"/>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65184B"/>
    <w:rPr>
      <w:rFonts w:ascii="Arial" w:hAnsi="Arial" w:cs="Arial"/>
      <w:sz w:val="20"/>
    </w:rPr>
  </w:style>
  <w:style w:type="paragraph" w:styleId="HTMLPreformatted">
    <w:name w:val="HTML Preformatted"/>
    <w:basedOn w:val="Normal"/>
    <w:link w:val="HTMLPreformattedChar"/>
    <w:uiPriority w:val="99"/>
    <w:unhideWhenUsed/>
    <w:rsid w:val="00396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link w:val="HTMLPreformatted"/>
    <w:uiPriority w:val="99"/>
    <w:rsid w:val="003962BD"/>
    <w:rPr>
      <w:rFonts w:ascii="Courier New" w:hAnsi="Courier New" w:cs="Courier New"/>
    </w:rPr>
  </w:style>
  <w:style w:type="character" w:customStyle="1" w:styleId="FootnoteTextChar">
    <w:name w:val="Footnote Text Char"/>
    <w:aliases w:val="Car Char,Footnote Text Char Char Char,Footnote Text Char Char Char Char Char Char Char Char Char Char Char Char Char Char Char Char Char Char,Footnote Text Char1 Char,Footnote Text Char1 Char Char Char,Style 15 Char,fn Char,ft Char"/>
    <w:link w:val="FootnoteText"/>
    <w:uiPriority w:val="99"/>
    <w:rsid w:val="003962BD"/>
  </w:style>
  <w:style w:type="paragraph" w:styleId="Header">
    <w:name w:val="header"/>
    <w:basedOn w:val="Normal"/>
    <w:link w:val="HeaderChar"/>
    <w:uiPriority w:val="99"/>
    <w:rsid w:val="00F4260C"/>
    <w:pPr>
      <w:tabs>
        <w:tab w:val="center" w:pos="4680"/>
        <w:tab w:val="right" w:pos="9360"/>
      </w:tabs>
    </w:pPr>
  </w:style>
  <w:style w:type="character" w:customStyle="1" w:styleId="HeaderChar">
    <w:name w:val="Header Char"/>
    <w:link w:val="Header"/>
    <w:uiPriority w:val="99"/>
    <w:rsid w:val="00F4260C"/>
    <w:rPr>
      <w:sz w:val="24"/>
    </w:rPr>
  </w:style>
  <w:style w:type="paragraph" w:styleId="ListParagraph">
    <w:name w:val="List Paragraph"/>
    <w:basedOn w:val="Normal"/>
    <w:link w:val="ListParagraphChar"/>
    <w:uiPriority w:val="34"/>
    <w:qFormat/>
    <w:rsid w:val="00562EE5"/>
    <w:pPr>
      <w:spacing w:after="160" w:line="259" w:lineRule="auto"/>
      <w:ind w:left="720"/>
      <w:contextualSpacing/>
    </w:pPr>
    <w:rPr>
      <w:rFonts w:ascii="Calibri" w:eastAsia="Calibri" w:hAnsi="Calibri"/>
      <w:sz w:val="22"/>
      <w:szCs w:val="22"/>
    </w:rPr>
  </w:style>
  <w:style w:type="character" w:styleId="CommentReference">
    <w:name w:val="annotation reference"/>
    <w:uiPriority w:val="99"/>
    <w:unhideWhenUsed/>
    <w:rsid w:val="00210B53"/>
    <w:rPr>
      <w:sz w:val="16"/>
      <w:szCs w:val="16"/>
    </w:rPr>
  </w:style>
  <w:style w:type="paragraph" w:styleId="CommentText">
    <w:name w:val="annotation text"/>
    <w:basedOn w:val="Normal"/>
    <w:link w:val="CommentTextChar"/>
    <w:uiPriority w:val="99"/>
    <w:unhideWhenUsed/>
    <w:rsid w:val="00210B53"/>
    <w:pPr>
      <w:spacing w:after="160"/>
    </w:pPr>
    <w:rPr>
      <w:rFonts w:ascii="Calibri" w:eastAsia="Calibri" w:hAnsi="Calibri"/>
      <w:sz w:val="20"/>
    </w:rPr>
  </w:style>
  <w:style w:type="character" w:customStyle="1" w:styleId="CommentTextChar">
    <w:name w:val="Comment Text Char"/>
    <w:link w:val="CommentText"/>
    <w:uiPriority w:val="99"/>
    <w:rsid w:val="00210B53"/>
    <w:rPr>
      <w:rFonts w:ascii="Calibri" w:eastAsia="Calibri" w:hAnsi="Calibri"/>
    </w:rPr>
  </w:style>
  <w:style w:type="paragraph" w:styleId="CommentSubject">
    <w:name w:val="annotation subject"/>
    <w:basedOn w:val="CommentText"/>
    <w:next w:val="CommentText"/>
    <w:link w:val="CommentSubjectChar"/>
    <w:uiPriority w:val="99"/>
    <w:rsid w:val="00D85B82"/>
    <w:pPr>
      <w:spacing w:after="0"/>
    </w:pPr>
    <w:rPr>
      <w:rFonts w:ascii="Times New Roman" w:eastAsia="Times New Roman" w:hAnsi="Times New Roman"/>
      <w:b/>
      <w:bCs/>
    </w:rPr>
  </w:style>
  <w:style w:type="character" w:customStyle="1" w:styleId="CommentSubjectChar">
    <w:name w:val="Comment Subject Char"/>
    <w:link w:val="CommentSubject"/>
    <w:uiPriority w:val="99"/>
    <w:rsid w:val="00D85B82"/>
    <w:rPr>
      <w:rFonts w:ascii="Calibri" w:eastAsia="Calibri" w:hAnsi="Calibri"/>
      <w:b/>
      <w:bCs/>
    </w:rPr>
  </w:style>
  <w:style w:type="paragraph" w:styleId="Revision">
    <w:name w:val="Revision"/>
    <w:hidden/>
    <w:uiPriority w:val="99"/>
    <w:semiHidden/>
    <w:rsid w:val="005F5440"/>
    <w:rPr>
      <w:sz w:val="24"/>
    </w:rPr>
  </w:style>
  <w:style w:type="character" w:styleId="UnresolvedMention">
    <w:name w:val="Unresolved Mention"/>
    <w:basedOn w:val="DefaultParagraphFont"/>
    <w:uiPriority w:val="99"/>
    <w:unhideWhenUsed/>
    <w:rsid w:val="00EA4371"/>
    <w:rPr>
      <w:color w:val="605E5C"/>
      <w:shd w:val="clear" w:color="auto" w:fill="E1DFDD"/>
    </w:rPr>
  </w:style>
  <w:style w:type="character" w:customStyle="1" w:styleId="Heading1Char">
    <w:name w:val="Heading 1 Char"/>
    <w:basedOn w:val="DefaultParagraphFont"/>
    <w:link w:val="Heading1"/>
    <w:uiPriority w:val="9"/>
    <w:rsid w:val="009A0328"/>
    <w:rPr>
      <w:b/>
      <w:kern w:val="28"/>
      <w:sz w:val="28"/>
    </w:rPr>
  </w:style>
  <w:style w:type="character" w:customStyle="1" w:styleId="Heading2Char">
    <w:name w:val="Heading 2 Char"/>
    <w:basedOn w:val="DefaultParagraphFont"/>
    <w:link w:val="Heading2"/>
    <w:uiPriority w:val="9"/>
    <w:rsid w:val="009A0328"/>
    <w:rPr>
      <w:b/>
      <w:sz w:val="24"/>
    </w:rPr>
  </w:style>
  <w:style w:type="character" w:customStyle="1" w:styleId="Heading3Char">
    <w:name w:val="Heading 3 Char"/>
    <w:basedOn w:val="DefaultParagraphFont"/>
    <w:link w:val="Heading3"/>
    <w:uiPriority w:val="9"/>
    <w:rsid w:val="009A0328"/>
    <w:rPr>
      <w:sz w:val="24"/>
      <w:u w:val="single"/>
    </w:rPr>
  </w:style>
  <w:style w:type="character" w:customStyle="1" w:styleId="Heading4Char">
    <w:name w:val="Heading 4 Char"/>
    <w:basedOn w:val="DefaultParagraphFont"/>
    <w:link w:val="Heading4"/>
    <w:uiPriority w:val="9"/>
    <w:rsid w:val="009A0328"/>
    <w:rPr>
      <w:i/>
      <w:iCs/>
      <w:u w:val="single"/>
    </w:rPr>
  </w:style>
  <w:style w:type="character" w:customStyle="1" w:styleId="Heading5Char">
    <w:name w:val="Heading 5 Char"/>
    <w:basedOn w:val="DefaultParagraphFont"/>
    <w:link w:val="Heading5"/>
    <w:uiPriority w:val="9"/>
    <w:rsid w:val="009A0328"/>
    <w:rPr>
      <w:b/>
      <w:bCs/>
      <w:sz w:val="24"/>
      <w:u w:val="single"/>
    </w:rPr>
  </w:style>
  <w:style w:type="character" w:customStyle="1" w:styleId="Heading6Char">
    <w:name w:val="Heading 6 Char"/>
    <w:basedOn w:val="DefaultParagraphFont"/>
    <w:link w:val="Heading6"/>
    <w:uiPriority w:val="9"/>
    <w:rsid w:val="009A0328"/>
    <w:rPr>
      <w:b/>
      <w:bCs/>
      <w:sz w:val="24"/>
    </w:rPr>
  </w:style>
  <w:style w:type="character" w:customStyle="1" w:styleId="Heading7Char">
    <w:name w:val="Heading 7 Char"/>
    <w:basedOn w:val="DefaultParagraphFont"/>
    <w:link w:val="Heading7"/>
    <w:uiPriority w:val="9"/>
    <w:rsid w:val="009A0328"/>
    <w:rPr>
      <w:b/>
      <w:bCs/>
      <w:sz w:val="24"/>
    </w:rPr>
  </w:style>
  <w:style w:type="character" w:customStyle="1" w:styleId="Heading8Char">
    <w:name w:val="Heading 8 Char"/>
    <w:basedOn w:val="DefaultParagraphFont"/>
    <w:link w:val="Heading8"/>
    <w:uiPriority w:val="9"/>
    <w:rsid w:val="009A0328"/>
    <w:rPr>
      <w:b/>
      <w:bCs/>
    </w:rPr>
  </w:style>
  <w:style w:type="character" w:customStyle="1" w:styleId="Heading9Char">
    <w:name w:val="Heading 9 Char"/>
    <w:basedOn w:val="DefaultParagraphFont"/>
    <w:link w:val="Heading9"/>
    <w:uiPriority w:val="9"/>
    <w:rsid w:val="009A0328"/>
    <w:rPr>
      <w:b/>
      <w:bCs/>
    </w:rPr>
  </w:style>
  <w:style w:type="paragraph" w:styleId="Title">
    <w:name w:val="Title"/>
    <w:basedOn w:val="Normal"/>
    <w:next w:val="Normal"/>
    <w:link w:val="TitleChar"/>
    <w:uiPriority w:val="10"/>
    <w:qFormat/>
    <w:rsid w:val="009A032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A0328"/>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A032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A0328"/>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A0328"/>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9A0328"/>
    <w:rPr>
      <w:rFonts w:asciiTheme="minorHAnsi" w:eastAsiaTheme="minorHAnsi" w:hAnsiTheme="minorHAnsi" w:cstheme="minorBidi"/>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9A0328"/>
    <w:rPr>
      <w:i/>
      <w:iCs/>
      <w:color w:val="2F5496" w:themeColor="accent1" w:themeShade="BF"/>
    </w:rPr>
  </w:style>
  <w:style w:type="paragraph" w:styleId="IntenseQuote">
    <w:name w:val="Intense Quote"/>
    <w:basedOn w:val="Normal"/>
    <w:next w:val="Normal"/>
    <w:link w:val="IntenseQuoteChar"/>
    <w:uiPriority w:val="30"/>
    <w:qFormat/>
    <w:rsid w:val="009A032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9A0328"/>
    <w:rPr>
      <w:rFonts w:asciiTheme="minorHAnsi" w:eastAsiaTheme="minorHAnsi" w:hAnsiTheme="minorHAnsi" w:cstheme="minorBidi"/>
      <w:i/>
      <w:iCs/>
      <w:color w:val="2F5496" w:themeColor="accent1" w:themeShade="BF"/>
      <w:kern w:val="2"/>
      <w:sz w:val="24"/>
      <w:szCs w:val="24"/>
      <w14:ligatures w14:val="standardContextual"/>
    </w:rPr>
  </w:style>
  <w:style w:type="character" w:styleId="IntenseReference">
    <w:name w:val="Intense Reference"/>
    <w:basedOn w:val="DefaultParagraphFont"/>
    <w:uiPriority w:val="32"/>
    <w:qFormat/>
    <w:rsid w:val="009A0328"/>
    <w:rPr>
      <w:b/>
      <w:bCs/>
      <w:smallCaps/>
      <w:color w:val="2F5496" w:themeColor="accent1" w:themeShade="BF"/>
      <w:spacing w:val="5"/>
    </w:rPr>
  </w:style>
  <w:style w:type="numbering" w:customStyle="1" w:styleId="NoList1">
    <w:name w:val="No List1"/>
    <w:next w:val="NoList"/>
    <w:uiPriority w:val="99"/>
    <w:semiHidden/>
    <w:unhideWhenUsed/>
    <w:rsid w:val="00447971"/>
  </w:style>
  <w:style w:type="character" w:customStyle="1" w:styleId="BalloonTextChar">
    <w:name w:val="Balloon Text Char"/>
    <w:basedOn w:val="DefaultParagraphFont"/>
    <w:link w:val="BalloonText"/>
    <w:uiPriority w:val="99"/>
    <w:rsid w:val="00447971"/>
    <w:rPr>
      <w:rFonts w:ascii="Tahoma" w:hAnsi="Tahoma" w:cs="Tahoma"/>
      <w:sz w:val="16"/>
      <w:szCs w:val="16"/>
    </w:rPr>
  </w:style>
  <w:style w:type="character" w:styleId="Strong">
    <w:name w:val="Strong"/>
    <w:basedOn w:val="DefaultParagraphFont"/>
    <w:uiPriority w:val="22"/>
    <w:qFormat/>
    <w:rsid w:val="00447971"/>
    <w:rPr>
      <w:rFonts w:cs="Times New Roman"/>
      <w:b/>
      <w:bCs/>
    </w:rPr>
  </w:style>
  <w:style w:type="character" w:customStyle="1" w:styleId="FooterChar">
    <w:name w:val="Footer Char"/>
    <w:basedOn w:val="DefaultParagraphFont"/>
    <w:link w:val="Footer"/>
    <w:uiPriority w:val="99"/>
    <w:rsid w:val="00447971"/>
    <w:rPr>
      <w:sz w:val="24"/>
    </w:rPr>
  </w:style>
  <w:style w:type="character" w:customStyle="1" w:styleId="FollowedHyperlink1">
    <w:name w:val="FollowedHyperlink1"/>
    <w:basedOn w:val="DefaultParagraphFont"/>
    <w:uiPriority w:val="99"/>
    <w:rsid w:val="00447971"/>
    <w:rPr>
      <w:color w:val="96607D"/>
      <w:u w:val="single"/>
    </w:rPr>
  </w:style>
  <w:style w:type="paragraph" w:customStyle="1" w:styleId="Default">
    <w:name w:val="Default"/>
    <w:rsid w:val="00447971"/>
    <w:pPr>
      <w:autoSpaceDE w:val="0"/>
      <w:autoSpaceDN w:val="0"/>
      <w:adjustRightInd w:val="0"/>
    </w:pPr>
    <w:rPr>
      <w:rFonts w:ascii="Verdana" w:hAnsi="Verdana" w:cs="Verdana"/>
      <w:color w:val="000000"/>
      <w:sz w:val="24"/>
      <w:szCs w:val="24"/>
    </w:rPr>
  </w:style>
  <w:style w:type="character" w:customStyle="1" w:styleId="ListParagraphChar">
    <w:name w:val="List Paragraph Char"/>
    <w:basedOn w:val="DefaultParagraphFont"/>
    <w:link w:val="ListParagraph"/>
    <w:uiPriority w:val="34"/>
    <w:locked/>
    <w:rsid w:val="00447971"/>
    <w:rPr>
      <w:rFonts w:ascii="Calibri" w:eastAsia="Calibri" w:hAnsi="Calibri"/>
      <w:sz w:val="22"/>
      <w:szCs w:val="22"/>
    </w:rPr>
  </w:style>
  <w:style w:type="paragraph" w:styleId="PlainText">
    <w:name w:val="Plain Text"/>
    <w:basedOn w:val="Normal"/>
    <w:link w:val="PlainTextChar"/>
    <w:uiPriority w:val="99"/>
    <w:unhideWhenUsed/>
    <w:rsid w:val="00447971"/>
    <w:rPr>
      <w:rFonts w:ascii="Consolas" w:eastAsia="Calibri" w:hAnsi="Consolas"/>
      <w:sz w:val="21"/>
      <w:szCs w:val="21"/>
    </w:rPr>
  </w:style>
  <w:style w:type="character" w:customStyle="1" w:styleId="PlainTextChar">
    <w:name w:val="Plain Text Char"/>
    <w:basedOn w:val="DefaultParagraphFont"/>
    <w:link w:val="PlainText"/>
    <w:uiPriority w:val="99"/>
    <w:rsid w:val="00447971"/>
    <w:rPr>
      <w:rFonts w:ascii="Consolas" w:eastAsia="Calibri" w:hAnsi="Consolas"/>
      <w:sz w:val="21"/>
      <w:szCs w:val="21"/>
    </w:rPr>
  </w:style>
  <w:style w:type="character" w:customStyle="1" w:styleId="stdref1">
    <w:name w:val="stdref1"/>
    <w:basedOn w:val="DefaultParagraphFont"/>
    <w:rsid w:val="00447971"/>
    <w:rPr>
      <w:color w:val="0F0D61"/>
    </w:rPr>
  </w:style>
  <w:style w:type="character" w:customStyle="1" w:styleId="textdisclaimer">
    <w:name w:val="text_disclaimer"/>
    <w:basedOn w:val="DefaultParagraphFont"/>
    <w:rsid w:val="00447971"/>
  </w:style>
  <w:style w:type="character" w:styleId="Emphasis">
    <w:name w:val="Emphasis"/>
    <w:basedOn w:val="DefaultParagraphFont"/>
    <w:uiPriority w:val="20"/>
    <w:qFormat/>
    <w:rsid w:val="00447971"/>
    <w:rPr>
      <w:i/>
      <w:iCs/>
    </w:rPr>
  </w:style>
  <w:style w:type="character" w:customStyle="1" w:styleId="UnresolvedMention1">
    <w:name w:val="Unresolved Mention1"/>
    <w:basedOn w:val="DefaultParagraphFont"/>
    <w:uiPriority w:val="99"/>
    <w:semiHidden/>
    <w:unhideWhenUsed/>
    <w:rsid w:val="00447971"/>
    <w:rPr>
      <w:color w:val="605E5C"/>
      <w:shd w:val="clear" w:color="auto" w:fill="E1DFDD"/>
    </w:rPr>
  </w:style>
  <w:style w:type="character" w:customStyle="1" w:styleId="cohl">
    <w:name w:val="co_hl"/>
    <w:basedOn w:val="DefaultParagraphFont"/>
    <w:rsid w:val="00447971"/>
  </w:style>
  <w:style w:type="paragraph" w:styleId="NormalWeb">
    <w:name w:val="Normal (Web)"/>
    <w:basedOn w:val="Normal"/>
    <w:uiPriority w:val="99"/>
    <w:unhideWhenUsed/>
    <w:rsid w:val="00447971"/>
    <w:pPr>
      <w:spacing w:before="100" w:beforeAutospacing="1" w:after="100" w:afterAutospacing="1"/>
      <w:ind w:firstLine="480"/>
    </w:pPr>
    <w:rPr>
      <w:szCs w:val="24"/>
    </w:rPr>
  </w:style>
  <w:style w:type="paragraph" w:customStyle="1" w:styleId="indent-2">
    <w:name w:val="indent-2"/>
    <w:basedOn w:val="Normal"/>
    <w:rsid w:val="00447971"/>
    <w:pPr>
      <w:spacing w:before="100" w:beforeAutospacing="1" w:after="100" w:afterAutospacing="1"/>
      <w:ind w:left="600"/>
    </w:pPr>
    <w:rPr>
      <w:szCs w:val="24"/>
    </w:rPr>
  </w:style>
  <w:style w:type="paragraph" w:customStyle="1" w:styleId="Char1">
    <w:name w:val="Char1"/>
    <w:basedOn w:val="Normal"/>
    <w:next w:val="FootnoteText"/>
    <w:uiPriority w:val="99"/>
    <w:qFormat/>
    <w:rsid w:val="00447971"/>
    <w:rPr>
      <w:rFonts w:ascii="Calibri" w:eastAsia="Calibri" w:hAnsi="Calibri"/>
    </w:rPr>
  </w:style>
  <w:style w:type="character" w:styleId="Mention">
    <w:name w:val="Mention"/>
    <w:basedOn w:val="DefaultParagraphFont"/>
    <w:uiPriority w:val="99"/>
    <w:unhideWhenUsed/>
    <w:rsid w:val="00447971"/>
    <w:rPr>
      <w:color w:val="2B579A"/>
      <w:shd w:val="clear" w:color="auto" w:fill="E1DFDD"/>
    </w:rPr>
  </w:style>
  <w:style w:type="character" w:customStyle="1" w:styleId="normaltextrun">
    <w:name w:val="normaltextrun"/>
    <w:basedOn w:val="DefaultParagraphFont"/>
    <w:rsid w:val="00447971"/>
  </w:style>
  <w:style w:type="character" w:customStyle="1" w:styleId="cf01">
    <w:name w:val="cf01"/>
    <w:basedOn w:val="DefaultParagraphFont"/>
    <w:rsid w:val="00447971"/>
    <w:rPr>
      <w:rFonts w:ascii="Segoe UI" w:hAnsi="Segoe UI" w:cs="Segoe UI" w:hint="default"/>
      <w:sz w:val="18"/>
      <w:szCs w:val="18"/>
    </w:rPr>
  </w:style>
  <w:style w:type="paragraph" w:customStyle="1" w:styleId="paragraph">
    <w:name w:val="paragraph"/>
    <w:basedOn w:val="Normal"/>
    <w:rsid w:val="00447971"/>
    <w:pPr>
      <w:spacing w:before="100" w:beforeAutospacing="1" w:after="100" w:afterAutospacing="1"/>
    </w:pPr>
    <w:rPr>
      <w:szCs w:val="24"/>
    </w:rPr>
  </w:style>
  <w:style w:type="character" w:customStyle="1" w:styleId="eop">
    <w:name w:val="eop"/>
    <w:basedOn w:val="DefaultParagraphFont"/>
    <w:rsid w:val="00447971"/>
  </w:style>
  <w:style w:type="numbering" w:customStyle="1" w:styleId="NoList11">
    <w:name w:val="No List11"/>
    <w:next w:val="NoList"/>
    <w:uiPriority w:val="99"/>
    <w:semiHidden/>
    <w:unhideWhenUsed/>
    <w:rsid w:val="00447971"/>
  </w:style>
  <w:style w:type="table" w:customStyle="1" w:styleId="TableGrid1">
    <w:name w:val="Table Grid1"/>
    <w:basedOn w:val="TableNormal"/>
    <w:next w:val="TableGrid"/>
    <w:uiPriority w:val="59"/>
    <w:rsid w:val="00447971"/>
    <w:rPr>
      <w:rFonts w:ascii="Aptos" w:hAnsi="Aptos"/>
    </w:rPr>
    <w:tblPr/>
  </w:style>
  <w:style w:type="paragraph" w:customStyle="1" w:styleId="pf0">
    <w:name w:val="pf0"/>
    <w:basedOn w:val="Normal"/>
    <w:rsid w:val="00447971"/>
    <w:pPr>
      <w:spacing w:before="100" w:beforeAutospacing="1" w:after="100" w:afterAutospacing="1"/>
      <w:ind w:left="720"/>
    </w:pPr>
    <w:rPr>
      <w:szCs w:val="24"/>
    </w:rPr>
  </w:style>
  <w:style w:type="character" w:customStyle="1" w:styleId="cf11">
    <w:name w:val="cf11"/>
    <w:basedOn w:val="DefaultParagraphFont"/>
    <w:rsid w:val="00447971"/>
    <w:rPr>
      <w:rFonts w:ascii="Segoe UI" w:hAnsi="Segoe UI" w:cs="Segoe UI" w:hint="default"/>
      <w:sz w:val="18"/>
      <w:szCs w:val="18"/>
    </w:rPr>
  </w:style>
  <w:style w:type="character" w:customStyle="1" w:styleId="cf31">
    <w:name w:val="cf31"/>
    <w:basedOn w:val="DefaultParagraphFont"/>
    <w:rsid w:val="00447971"/>
    <w:rPr>
      <w:rFonts w:ascii="Segoe UI" w:hAnsi="Segoe UI" w:cs="Segoe UI" w:hint="default"/>
      <w:i/>
      <w:iCs/>
      <w:sz w:val="18"/>
      <w:szCs w:val="18"/>
    </w:rPr>
  </w:style>
  <w:style w:type="table" w:styleId="TableGrid">
    <w:name w:val="Table Grid"/>
    <w:basedOn w:val="TableNormal"/>
    <w:uiPriority w:val="39"/>
    <w:rsid w:val="00447971"/>
    <w:rPr>
      <w:rFonts w:ascii="Aptos" w:eastAsia="Aptos" w:hAnsi="Aptos" w:cs="Arial"/>
      <w:kern w:val="2"/>
      <w:sz w:val="24"/>
      <w:szCs w:val="24"/>
      <w14:ligatures w14:val="standardContextual"/>
    </w:rPr>
    <w:tblPr/>
  </w:style>
  <w:style w:type="table" w:customStyle="1" w:styleId="TableGrid2">
    <w:name w:val="Table Grid2"/>
    <w:basedOn w:val="TableNormal"/>
    <w:next w:val="TableGrid"/>
    <w:uiPriority w:val="59"/>
    <w:rsid w:val="00447971"/>
    <w:rPr>
      <w:rFonts w:ascii="Aptos" w:eastAsia="Aptos" w:hAnsi="Aptos" w:cs="Arial"/>
      <w:kern w:val="2"/>
      <w:sz w:val="24"/>
      <w:szCs w:val="24"/>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447971"/>
  </w:style>
  <w:style w:type="table" w:customStyle="1" w:styleId="TableGrid3">
    <w:name w:val="Table Grid3"/>
    <w:basedOn w:val="TableNormal"/>
    <w:next w:val="TableGrid"/>
    <w:uiPriority w:val="59"/>
    <w:rsid w:val="00447971"/>
    <w:rPr>
      <w:rFonts w:ascii="Aptos" w:eastAsia="Aptos" w:hAnsi="Aptos" w:cs="Arial"/>
      <w:kern w:val="2"/>
      <w:sz w:val="24"/>
      <w:szCs w:val="24"/>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
    <w:name w:val="No List3"/>
    <w:next w:val="NoList"/>
    <w:uiPriority w:val="99"/>
    <w:semiHidden/>
    <w:unhideWhenUsed/>
    <w:rsid w:val="00447971"/>
  </w:style>
  <w:style w:type="character" w:customStyle="1" w:styleId="Hyperlink1">
    <w:name w:val="Hyperlink1"/>
    <w:basedOn w:val="DefaultParagraphFont"/>
    <w:uiPriority w:val="99"/>
    <w:semiHidden/>
    <w:unhideWhenUsed/>
    <w:rsid w:val="00447971"/>
    <w:rPr>
      <w:color w:val="467886"/>
      <w:u w:val="single"/>
    </w:rPr>
  </w:style>
  <w:style w:type="numbering" w:customStyle="1" w:styleId="NoList111">
    <w:name w:val="No List111"/>
    <w:next w:val="NoList"/>
    <w:uiPriority w:val="99"/>
    <w:semiHidden/>
    <w:unhideWhenUsed/>
    <w:rsid w:val="00447971"/>
  </w:style>
  <w:style w:type="character" w:styleId="PlaceholderText">
    <w:name w:val="Placeholder Text"/>
    <w:basedOn w:val="DefaultParagraphFont"/>
    <w:uiPriority w:val="99"/>
    <w:semiHidden/>
    <w:rsid w:val="00447971"/>
    <w:rPr>
      <w:color w:val="666666"/>
    </w:rPr>
  </w:style>
  <w:style w:type="numbering" w:customStyle="1" w:styleId="NoList4">
    <w:name w:val="No List4"/>
    <w:next w:val="NoList"/>
    <w:uiPriority w:val="99"/>
    <w:semiHidden/>
    <w:unhideWhenUsed/>
    <w:rsid w:val="00447971"/>
  </w:style>
  <w:style w:type="numbering" w:customStyle="1" w:styleId="NoList12">
    <w:name w:val="No List12"/>
    <w:next w:val="NoList"/>
    <w:uiPriority w:val="99"/>
    <w:semiHidden/>
    <w:unhideWhenUsed/>
    <w:rsid w:val="00447971"/>
  </w:style>
  <w:style w:type="numbering" w:customStyle="1" w:styleId="NoList1111">
    <w:name w:val="No List1111"/>
    <w:next w:val="NoList"/>
    <w:uiPriority w:val="99"/>
    <w:semiHidden/>
    <w:unhideWhenUsed/>
    <w:rsid w:val="00447971"/>
  </w:style>
  <w:style w:type="numbering" w:customStyle="1" w:styleId="NoList21">
    <w:name w:val="No List21"/>
    <w:next w:val="NoList"/>
    <w:uiPriority w:val="99"/>
    <w:semiHidden/>
    <w:unhideWhenUsed/>
    <w:rsid w:val="00447971"/>
  </w:style>
  <w:style w:type="table" w:customStyle="1" w:styleId="TableGrid4">
    <w:name w:val="Table Grid4"/>
    <w:basedOn w:val="TableNormal"/>
    <w:next w:val="TableGrid"/>
    <w:uiPriority w:val="39"/>
    <w:rsid w:val="00447971"/>
    <w:rPr>
      <w:rFonts w:ascii="Aptos" w:eastAsia="Aptos" w:hAnsi="Aptos" w:cs="Arial"/>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447971"/>
    <w:rPr>
      <w:color w:val="954F72" w:themeColor="followedHyperlink"/>
      <w:u w:val="single"/>
    </w:rPr>
  </w:style>
  <w:style w:type="character" w:customStyle="1" w:styleId="StyleAptos10pt">
    <w:name w:val="Style Aptos 10 pt"/>
    <w:basedOn w:val="DefaultParagraphFont"/>
    <w:rsid w:val="0042094C"/>
    <w:rPr>
      <w:rFonts w:ascii="Times New Roman" w:hAnsi="Times New Roman"/>
      <w:kern w:val="2"/>
      <w:sz w:val="20"/>
    </w:rPr>
  </w:style>
  <w:style w:type="character" w:customStyle="1" w:styleId="StyleAptos10ptBoldItalic">
    <w:name w:val="Style Aptos 10 pt Bold Italic"/>
    <w:basedOn w:val="DefaultParagraphFont"/>
    <w:rsid w:val="0042094C"/>
    <w:rPr>
      <w:rFonts w:ascii="Times New Roman" w:hAnsi="Times New Roman"/>
      <w:b/>
      <w:bCs/>
      <w:i/>
      <w:iCs/>
      <w:kern w:val="2"/>
      <w:sz w:val="20"/>
    </w:rPr>
  </w:style>
  <w:style w:type="character" w:customStyle="1" w:styleId="StyleAptos10ptItalic">
    <w:name w:val="Style Aptos 10 pt Italic"/>
    <w:basedOn w:val="DefaultParagraphFont"/>
    <w:rsid w:val="0042094C"/>
    <w:rPr>
      <w:rFonts w:ascii="Times New Roman" w:hAnsi="Times New Roman"/>
      <w:b/>
      <w:i/>
      <w:iCs/>
      <w:kern w:val="2"/>
      <w:sz w:val="20"/>
    </w:rPr>
  </w:style>
  <w:style w:type="character" w:customStyle="1" w:styleId="StyleAptos10ptBold">
    <w:name w:val="Style Aptos 10 pt Bold"/>
    <w:basedOn w:val="DefaultParagraphFont"/>
    <w:rsid w:val="0042094C"/>
    <w:rPr>
      <w:rFonts w:ascii="Times New Roman" w:hAnsi="Times New Roman"/>
      <w:b/>
      <w:bCs/>
      <w:i/>
      <w:kern w:val="2"/>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B2A5B-9498-4AB7-8E96-C936016A3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13834</Words>
  <Characters>78857</Characters>
  <Application>Microsoft Office Word</Application>
  <DocSecurity>0</DocSecurity>
  <Lines>657</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2026-11-05T23:14:00Z</dcterms:created>
  <dcterms:modified xsi:type="dcterms:W3CDTF">2026-11-06T00:17:00Z</dcterms:modified>
</cp:coreProperties>
</file>