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8D7B0A" w:rsidP="000052D7" w14:paraId="38F34931" w14:textId="77777777">
      <w:pPr>
        <w:pStyle w:val="Title"/>
        <w:rPr>
          <w:sz w:val="24"/>
        </w:rPr>
      </w:pPr>
      <w:r w:rsidRPr="008D7B0A">
        <w:rPr>
          <w:sz w:val="24"/>
        </w:rPr>
        <w:t xml:space="preserve">SUPPORTING STATEMENT </w:t>
      </w:r>
    </w:p>
    <w:p w:rsidR="00C0142F" w:rsidRPr="008D7B0A" w:rsidP="007B31B8" w14:paraId="684BBBCF" w14:textId="77777777">
      <w:pPr>
        <w:pStyle w:val="BodyText2"/>
      </w:pPr>
    </w:p>
    <w:p w:rsidR="00C0142F" w:rsidRPr="008D7B0A" w:rsidP="000052D7" w14:paraId="3C70DA54" w14:textId="77777777">
      <w:pPr>
        <w:pStyle w:val="Title"/>
        <w:rPr>
          <w:sz w:val="24"/>
        </w:rPr>
      </w:pPr>
      <w:r w:rsidRPr="008D7B0A">
        <w:rPr>
          <w:sz w:val="24"/>
        </w:rPr>
        <w:t>Paperwork Reduction Act Generic Information Collection Submissions for “Generic Clearance for the Collection of Qualitative Feedback on Agency Service Delivery”</w:t>
      </w:r>
    </w:p>
    <w:p w:rsidR="00C0142F" w:rsidRPr="008D7B0A" w:rsidP="000052D7" w14:paraId="50749218" w14:textId="77777777">
      <w:pPr>
        <w:pStyle w:val="Title"/>
        <w:rPr>
          <w:sz w:val="24"/>
        </w:rPr>
      </w:pPr>
      <w:r w:rsidRPr="008D7B0A">
        <w:rPr>
          <w:sz w:val="24"/>
        </w:rPr>
        <w:t>1615-0121</w:t>
      </w:r>
    </w:p>
    <w:p w:rsidR="00C0142F" w:rsidRPr="008D7B0A" w:rsidP="007B31B8" w14:paraId="23158ACC" w14:textId="77777777">
      <w:pPr>
        <w:pStyle w:val="BodyText2"/>
      </w:pPr>
    </w:p>
    <w:p w:rsidR="00B27061" w:rsidRPr="008D7B0A" w:rsidP="00622483" w14:paraId="0C7A730D" w14:textId="77777777">
      <w:pPr>
        <w:pStyle w:val="Heading1"/>
        <w:rPr>
          <w:sz w:val="24"/>
        </w:rPr>
      </w:pPr>
      <w:r w:rsidRPr="008D7B0A">
        <w:rPr>
          <w:sz w:val="24"/>
        </w:rPr>
        <w:t>A.  Justification</w:t>
      </w:r>
    </w:p>
    <w:p w:rsidR="00B27061" w:rsidRPr="008D7B0A" w:rsidP="007B31B8" w14:paraId="509C8360" w14:textId="77777777">
      <w:pPr>
        <w:pStyle w:val="BodyText2"/>
      </w:pPr>
    </w:p>
    <w:p w:rsidR="00807BA2" w:rsidRPr="008D7B0A" w:rsidP="004D74BB" w14:paraId="1F68E8EC" w14:textId="77777777">
      <w:pPr>
        <w:pStyle w:val="BodyText"/>
      </w:pPr>
      <w:r w:rsidRPr="008D7B0A">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7312F9" w:rsidRPr="008D7B0A" w:rsidP="007B31B8" w14:paraId="16BC608E" w14:textId="77777777">
      <w:pPr>
        <w:pStyle w:val="BodyText2"/>
      </w:pPr>
    </w:p>
    <w:p w:rsidR="00C0142F" w:rsidRPr="00B92447" w:rsidP="00235084" w14:paraId="53D0F19D" w14:textId="77777777">
      <w:pPr>
        <w:pStyle w:val="BodyText2"/>
      </w:pPr>
      <w:r w:rsidRPr="008D7B0A">
        <w:t>Executive Order 1</w:t>
      </w:r>
      <w:r w:rsidRPr="00B92447">
        <w:t xml:space="preserve">2862 directs Federal agencies to provide service to the public that matches or exceeds the best service available in the private sector. In order to work continuously to ensure that our programs are effective and meet our customers’ needs, Department of Homeland Security/U.S. Citizenship and Immigration Services seeks to obtain OMB approval of a generic clearance to collect qualitative feedback on our service </w:t>
      </w:r>
      <w:r w:rsidR="00B92447">
        <w:t xml:space="preserve">delivery.  By qualitative </w:t>
      </w:r>
      <w:r w:rsidRPr="00B92447">
        <w:t>feedback</w:t>
      </w:r>
      <w:r w:rsidR="00B92447">
        <w:t>,</w:t>
      </w:r>
      <w:r w:rsidRPr="00B92447">
        <w:t xml:space="preserve"> we mean information that provides useful insights on perceptions and opinions, but are not statistical surveys that yield quantitative results that can be generalized to the population of study.</w:t>
      </w:r>
    </w:p>
    <w:p w:rsidR="00C0142F" w:rsidRPr="000D5A86" w:rsidP="007B31B8" w14:paraId="11D1FF8F" w14:textId="77777777">
      <w:pPr>
        <w:pStyle w:val="BodyText2"/>
      </w:pPr>
    </w:p>
    <w:p w:rsidR="00C0142F" w:rsidRPr="00B92447" w:rsidP="00235084" w14:paraId="4045DD87" w14:textId="77777777">
      <w:pPr>
        <w:pStyle w:val="BodyText2"/>
      </w:pPr>
      <w:r w:rsidRPr="00B92447">
        <w:t xml:space="preserve">This collection of information is necessary to enable the Agency to garner customer and stakeholder feedback in an efficient, timely manner, in accordance with our commitment </w:t>
      </w:r>
      <w:r w:rsidRPr="00B92447" w:rsidR="00AC5FF8">
        <w:t xml:space="preserve">to improving </w:t>
      </w:r>
      <w:r w:rsidRPr="00B92447">
        <w:t>service delivery.  The information collected from our customers and stakeholders will help ensure that users have an effective, efficient, and satisfying experience with the Agency’s programs.  This feedback will provide insights into customer or stakeholder perceptions, experiences and expectations, provide an early warning of issues with service, or focus attention on areas where communication, training o</w:t>
      </w:r>
      <w:r w:rsidRPr="00B92447" w:rsidR="00AC5FF8">
        <w:t xml:space="preserve">r changes in </w:t>
      </w:r>
      <w:r w:rsidRPr="00B92447">
        <w:t xml:space="preserve">operations might improve delivery </w:t>
      </w:r>
      <w:r w:rsidR="00B92447">
        <w:t xml:space="preserve">of products or services.  These </w:t>
      </w:r>
      <w:r w:rsidRPr="00B92447">
        <w:t xml:space="preserve">collections will allow for ongoing, collaborative and actionable communications between the Agency and its customers and stakeholders.  It will also allow feedback to contribute directly to the improvement of program management. </w:t>
      </w:r>
    </w:p>
    <w:p w:rsidR="00A3466A" w:rsidRPr="00712C2B" w:rsidP="00235084" w14:paraId="53504FF2" w14:textId="77777777">
      <w:pPr>
        <w:pStyle w:val="BodyText2"/>
      </w:pPr>
      <w:r w:rsidRPr="00712C2B">
        <w:t xml:space="preserve"> </w:t>
      </w:r>
    </w:p>
    <w:p w:rsidR="00B27061" w:rsidRPr="0020380B" w:rsidP="004D74BB" w14:paraId="4B17D0D4" w14:textId="77777777">
      <w:pPr>
        <w:pStyle w:val="BodyText"/>
      </w:pPr>
      <w:r w:rsidRPr="0020380B">
        <w:t>Indicate how, by whom, and for what purpose the information is to be used.  Except for a new collection, indicate the actual use the agency has made of the information received from the current collection.</w:t>
      </w:r>
    </w:p>
    <w:p w:rsidR="00B27061" w:rsidRPr="00914A5D" w:rsidP="007B31B8" w14:paraId="6BB32DA7" w14:textId="77777777">
      <w:pPr>
        <w:pStyle w:val="BodyText2"/>
      </w:pPr>
    </w:p>
    <w:p w:rsidR="00A70A0B" w:rsidRPr="000D5A86" w:rsidP="00235084" w14:paraId="53EB5B4C" w14:textId="77777777">
      <w:pPr>
        <w:pStyle w:val="BodyText2"/>
      </w:pPr>
      <w:r w:rsidRPr="000D5A86">
        <w:t>Improving agency programs requires ongoing assessment of service delivery, by which we mean systematic review of the operation of a program compared to a set of explicit or implicit standards, as a means of contributing to the continuous improvement of the program.  The Agency will collect, analyze, and interpret information gathered through this generic clearance to identify strengths and weaknesses of current services and make improvements in service delivery based on feedback.  The solicitation of feedba</w:t>
      </w:r>
      <w:r w:rsidRPr="000D5A86">
        <w:t>ck will target areas such as:  timeliness, appropriateness, accu</w:t>
      </w:r>
      <w:r w:rsidR="003978B2">
        <w:t xml:space="preserve">racy of information, courtesy, </w:t>
      </w:r>
      <w:r w:rsidR="0010686E">
        <w:t>e</w:t>
      </w:r>
      <w:r w:rsidRPr="000D5A86">
        <w:t>fficiency of service delivery, and resolution of issues wit</w:t>
      </w:r>
      <w:r w:rsidR="0010686E">
        <w:t xml:space="preserve">h service delivery.   Responses </w:t>
      </w:r>
      <w:r w:rsidRPr="000D5A86">
        <w:t>will be assessed to plan and inform efforts to improve or maintain the quality of service offered to the public.  If this information is not collected, vital feedback from customers and stakeholders on the Agency’s services will be unavailable.</w:t>
      </w:r>
    </w:p>
    <w:p w:rsidR="00A70A0B" w:rsidRPr="00712C2B" w:rsidP="00235084" w14:paraId="071A67BA" w14:textId="77777777">
      <w:pPr>
        <w:pStyle w:val="BodyText2"/>
      </w:pPr>
    </w:p>
    <w:p w:rsidR="00A70A0B" w:rsidP="0010686E" w14:paraId="1B09FA61" w14:textId="77777777">
      <w:pPr>
        <w:pStyle w:val="BodyText2"/>
      </w:pPr>
      <w:r w:rsidRPr="000D5A86">
        <w:t xml:space="preserve">The Agency will only submit a </w:t>
      </w:r>
      <w:r w:rsidRPr="00B92447">
        <w:t>collection</w:t>
      </w:r>
      <w:r w:rsidRPr="000D5A86">
        <w:t xml:space="preserve"> for approval under this generic clearance if it meets the following conditions:   </w:t>
      </w:r>
    </w:p>
    <w:p w:rsidR="0010686E" w:rsidRPr="00712C2B" w:rsidP="0010686E" w14:paraId="68D70A5E" w14:textId="77777777">
      <w:pPr>
        <w:pStyle w:val="BodyText2"/>
      </w:pPr>
    </w:p>
    <w:p w:rsidR="00A70A0B" w:rsidP="000052D7" w14:paraId="1CB59BA8" w14:textId="77777777">
      <w:pPr>
        <w:pStyle w:val="ListBullet2"/>
      </w:pPr>
      <w:r w:rsidRPr="000D5A86">
        <w:t xml:space="preserve">Information gathered will be used only internally  for general service </w:t>
      </w:r>
      <w:r>
        <w:tab/>
      </w:r>
      <w:r w:rsidRPr="000D5A86">
        <w:t xml:space="preserve">improvement and program management purposes and is not intended for release </w:t>
      </w:r>
      <w:r>
        <w:tab/>
      </w:r>
      <w:r w:rsidRPr="000D5A86">
        <w:t xml:space="preserve">outside of the agency (if released, procedures outlined in Question 16 will be </w:t>
      </w:r>
      <w:r>
        <w:tab/>
      </w:r>
      <w:r w:rsidRPr="000D5A86">
        <w:t>followed);</w:t>
      </w:r>
    </w:p>
    <w:p w:rsidR="00A70A0B" w:rsidP="000052D7" w14:paraId="7E2137E5" w14:textId="77777777">
      <w:pPr>
        <w:pStyle w:val="ListBullet2"/>
      </w:pPr>
      <w:r w:rsidRPr="00A70A0B">
        <w:t xml:space="preserve">Information gathered will not be used for the purpose of substantially informing influential policy decisions </w:t>
      </w:r>
      <w:r>
        <w:rPr>
          <w:rStyle w:val="FootnoteReference"/>
        </w:rPr>
        <w:footnoteReference w:id="2"/>
      </w:r>
      <w:r w:rsidRPr="00A70A0B">
        <w:t>;</w:t>
      </w:r>
    </w:p>
    <w:p w:rsidR="00A70A0B" w:rsidP="000052D7" w14:paraId="5B6A516A" w14:textId="77777777">
      <w:pPr>
        <w:pStyle w:val="ListBullet2"/>
      </w:pPr>
      <w:r w:rsidRPr="00A70A0B">
        <w:t xml:space="preserve">Information gathered  will yield qualitative information; the collections will not be designed or expected to yield statistically reliable results or used as though the </w:t>
      </w:r>
      <w:r>
        <w:tab/>
      </w:r>
      <w:r w:rsidRPr="00A70A0B">
        <w:t>results are generaliz</w:t>
      </w:r>
      <w:r>
        <w:t>able to the population of study</w:t>
      </w:r>
      <w:r w:rsidRPr="00A70A0B">
        <w:t xml:space="preserve">;  </w:t>
      </w:r>
    </w:p>
    <w:p w:rsidR="00A70A0B" w:rsidP="000052D7" w14:paraId="18C227DA" w14:textId="77777777">
      <w:pPr>
        <w:pStyle w:val="ListBullet2"/>
      </w:pPr>
      <w:r w:rsidRPr="00A70A0B">
        <w:t>The collections are voluntary;</w:t>
      </w:r>
    </w:p>
    <w:p w:rsidR="00A70A0B" w:rsidRPr="000052D7" w:rsidP="000052D7" w14:paraId="6B7F8F97" w14:textId="77777777">
      <w:pPr>
        <w:pStyle w:val="ListBullet2"/>
      </w:pPr>
      <w:r w:rsidRPr="000052D7">
        <w:t>The collections are low-burden for respondents (based on considerations of total burden hours, total number of respondents, or burden-hours per respondent) and are low-cost for both the respondents and the Federal Government;</w:t>
      </w:r>
    </w:p>
    <w:p w:rsidR="00A70A0B" w:rsidRPr="000052D7" w:rsidP="000052D7" w14:paraId="17B472F1" w14:textId="77777777">
      <w:pPr>
        <w:pStyle w:val="ListBullet2"/>
      </w:pPr>
      <w:r w:rsidRPr="000052D7">
        <w:t xml:space="preserve">The collections are non-controversial and do not raise issues of concern to other Federal agencies; </w:t>
      </w:r>
    </w:p>
    <w:p w:rsidR="00A70A0B" w:rsidRPr="000052D7" w:rsidP="000052D7" w14:paraId="00AA4E5D" w14:textId="77777777">
      <w:pPr>
        <w:pStyle w:val="ListBullet2"/>
      </w:pPr>
      <w:r w:rsidRPr="000052D7">
        <w:t>Any collection is targeted to the solicitation of opinions from respondents who have experience with the program or may have experience with the program in the near future; and</w:t>
      </w:r>
    </w:p>
    <w:p w:rsidR="00A70A0B" w:rsidRPr="00A70A0B" w:rsidP="000052D7" w14:paraId="208CEBDA" w14:textId="77777777">
      <w:pPr>
        <w:pStyle w:val="ListBullet2"/>
      </w:pPr>
      <w:r w:rsidRPr="000052D7">
        <w:t>With the exception of information needed</w:t>
      </w:r>
      <w:r w:rsidRPr="00A70A0B">
        <w:t xml:space="preserve"> to provide</w:t>
      </w:r>
      <w:r w:rsidR="000052D7">
        <w:t xml:space="preserve"> </w:t>
      </w:r>
      <w:r w:rsidRPr="00A70A0B" w:rsidR="000052D7">
        <w:t>remuneration</w:t>
      </w:r>
      <w:r w:rsidRPr="00A70A0B">
        <w:t xml:space="preserve"> for participants</w:t>
      </w:r>
      <w:r w:rsidR="000052D7">
        <w:t xml:space="preserve"> </w:t>
      </w:r>
      <w:r w:rsidRPr="00A70A0B">
        <w:t>of focus groups and cognitive laboratory studies, personally identifiable information (PII) is</w:t>
      </w:r>
      <w:r w:rsidR="000052D7">
        <w:t xml:space="preserve"> </w:t>
      </w:r>
      <w:r w:rsidRPr="00A70A0B">
        <w:t xml:space="preserve">collected only to the extent necessary and is not retained. </w:t>
      </w:r>
    </w:p>
    <w:p w:rsidR="00A70A0B" w:rsidRPr="000D5A86" w:rsidP="007B31B8" w14:paraId="5940C829" w14:textId="77777777">
      <w:pPr>
        <w:pStyle w:val="BodyText2"/>
      </w:pPr>
    </w:p>
    <w:p w:rsidR="00A70A0B" w:rsidRPr="00B92447" w:rsidP="00235084" w14:paraId="254BBA8E" w14:textId="77777777">
      <w:pPr>
        <w:pStyle w:val="BodyText2"/>
      </w:pPr>
      <w:r w:rsidRPr="00B92447">
        <w:t xml:space="preserve">If these </w:t>
      </w:r>
      <w:r w:rsidRPr="00286111">
        <w:t>conditions</w:t>
      </w:r>
      <w:r w:rsidRPr="00B92447">
        <w:t xml:space="preserve"> are not met, the Agency will submit an information collection request to OMB </w:t>
      </w:r>
      <w:r w:rsidRPr="003978B2">
        <w:t>for</w:t>
      </w:r>
      <w:r w:rsidRPr="00B92447">
        <w:t xml:space="preserve"> approval through the normal PRA process.  </w:t>
      </w:r>
    </w:p>
    <w:p w:rsidR="00A70A0B" w:rsidRPr="0010686E" w:rsidP="0010686E" w14:paraId="654099B9" w14:textId="77777777">
      <w:pPr>
        <w:pStyle w:val="BodyText2"/>
      </w:pPr>
    </w:p>
    <w:p w:rsidR="00A70A0B" w:rsidRPr="003978B2" w:rsidP="00235084" w14:paraId="7A563AA0" w14:textId="77777777">
      <w:pPr>
        <w:pStyle w:val="BodyText2"/>
      </w:pPr>
      <w:r w:rsidRPr="003978B2">
        <w:t>To obtain approval for a collection that meets the conditions of this generic clearance, a standardized form will be submitted to OMB along with supporting documentation (e.g., a copy of the comment card).  The submission will have automatic approval, unless OMB identifies issues within 5 business days.</w:t>
      </w:r>
    </w:p>
    <w:p w:rsidR="00A70A0B" w:rsidRPr="00712C2B" w:rsidP="00235084" w14:paraId="591405F5" w14:textId="77777777">
      <w:pPr>
        <w:pStyle w:val="BodyText2"/>
      </w:pPr>
    </w:p>
    <w:p w:rsidR="00A70A0B" w:rsidRPr="000D5A86" w:rsidP="00235084" w14:paraId="70356F54" w14:textId="77777777">
      <w:pPr>
        <w:pStyle w:val="BodyText2"/>
      </w:pPr>
      <w:r w:rsidRPr="000D5A86">
        <w:t>The types of collections that this generic clearance covers include, but are not limited to:</w:t>
      </w:r>
    </w:p>
    <w:p w:rsidR="00A70A0B" w:rsidP="0010686E" w14:paraId="4CFCD5DD" w14:textId="77777777">
      <w:pPr>
        <w:pStyle w:val="ListBullet3"/>
      </w:pPr>
      <w:r w:rsidRPr="0010686E">
        <w:t>Customer</w:t>
      </w:r>
      <w:r w:rsidRPr="000D5A86">
        <w:t xml:space="preserve"> comment cards/complaint forms</w:t>
      </w:r>
    </w:p>
    <w:p w:rsidR="00A70A0B" w:rsidP="0010686E" w14:paraId="1AA54BF0" w14:textId="77777777">
      <w:pPr>
        <w:pStyle w:val="ListBullet3"/>
      </w:pPr>
      <w:r w:rsidRPr="001A7D7A">
        <w:t>Small discussion groups</w:t>
      </w:r>
    </w:p>
    <w:p w:rsidR="00085F53" w:rsidP="0010686E" w14:paraId="525F090F" w14:textId="77777777">
      <w:pPr>
        <w:pStyle w:val="ListBullet3"/>
      </w:pPr>
      <w:r>
        <w:t>Interviews with customers</w:t>
      </w:r>
      <w:r w:rsidR="0019590A">
        <w:t>, stakeholders,</w:t>
      </w:r>
      <w:r>
        <w:t xml:space="preserve"> or key informants (e.g., on experience with services delivered, transactions completed)</w:t>
      </w:r>
    </w:p>
    <w:p w:rsidR="00A70A0B" w:rsidP="0010686E" w14:paraId="22EB5A3F" w14:textId="77777777">
      <w:pPr>
        <w:pStyle w:val="ListBullet3"/>
      </w:pPr>
      <w:r w:rsidRPr="001A7D7A">
        <w:t>Focus Groups of customers, potential customers, delivery partners, or other stakeholders</w:t>
      </w:r>
    </w:p>
    <w:p w:rsidR="00A70A0B" w:rsidP="0010686E" w14:paraId="39F1D58A" w14:textId="77777777">
      <w:pPr>
        <w:pStyle w:val="ListBullet3"/>
      </w:pPr>
      <w:r w:rsidRPr="001A7D7A">
        <w:t>Cognitive laboratory studies, such as those used to refine questions or assess usability of a website;</w:t>
      </w:r>
    </w:p>
    <w:p w:rsidR="007A6C48" w:rsidP="0010686E" w14:paraId="0D99E0E2" w14:textId="77777777">
      <w:pPr>
        <w:pStyle w:val="ListBullet3"/>
      </w:pPr>
      <w:r w:rsidRPr="007A6C48">
        <w:t xml:space="preserve">Qualitative customer satisfaction surveys (e.g., post-transaction surveys; opt-out </w:t>
      </w:r>
      <w:r>
        <w:tab/>
      </w:r>
      <w:r w:rsidRPr="007A6C48">
        <w:t>web surveys)</w:t>
      </w:r>
    </w:p>
    <w:p w:rsidR="007A6C48" w:rsidRPr="007A6C48" w:rsidP="0010686E" w14:paraId="6354F818" w14:textId="77777777">
      <w:pPr>
        <w:pStyle w:val="ListBullet3"/>
      </w:pPr>
      <w:r w:rsidRPr="007A6C48">
        <w:t>In-person observation testing (e.g., website or software usability tests)</w:t>
      </w:r>
    </w:p>
    <w:p w:rsidR="00B27061" w:rsidRPr="0020380B" w:rsidP="004D74BB" w14:paraId="4DBEA130" w14:textId="77777777">
      <w:pPr>
        <w:pStyle w:val="BodyText"/>
      </w:pPr>
      <w:r w:rsidRPr="0020380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7312F9" w:rsidRPr="00914A5D" w:rsidP="007B31B8" w14:paraId="253A7A91" w14:textId="77777777">
      <w:pPr>
        <w:pStyle w:val="BodyText2"/>
      </w:pPr>
    </w:p>
    <w:p w:rsidR="007A6C48" w:rsidRPr="007A6C48" w:rsidP="00235084" w14:paraId="4F7CD521" w14:textId="77777777">
      <w:pPr>
        <w:pStyle w:val="BodyText2"/>
      </w:pPr>
      <w:r w:rsidRPr="007A6C48">
        <w:t>When appropriate, the Agency collects information electronically and/or use online collaboration tools to reduce burden.</w:t>
      </w:r>
    </w:p>
    <w:p w:rsidR="007A6C48" w:rsidRPr="007A6C48" w:rsidP="007B31B8" w14:paraId="030945A2" w14:textId="77777777">
      <w:pPr>
        <w:pStyle w:val="BodyText2"/>
      </w:pPr>
    </w:p>
    <w:p w:rsidR="00B27061" w:rsidRPr="0020380B" w:rsidP="004D74BB" w14:paraId="15C107E2" w14:textId="77777777">
      <w:pPr>
        <w:pStyle w:val="BodyText"/>
      </w:pPr>
      <w:r w:rsidRPr="0020380B">
        <w:t>Describe efforts to identify duplication.  Show specifically why any similar information already available cannot be used or modified for use for the purposes described in Item 2 above.</w:t>
      </w:r>
    </w:p>
    <w:p w:rsidR="007312F9" w:rsidRPr="00914A5D" w:rsidP="007B31B8" w14:paraId="29582D24" w14:textId="77777777">
      <w:pPr>
        <w:pStyle w:val="BodyText2"/>
      </w:pPr>
    </w:p>
    <w:p w:rsidR="007A6C48" w:rsidRPr="000D5A86" w:rsidP="00235084" w14:paraId="36C885DC" w14:textId="77777777">
      <w:pPr>
        <w:pStyle w:val="BodyText2"/>
      </w:pPr>
      <w:r w:rsidRPr="000D5A86">
        <w:t>No similar data are gathered or maintained by the Agency or are available from other sources known to the Agency.</w:t>
      </w:r>
    </w:p>
    <w:p w:rsidR="007A6C48" w:rsidRPr="00712C2B" w:rsidP="00235084" w14:paraId="45C42336" w14:textId="77777777">
      <w:pPr>
        <w:pStyle w:val="BodyText2"/>
      </w:pPr>
      <w:r w:rsidRPr="00712C2B">
        <w:tab/>
      </w:r>
    </w:p>
    <w:p w:rsidR="00B27061" w:rsidRPr="0020380B" w:rsidP="004D74BB" w14:paraId="1087A3BD" w14:textId="77777777">
      <w:pPr>
        <w:pStyle w:val="BodyText"/>
      </w:pPr>
      <w:r w:rsidRPr="0020380B">
        <w:t>If the collection of information impacts small businesses or other small entities (Item 5 of OMB Form 83-I), describe any methods used to minimize burden.</w:t>
      </w:r>
    </w:p>
    <w:p w:rsidR="007312F9" w:rsidRPr="00914A5D" w:rsidP="007B31B8" w14:paraId="3EA14A53" w14:textId="77777777">
      <w:pPr>
        <w:pStyle w:val="BodyText2"/>
      </w:pPr>
    </w:p>
    <w:p w:rsidR="007A6C48" w:rsidRPr="000D5A86" w:rsidP="00235084" w14:paraId="4CAD22A0" w14:textId="77777777">
      <w:pPr>
        <w:pStyle w:val="BodyText2"/>
      </w:pPr>
      <w:r w:rsidRPr="000D5A86">
        <w:t xml:space="preserve">Small business or other small entities may be involved in these efforts but the Agency will minimize the burden on them of information collections approved under this clearance by sampling, asking for readily available information, and using short, easy-to-complete information collection instruments.  </w:t>
      </w:r>
    </w:p>
    <w:p w:rsidR="007A6C48" w:rsidRPr="00712C2B" w:rsidP="00235084" w14:paraId="2916311D" w14:textId="77777777">
      <w:pPr>
        <w:pStyle w:val="BodyText2"/>
      </w:pPr>
    </w:p>
    <w:p w:rsidR="00B27061" w:rsidRPr="0020380B" w:rsidP="004D74BB" w14:paraId="5366E8F8" w14:textId="77777777">
      <w:pPr>
        <w:pStyle w:val="BodyText"/>
      </w:pPr>
      <w:r w:rsidRPr="0020380B">
        <w:t>Describe the consequence to Federal program or policy activities if the collection is not conducted or is conducted less frequently, as well as any technical or legal obstacles to reducing burden.</w:t>
      </w:r>
    </w:p>
    <w:p w:rsidR="007312F9" w:rsidRPr="00914A5D" w:rsidP="007B31B8" w14:paraId="2E045E37" w14:textId="77777777">
      <w:pPr>
        <w:pStyle w:val="BodyText2"/>
      </w:pPr>
    </w:p>
    <w:p w:rsidR="007A6C48" w:rsidRPr="0063562D" w:rsidP="00235084" w14:paraId="789F41F0" w14:textId="77777777">
      <w:pPr>
        <w:pStyle w:val="BodyText2"/>
      </w:pPr>
      <w:r w:rsidRPr="0063562D">
        <w:t>Without these types of feedback, the Agency will not have timely information to adjust its services to meet customer needs.</w:t>
      </w:r>
    </w:p>
    <w:p w:rsidR="007312F9" w:rsidRPr="00914A5D" w:rsidP="007B31B8" w14:paraId="10B18BDA" w14:textId="77777777">
      <w:pPr>
        <w:pStyle w:val="BodyText2"/>
      </w:pPr>
    </w:p>
    <w:p w:rsidR="00B27061" w:rsidRPr="0020380B" w:rsidP="004D74BB" w14:paraId="064EE0D2" w14:textId="77777777">
      <w:pPr>
        <w:pStyle w:val="BodyText"/>
      </w:pPr>
      <w:r w:rsidRPr="0020380B">
        <w:t>Explain any special circumstances that would cause an information collection to be conducted in a manner</w:t>
      </w:r>
      <w:r w:rsidRPr="0020380B" w:rsidR="00B1471A">
        <w:t>:</w:t>
      </w:r>
    </w:p>
    <w:p w:rsidR="006049A7" w:rsidRPr="00B1471A" w:rsidP="007B31B8" w14:paraId="1B139BBA" w14:textId="77777777">
      <w:pPr>
        <w:pStyle w:val="BodyText2"/>
      </w:pPr>
    </w:p>
    <w:p w:rsidR="00B27061" w:rsidRPr="000B00D2" w:rsidP="00DF658C" w14:paraId="5A49F454" w14:textId="77777777">
      <w:pPr>
        <w:pStyle w:val="ListBullet"/>
      </w:pPr>
      <w:r w:rsidRPr="00B1471A">
        <w:t xml:space="preserve">Requiring respondents to report </w:t>
      </w:r>
      <w:r w:rsidRPr="00DF658C">
        <w:t>information</w:t>
      </w:r>
      <w:r w:rsidRPr="00B1471A">
        <w:t xml:space="preserve"> to the agency more often than quarterly;</w:t>
      </w:r>
    </w:p>
    <w:p w:rsidR="00B27061" w:rsidRPr="00B1471A" w:rsidP="00DF658C" w14:paraId="622F1879" w14:textId="77777777">
      <w:pPr>
        <w:pStyle w:val="ListBullet"/>
      </w:pPr>
      <w:r>
        <w:t>R</w:t>
      </w:r>
      <w:r w:rsidRPr="00B1471A">
        <w:t>equiring respondents to prepare a written response to a collection of information in fewer than 30 days after receipt of it;</w:t>
      </w:r>
    </w:p>
    <w:p w:rsidR="00B27061" w:rsidRPr="00B1471A" w:rsidP="00DF658C" w14:paraId="43CAD19E" w14:textId="77777777">
      <w:pPr>
        <w:pStyle w:val="ListBullet"/>
      </w:pPr>
      <w:r>
        <w:t>R</w:t>
      </w:r>
      <w:r w:rsidRPr="00B1471A">
        <w:t>equiring respondents to submit more than an original and two copies of any document;</w:t>
      </w:r>
    </w:p>
    <w:p w:rsidR="00B27061" w:rsidRPr="00B1471A" w:rsidP="00DF658C" w14:paraId="56D8774F" w14:textId="77777777">
      <w:pPr>
        <w:pStyle w:val="ListBullet"/>
      </w:pPr>
      <w:r>
        <w:t>R</w:t>
      </w:r>
      <w:r w:rsidRPr="00B1471A">
        <w:t>equiring respondents to retain records, other than health, medical, government contract, grant-in-aid, or tax records for more than three years;</w:t>
      </w:r>
    </w:p>
    <w:p w:rsidR="00B27061" w:rsidRPr="00AF45F2" w:rsidP="00DF658C" w14:paraId="4965F488" w14:textId="77777777">
      <w:pPr>
        <w:pStyle w:val="ListBullet"/>
      </w:pPr>
      <w:r w:rsidRPr="000B00D2">
        <w:t>In</w:t>
      </w:r>
      <w:r w:rsidRPr="00AF45F2">
        <w:t xml:space="preserve"> connection with a statistical survey, that is not designed to produce valid and reliable results that can be generalized to the universe of study;</w:t>
      </w:r>
    </w:p>
    <w:p w:rsidR="00B27061" w:rsidRPr="00B1471A" w:rsidP="00DF658C" w14:paraId="6762CF49" w14:textId="77777777">
      <w:pPr>
        <w:pStyle w:val="ListBullet"/>
      </w:pPr>
      <w:r>
        <w:t>R</w:t>
      </w:r>
      <w:r w:rsidRPr="00B1471A">
        <w:t>equiring the use of a statistical data classification that has not been reviewed and approved by OMB;</w:t>
      </w:r>
    </w:p>
    <w:p w:rsidR="00B27061" w:rsidRPr="00B1471A" w:rsidP="00DF658C" w14:paraId="54B7011B" w14:textId="77777777">
      <w:pPr>
        <w:pStyle w:val="ListBullet"/>
      </w:pPr>
      <w:r>
        <w:t>T</w:t>
      </w:r>
      <w:r w:rsidRPr="00B1471A">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B27061" w:rsidRPr="00B1471A" w:rsidP="00DF658C" w14:paraId="0BB23DA2" w14:textId="77777777">
      <w:pPr>
        <w:pStyle w:val="ListBullet"/>
      </w:pPr>
      <w:r>
        <w:t>R</w:t>
      </w:r>
      <w:r w:rsidRPr="00B1471A">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7B31B8" w14:paraId="4FF314A4" w14:textId="77777777">
      <w:pPr>
        <w:pStyle w:val="BodyText2"/>
      </w:pPr>
    </w:p>
    <w:p w:rsidR="00C323B3" w:rsidRPr="00712C2B" w:rsidP="00235084" w14:paraId="3B6BB889" w14:textId="77777777">
      <w:pPr>
        <w:pStyle w:val="BodyText2"/>
      </w:pPr>
      <w:r w:rsidRPr="00712C2B">
        <w:t>There are no special circumstances. The information collected will be voluntary and will not be used for statistical purposes.</w:t>
      </w:r>
    </w:p>
    <w:p w:rsidR="00C323B3" w:rsidRPr="00712C2B" w:rsidP="00235084" w14:paraId="2E933B42" w14:textId="77777777">
      <w:pPr>
        <w:pStyle w:val="BodyText2"/>
      </w:pPr>
    </w:p>
    <w:p w:rsidR="00494557" w:rsidRPr="0020380B" w:rsidP="004D74BB" w14:paraId="6155247F" w14:textId="77777777">
      <w:pPr>
        <w:pStyle w:val="BodyText"/>
      </w:pPr>
      <w:r w:rsidRPr="0020380B">
        <w:t>If applicable, provide a copy and identify the data and page number of publication in the Federal Register of the agency</w:t>
      </w:r>
      <w:r w:rsidRPr="0020380B" w:rsidR="00B1471A">
        <w:t>’</w:t>
      </w:r>
      <w:r w:rsidRPr="0020380B">
        <w:t>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8F233F" w:rsidP="007B31B8" w14:paraId="1A660DF5" w14:textId="77777777">
      <w:pPr>
        <w:pStyle w:val="BodyText2"/>
      </w:pPr>
    </w:p>
    <w:p w:rsidR="008F233F" w:rsidRPr="008F233F" w:rsidP="004D74BB" w14:paraId="5832201B" w14:textId="77777777">
      <w:pPr>
        <w:pStyle w:val="BodyText"/>
        <w:numPr>
          <w:ilvl w:val="0"/>
          <w:numId w:val="0"/>
        </w:numPr>
        <w:ind w:left="720"/>
        <w:rPr>
          <w:rFonts w:eastAsia="Calibri"/>
        </w:rPr>
      </w:pPr>
      <w:r w:rsidRPr="008F233F">
        <w:rPr>
          <w:rFonts w:eastAsia="Calibri"/>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4D74BB" w14:paraId="16069D2E" w14:textId="77777777">
      <w:pPr>
        <w:pStyle w:val="BodyText"/>
        <w:numPr>
          <w:ilvl w:val="0"/>
          <w:numId w:val="0"/>
        </w:numPr>
        <w:ind w:left="720"/>
        <w:rPr>
          <w:rFonts w:eastAsia="Calibri"/>
        </w:rPr>
      </w:pPr>
    </w:p>
    <w:p w:rsidR="008F233F" w:rsidRPr="008F233F" w:rsidP="004D74BB" w14:paraId="16C89A5F" w14:textId="77777777">
      <w:pPr>
        <w:pStyle w:val="BodyText"/>
        <w:numPr>
          <w:ilvl w:val="0"/>
          <w:numId w:val="0"/>
        </w:numPr>
        <w:ind w:left="720"/>
        <w:rPr>
          <w:rFonts w:eastAsia="Calibri"/>
        </w:rPr>
      </w:pPr>
      <w:r w:rsidRPr="008F233F">
        <w:rPr>
          <w:rFonts w:eastAsia="Calibri"/>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9A5DFB" w:rsidP="007B31B8" w14:paraId="28D6EBE1" w14:textId="77777777">
      <w:pPr>
        <w:pStyle w:val="BodyText2"/>
      </w:pPr>
    </w:p>
    <w:p w:rsidR="00952B0B" w:rsidRPr="00985FDD" w:rsidP="00952B0B" w14:paraId="1D8D2E76" w14:textId="0E1DFD4E">
      <w:pPr>
        <w:tabs>
          <w:tab w:val="left" w:pos="-1440"/>
        </w:tabs>
        <w:ind w:left="720"/>
        <w:rPr>
          <w:rFonts w:ascii="Times New Roman" w:hAnsi="Times New Roman"/>
        </w:rPr>
      </w:pPr>
      <w:bookmarkStart w:id="0" w:name="_Hlk177726941"/>
      <w:r w:rsidRPr="00985FDD">
        <w:rPr>
          <w:rFonts w:ascii="Times New Roman" w:hAnsi="Times New Roman"/>
        </w:rPr>
        <w:t xml:space="preserve">On </w:t>
      </w:r>
      <w:r w:rsidR="00C61CEF">
        <w:rPr>
          <w:rFonts w:ascii="Times New Roman" w:hAnsi="Times New Roman"/>
        </w:rPr>
        <w:t>May 1</w:t>
      </w:r>
      <w:r w:rsidR="00754AEC">
        <w:rPr>
          <w:rFonts w:ascii="Times New Roman" w:hAnsi="Times New Roman"/>
        </w:rPr>
        <w:t>1</w:t>
      </w:r>
      <w:r w:rsidR="00C61CEF">
        <w:rPr>
          <w:rFonts w:ascii="Times New Roman" w:hAnsi="Times New Roman"/>
        </w:rPr>
        <w:t>, 2026</w:t>
      </w:r>
      <w:r w:rsidRPr="00985FDD">
        <w:rPr>
          <w:rFonts w:ascii="Times New Roman" w:hAnsi="Times New Roman"/>
        </w:rPr>
        <w:t xml:space="preserve">, USCIS published a 60-day notice in the Federal Register at </w:t>
      </w:r>
      <w:r w:rsidRPr="00754AEC" w:rsidR="00754AEC">
        <w:rPr>
          <w:rFonts w:ascii="Times New Roman" w:hAnsi="Times New Roman"/>
        </w:rPr>
        <w:t>91 FR 25587</w:t>
      </w:r>
      <w:r w:rsidRPr="00985FDD">
        <w:rPr>
          <w:rFonts w:ascii="Times New Roman" w:hAnsi="Times New Roman"/>
        </w:rPr>
        <w:t xml:space="preserve">. USCIS </w:t>
      </w:r>
      <w:r w:rsidRPr="00985FDD">
        <w:rPr>
          <w:rFonts w:ascii="Times New Roman" w:hAnsi="Times New Roman"/>
        </w:rPr>
        <w:t>receive</w:t>
      </w:r>
      <w:r w:rsidR="00754AEC">
        <w:rPr>
          <w:rFonts w:ascii="Times New Roman" w:hAnsi="Times New Roman"/>
        </w:rPr>
        <w:t>d one</w:t>
      </w:r>
      <w:r w:rsidRPr="00985FDD">
        <w:rPr>
          <w:rFonts w:ascii="Times New Roman" w:hAnsi="Times New Roman"/>
        </w:rPr>
        <w:t xml:space="preserve"> comment</w:t>
      </w:r>
      <w:r w:rsidRPr="00985FDD">
        <w:rPr>
          <w:rFonts w:ascii="Times New Roman" w:hAnsi="Times New Roman"/>
        </w:rPr>
        <w:t xml:space="preserve"> after publishing that notice</w:t>
      </w:r>
      <w:r w:rsidR="00754AEC">
        <w:rPr>
          <w:rFonts w:ascii="Times New Roman" w:hAnsi="Times New Roman"/>
        </w:rPr>
        <w:t xml:space="preserve">. </w:t>
      </w:r>
      <w:r w:rsidRPr="00754AEC" w:rsidR="00754AEC">
        <w:rPr>
          <w:rFonts w:ascii="Times New Roman" w:hAnsi="Times New Roman"/>
        </w:rPr>
        <w:t>This comment was out of scope</w:t>
      </w:r>
      <w:r w:rsidR="00754AEC">
        <w:rPr>
          <w:rFonts w:ascii="Times New Roman" w:hAnsi="Times New Roman"/>
        </w:rPr>
        <w:t xml:space="preserve"> for this information collection action. </w:t>
      </w:r>
      <w:r w:rsidRPr="00754AEC" w:rsidR="00754AEC">
        <w:rPr>
          <w:rFonts w:ascii="Times New Roman" w:hAnsi="Times New Roman"/>
        </w:rPr>
        <w:t>The information collection remains unchanged</w:t>
      </w:r>
      <w:r w:rsidR="00754AEC">
        <w:rPr>
          <w:rFonts w:ascii="Times New Roman" w:hAnsi="Times New Roman"/>
        </w:rPr>
        <w:t>.</w:t>
      </w:r>
    </w:p>
    <w:p w:rsidR="00952B0B" w:rsidRPr="00985FDD" w:rsidP="00952B0B" w14:paraId="4C3C168B" w14:textId="77777777">
      <w:pPr>
        <w:tabs>
          <w:tab w:val="left" w:pos="-1440"/>
        </w:tabs>
        <w:ind w:left="720"/>
        <w:rPr>
          <w:rFonts w:ascii="Times New Roman" w:hAnsi="Times New Roman"/>
        </w:rPr>
      </w:pPr>
    </w:p>
    <w:p w:rsidR="00884C69" w:rsidRPr="00DF65E2" w:rsidP="00DF65E2" w14:paraId="7F21D0FF" w14:textId="05DFDFD1">
      <w:pPr>
        <w:tabs>
          <w:tab w:val="left" w:pos="-1440"/>
        </w:tabs>
        <w:ind w:left="720"/>
        <w:rPr>
          <w:rFonts w:ascii="Times New Roman" w:hAnsi="Times New Roman"/>
        </w:rPr>
      </w:pPr>
      <w:r w:rsidRPr="00985FDD">
        <w:rPr>
          <w:rFonts w:ascii="Times New Roman" w:hAnsi="Times New Roman"/>
        </w:rPr>
        <w:t xml:space="preserve">On </w:t>
      </w:r>
      <w:r w:rsidR="006500C5">
        <w:rPr>
          <w:rFonts w:ascii="Times New Roman" w:hAnsi="Times New Roman"/>
        </w:rPr>
        <w:t>September 17, 2026</w:t>
      </w:r>
      <w:r w:rsidRPr="00985FDD">
        <w:rPr>
          <w:rFonts w:ascii="Times New Roman" w:hAnsi="Times New Roman"/>
        </w:rPr>
        <w:t xml:space="preserve">, USCIS published a 30-day notice in the Federal Register at </w:t>
      </w:r>
      <w:r w:rsidR="006500C5">
        <w:rPr>
          <w:rFonts w:ascii="Times New Roman" w:hAnsi="Times New Roman"/>
        </w:rPr>
        <w:t>91</w:t>
      </w:r>
      <w:r w:rsidRPr="00985FDD">
        <w:rPr>
          <w:rFonts w:ascii="Times New Roman" w:hAnsi="Times New Roman"/>
        </w:rPr>
        <w:t xml:space="preserve"> FR </w:t>
      </w:r>
      <w:r w:rsidR="00E82AAF">
        <w:rPr>
          <w:rFonts w:ascii="Times New Roman" w:hAnsi="Times New Roman"/>
        </w:rPr>
        <w:t>58911</w:t>
      </w:r>
      <w:r w:rsidRPr="00985FDD">
        <w:rPr>
          <w:rFonts w:ascii="Times New Roman" w:hAnsi="Times New Roman"/>
        </w:rPr>
        <w:t xml:space="preserve">. USCIS </w:t>
      </w:r>
      <w:r w:rsidRPr="00985FDD">
        <w:rPr>
          <w:rFonts w:ascii="Times New Roman" w:hAnsi="Times New Roman"/>
        </w:rPr>
        <w:t>receive</w:t>
      </w:r>
      <w:r w:rsidR="000C19CB">
        <w:rPr>
          <w:rFonts w:ascii="Times New Roman" w:hAnsi="Times New Roman"/>
        </w:rPr>
        <w:t>d one</w:t>
      </w:r>
      <w:r w:rsidRPr="00985FDD">
        <w:rPr>
          <w:rFonts w:ascii="Times New Roman" w:hAnsi="Times New Roman"/>
        </w:rPr>
        <w:t xml:space="preserve"> comment</w:t>
      </w:r>
      <w:r w:rsidRPr="00985FDD">
        <w:rPr>
          <w:rFonts w:ascii="Times New Roman" w:hAnsi="Times New Roman"/>
        </w:rPr>
        <w:t xml:space="preserve"> after publishing that notice.</w:t>
      </w:r>
      <w:r w:rsidR="00DF65E2">
        <w:rPr>
          <w:rFonts w:ascii="Times New Roman" w:hAnsi="Times New Roman"/>
        </w:rPr>
        <w:t xml:space="preserve"> </w:t>
      </w:r>
      <w:r w:rsidRPr="00DF65E2" w:rsidR="009F0DF7">
        <w:rPr>
          <w:rFonts w:ascii="Times New Roman" w:hAnsi="Times New Roman"/>
        </w:rPr>
        <w:t>USCIS has summarized the comment and responses to the comment on the 30-day notice in the appendix attached to this supporting statement</w:t>
      </w:r>
      <w:bookmarkEnd w:id="0"/>
      <w:r w:rsidRPr="00DF65E2" w:rsidR="00DF65E2">
        <w:rPr>
          <w:rFonts w:ascii="Times New Roman" w:hAnsi="Times New Roman"/>
        </w:rPr>
        <w:t xml:space="preserve"> (</w:t>
      </w:r>
      <w:r w:rsidRPr="00DF65E2" w:rsidR="00DF65E2">
        <w:rPr>
          <w:rFonts w:ascii="Times New Roman" w:hAnsi="Times New Roman"/>
          <w:i/>
        </w:rPr>
        <w:t>1615-0121 EXT Public Comments and Responses Matrix</w:t>
      </w:r>
      <w:r w:rsidRPr="00DF65E2" w:rsidR="00DF65E2">
        <w:rPr>
          <w:rFonts w:ascii="Times New Roman" w:hAnsi="Times New Roman"/>
        </w:rPr>
        <w:t>.)</w:t>
      </w:r>
    </w:p>
    <w:p w:rsidR="00B27061" w:rsidRPr="006536DF" w:rsidP="00952B0B" w14:paraId="4DBEA5F5" w14:textId="7E8F680E">
      <w:pPr>
        <w:pStyle w:val="BodyText2"/>
        <w:ind w:left="0"/>
      </w:pPr>
    </w:p>
    <w:p w:rsidR="00B27061" w:rsidRPr="0020380B" w:rsidP="004D74BB" w14:paraId="25F177E1" w14:textId="77777777">
      <w:pPr>
        <w:pStyle w:val="BodyText"/>
      </w:pPr>
      <w:r w:rsidRPr="0020380B">
        <w:t>Explain any decision to provide any payment or gift to respondents</w:t>
      </w:r>
      <w:r w:rsidRPr="0020380B" w:rsidR="007F5988">
        <w:t>, other</w:t>
      </w:r>
      <w:r w:rsidRPr="0020380B">
        <w:t xml:space="preserve"> than </w:t>
      </w:r>
      <w:r w:rsidRPr="0020380B" w:rsidR="007F5988">
        <w:t>remuneration</w:t>
      </w:r>
      <w:r w:rsidRPr="0020380B">
        <w:t xml:space="preserve"> of contractors or grantees.</w:t>
      </w:r>
    </w:p>
    <w:p w:rsidR="00B27061" w:rsidRPr="00914A5D" w:rsidP="007B31B8" w14:paraId="3B90BE57" w14:textId="77777777">
      <w:pPr>
        <w:pStyle w:val="BodyText2"/>
      </w:pPr>
    </w:p>
    <w:p w:rsidR="00402B20" w:rsidRPr="0063562D" w:rsidP="00235084" w14:paraId="3AE2F403" w14:textId="77777777">
      <w:pPr>
        <w:pStyle w:val="BodyText2"/>
      </w:pPr>
      <w:r w:rsidRPr="00712C2B">
        <w:t xml:space="preserve">The Agency will </w:t>
      </w:r>
      <w:r w:rsidRPr="0063562D">
        <w:t>not provide payment or other forms of remuneration to respondents of its various forms of collecting feedback.  Focus groups and cognitive laboratory studies are the exceptions.</w:t>
      </w:r>
    </w:p>
    <w:p w:rsidR="00402B20" w:rsidRPr="0063562D" w:rsidP="00235084" w14:paraId="2FB7D9DA" w14:textId="77777777">
      <w:pPr>
        <w:pStyle w:val="BodyText2"/>
      </w:pPr>
      <w:r w:rsidRPr="0063562D">
        <w:t xml:space="preserve"> </w:t>
      </w:r>
    </w:p>
    <w:p w:rsidR="00402B20" w:rsidRPr="0063562D" w:rsidP="00235084" w14:paraId="3B2D53F7" w14:textId="77777777">
      <w:pPr>
        <w:pStyle w:val="BodyText2"/>
      </w:pPr>
      <w:r w:rsidRPr="0063562D">
        <w:t>In the case of in-person cognitive laboratory and usability studies, the Agency may p</w:t>
      </w:r>
      <w:r w:rsidRPr="0063562D" w:rsidR="00F019F8">
        <w:t xml:space="preserve">rovide stipends of up to $40.  </w:t>
      </w:r>
      <w:r w:rsidRPr="0063562D">
        <w:t>In the case of in-person focus groups, the Agency may</w:t>
      </w:r>
      <w:r w:rsidR="0063562D">
        <w:t xml:space="preserve"> </w:t>
      </w:r>
      <w:r w:rsidRPr="0063562D">
        <w:t xml:space="preserve">provide stipends of up to $75.  If respondents participate in these kinds of studies remotely, via phone, or Internet, any proposed stipend needs to be justified to OMB and must be considerably less than that provided to respondents in in-person studies, who have to travel to the agency or other facility to participate.  If such information </w:t>
      </w:r>
      <w:r w:rsidRPr="0063562D" w:rsidR="004E361B">
        <w:t>c</w:t>
      </w:r>
      <w:r w:rsidRPr="0063562D">
        <w:t>ollections include hard-to-reach groups and the agency plans to offer non-standard stipends, the Agency will provide OMB with additional justifications in the request for clearance of these specific activities.</w:t>
      </w:r>
    </w:p>
    <w:p w:rsidR="00C323B3" w:rsidP="007B31B8" w14:paraId="54FB076A" w14:textId="77777777">
      <w:pPr>
        <w:pStyle w:val="BodyText2"/>
      </w:pPr>
    </w:p>
    <w:p w:rsidR="00792B9D" w:rsidRPr="0020380B" w:rsidP="004D74BB" w14:paraId="3D5861CC" w14:textId="77777777">
      <w:pPr>
        <w:pStyle w:val="BodyText"/>
      </w:pPr>
      <w:r w:rsidRPr="0020380B">
        <w:t>Describe any assurance of confidentiality provided to respondents and the basis for the assurance in statute, regulation or agency policy.</w:t>
      </w:r>
    </w:p>
    <w:p w:rsidR="001A595D" w:rsidRPr="00914A5D" w:rsidP="007B31B8" w14:paraId="02ACA55B" w14:textId="77777777">
      <w:pPr>
        <w:pStyle w:val="BodyText2"/>
      </w:pPr>
    </w:p>
    <w:p w:rsidR="00C323B3" w:rsidRPr="00E7365F" w:rsidP="00235084" w14:paraId="34504A28" w14:textId="77777777">
      <w:pPr>
        <w:pStyle w:val="BodyText2"/>
      </w:pPr>
      <w:r w:rsidRPr="00E7365F">
        <w:t>If a confidentiality pledge is deemed useful and feasible, the Agency will only include a pledge of confidentiality that is supported by authority established in statute or regulation, that is supported by disclosure and data security policies that are consistent with the pledge, and that does not unnecessarily impede sharing of data with other agencies for compatible confidential use.  If the agency includes a pledge of confidentiality, it will include a citation for the statute or regulation supporting th</w:t>
      </w:r>
      <w:r w:rsidRPr="00E7365F">
        <w:t>e pledge.</w:t>
      </w:r>
    </w:p>
    <w:p w:rsidR="001A595D" w:rsidRPr="00914A5D" w:rsidP="007B31B8" w14:paraId="0739BFEC" w14:textId="77777777">
      <w:pPr>
        <w:pStyle w:val="BodyText2"/>
      </w:pPr>
    </w:p>
    <w:p w:rsidR="00B27061" w:rsidRPr="0020380B" w:rsidP="004D74BB" w14:paraId="4D846D9E" w14:textId="77777777">
      <w:pPr>
        <w:pStyle w:val="BodyText"/>
      </w:pPr>
      <w:r w:rsidRPr="0020380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20380B" w:rsidR="00B1471A">
        <w:t>persons from</w:t>
      </w:r>
      <w:r w:rsidRPr="0020380B">
        <w:t xml:space="preserve"> whom the information is requested, and any steps to be taken to obtain their consent.</w:t>
      </w:r>
    </w:p>
    <w:p w:rsidR="001A595D" w:rsidRPr="000B00D2" w:rsidP="007B31B8" w14:paraId="6C6E18AB" w14:textId="77777777">
      <w:pPr>
        <w:pStyle w:val="BodyText2"/>
      </w:pPr>
      <w:r w:rsidRPr="000B00D2">
        <w:tab/>
      </w:r>
    </w:p>
    <w:p w:rsidR="00402B20" w:rsidRPr="00712C2B" w:rsidP="00235084" w14:paraId="56B542E5" w14:textId="77777777">
      <w:pPr>
        <w:pStyle w:val="BodyText2"/>
      </w:pPr>
      <w:r w:rsidRPr="00712C2B">
        <w:t>No questions will be asked that are of a personal or sensitive nature.</w:t>
      </w:r>
    </w:p>
    <w:p w:rsidR="00494557" w:rsidRPr="008A4764" w:rsidP="007B31B8" w14:paraId="02D41EE4" w14:textId="77777777">
      <w:pPr>
        <w:pStyle w:val="BodyText2"/>
      </w:pPr>
    </w:p>
    <w:p w:rsidR="006C79B6" w:rsidRPr="00DF658C" w:rsidP="00DF658C" w14:paraId="1EB1C02F" w14:textId="77777777">
      <w:pPr>
        <w:pStyle w:val="BodyText"/>
      </w:pPr>
      <w:r w:rsidRPr="0020380B">
        <w:t>Provide estimates of the hour burden of the collection of information.  The statement should:</w:t>
      </w:r>
    </w:p>
    <w:p w:rsidR="00B27061" w:rsidRPr="00D80E94" w:rsidP="00DF658C" w14:paraId="24269D20" w14:textId="77777777">
      <w:pPr>
        <w:pStyle w:val="ListBullet"/>
      </w:pPr>
      <w:r w:rsidRPr="0029577A">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w:t>
      </w:r>
      <w:r w:rsidRPr="005B6129">
        <w:t>of potential respondents is desirable.  If the hour burden on respondents is expected to vary widely because of differences in activity, size, or complexity, show the range</w:t>
      </w:r>
      <w:r w:rsidRPr="00D80E94">
        <w:t xml:space="preserve"> of estimated hour burden, and explain the reasons for the variance.  Generally, estimates should not include burden hours for customary and usual business practices.</w:t>
      </w:r>
    </w:p>
    <w:p w:rsidR="00B27061" w:rsidRPr="00914A5D" w:rsidP="00DF658C" w14:paraId="78669B21" w14:textId="77777777">
      <w:pPr>
        <w:pStyle w:val="ListBullet"/>
      </w:pPr>
      <w:r w:rsidRPr="00914A5D">
        <w:t>If this request for approval covers more than one form, provide separate hour burden estimates for each form and aggregate the hour burdens in Item 13 of OMB Form 83-I.</w:t>
      </w:r>
    </w:p>
    <w:p w:rsidR="00B27061" w:rsidRPr="00914A5D" w:rsidP="00DF658C" w14:paraId="135A3E45" w14:textId="77777777">
      <w:pPr>
        <w:pStyle w:val="ListBullet"/>
      </w:pPr>
      <w:r w:rsidRPr="00914A5D">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w:t>
      </w:r>
      <w:r w:rsidRPr="00914A5D" w:rsidR="006049A7">
        <w:t xml:space="preserve"> in Item 14.</w:t>
      </w:r>
    </w:p>
    <w:p w:rsidR="00C10207" w:rsidP="007B31B8" w14:paraId="0813AB85" w14:textId="77777777">
      <w:pPr>
        <w:pStyle w:val="BodyText2"/>
        <w:rPr>
          <w:rFonts w:eastAsia="Courier"/>
        </w:rPr>
      </w:pPr>
    </w:p>
    <w:tbl>
      <w:tblPr>
        <w:tblW w:w="11040" w:type="dxa"/>
        <w:tblInd w:w="-702" w:type="dxa"/>
        <w:tblLook w:val="04A0"/>
      </w:tblPr>
      <w:tblGrid>
        <w:gridCol w:w="1196"/>
        <w:gridCol w:w="1317"/>
        <w:gridCol w:w="1239"/>
        <w:gridCol w:w="1269"/>
        <w:gridCol w:w="1230"/>
        <w:gridCol w:w="1030"/>
        <w:gridCol w:w="1322"/>
        <w:gridCol w:w="975"/>
        <w:gridCol w:w="1462"/>
      </w:tblGrid>
      <w:tr w14:paraId="6042FC63" w14:textId="77777777" w:rsidTr="00AA001D">
        <w:tblPrEx>
          <w:tblW w:w="11040" w:type="dxa"/>
          <w:tblInd w:w="-702" w:type="dxa"/>
          <w:tblLook w:val="04A0"/>
        </w:tblPrEx>
        <w:trPr>
          <w:trHeight w:val="907"/>
        </w:trPr>
        <w:tc>
          <w:tcPr>
            <w:tcW w:w="1220" w:type="dxa"/>
            <w:tcBorders>
              <w:top w:val="single" w:sz="8" w:space="0" w:color="auto"/>
              <w:left w:val="single" w:sz="8" w:space="0" w:color="auto"/>
              <w:bottom w:val="single" w:sz="8" w:space="0" w:color="auto"/>
              <w:right w:val="single" w:sz="8" w:space="0" w:color="auto"/>
            </w:tcBorders>
            <w:vAlign w:val="center"/>
            <w:hideMark/>
          </w:tcPr>
          <w:p w:rsidR="00AA001D" w:rsidRPr="00AA001D" w:rsidP="00AA001D" w14:paraId="75A7C79C"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Type of Respondent</w:t>
            </w:r>
          </w:p>
        </w:tc>
        <w:tc>
          <w:tcPr>
            <w:tcW w:w="1420" w:type="dxa"/>
            <w:tcBorders>
              <w:top w:val="single" w:sz="8" w:space="0" w:color="auto"/>
              <w:left w:val="nil"/>
              <w:bottom w:val="single" w:sz="8" w:space="0" w:color="auto"/>
              <w:right w:val="single" w:sz="8" w:space="0" w:color="auto"/>
            </w:tcBorders>
            <w:vAlign w:val="center"/>
            <w:hideMark/>
          </w:tcPr>
          <w:p w:rsidR="00AA001D" w:rsidRPr="00AA001D" w:rsidP="00AA001D" w14:paraId="40A191A6"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Form Name / Form Number</w:t>
            </w:r>
          </w:p>
        </w:tc>
        <w:tc>
          <w:tcPr>
            <w:tcW w:w="240" w:type="dxa"/>
            <w:tcBorders>
              <w:top w:val="single" w:sz="8" w:space="0" w:color="auto"/>
              <w:left w:val="nil"/>
              <w:bottom w:val="single" w:sz="8" w:space="0" w:color="auto"/>
              <w:right w:val="single" w:sz="8" w:space="0" w:color="auto"/>
            </w:tcBorders>
            <w:vAlign w:val="center"/>
            <w:hideMark/>
          </w:tcPr>
          <w:p w:rsidR="00AA001D" w:rsidRPr="00AA001D" w:rsidP="00AA001D" w14:paraId="115D6F64"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No. of Respondents</w:t>
            </w:r>
          </w:p>
        </w:tc>
        <w:tc>
          <w:tcPr>
            <w:tcW w:w="1340" w:type="dxa"/>
            <w:tcBorders>
              <w:top w:val="single" w:sz="8" w:space="0" w:color="auto"/>
              <w:left w:val="nil"/>
              <w:bottom w:val="single" w:sz="8" w:space="0" w:color="auto"/>
              <w:right w:val="single" w:sz="8" w:space="0" w:color="auto"/>
            </w:tcBorders>
            <w:vAlign w:val="center"/>
            <w:hideMark/>
          </w:tcPr>
          <w:p w:rsidR="00AA001D" w:rsidRPr="00AA001D" w:rsidP="00AA001D" w14:paraId="4886F9E3"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No. of Responses per Respondent</w:t>
            </w:r>
          </w:p>
        </w:tc>
        <w:tc>
          <w:tcPr>
            <w:tcW w:w="1340" w:type="dxa"/>
            <w:tcBorders>
              <w:top w:val="single" w:sz="8" w:space="0" w:color="auto"/>
              <w:left w:val="nil"/>
              <w:bottom w:val="single" w:sz="8" w:space="0" w:color="auto"/>
              <w:right w:val="single" w:sz="8" w:space="0" w:color="auto"/>
            </w:tcBorders>
            <w:vAlign w:val="center"/>
            <w:hideMark/>
          </w:tcPr>
          <w:p w:rsidR="00AA001D" w:rsidRPr="00AA001D" w:rsidP="00AA001D" w14:paraId="7D2D59E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Total Number of Responses</w:t>
            </w:r>
          </w:p>
        </w:tc>
        <w:tc>
          <w:tcPr>
            <w:tcW w:w="1060" w:type="dxa"/>
            <w:tcBorders>
              <w:top w:val="single" w:sz="8" w:space="0" w:color="auto"/>
              <w:left w:val="nil"/>
              <w:bottom w:val="single" w:sz="8" w:space="0" w:color="auto"/>
              <w:right w:val="single" w:sz="8" w:space="0" w:color="auto"/>
            </w:tcBorders>
            <w:vAlign w:val="center"/>
            <w:hideMark/>
          </w:tcPr>
          <w:p w:rsidR="00AA001D" w:rsidRPr="00AA001D" w:rsidP="00AA001D" w14:paraId="4FDE9DA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Avg. Burden per Response (in hours)</w:t>
            </w:r>
          </w:p>
        </w:tc>
        <w:tc>
          <w:tcPr>
            <w:tcW w:w="1660" w:type="dxa"/>
            <w:tcBorders>
              <w:top w:val="single" w:sz="8" w:space="0" w:color="auto"/>
              <w:left w:val="nil"/>
              <w:bottom w:val="single" w:sz="8" w:space="0" w:color="auto"/>
              <w:right w:val="single" w:sz="8" w:space="0" w:color="auto"/>
            </w:tcBorders>
            <w:vAlign w:val="center"/>
            <w:hideMark/>
          </w:tcPr>
          <w:p w:rsidR="00AA001D" w:rsidRPr="00AA001D" w:rsidP="00AA001D" w14:paraId="2A51F1A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Total Annual Burden (in hours)</w:t>
            </w:r>
          </w:p>
        </w:tc>
        <w:tc>
          <w:tcPr>
            <w:tcW w:w="1100" w:type="dxa"/>
            <w:tcBorders>
              <w:top w:val="single" w:sz="8" w:space="0" w:color="auto"/>
              <w:left w:val="nil"/>
              <w:bottom w:val="single" w:sz="8" w:space="0" w:color="auto"/>
              <w:right w:val="single" w:sz="8" w:space="0" w:color="auto"/>
            </w:tcBorders>
            <w:vAlign w:val="center"/>
            <w:hideMark/>
          </w:tcPr>
          <w:p w:rsidR="00AA001D" w:rsidRPr="00AA001D" w:rsidP="00AA001D" w14:paraId="24B01DB6"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Avg. Hourly Wage Rate</w:t>
            </w:r>
          </w:p>
        </w:tc>
        <w:tc>
          <w:tcPr>
            <w:tcW w:w="1660" w:type="dxa"/>
            <w:tcBorders>
              <w:top w:val="single" w:sz="8" w:space="0" w:color="auto"/>
              <w:left w:val="nil"/>
              <w:bottom w:val="single" w:sz="8" w:space="0" w:color="auto"/>
              <w:right w:val="single" w:sz="8" w:space="0" w:color="auto"/>
            </w:tcBorders>
            <w:vAlign w:val="center"/>
            <w:hideMark/>
          </w:tcPr>
          <w:p w:rsidR="00AA001D" w:rsidRPr="00AA001D" w:rsidP="00AA001D" w14:paraId="13708FA2"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Total Annual Respondent Cost</w:t>
            </w:r>
          </w:p>
        </w:tc>
      </w:tr>
      <w:tr w14:paraId="1C8E4087" w14:textId="77777777" w:rsidTr="00AA001D">
        <w:tblPrEx>
          <w:tblW w:w="11040" w:type="dxa"/>
          <w:tblInd w:w="-702" w:type="dxa"/>
          <w:tblLook w:val="04A0"/>
        </w:tblPrEx>
        <w:trPr>
          <w:trHeight w:val="48"/>
        </w:trPr>
        <w:tc>
          <w:tcPr>
            <w:tcW w:w="1220" w:type="dxa"/>
            <w:tcBorders>
              <w:top w:val="nil"/>
              <w:left w:val="single" w:sz="8" w:space="0" w:color="auto"/>
              <w:bottom w:val="single" w:sz="8" w:space="0" w:color="auto"/>
              <w:right w:val="single" w:sz="8" w:space="0" w:color="auto"/>
            </w:tcBorders>
            <w:vAlign w:val="center"/>
            <w:hideMark/>
          </w:tcPr>
          <w:p w:rsidR="00AA001D" w:rsidRPr="00AA001D" w:rsidP="00AA001D" w14:paraId="04D94732"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Individuals or Households</w:t>
            </w:r>
          </w:p>
        </w:tc>
        <w:tc>
          <w:tcPr>
            <w:tcW w:w="1420" w:type="dxa"/>
            <w:tcBorders>
              <w:top w:val="nil"/>
              <w:left w:val="nil"/>
              <w:bottom w:val="single" w:sz="8" w:space="0" w:color="000000"/>
              <w:right w:val="single" w:sz="8" w:space="0" w:color="000000"/>
            </w:tcBorders>
            <w:vAlign w:val="center"/>
            <w:hideMark/>
          </w:tcPr>
          <w:p w:rsidR="00AA001D" w:rsidRPr="00AA001D" w:rsidP="00AA001D" w14:paraId="1E8D0BDA" w14:textId="77777777">
            <w:pPr>
              <w:widowControl/>
              <w:autoSpaceDE/>
              <w:autoSpaceDN/>
              <w:adjustRightInd/>
              <w:rPr>
                <w:rFonts w:ascii="Times New Roman" w:hAnsi="Times New Roman"/>
                <w:color w:val="000000"/>
                <w:sz w:val="20"/>
                <w:szCs w:val="20"/>
              </w:rPr>
            </w:pPr>
            <w:r w:rsidRPr="00AA001D">
              <w:rPr>
                <w:rFonts w:ascii="Times New Roman" w:hAnsi="Times New Roman"/>
                <w:color w:val="000000"/>
                <w:sz w:val="20"/>
                <w:szCs w:val="20"/>
              </w:rPr>
              <w:t xml:space="preserve">Customer Satisfaction Surveys: Qualitative customer satisfaction surveys (e.g., post-transaction </w:t>
            </w:r>
            <w:r w:rsidRPr="00AA001D">
              <w:rPr>
                <w:rFonts w:ascii="Times New Roman" w:hAnsi="Times New Roman"/>
                <w:color w:val="000000"/>
                <w:sz w:val="20"/>
                <w:szCs w:val="20"/>
              </w:rPr>
              <w:t>surveys; opt-out web surveys)</w:t>
            </w:r>
          </w:p>
        </w:tc>
        <w:tc>
          <w:tcPr>
            <w:tcW w:w="240" w:type="dxa"/>
            <w:tcBorders>
              <w:top w:val="nil"/>
              <w:left w:val="nil"/>
              <w:bottom w:val="single" w:sz="8" w:space="0" w:color="auto"/>
              <w:right w:val="single" w:sz="8" w:space="0" w:color="auto"/>
            </w:tcBorders>
            <w:vAlign w:val="center"/>
            <w:hideMark/>
          </w:tcPr>
          <w:p w:rsidR="00AA001D" w:rsidRPr="00AA001D" w:rsidP="00AA001D" w14:paraId="240C770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46,000</w:t>
            </w:r>
          </w:p>
        </w:tc>
        <w:tc>
          <w:tcPr>
            <w:tcW w:w="1340" w:type="dxa"/>
            <w:tcBorders>
              <w:top w:val="nil"/>
              <w:left w:val="nil"/>
              <w:bottom w:val="single" w:sz="8" w:space="0" w:color="auto"/>
              <w:right w:val="single" w:sz="8" w:space="0" w:color="auto"/>
            </w:tcBorders>
            <w:vAlign w:val="center"/>
            <w:hideMark/>
          </w:tcPr>
          <w:p w:rsidR="00AA001D" w:rsidRPr="00AA001D" w:rsidP="00AA001D" w14:paraId="0D3DF573"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w:t>
            </w:r>
          </w:p>
        </w:tc>
        <w:tc>
          <w:tcPr>
            <w:tcW w:w="1340" w:type="dxa"/>
            <w:tcBorders>
              <w:top w:val="nil"/>
              <w:left w:val="nil"/>
              <w:bottom w:val="single" w:sz="8" w:space="0" w:color="auto"/>
              <w:right w:val="single" w:sz="8" w:space="0" w:color="auto"/>
            </w:tcBorders>
            <w:vAlign w:val="center"/>
            <w:hideMark/>
          </w:tcPr>
          <w:p w:rsidR="00AA001D" w:rsidRPr="00AA001D" w:rsidP="00AA001D" w14:paraId="1CFDE3F8"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xml:space="preserve">         46,000 </w:t>
            </w:r>
          </w:p>
        </w:tc>
        <w:tc>
          <w:tcPr>
            <w:tcW w:w="1060" w:type="dxa"/>
            <w:tcBorders>
              <w:top w:val="nil"/>
              <w:left w:val="nil"/>
              <w:bottom w:val="single" w:sz="8" w:space="0" w:color="auto"/>
              <w:right w:val="single" w:sz="8" w:space="0" w:color="auto"/>
            </w:tcBorders>
            <w:vAlign w:val="center"/>
            <w:hideMark/>
          </w:tcPr>
          <w:p w:rsidR="00AA001D" w:rsidRPr="00AA001D" w:rsidP="00AA001D" w14:paraId="531F547E"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0.5</w:t>
            </w:r>
          </w:p>
        </w:tc>
        <w:tc>
          <w:tcPr>
            <w:tcW w:w="1660" w:type="dxa"/>
            <w:tcBorders>
              <w:top w:val="nil"/>
              <w:left w:val="nil"/>
              <w:bottom w:val="single" w:sz="8" w:space="0" w:color="auto"/>
              <w:right w:val="single" w:sz="8" w:space="0" w:color="auto"/>
            </w:tcBorders>
            <w:vAlign w:val="center"/>
            <w:hideMark/>
          </w:tcPr>
          <w:p w:rsidR="00AA001D" w:rsidRPr="00AA001D" w:rsidP="00AA001D" w14:paraId="73F956D6"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23,000</w:t>
            </w:r>
          </w:p>
        </w:tc>
        <w:tc>
          <w:tcPr>
            <w:tcW w:w="1100" w:type="dxa"/>
            <w:tcBorders>
              <w:top w:val="nil"/>
              <w:left w:val="nil"/>
              <w:bottom w:val="single" w:sz="8" w:space="0" w:color="auto"/>
              <w:right w:val="single" w:sz="8" w:space="0" w:color="auto"/>
            </w:tcBorders>
            <w:vAlign w:val="center"/>
            <w:hideMark/>
          </w:tcPr>
          <w:p w:rsidR="00AA001D" w:rsidRPr="00AA001D" w:rsidP="00AA001D" w14:paraId="3F85539E"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w:t>
            </w:r>
          </w:p>
        </w:tc>
        <w:tc>
          <w:tcPr>
            <w:tcW w:w="1660" w:type="dxa"/>
            <w:tcBorders>
              <w:top w:val="nil"/>
              <w:left w:val="nil"/>
              <w:bottom w:val="single" w:sz="8" w:space="0" w:color="auto"/>
              <w:right w:val="single" w:sz="8" w:space="0" w:color="auto"/>
            </w:tcBorders>
            <w:vAlign w:val="center"/>
            <w:hideMark/>
          </w:tcPr>
          <w:p w:rsidR="00AA001D" w:rsidRPr="00AA001D" w:rsidP="00AA001D" w14:paraId="78E5A23F"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$838,828</w:t>
            </w:r>
          </w:p>
        </w:tc>
      </w:tr>
      <w:tr w14:paraId="5B5E7F5B" w14:textId="77777777" w:rsidTr="00AA001D">
        <w:tblPrEx>
          <w:tblW w:w="11040" w:type="dxa"/>
          <w:tblInd w:w="-702" w:type="dxa"/>
          <w:tblLook w:val="04A0"/>
        </w:tblPrEx>
        <w:trPr>
          <w:trHeight w:val="97"/>
        </w:trPr>
        <w:tc>
          <w:tcPr>
            <w:tcW w:w="1220" w:type="dxa"/>
            <w:tcBorders>
              <w:top w:val="nil"/>
              <w:left w:val="single" w:sz="8" w:space="0" w:color="auto"/>
              <w:bottom w:val="single" w:sz="8" w:space="0" w:color="auto"/>
              <w:right w:val="single" w:sz="8" w:space="0" w:color="auto"/>
            </w:tcBorders>
            <w:vAlign w:val="center"/>
            <w:hideMark/>
          </w:tcPr>
          <w:p w:rsidR="00AA001D" w:rsidRPr="00AA001D" w:rsidP="00AA001D" w14:paraId="184E356A"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Individuals or Households</w:t>
            </w:r>
          </w:p>
        </w:tc>
        <w:tc>
          <w:tcPr>
            <w:tcW w:w="1420" w:type="dxa"/>
            <w:tcBorders>
              <w:top w:val="nil"/>
              <w:left w:val="nil"/>
              <w:bottom w:val="single" w:sz="8" w:space="0" w:color="000000"/>
              <w:right w:val="single" w:sz="8" w:space="0" w:color="000000"/>
            </w:tcBorders>
            <w:vAlign w:val="center"/>
            <w:hideMark/>
          </w:tcPr>
          <w:p w:rsidR="00AA001D" w:rsidRPr="00AA001D" w:rsidP="00AA001D" w14:paraId="0B63EA18" w14:textId="77777777">
            <w:pPr>
              <w:widowControl/>
              <w:autoSpaceDE/>
              <w:autoSpaceDN/>
              <w:adjustRightInd/>
              <w:rPr>
                <w:rFonts w:ascii="Times New Roman" w:hAnsi="Times New Roman"/>
                <w:color w:val="000000"/>
                <w:sz w:val="20"/>
                <w:szCs w:val="20"/>
              </w:rPr>
            </w:pPr>
            <w:r w:rsidRPr="00AA001D">
              <w:rPr>
                <w:rFonts w:ascii="Times New Roman" w:hAnsi="Times New Roman"/>
                <w:color w:val="000000"/>
                <w:sz w:val="20"/>
                <w:szCs w:val="20"/>
              </w:rPr>
              <w:t>Customer comment cards/ complaint forms</w:t>
            </w:r>
          </w:p>
        </w:tc>
        <w:tc>
          <w:tcPr>
            <w:tcW w:w="240" w:type="dxa"/>
            <w:tcBorders>
              <w:top w:val="nil"/>
              <w:left w:val="nil"/>
              <w:bottom w:val="single" w:sz="8" w:space="0" w:color="auto"/>
              <w:right w:val="single" w:sz="8" w:space="0" w:color="auto"/>
            </w:tcBorders>
            <w:vAlign w:val="center"/>
            <w:hideMark/>
          </w:tcPr>
          <w:p w:rsidR="00AA001D" w:rsidRPr="00AA001D" w:rsidP="00AA001D" w14:paraId="1318523E"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2,000</w:t>
            </w:r>
          </w:p>
        </w:tc>
        <w:tc>
          <w:tcPr>
            <w:tcW w:w="1340" w:type="dxa"/>
            <w:tcBorders>
              <w:top w:val="nil"/>
              <w:left w:val="nil"/>
              <w:bottom w:val="single" w:sz="8" w:space="0" w:color="auto"/>
              <w:right w:val="single" w:sz="8" w:space="0" w:color="auto"/>
            </w:tcBorders>
            <w:vAlign w:val="center"/>
            <w:hideMark/>
          </w:tcPr>
          <w:p w:rsidR="00AA001D" w:rsidRPr="00AA001D" w:rsidP="00AA001D" w14:paraId="2717DEDB"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w:t>
            </w:r>
          </w:p>
        </w:tc>
        <w:tc>
          <w:tcPr>
            <w:tcW w:w="1340" w:type="dxa"/>
            <w:tcBorders>
              <w:top w:val="nil"/>
              <w:left w:val="nil"/>
              <w:bottom w:val="single" w:sz="8" w:space="0" w:color="auto"/>
              <w:right w:val="single" w:sz="8" w:space="0" w:color="auto"/>
            </w:tcBorders>
            <w:vAlign w:val="center"/>
            <w:hideMark/>
          </w:tcPr>
          <w:p w:rsidR="00AA001D" w:rsidRPr="00AA001D" w:rsidP="00AA001D" w14:paraId="59CD323A"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xml:space="preserve">           2,000 </w:t>
            </w:r>
          </w:p>
        </w:tc>
        <w:tc>
          <w:tcPr>
            <w:tcW w:w="1060" w:type="dxa"/>
            <w:tcBorders>
              <w:top w:val="nil"/>
              <w:left w:val="nil"/>
              <w:bottom w:val="single" w:sz="8" w:space="0" w:color="auto"/>
              <w:right w:val="single" w:sz="8" w:space="0" w:color="auto"/>
            </w:tcBorders>
            <w:vAlign w:val="center"/>
            <w:hideMark/>
          </w:tcPr>
          <w:p w:rsidR="00AA001D" w:rsidRPr="00AA001D" w:rsidP="00AA001D" w14:paraId="300CBD87"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0.5</w:t>
            </w:r>
          </w:p>
        </w:tc>
        <w:tc>
          <w:tcPr>
            <w:tcW w:w="1660" w:type="dxa"/>
            <w:tcBorders>
              <w:top w:val="nil"/>
              <w:left w:val="nil"/>
              <w:bottom w:val="single" w:sz="8" w:space="0" w:color="auto"/>
              <w:right w:val="single" w:sz="8" w:space="0" w:color="auto"/>
            </w:tcBorders>
            <w:vAlign w:val="center"/>
            <w:hideMark/>
          </w:tcPr>
          <w:p w:rsidR="00AA001D" w:rsidRPr="00AA001D" w:rsidP="00AA001D" w14:paraId="73CFB171"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1,000</w:t>
            </w:r>
          </w:p>
        </w:tc>
        <w:tc>
          <w:tcPr>
            <w:tcW w:w="1100" w:type="dxa"/>
            <w:tcBorders>
              <w:top w:val="nil"/>
              <w:left w:val="nil"/>
              <w:bottom w:val="single" w:sz="8" w:space="0" w:color="auto"/>
              <w:right w:val="single" w:sz="8" w:space="0" w:color="auto"/>
            </w:tcBorders>
            <w:vAlign w:val="center"/>
            <w:hideMark/>
          </w:tcPr>
          <w:p w:rsidR="00AA001D" w:rsidRPr="00AA001D" w:rsidP="00AA001D" w14:paraId="01D72E3F"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w:t>
            </w:r>
          </w:p>
        </w:tc>
        <w:tc>
          <w:tcPr>
            <w:tcW w:w="1660" w:type="dxa"/>
            <w:tcBorders>
              <w:top w:val="nil"/>
              <w:left w:val="nil"/>
              <w:bottom w:val="single" w:sz="8" w:space="0" w:color="auto"/>
              <w:right w:val="single" w:sz="8" w:space="0" w:color="auto"/>
            </w:tcBorders>
            <w:vAlign w:val="center"/>
            <w:hideMark/>
          </w:tcPr>
          <w:p w:rsidR="00AA001D" w:rsidRPr="00AA001D" w:rsidP="00AA001D" w14:paraId="3715D378"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$36,471</w:t>
            </w:r>
          </w:p>
        </w:tc>
      </w:tr>
      <w:tr w14:paraId="033E7935" w14:textId="77777777" w:rsidTr="00AA001D">
        <w:tblPrEx>
          <w:tblW w:w="11040" w:type="dxa"/>
          <w:tblInd w:w="-702" w:type="dxa"/>
          <w:tblLook w:val="04A0"/>
        </w:tblPrEx>
        <w:trPr>
          <w:trHeight w:val="48"/>
        </w:trPr>
        <w:tc>
          <w:tcPr>
            <w:tcW w:w="1220" w:type="dxa"/>
            <w:tcBorders>
              <w:top w:val="nil"/>
              <w:left w:val="single" w:sz="8" w:space="0" w:color="auto"/>
              <w:bottom w:val="single" w:sz="8" w:space="0" w:color="auto"/>
              <w:right w:val="single" w:sz="8" w:space="0" w:color="auto"/>
            </w:tcBorders>
            <w:vAlign w:val="center"/>
            <w:hideMark/>
          </w:tcPr>
          <w:p w:rsidR="00AA001D" w:rsidRPr="00AA001D" w:rsidP="00AA001D" w14:paraId="5348B1F4"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Individuals or Households</w:t>
            </w:r>
          </w:p>
        </w:tc>
        <w:tc>
          <w:tcPr>
            <w:tcW w:w="1420" w:type="dxa"/>
            <w:tcBorders>
              <w:top w:val="nil"/>
              <w:left w:val="nil"/>
              <w:bottom w:val="single" w:sz="8" w:space="0" w:color="000000"/>
              <w:right w:val="single" w:sz="8" w:space="0" w:color="000000"/>
            </w:tcBorders>
            <w:vAlign w:val="center"/>
            <w:hideMark/>
          </w:tcPr>
          <w:p w:rsidR="00AA001D" w:rsidRPr="00AA001D" w:rsidP="00AA001D" w14:paraId="26DFCD10" w14:textId="77777777">
            <w:pPr>
              <w:widowControl/>
              <w:autoSpaceDE/>
              <w:autoSpaceDN/>
              <w:adjustRightInd/>
              <w:rPr>
                <w:rFonts w:ascii="Times New Roman" w:hAnsi="Times New Roman"/>
                <w:color w:val="000000"/>
                <w:sz w:val="20"/>
                <w:szCs w:val="20"/>
              </w:rPr>
            </w:pPr>
            <w:r w:rsidRPr="00AA001D">
              <w:rPr>
                <w:rFonts w:ascii="Times New Roman" w:hAnsi="Times New Roman"/>
                <w:color w:val="000000"/>
                <w:sz w:val="20"/>
                <w:szCs w:val="20"/>
              </w:rPr>
              <w:t>Usability study of a website</w:t>
            </w:r>
          </w:p>
        </w:tc>
        <w:tc>
          <w:tcPr>
            <w:tcW w:w="240" w:type="dxa"/>
            <w:tcBorders>
              <w:top w:val="nil"/>
              <w:left w:val="nil"/>
              <w:bottom w:val="single" w:sz="8" w:space="0" w:color="auto"/>
              <w:right w:val="single" w:sz="8" w:space="0" w:color="auto"/>
            </w:tcBorders>
            <w:vAlign w:val="center"/>
            <w:hideMark/>
          </w:tcPr>
          <w:p w:rsidR="00AA001D" w:rsidRPr="00AA001D" w:rsidP="00AA001D" w14:paraId="72CA961B"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6000</w:t>
            </w:r>
          </w:p>
        </w:tc>
        <w:tc>
          <w:tcPr>
            <w:tcW w:w="1340" w:type="dxa"/>
            <w:tcBorders>
              <w:top w:val="nil"/>
              <w:left w:val="nil"/>
              <w:bottom w:val="single" w:sz="8" w:space="0" w:color="auto"/>
              <w:right w:val="single" w:sz="8" w:space="0" w:color="auto"/>
            </w:tcBorders>
            <w:vAlign w:val="center"/>
            <w:hideMark/>
          </w:tcPr>
          <w:p w:rsidR="00AA001D" w:rsidRPr="00AA001D" w:rsidP="00AA001D" w14:paraId="60ED8BF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w:t>
            </w:r>
          </w:p>
        </w:tc>
        <w:tc>
          <w:tcPr>
            <w:tcW w:w="1340" w:type="dxa"/>
            <w:tcBorders>
              <w:top w:val="nil"/>
              <w:left w:val="nil"/>
              <w:bottom w:val="single" w:sz="8" w:space="0" w:color="auto"/>
              <w:right w:val="single" w:sz="8" w:space="0" w:color="auto"/>
            </w:tcBorders>
            <w:vAlign w:val="center"/>
            <w:hideMark/>
          </w:tcPr>
          <w:p w:rsidR="00AA001D" w:rsidRPr="00AA001D" w:rsidP="00AA001D" w14:paraId="141F237A"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xml:space="preserve">           6,000 </w:t>
            </w:r>
          </w:p>
        </w:tc>
        <w:tc>
          <w:tcPr>
            <w:tcW w:w="1060" w:type="dxa"/>
            <w:tcBorders>
              <w:top w:val="nil"/>
              <w:left w:val="nil"/>
              <w:bottom w:val="single" w:sz="8" w:space="0" w:color="auto"/>
              <w:right w:val="single" w:sz="8" w:space="0" w:color="auto"/>
            </w:tcBorders>
            <w:vAlign w:val="center"/>
            <w:hideMark/>
          </w:tcPr>
          <w:p w:rsidR="00AA001D" w:rsidRPr="00AA001D" w:rsidP="00AA001D" w14:paraId="09A0C143"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0.5</w:t>
            </w:r>
          </w:p>
        </w:tc>
        <w:tc>
          <w:tcPr>
            <w:tcW w:w="1660" w:type="dxa"/>
            <w:tcBorders>
              <w:top w:val="nil"/>
              <w:left w:val="nil"/>
              <w:bottom w:val="single" w:sz="8" w:space="0" w:color="auto"/>
              <w:right w:val="single" w:sz="8" w:space="0" w:color="auto"/>
            </w:tcBorders>
            <w:vAlign w:val="center"/>
            <w:hideMark/>
          </w:tcPr>
          <w:p w:rsidR="00AA001D" w:rsidRPr="00AA001D" w:rsidP="00AA001D" w14:paraId="7722D4D1"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3,000</w:t>
            </w:r>
          </w:p>
        </w:tc>
        <w:tc>
          <w:tcPr>
            <w:tcW w:w="1100" w:type="dxa"/>
            <w:tcBorders>
              <w:top w:val="nil"/>
              <w:left w:val="nil"/>
              <w:bottom w:val="single" w:sz="8" w:space="0" w:color="auto"/>
              <w:right w:val="single" w:sz="8" w:space="0" w:color="auto"/>
            </w:tcBorders>
            <w:vAlign w:val="center"/>
            <w:hideMark/>
          </w:tcPr>
          <w:p w:rsidR="00AA001D" w:rsidRPr="00AA001D" w:rsidP="00AA001D" w14:paraId="0E4B5FF2"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w:t>
            </w:r>
          </w:p>
        </w:tc>
        <w:tc>
          <w:tcPr>
            <w:tcW w:w="1660" w:type="dxa"/>
            <w:tcBorders>
              <w:top w:val="nil"/>
              <w:left w:val="nil"/>
              <w:bottom w:val="single" w:sz="8" w:space="0" w:color="auto"/>
              <w:right w:val="single" w:sz="8" w:space="0" w:color="auto"/>
            </w:tcBorders>
            <w:vAlign w:val="center"/>
            <w:hideMark/>
          </w:tcPr>
          <w:p w:rsidR="00AA001D" w:rsidRPr="00AA001D" w:rsidP="00AA001D" w14:paraId="7CAC90DD"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$109,412</w:t>
            </w:r>
          </w:p>
        </w:tc>
      </w:tr>
      <w:tr w14:paraId="1A8CD333" w14:textId="77777777" w:rsidTr="00AA001D">
        <w:tblPrEx>
          <w:tblW w:w="11040" w:type="dxa"/>
          <w:tblInd w:w="-702" w:type="dxa"/>
          <w:tblLook w:val="04A0"/>
        </w:tblPrEx>
        <w:trPr>
          <w:trHeight w:val="61"/>
        </w:trPr>
        <w:tc>
          <w:tcPr>
            <w:tcW w:w="1220" w:type="dxa"/>
            <w:tcBorders>
              <w:top w:val="nil"/>
              <w:left w:val="single" w:sz="8" w:space="0" w:color="auto"/>
              <w:bottom w:val="single" w:sz="8" w:space="0" w:color="auto"/>
              <w:right w:val="single" w:sz="8" w:space="0" w:color="auto"/>
            </w:tcBorders>
            <w:vAlign w:val="center"/>
            <w:hideMark/>
          </w:tcPr>
          <w:p w:rsidR="00AA001D" w:rsidRPr="00AA001D" w:rsidP="00AA001D" w14:paraId="0EBC90BE"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Individuals or Households</w:t>
            </w:r>
          </w:p>
        </w:tc>
        <w:tc>
          <w:tcPr>
            <w:tcW w:w="1420" w:type="dxa"/>
            <w:tcBorders>
              <w:top w:val="nil"/>
              <w:left w:val="nil"/>
              <w:bottom w:val="single" w:sz="8" w:space="0" w:color="000000"/>
              <w:right w:val="single" w:sz="8" w:space="0" w:color="000000"/>
            </w:tcBorders>
            <w:vAlign w:val="center"/>
            <w:hideMark/>
          </w:tcPr>
          <w:p w:rsidR="00AA001D" w:rsidRPr="00AA001D" w:rsidP="00AA001D" w14:paraId="73097C20" w14:textId="77777777">
            <w:pPr>
              <w:widowControl/>
              <w:autoSpaceDE/>
              <w:autoSpaceDN/>
              <w:adjustRightInd/>
              <w:rPr>
                <w:rFonts w:ascii="Times New Roman" w:hAnsi="Times New Roman"/>
                <w:color w:val="000000"/>
                <w:sz w:val="20"/>
                <w:szCs w:val="20"/>
              </w:rPr>
            </w:pPr>
            <w:r w:rsidRPr="00AA001D">
              <w:rPr>
                <w:rFonts w:ascii="Times New Roman" w:hAnsi="Times New Roman"/>
                <w:color w:val="000000"/>
                <w:sz w:val="20"/>
                <w:szCs w:val="20"/>
              </w:rPr>
              <w:t>Small discussion groups</w:t>
            </w:r>
          </w:p>
        </w:tc>
        <w:tc>
          <w:tcPr>
            <w:tcW w:w="240" w:type="dxa"/>
            <w:tcBorders>
              <w:top w:val="nil"/>
              <w:left w:val="nil"/>
              <w:bottom w:val="single" w:sz="8" w:space="0" w:color="auto"/>
              <w:right w:val="single" w:sz="8" w:space="0" w:color="auto"/>
            </w:tcBorders>
            <w:vAlign w:val="center"/>
            <w:hideMark/>
          </w:tcPr>
          <w:p w:rsidR="00AA001D" w:rsidRPr="00AA001D" w:rsidP="00AA001D" w14:paraId="4DEBC3D2"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2000</w:t>
            </w:r>
          </w:p>
        </w:tc>
        <w:tc>
          <w:tcPr>
            <w:tcW w:w="1340" w:type="dxa"/>
            <w:tcBorders>
              <w:top w:val="nil"/>
              <w:left w:val="nil"/>
              <w:bottom w:val="single" w:sz="8" w:space="0" w:color="auto"/>
              <w:right w:val="single" w:sz="8" w:space="0" w:color="auto"/>
            </w:tcBorders>
            <w:vAlign w:val="center"/>
            <w:hideMark/>
          </w:tcPr>
          <w:p w:rsidR="00AA001D" w:rsidRPr="00AA001D" w:rsidP="00AA001D" w14:paraId="68C43437"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w:t>
            </w:r>
          </w:p>
        </w:tc>
        <w:tc>
          <w:tcPr>
            <w:tcW w:w="1340" w:type="dxa"/>
            <w:tcBorders>
              <w:top w:val="nil"/>
              <w:left w:val="nil"/>
              <w:bottom w:val="single" w:sz="8" w:space="0" w:color="auto"/>
              <w:right w:val="single" w:sz="8" w:space="0" w:color="auto"/>
            </w:tcBorders>
            <w:vAlign w:val="center"/>
            <w:hideMark/>
          </w:tcPr>
          <w:p w:rsidR="00AA001D" w:rsidRPr="00AA001D" w:rsidP="00AA001D" w14:paraId="4A14158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xml:space="preserve">           2,000 </w:t>
            </w:r>
          </w:p>
        </w:tc>
        <w:tc>
          <w:tcPr>
            <w:tcW w:w="1060" w:type="dxa"/>
            <w:tcBorders>
              <w:top w:val="nil"/>
              <w:left w:val="nil"/>
              <w:bottom w:val="single" w:sz="8" w:space="0" w:color="auto"/>
              <w:right w:val="single" w:sz="8" w:space="0" w:color="auto"/>
            </w:tcBorders>
            <w:vAlign w:val="center"/>
            <w:hideMark/>
          </w:tcPr>
          <w:p w:rsidR="00AA001D" w:rsidRPr="00AA001D" w:rsidP="00AA001D" w14:paraId="7F8A6C99"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0.5</w:t>
            </w:r>
          </w:p>
        </w:tc>
        <w:tc>
          <w:tcPr>
            <w:tcW w:w="1660" w:type="dxa"/>
            <w:tcBorders>
              <w:top w:val="nil"/>
              <w:left w:val="nil"/>
              <w:bottom w:val="single" w:sz="8" w:space="0" w:color="auto"/>
              <w:right w:val="single" w:sz="8" w:space="0" w:color="auto"/>
            </w:tcBorders>
            <w:vAlign w:val="center"/>
            <w:hideMark/>
          </w:tcPr>
          <w:p w:rsidR="00AA001D" w:rsidRPr="00AA001D" w:rsidP="00AA001D" w14:paraId="7C752F4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1,000</w:t>
            </w:r>
          </w:p>
        </w:tc>
        <w:tc>
          <w:tcPr>
            <w:tcW w:w="1100" w:type="dxa"/>
            <w:tcBorders>
              <w:top w:val="nil"/>
              <w:left w:val="nil"/>
              <w:bottom w:val="single" w:sz="8" w:space="0" w:color="auto"/>
              <w:right w:val="single" w:sz="8" w:space="0" w:color="auto"/>
            </w:tcBorders>
            <w:vAlign w:val="center"/>
            <w:hideMark/>
          </w:tcPr>
          <w:p w:rsidR="00AA001D" w:rsidRPr="00AA001D" w:rsidP="00AA001D" w14:paraId="36A2AC4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w:t>
            </w:r>
          </w:p>
        </w:tc>
        <w:tc>
          <w:tcPr>
            <w:tcW w:w="1660" w:type="dxa"/>
            <w:tcBorders>
              <w:top w:val="nil"/>
              <w:left w:val="nil"/>
              <w:bottom w:val="single" w:sz="8" w:space="0" w:color="auto"/>
              <w:right w:val="single" w:sz="8" w:space="0" w:color="auto"/>
            </w:tcBorders>
            <w:vAlign w:val="center"/>
            <w:hideMark/>
          </w:tcPr>
          <w:p w:rsidR="00AA001D" w:rsidRPr="00AA001D" w:rsidP="00AA001D" w14:paraId="19B6F2C9"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$36,471</w:t>
            </w:r>
          </w:p>
        </w:tc>
      </w:tr>
      <w:tr w14:paraId="78185827" w14:textId="77777777" w:rsidTr="00AA001D">
        <w:tblPrEx>
          <w:tblW w:w="11040" w:type="dxa"/>
          <w:tblInd w:w="-702" w:type="dxa"/>
          <w:tblLook w:val="04A0"/>
        </w:tblPrEx>
        <w:trPr>
          <w:trHeight w:val="324"/>
        </w:trPr>
        <w:tc>
          <w:tcPr>
            <w:tcW w:w="1220" w:type="dxa"/>
            <w:tcBorders>
              <w:top w:val="nil"/>
              <w:left w:val="single" w:sz="8" w:space="0" w:color="auto"/>
              <w:bottom w:val="single" w:sz="8" w:space="0" w:color="auto"/>
              <w:right w:val="single" w:sz="8" w:space="0" w:color="auto"/>
            </w:tcBorders>
            <w:vAlign w:val="center"/>
            <w:hideMark/>
          </w:tcPr>
          <w:p w:rsidR="00AA001D" w:rsidRPr="00AA001D" w:rsidP="00AA001D" w14:paraId="278F1EA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Total</w:t>
            </w:r>
          </w:p>
        </w:tc>
        <w:tc>
          <w:tcPr>
            <w:tcW w:w="1420" w:type="dxa"/>
            <w:tcBorders>
              <w:top w:val="nil"/>
              <w:left w:val="nil"/>
              <w:bottom w:val="single" w:sz="8" w:space="0" w:color="auto"/>
              <w:right w:val="single" w:sz="8" w:space="0" w:color="auto"/>
            </w:tcBorders>
            <w:shd w:val="clear" w:color="000000" w:fill="000000"/>
            <w:vAlign w:val="center"/>
            <w:hideMark/>
          </w:tcPr>
          <w:p w:rsidR="00AA001D" w:rsidRPr="00AA001D" w:rsidP="00AA001D" w14:paraId="3896A476"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w:t>
            </w:r>
          </w:p>
        </w:tc>
        <w:tc>
          <w:tcPr>
            <w:tcW w:w="240" w:type="dxa"/>
            <w:tcBorders>
              <w:top w:val="nil"/>
              <w:left w:val="nil"/>
              <w:bottom w:val="single" w:sz="8" w:space="0" w:color="auto"/>
              <w:right w:val="single" w:sz="8" w:space="0" w:color="auto"/>
            </w:tcBorders>
            <w:shd w:val="clear" w:color="000000" w:fill="000000"/>
            <w:vAlign w:val="center"/>
            <w:hideMark/>
          </w:tcPr>
          <w:p w:rsidR="00AA001D" w:rsidRPr="00AA001D" w:rsidP="00AA001D" w14:paraId="06300F86"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w:t>
            </w:r>
          </w:p>
        </w:tc>
        <w:tc>
          <w:tcPr>
            <w:tcW w:w="1340" w:type="dxa"/>
            <w:tcBorders>
              <w:top w:val="nil"/>
              <w:left w:val="nil"/>
              <w:bottom w:val="single" w:sz="8" w:space="0" w:color="auto"/>
              <w:right w:val="single" w:sz="8" w:space="0" w:color="auto"/>
            </w:tcBorders>
            <w:shd w:val="clear" w:color="000000" w:fill="000000"/>
            <w:vAlign w:val="center"/>
            <w:hideMark/>
          </w:tcPr>
          <w:p w:rsidR="00AA001D" w:rsidRPr="00AA001D" w:rsidP="00AA001D" w14:paraId="7CD0342F"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w:t>
            </w:r>
          </w:p>
        </w:tc>
        <w:tc>
          <w:tcPr>
            <w:tcW w:w="1340" w:type="dxa"/>
            <w:tcBorders>
              <w:top w:val="nil"/>
              <w:left w:val="nil"/>
              <w:bottom w:val="single" w:sz="8" w:space="0" w:color="auto"/>
              <w:right w:val="single" w:sz="8" w:space="0" w:color="auto"/>
            </w:tcBorders>
            <w:vAlign w:val="center"/>
            <w:hideMark/>
          </w:tcPr>
          <w:p w:rsidR="00AA001D" w:rsidRPr="00AA001D" w:rsidP="00AA001D" w14:paraId="5A6EEB3B"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xml:space="preserve">         56,000 </w:t>
            </w:r>
          </w:p>
        </w:tc>
        <w:tc>
          <w:tcPr>
            <w:tcW w:w="1060" w:type="dxa"/>
            <w:tcBorders>
              <w:top w:val="nil"/>
              <w:left w:val="nil"/>
              <w:bottom w:val="single" w:sz="8" w:space="0" w:color="auto"/>
              <w:right w:val="single" w:sz="8" w:space="0" w:color="auto"/>
            </w:tcBorders>
            <w:shd w:val="clear" w:color="000000" w:fill="000000"/>
            <w:vAlign w:val="center"/>
            <w:hideMark/>
          </w:tcPr>
          <w:p w:rsidR="00AA001D" w:rsidRPr="00AA001D" w:rsidP="00AA001D" w14:paraId="6C430F8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w:t>
            </w:r>
          </w:p>
        </w:tc>
        <w:tc>
          <w:tcPr>
            <w:tcW w:w="1660" w:type="dxa"/>
            <w:tcBorders>
              <w:top w:val="nil"/>
              <w:left w:val="nil"/>
              <w:bottom w:val="single" w:sz="8" w:space="0" w:color="auto"/>
              <w:right w:val="single" w:sz="8" w:space="0" w:color="auto"/>
            </w:tcBorders>
            <w:vAlign w:val="center"/>
            <w:hideMark/>
          </w:tcPr>
          <w:p w:rsidR="00AA001D" w:rsidRPr="00AA001D" w:rsidP="00AA001D" w14:paraId="63B76065"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28,000</w:t>
            </w:r>
          </w:p>
        </w:tc>
        <w:tc>
          <w:tcPr>
            <w:tcW w:w="1100" w:type="dxa"/>
            <w:tcBorders>
              <w:top w:val="nil"/>
              <w:left w:val="nil"/>
              <w:bottom w:val="single" w:sz="8" w:space="0" w:color="auto"/>
              <w:right w:val="single" w:sz="8" w:space="0" w:color="auto"/>
            </w:tcBorders>
            <w:shd w:val="clear" w:color="000000" w:fill="000000"/>
            <w:vAlign w:val="center"/>
            <w:hideMark/>
          </w:tcPr>
          <w:p w:rsidR="00AA001D" w:rsidRPr="00AA001D" w:rsidP="00AA001D" w14:paraId="0CF9DEEE"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 </w:t>
            </w:r>
          </w:p>
        </w:tc>
        <w:tc>
          <w:tcPr>
            <w:tcW w:w="1660" w:type="dxa"/>
            <w:tcBorders>
              <w:top w:val="nil"/>
              <w:left w:val="nil"/>
              <w:bottom w:val="single" w:sz="8" w:space="0" w:color="auto"/>
              <w:right w:val="single" w:sz="8" w:space="0" w:color="auto"/>
            </w:tcBorders>
            <w:vAlign w:val="center"/>
            <w:hideMark/>
          </w:tcPr>
          <w:p w:rsidR="00AA001D" w:rsidRPr="00AA001D" w:rsidP="00AA001D" w14:paraId="68EA1AF0" w14:textId="77777777">
            <w:pPr>
              <w:widowControl/>
              <w:autoSpaceDE/>
              <w:autoSpaceDN/>
              <w:adjustRightInd/>
              <w:jc w:val="center"/>
              <w:rPr>
                <w:rFonts w:ascii="Times New Roman" w:hAnsi="Times New Roman"/>
                <w:color w:val="000000"/>
                <w:sz w:val="20"/>
                <w:szCs w:val="20"/>
              </w:rPr>
            </w:pPr>
            <w:r w:rsidRPr="00AA001D">
              <w:rPr>
                <w:rFonts w:ascii="Times New Roman" w:hAnsi="Times New Roman"/>
                <w:color w:val="000000"/>
                <w:sz w:val="20"/>
                <w:szCs w:val="20"/>
              </w:rPr>
              <w:t>$1,021,182</w:t>
            </w:r>
          </w:p>
        </w:tc>
      </w:tr>
    </w:tbl>
    <w:p w:rsidR="00090E42" w:rsidRPr="00712C2B" w:rsidP="00090E42" w14:paraId="58FAD0BE" w14:textId="77777777">
      <w:pPr>
        <w:pStyle w:val="BodyText2"/>
        <w:ind w:left="0"/>
      </w:pPr>
    </w:p>
    <w:p w:rsidR="002A4087" w:rsidRPr="00277E2B" w:rsidP="00277E2B" w14:paraId="2926FD8A" w14:textId="77777777">
      <w:pPr>
        <w:pStyle w:val="BodyText3"/>
      </w:pPr>
      <w:r w:rsidRPr="00277E2B">
        <w:t xml:space="preserve">* The above Average Hourly Wage Rate is the </w:t>
      </w:r>
      <w:hyperlink r:id="rId8" w:history="1">
        <w:r w:rsidRPr="00277E2B">
          <w:rPr>
            <w:rStyle w:val="Hyperlink"/>
            <w:color w:val="auto"/>
            <w:u w:val="none"/>
          </w:rPr>
          <w:t>May 201</w:t>
        </w:r>
        <w:r>
          <w:rPr>
            <w:rStyle w:val="Hyperlink"/>
            <w:color w:val="auto"/>
            <w:u w:val="none"/>
          </w:rPr>
          <w:t>8</w:t>
        </w:r>
        <w:r w:rsidRPr="00277E2B">
          <w:rPr>
            <w:rStyle w:val="Hyperlink"/>
            <w:color w:val="auto"/>
            <w:u w:val="none"/>
          </w:rPr>
          <w:t xml:space="preserve"> Bureau of Labor Statistics</w:t>
        </w:r>
      </w:hyperlink>
      <w:r w:rsidRPr="00277E2B">
        <w:t xml:space="preserve"> average wage for All Occupations of $</w:t>
      </w:r>
      <w:r w:rsidR="00AA001D">
        <w:t>24.99</w:t>
      </w:r>
      <w:r w:rsidRPr="00277E2B">
        <w:t xml:space="preserve"> times the wage rate benefit multiplier of 1.46 (to account for benefits provided) equaling $3</w:t>
      </w:r>
      <w:r w:rsidR="00AA001D">
        <w:t>6.47</w:t>
      </w:r>
      <w:r w:rsidRPr="00277E2B">
        <w:t>.  The selection of “All Occupations” was chosen as the expected respondents for this collection could be expected to be from any occupation.</w:t>
      </w:r>
    </w:p>
    <w:p w:rsidR="00402B20" w:rsidP="007B31B8" w14:paraId="57D95BEA" w14:textId="77777777">
      <w:pPr>
        <w:pStyle w:val="BodyText2"/>
      </w:pPr>
    </w:p>
    <w:p w:rsidR="00B27061" w:rsidRPr="00AF45F2" w:rsidP="007B31B8" w14:paraId="48A81678" w14:textId="77777777">
      <w:pPr>
        <w:pStyle w:val="BodyText"/>
      </w:pPr>
      <w:r w:rsidRPr="0020380B">
        <w:t xml:space="preserve">Provide an estimate of the total annual cost burden to respondents or </w:t>
      </w:r>
      <w:r w:rsidRPr="0020380B" w:rsidR="007F5988">
        <w:t>record keepers</w:t>
      </w:r>
      <w:r w:rsidRPr="0020380B">
        <w:t xml:space="preserve"> resulting from the collection of information.  (Do not include the cost of any hour burden shown in Items 12 and 14).</w:t>
      </w:r>
    </w:p>
    <w:p w:rsidR="00B27061" w:rsidRPr="00D80E94" w:rsidP="007B31B8" w14:paraId="7372DA19" w14:textId="77777777">
      <w:pPr>
        <w:pStyle w:val="ListBullet"/>
      </w:pPr>
      <w:r w:rsidRPr="00AF45F2">
        <w:t xml:space="preserve">The cost estimate should be split </w:t>
      </w:r>
      <w:r w:rsidRPr="007B31B8">
        <w:t>into</w:t>
      </w:r>
      <w:r w:rsidRPr="00AF45F2">
        <w:t xml:space="preserve"> two components:  (a) a total capital and start-up cost component (annualized over its expected useful</w:t>
      </w:r>
      <w:r w:rsidRPr="008A4764">
        <w:t xml:space="preserve">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w:t>
      </w:r>
      <w:r w:rsidRPr="0029577A">
        <w:t>, expected useful life of capital equipment, the discount rate(s), and the time peri</w:t>
      </w:r>
      <w:r w:rsidRPr="005B6129">
        <w:t>od over which costs will be incurred.  Capital and start-up costs include, among other items, preparations for collecting information such as purchasing computers and softw</w:t>
      </w:r>
      <w:r w:rsidRPr="00D80E94">
        <w:t>are; monitoring, sampling, drilling and testing equipment; and record storage facilities.</w:t>
      </w:r>
    </w:p>
    <w:p w:rsidR="00B27061" w:rsidRPr="00914A5D" w:rsidP="007B31B8" w14:paraId="1825EF7D" w14:textId="77777777">
      <w:pPr>
        <w:pStyle w:val="ListBullet"/>
      </w:pPr>
      <w:r w:rsidRPr="00914A5D">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w:t>
      </w:r>
      <w:r w:rsidRPr="00914A5D">
        <w:t>ontaining the information collection, as appropriate.</w:t>
      </w:r>
    </w:p>
    <w:p w:rsidR="00B27061" w:rsidRPr="00B1471A" w:rsidP="007B31B8" w14:paraId="02615260" w14:textId="77777777">
      <w:pPr>
        <w:pStyle w:val="ListBullet"/>
      </w:pPr>
      <w:r w:rsidRPr="00914A5D">
        <w:t>Generally, estimates should not include purchases of equipment or services, or portions thereof, made: (1) prior to October 1, 1995</w:t>
      </w:r>
      <w:r w:rsidR="00B1471A">
        <w:t>;</w:t>
      </w:r>
      <w:r w:rsidRPr="00B1471A">
        <w:t xml:space="preserve"> (2) to achieve regulatory </w:t>
      </w:r>
      <w:r w:rsidRPr="00B1471A">
        <w:t>compliance with requirements not associated with the information collection</w:t>
      </w:r>
      <w:r w:rsidR="00B1471A">
        <w:t>;</w:t>
      </w:r>
      <w:r w:rsidRPr="00B1471A">
        <w:t xml:space="preserve"> (3)</w:t>
      </w:r>
      <w:r w:rsidR="00B1471A">
        <w:t> </w:t>
      </w:r>
      <w:r w:rsidRPr="00B1471A">
        <w:t xml:space="preserve">for reasons other than to provide information or keep records for the </w:t>
      </w:r>
      <w:r w:rsidRPr="00B1471A" w:rsidR="007F5988">
        <w:t>government</w:t>
      </w:r>
      <w:r w:rsidR="00B1471A">
        <w:t>;</w:t>
      </w:r>
      <w:r w:rsidRPr="00B1471A">
        <w:t xml:space="preserve"> or</w:t>
      </w:r>
      <w:r w:rsidR="00B1471A">
        <w:t>,</w:t>
      </w:r>
      <w:r w:rsidRPr="00B1471A">
        <w:t xml:space="preserve"> (4) as part of customary and usual business or private practices.</w:t>
      </w:r>
    </w:p>
    <w:p w:rsidR="00B27061" w:rsidP="007B31B8" w14:paraId="6AA1D6AF" w14:textId="77777777">
      <w:pPr>
        <w:pStyle w:val="BodyText2"/>
      </w:pPr>
    </w:p>
    <w:p w:rsidR="00574622" w:rsidRPr="00235084" w:rsidP="00235084" w14:paraId="5DB5DF0D" w14:textId="77777777">
      <w:pPr>
        <w:pStyle w:val="BodyText2"/>
      </w:pPr>
      <w:r w:rsidRPr="00235084">
        <w:t xml:space="preserve">There is no capital, start-up, operational or maintenance cost associated with this collection of information.  USCIS estimates that </w:t>
      </w:r>
      <w:r w:rsidRPr="00235084" w:rsidR="001C5D1D">
        <w:t>respondents will not incur costs to respond to the survey activities associated with this information collection.</w:t>
      </w:r>
      <w:r w:rsidRPr="00235084" w:rsidR="007D3C34">
        <w:t xml:space="preserve"> </w:t>
      </w:r>
    </w:p>
    <w:p w:rsidR="004C2BFD" w:rsidRPr="00CF3116" w:rsidP="007B31B8" w14:paraId="253AE0A6" w14:textId="77777777">
      <w:pPr>
        <w:pStyle w:val="BodyText2"/>
        <w:rPr>
          <w:color w:val="000000"/>
        </w:rPr>
      </w:pPr>
      <w:r w:rsidRPr="00CF3116">
        <w:t xml:space="preserve"> </w:t>
      </w:r>
    </w:p>
    <w:p w:rsidR="006049A7" w:rsidRPr="0020380B" w:rsidP="004D74BB" w14:paraId="5EC8FB7F" w14:textId="77777777">
      <w:pPr>
        <w:pStyle w:val="BodyText"/>
      </w:pPr>
      <w:r w:rsidRPr="0020380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4C2BFD" w:rsidP="007B31B8" w14:paraId="5F652402" w14:textId="77777777">
      <w:pPr>
        <w:pStyle w:val="BodyText2"/>
      </w:pPr>
    </w:p>
    <w:p w:rsidR="004C2BFD" w:rsidP="004D74BB" w14:paraId="462337A5" w14:textId="77777777">
      <w:pPr>
        <w:pStyle w:val="BodyText"/>
        <w:numPr>
          <w:ilvl w:val="0"/>
          <w:numId w:val="0"/>
        </w:numPr>
        <w:ind w:left="720"/>
      </w:pPr>
      <w:r w:rsidRPr="00803AC0">
        <w:t>Annualized Cost Analysis:</w:t>
      </w:r>
    </w:p>
    <w:p w:rsidR="00F51847" w:rsidRPr="00803AC0" w:rsidP="004D74BB" w14:paraId="501A8364" w14:textId="77777777">
      <w:pPr>
        <w:pStyle w:val="BodyText"/>
        <w:numPr>
          <w:ilvl w:val="0"/>
          <w:numId w:val="0"/>
        </w:numPr>
        <w:ind w:left="720"/>
      </w:pPr>
    </w:p>
    <w:p w:rsidR="004C2BFD" w:rsidRPr="00090E42" w:rsidP="00235084" w14:paraId="242F73FD" w14:textId="77777777">
      <w:pPr>
        <w:pStyle w:val="BodyText2"/>
        <w:rPr>
          <w:u w:val="single"/>
        </w:rPr>
      </w:pPr>
      <w:r w:rsidRPr="00090E42">
        <w:rPr>
          <w:u w:val="single"/>
        </w:rPr>
        <w:t>Customer Service Survey</w:t>
      </w:r>
    </w:p>
    <w:p w:rsidR="00090E42" w:rsidRPr="00712C2B" w:rsidP="00235084" w14:paraId="4B817086" w14:textId="77777777">
      <w:pPr>
        <w:pStyle w:val="BodyText2"/>
      </w:pPr>
    </w:p>
    <w:p w:rsidR="0019590A" w:rsidRPr="000D5A86" w:rsidP="00AA001D" w14:paraId="3FC6A6B0" w14:textId="77777777">
      <w:pPr>
        <w:pStyle w:val="BodyText2"/>
      </w:pPr>
      <w:r w:rsidRPr="000D5A86">
        <w:t>Printing Cost</w:t>
      </w:r>
      <w:r w:rsidRPr="000D5A86">
        <w:tab/>
      </w:r>
      <w:r w:rsidRPr="000D5A86">
        <w:tab/>
      </w:r>
      <w:r w:rsidRPr="000D5A86">
        <w:tab/>
      </w:r>
      <w:r w:rsidRPr="000D5A86">
        <w:tab/>
      </w:r>
      <w:r w:rsidRPr="000D5A86">
        <w:t xml:space="preserve">       </w:t>
      </w:r>
      <w:r w:rsidRPr="000D5A86">
        <w:tab/>
        <w:t xml:space="preserve">    </w:t>
      </w:r>
      <w:r>
        <w:t xml:space="preserve">  </w:t>
      </w:r>
      <w:r w:rsidRPr="000D5A86">
        <w:t>$ 5,500</w:t>
      </w:r>
    </w:p>
    <w:p w:rsidR="0019590A" w:rsidRPr="000D5A86" w:rsidP="00AA001D" w14:paraId="42F577E4" w14:textId="77777777">
      <w:pPr>
        <w:pStyle w:val="BodyText2"/>
      </w:pPr>
      <w:r w:rsidRPr="000D5A86">
        <w:t>Collecting and Processing</w:t>
      </w:r>
      <w:r w:rsidRPr="000D5A86">
        <w:tab/>
      </w:r>
      <w:r w:rsidRPr="000D5A86">
        <w:tab/>
      </w:r>
      <w:r w:rsidRPr="000D5A86">
        <w:tab/>
        <w:t>$</w:t>
      </w:r>
      <w:r w:rsidR="00127F6C">
        <w:t>2</w:t>
      </w:r>
      <w:r w:rsidRPr="000D5A86">
        <w:t>,</w:t>
      </w:r>
      <w:r w:rsidR="00127F6C">
        <w:t>234</w:t>
      </w:r>
      <w:r w:rsidRPr="000D5A86">
        <w:t>,500</w:t>
      </w:r>
    </w:p>
    <w:p w:rsidR="004C2BFD" w:rsidRPr="000D5A86" w:rsidP="00AA001D" w14:paraId="5E054A61" w14:textId="77777777">
      <w:pPr>
        <w:pStyle w:val="BodyText2"/>
      </w:pPr>
      <w:r w:rsidRPr="000D5A86">
        <w:t>Total Cost to Program</w:t>
      </w:r>
      <w:r>
        <w:tab/>
      </w:r>
      <w:r>
        <w:tab/>
      </w:r>
      <w:r>
        <w:tab/>
        <w:t xml:space="preserve">           </w:t>
      </w:r>
      <w:r w:rsidRPr="000D5A86">
        <w:t xml:space="preserve"> $</w:t>
      </w:r>
      <w:r w:rsidR="00127F6C">
        <w:t>2</w:t>
      </w:r>
      <w:r w:rsidRPr="000D5A86">
        <w:t>,2</w:t>
      </w:r>
      <w:r w:rsidR="00127F6C">
        <w:t>4</w:t>
      </w:r>
      <w:r w:rsidRPr="000D5A86">
        <w:t>0,000</w:t>
      </w:r>
    </w:p>
    <w:p w:rsidR="0019590A" w:rsidRPr="000D5A86" w:rsidP="00AA001D" w14:paraId="0C03624E" w14:textId="77777777">
      <w:pPr>
        <w:pStyle w:val="BodyText2"/>
      </w:pPr>
      <w:r w:rsidRPr="000D5A86">
        <w:t>Fee Charge</w:t>
      </w:r>
      <w:r w:rsidRPr="000D5A86">
        <w:tab/>
      </w:r>
      <w:r w:rsidRPr="000D5A86">
        <w:tab/>
      </w:r>
      <w:r w:rsidRPr="000D5A86">
        <w:tab/>
      </w:r>
      <w:r w:rsidRPr="000D5A86">
        <w:tab/>
      </w:r>
      <w:r w:rsidRPr="000D5A86">
        <w:tab/>
        <w:t xml:space="preserve">             </w:t>
      </w:r>
      <w:r>
        <w:t xml:space="preserve"> </w:t>
      </w:r>
      <w:r w:rsidRPr="000D5A86">
        <w:t xml:space="preserve"> 0</w:t>
      </w:r>
    </w:p>
    <w:p w:rsidR="004C2BFD" w:rsidRPr="00AA001D" w:rsidP="007B31B8" w14:paraId="78DEEF7F" w14:textId="77777777">
      <w:pPr>
        <w:pStyle w:val="BodyText2"/>
        <w:rPr>
          <w:b/>
        </w:rPr>
      </w:pPr>
      <w:r w:rsidRPr="00AA001D">
        <w:rPr>
          <w:b/>
        </w:rPr>
        <w:t>Total Annual Cost to Government</w:t>
      </w:r>
      <w:r w:rsidRPr="00AA001D">
        <w:rPr>
          <w:b/>
        </w:rPr>
        <w:tab/>
        <w:t xml:space="preserve">            $</w:t>
      </w:r>
      <w:r w:rsidRPr="00AA001D" w:rsidR="00127F6C">
        <w:rPr>
          <w:b/>
        </w:rPr>
        <w:t>2</w:t>
      </w:r>
      <w:r w:rsidRPr="00AA001D">
        <w:rPr>
          <w:b/>
        </w:rPr>
        <w:t>,2</w:t>
      </w:r>
      <w:r w:rsidRPr="00AA001D" w:rsidR="00127F6C">
        <w:rPr>
          <w:b/>
        </w:rPr>
        <w:t>4</w:t>
      </w:r>
      <w:r w:rsidRPr="00AA001D">
        <w:rPr>
          <w:b/>
        </w:rPr>
        <w:t>0,000</w:t>
      </w:r>
      <w:r w:rsidRPr="00AA001D">
        <w:rPr>
          <w:b/>
        </w:rPr>
        <w:tab/>
      </w:r>
      <w:r w:rsidRPr="00AA001D">
        <w:rPr>
          <w:b/>
        </w:rPr>
        <w:br/>
      </w:r>
    </w:p>
    <w:p w:rsidR="004C2BFD" w:rsidP="00090E42" w14:paraId="1B96DEF0" w14:textId="77777777">
      <w:pPr>
        <w:pStyle w:val="BodyText2"/>
      </w:pPr>
      <w:r w:rsidRPr="000D5A86">
        <w:t>The anticipated cost to the Federal Government is approximately $</w:t>
      </w:r>
      <w:r w:rsidR="00127F6C">
        <w:t>2</w:t>
      </w:r>
      <w:r w:rsidRPr="000D5A86">
        <w:t>,2</w:t>
      </w:r>
      <w:r w:rsidR="00127F6C">
        <w:t>4</w:t>
      </w:r>
      <w:r w:rsidRPr="000D5A86">
        <w:t xml:space="preserve">0,000 annually.  </w:t>
      </w:r>
      <w:r>
        <w:t>This</w:t>
      </w:r>
      <w:r w:rsidRPr="000D5A86">
        <w:t xml:space="preserve"> </w:t>
      </w:r>
      <w:r>
        <w:t>cost is</w:t>
      </w:r>
      <w:r w:rsidRPr="000D5A86">
        <w:t xml:space="preserve"> comprised of:</w:t>
      </w:r>
      <w:r w:rsidRPr="000D5A86">
        <w:rPr>
          <w:highlight w:val="yellow"/>
        </w:rPr>
        <w:t xml:space="preserve"> </w:t>
      </w:r>
    </w:p>
    <w:p w:rsidR="00D10214" w:rsidRPr="000D5A86" w:rsidP="007B31B8" w14:paraId="05F36426" w14:textId="77777777">
      <w:pPr>
        <w:pStyle w:val="BodyText2"/>
      </w:pPr>
    </w:p>
    <w:p w:rsidR="004C2BFD" w:rsidP="000623C1" w14:paraId="6555B9CE" w14:textId="77777777">
      <w:pPr>
        <w:pStyle w:val="BodyText2"/>
      </w:pPr>
      <w:r w:rsidRPr="004C2BFD">
        <w:rPr>
          <w:b/>
        </w:rPr>
        <w:t>Customer Service Survey</w:t>
      </w:r>
      <w:r w:rsidRPr="000D5A86">
        <w:t>:  This figure is calculated by multiplying the estimated number of respondents (</w:t>
      </w:r>
      <w:r w:rsidR="00127F6C">
        <w:t>56</w:t>
      </w:r>
      <w:r w:rsidRPr="000D5A86">
        <w:t xml:space="preserve">,000) x (1) number of responses x 1 hour per response (Time required to collect and process the information) x $40 (suggested average hourly rate for clerical, officer, and managerial time with benefits).  In addition, this figure includes the estimated overhead cost for printing, stocking, and distributing the survey which </w:t>
      </w:r>
    </w:p>
    <w:p w:rsidR="004C2BFD" w:rsidRPr="000D5A86" w:rsidP="007B31B8" w14:paraId="24C5EFED" w14:textId="77777777">
      <w:pPr>
        <w:pStyle w:val="BodyText2"/>
      </w:pPr>
      <w:r w:rsidRPr="000D5A86">
        <w:t xml:space="preserve">is </w:t>
      </w:r>
      <w:r>
        <w:t>$5,500</w:t>
      </w:r>
      <w:r w:rsidRPr="000D5A86">
        <w:t xml:space="preserve">.  </w:t>
      </w:r>
    </w:p>
    <w:p w:rsidR="006C79B6" w:rsidRPr="00914A5D" w:rsidP="007B31B8" w14:paraId="589213A3" w14:textId="77777777">
      <w:pPr>
        <w:pStyle w:val="BodyText2"/>
      </w:pPr>
      <w:r>
        <w:tab/>
      </w:r>
    </w:p>
    <w:p w:rsidR="00B27061" w:rsidRPr="0020380B" w:rsidP="004D74BB" w14:paraId="77084B6C" w14:textId="77777777">
      <w:pPr>
        <w:pStyle w:val="BodyText"/>
      </w:pPr>
      <w:r w:rsidRPr="0020380B">
        <w:t>Explain the reasons for any program changes or adjustments reporting in Items 13 or 14 of the OMB Form 83-I.</w:t>
      </w:r>
    </w:p>
    <w:p w:rsidR="001A595D" w:rsidP="007B31B8" w14:paraId="14426E11" w14:textId="77777777">
      <w:pPr>
        <w:pStyle w:val="BodyText2"/>
      </w:pPr>
    </w:p>
    <w:p w:rsidR="009271B3" w:rsidP="006339FF" w14:paraId="4485683E" w14:textId="35891957">
      <w:pPr>
        <w:pStyle w:val="BodyText2"/>
      </w:pPr>
      <w:r w:rsidRPr="006339FF">
        <w:t>USCIS is requesting an extension of a currently approved collection.  USCIS is reporting no change in the estimated annual hour burden and estimated annual cost burden to respondents for this collection of information.</w:t>
      </w:r>
    </w:p>
    <w:p w:rsidR="00D10214" w:rsidRPr="00CF3116" w:rsidP="007B31B8" w14:paraId="4CFCDE20" w14:textId="77777777">
      <w:pPr>
        <w:pStyle w:val="BodyText2"/>
      </w:pPr>
    </w:p>
    <w:p w:rsidR="00B27061" w:rsidRPr="0020380B" w:rsidP="004D74BB" w14:paraId="1BE25608" w14:textId="77777777">
      <w:pPr>
        <w:pStyle w:val="BodyText"/>
      </w:pPr>
      <w:r w:rsidRPr="0020380B">
        <w:t>For collections of information whose results will be published, outline plans for tabulation, and publication.  Address any complex ana</w:t>
      </w:r>
      <w:r w:rsidR="0020380B">
        <w:t xml:space="preserve">lytical techniques that will be </w:t>
      </w:r>
      <w:r w:rsidRPr="0020380B">
        <w:t xml:space="preserve">used.  Provide the time schedule for the entire project, including beginning and </w:t>
      </w:r>
      <w:r w:rsidRPr="0020380B">
        <w:t>ending dates of the collection of information, completion of report, publication dates, and other actions.</w:t>
      </w:r>
    </w:p>
    <w:p w:rsidR="001A595D" w:rsidRPr="00914A5D" w:rsidP="007B31B8" w14:paraId="550B33AB" w14:textId="77777777">
      <w:pPr>
        <w:pStyle w:val="BodyText2"/>
      </w:pPr>
    </w:p>
    <w:p w:rsidR="00AC5FF8" w:rsidRPr="00235084" w:rsidP="00235084" w14:paraId="29C9FAE5" w14:textId="77777777">
      <w:pPr>
        <w:pStyle w:val="BodyText2"/>
      </w:pPr>
      <w:r w:rsidRPr="00235084">
        <w:t xml:space="preserve">Feedback collected under this generic clearance provides useful information, but it does not yield data that can be generalized to the overall population. Findings will be used for general service improvement, but are not for publication or other public release.  </w:t>
      </w:r>
    </w:p>
    <w:p w:rsidR="00AC5FF8" w:rsidRPr="00712C2B" w:rsidP="00235084" w14:paraId="44AAD984" w14:textId="77777777">
      <w:pPr>
        <w:pStyle w:val="BodyText2"/>
      </w:pPr>
    </w:p>
    <w:p w:rsidR="00AC5FF8" w:rsidRPr="00235084" w:rsidP="00235084" w14:paraId="69676AE0" w14:textId="77777777">
      <w:pPr>
        <w:pStyle w:val="BodyText2"/>
      </w:pPr>
      <w:r w:rsidRPr="00235084">
        <w:t xml:space="preserve">Although the Agency does not intend to publish its findings, the Agency may receive requests to release the information (e.g., congressional inquiry, Freedom of Information Act requests).  The Agency will disseminate the findings when appropriate, strictly following the Agency's "Guidelines for Ensuring the Quality of Information Disseminated </w:t>
      </w:r>
      <w:r w:rsidRPr="00235084">
        <w:tab/>
        <w:t xml:space="preserve">to the Public.", and will include specific discussion of the limitation of the qualitative results discussed above. </w:t>
      </w:r>
    </w:p>
    <w:p w:rsidR="00B27061" w:rsidRPr="000B00D2" w:rsidP="007B31B8" w14:paraId="3F7C0FFB" w14:textId="77777777">
      <w:pPr>
        <w:pStyle w:val="BodyText2"/>
      </w:pPr>
    </w:p>
    <w:p w:rsidR="00B27061" w:rsidRPr="0020380B" w:rsidP="004D74BB" w14:paraId="157DECA6" w14:textId="77777777">
      <w:pPr>
        <w:pStyle w:val="BodyText"/>
      </w:pPr>
      <w:r w:rsidRPr="0020380B">
        <w:t>If seeking approval to not display the expiration date for OMB approval of the information collection, explain the reasons that display would be inappropriate.</w:t>
      </w:r>
    </w:p>
    <w:p w:rsidR="006C79B6" w:rsidRPr="008A4764" w:rsidP="007B31B8" w14:paraId="1AEC5554" w14:textId="77777777">
      <w:pPr>
        <w:pStyle w:val="BodyText2"/>
      </w:pPr>
    </w:p>
    <w:p w:rsidR="001A595D" w:rsidRPr="00712C2B" w:rsidP="00235084" w14:paraId="779233C1" w14:textId="77777777">
      <w:pPr>
        <w:pStyle w:val="BodyText2"/>
      </w:pPr>
      <w:r w:rsidRPr="00914A5D">
        <w:t xml:space="preserve">USCIS will display the expiration </w:t>
      </w:r>
      <w:r w:rsidRPr="00235084">
        <w:t>date</w:t>
      </w:r>
      <w:r w:rsidRPr="00914A5D">
        <w:t xml:space="preserve"> for OMB approval of this information collection.</w:t>
      </w:r>
    </w:p>
    <w:p w:rsidR="00B27061" w:rsidRPr="000B00D2" w:rsidP="007B31B8" w14:paraId="3ED874D1" w14:textId="77777777">
      <w:pPr>
        <w:pStyle w:val="BodyText2"/>
      </w:pPr>
    </w:p>
    <w:p w:rsidR="00B27061" w:rsidRPr="00B1471A" w:rsidP="004D74BB" w14:paraId="11063997" w14:textId="77777777">
      <w:pPr>
        <w:pStyle w:val="BodyText"/>
      </w:pPr>
      <w:r w:rsidRPr="00AF45F2">
        <w:t xml:space="preserve">Explain each exception to the certification statement identified in Item 19, </w:t>
      </w:r>
      <w:r w:rsidR="00B1471A">
        <w:t>“</w:t>
      </w:r>
      <w:r w:rsidRPr="00B1471A">
        <w:t>Certification for Paperwork Reduction Act Submission,</w:t>
      </w:r>
      <w:r w:rsidR="00B1471A">
        <w:t>”</w:t>
      </w:r>
      <w:r w:rsidRPr="00B1471A">
        <w:t xml:space="preserve"> of OMB 83-I.</w:t>
      </w:r>
    </w:p>
    <w:p w:rsidR="006C79B6" w:rsidRPr="000B00D2" w:rsidP="007B31B8" w14:paraId="36DC0A28" w14:textId="77777777">
      <w:pPr>
        <w:pStyle w:val="BodyText2"/>
      </w:pPr>
    </w:p>
    <w:p w:rsidR="00AC5FF8" w:rsidRPr="00712C2B" w:rsidP="00235084" w14:paraId="327E7221" w14:textId="77777777">
      <w:pPr>
        <w:pStyle w:val="BodyText2"/>
      </w:pPr>
      <w:r w:rsidRPr="00712C2B">
        <w:t xml:space="preserve">These </w:t>
      </w:r>
      <w:r w:rsidRPr="00235084">
        <w:t>activities</w:t>
      </w:r>
      <w:r w:rsidRPr="00712C2B">
        <w:t xml:space="preserve"> comply with the requirements in 5 CFR 1320.9.</w:t>
      </w:r>
    </w:p>
    <w:p w:rsidR="006C79B6" w:rsidRPr="000B00D2" w:rsidP="007B31B8" w14:paraId="37ED2E69" w14:textId="77777777">
      <w:pPr>
        <w:pStyle w:val="BodyText2"/>
      </w:pPr>
    </w:p>
    <w:p w:rsidR="00792B9D" w:rsidRPr="00F51847" w:rsidP="00F51847" w14:paraId="211A447E" w14:textId="77777777">
      <w:pPr>
        <w:pStyle w:val="Heading1"/>
      </w:pPr>
      <w:r w:rsidRPr="00F51847">
        <w:t>B.  Collections of Information Employing Statistical Methods.</w:t>
      </w:r>
    </w:p>
    <w:p w:rsidR="00792B9D" w:rsidRPr="00914A5D" w:rsidP="007B31B8" w14:paraId="07C26128" w14:textId="77777777">
      <w:pPr>
        <w:pStyle w:val="BodyText2"/>
      </w:pPr>
    </w:p>
    <w:p w:rsidR="00792B9D" w:rsidRPr="00235084" w:rsidP="00235084" w14:paraId="4715E4AB" w14:textId="77777777">
      <w:pPr>
        <w:pStyle w:val="BodyText2"/>
      </w:pPr>
      <w:r w:rsidRPr="00A348E7">
        <w:t xml:space="preserve">See Supplemental Supporting Statement B. </w:t>
      </w:r>
    </w:p>
    <w:p w:rsidR="00E91139" w:rsidP="007B31B8" w14:paraId="2DF2433F" w14:textId="77777777">
      <w:pPr>
        <w:pStyle w:val="BodyText2"/>
      </w:pPr>
    </w:p>
    <w:sectPr w:rsidSect="006049A7">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0C033DD0" w14:textId="77777777">
    <w:pP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73670EDB"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6726E2D9" w14:textId="77777777">
    <w:pPr>
      <w:spacing w:line="240" w:lineRule="exact"/>
    </w:pPr>
  </w:p>
  <w:p w:rsidR="006049A7" w:rsidRPr="000712DA" w:rsidP="007F5988" w14:paraId="59D9961E" w14:textId="7777777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DF3236">
      <w:rPr>
        <w:rFonts w:ascii="Times New Roman" w:hAnsi="Times New Roman"/>
        <w:noProof/>
      </w:rPr>
      <w:t>7</w:t>
    </w:r>
    <w:r w:rsidRPr="000712DA">
      <w:rPr>
        <w:rFonts w:ascii="Times New Roman" w:hAnsi="Times New Roman"/>
      </w:rPr>
      <w:fldChar w:fldCharType="end"/>
    </w:r>
  </w:p>
  <w:p w:rsidR="006049A7" w:rsidP="007F5988" w14:paraId="0B60DD56" w14:textId="7777777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1E18" w14:paraId="3FA52572" w14:textId="77777777">
      <w:r>
        <w:separator/>
      </w:r>
    </w:p>
  </w:footnote>
  <w:footnote w:type="continuationSeparator" w:id="1">
    <w:p w:rsidR="00F51E18" w14:paraId="65CD5665" w14:textId="77777777">
      <w:r>
        <w:continuationSeparator/>
      </w:r>
    </w:p>
  </w:footnote>
  <w:footnote w:id="2">
    <w:p w:rsidR="00A70A0B" w:rsidRPr="000D5A86" w:rsidP="00A70A0B" w14:paraId="32D7A723" w14:textId="77777777">
      <w:pPr>
        <w:pStyle w:val="FootnoteText"/>
        <w:rPr>
          <w:rFonts w:ascii="Times New Roman" w:hAnsi="Times New Roman"/>
        </w:rPr>
      </w:pPr>
      <w:r w:rsidRPr="000D5A86">
        <w:rPr>
          <w:rStyle w:val="FootnoteReference"/>
          <w:rFonts w:ascii="Times New Roman" w:hAnsi="Times New Roman"/>
        </w:rPr>
        <w:footnoteRef/>
      </w:r>
      <w:r w:rsidRPr="000D5A86">
        <w:rPr>
          <w:rFonts w:ascii="Times New Roman" w:hAnsi="Times New Roman"/>
        </w:rPr>
        <w:t xml:space="preserve"> As defined in OMB and agency Information Quality Guidelines, “influential” means that “an agency can reasonably determine that dissemination of the information will have or does have a clear and substantial impact on important public policies or important private sector decisions.”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72D25880"/>
    <w:lvl w:ilvl="0">
      <w:start w:val="1"/>
      <w:numFmt w:val="decimal"/>
      <w:lvlText w:val="%1."/>
      <w:lvlJc w:val="left"/>
      <w:pPr>
        <w:tabs>
          <w:tab w:val="num" w:pos="1800"/>
        </w:tabs>
        <w:ind w:left="1800" w:hanging="360"/>
      </w:pPr>
    </w:lvl>
  </w:abstractNum>
  <w:abstractNum w:abstractNumId="1">
    <w:nsid w:val="FFFFFF7D"/>
    <w:multiLevelType w:val="singleLevel"/>
    <w:tmpl w:val="05EA612E"/>
    <w:lvl w:ilvl="0">
      <w:start w:val="1"/>
      <w:numFmt w:val="decimal"/>
      <w:lvlText w:val="%1."/>
      <w:lvlJc w:val="left"/>
      <w:pPr>
        <w:tabs>
          <w:tab w:val="num" w:pos="1440"/>
        </w:tabs>
        <w:ind w:left="1440" w:hanging="360"/>
      </w:pPr>
    </w:lvl>
  </w:abstractNum>
  <w:abstractNum w:abstractNumId="2">
    <w:nsid w:val="FFFFFF7E"/>
    <w:multiLevelType w:val="singleLevel"/>
    <w:tmpl w:val="0E28875C"/>
    <w:lvl w:ilvl="0">
      <w:start w:val="1"/>
      <w:numFmt w:val="decimal"/>
      <w:lvlText w:val="%1."/>
      <w:lvlJc w:val="left"/>
      <w:pPr>
        <w:tabs>
          <w:tab w:val="num" w:pos="1080"/>
        </w:tabs>
        <w:ind w:left="1080" w:hanging="360"/>
      </w:pPr>
    </w:lvl>
  </w:abstractNum>
  <w:abstractNum w:abstractNumId="3">
    <w:nsid w:val="FFFFFF7F"/>
    <w:multiLevelType w:val="singleLevel"/>
    <w:tmpl w:val="DDCA0800"/>
    <w:lvl w:ilvl="0">
      <w:start w:val="1"/>
      <w:numFmt w:val="decimal"/>
      <w:lvlText w:val="%1."/>
      <w:lvlJc w:val="left"/>
      <w:pPr>
        <w:tabs>
          <w:tab w:val="num" w:pos="720"/>
        </w:tabs>
        <w:ind w:left="720" w:hanging="360"/>
      </w:pPr>
    </w:lvl>
  </w:abstractNum>
  <w:abstractNum w:abstractNumId="4">
    <w:nsid w:val="FFFFFF80"/>
    <w:multiLevelType w:val="singleLevel"/>
    <w:tmpl w:val="0DC6AB9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FA2194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AEE89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6BEDD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2FEBEC0"/>
    <w:lvl w:ilvl="0">
      <w:start w:val="1"/>
      <w:numFmt w:val="decimal"/>
      <w:lvlText w:val="%1."/>
      <w:lvlJc w:val="left"/>
      <w:pPr>
        <w:tabs>
          <w:tab w:val="num" w:pos="360"/>
        </w:tabs>
        <w:ind w:left="360" w:hanging="360"/>
      </w:pPr>
    </w:lvl>
  </w:abstractNum>
  <w:abstractNum w:abstractNumId="9">
    <w:nsid w:val="FFFFFF89"/>
    <w:multiLevelType w:val="singleLevel"/>
    <w:tmpl w:val="C6CC27DE"/>
    <w:lvl w:ilvl="0">
      <w:start w:val="1"/>
      <w:numFmt w:val="bullet"/>
      <w:lvlText w:val=""/>
      <w:lvlJc w:val="left"/>
      <w:pPr>
        <w:tabs>
          <w:tab w:val="num" w:pos="360"/>
        </w:tabs>
        <w:ind w:left="360" w:hanging="360"/>
      </w:pPr>
      <w:rPr>
        <w:rFonts w:ascii="Symbol" w:hAnsi="Symbol" w:hint="default"/>
      </w:rPr>
    </w:lvl>
  </w:abstractNum>
  <w:abstractNum w:abstractNumId="1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0A87196A"/>
    <w:multiLevelType w:val="hybridMultilevel"/>
    <w:tmpl w:val="14D0AD94"/>
    <w:lvl w:ilvl="0">
      <w:start w:val="1"/>
      <w:numFmt w:val="bullet"/>
      <w:pStyle w:val="ListBullet2"/>
      <w:lvlText w:val=""/>
      <w:lvlJc w:val="left"/>
      <w:pPr>
        <w:tabs>
          <w:tab w:val="num" w:pos="936"/>
        </w:tabs>
        <w:ind w:left="936" w:hanging="216"/>
      </w:pPr>
      <w:rPr>
        <w:rFonts w:ascii="Symbol" w:hAnsi="Symbol" w:hint="default"/>
      </w:rPr>
    </w:lvl>
    <w:lvl w:ilvl="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0E52FFB"/>
    <w:multiLevelType w:val="hybridMultilevel"/>
    <w:tmpl w:val="FD600F18"/>
    <w:lvl w:ilvl="0">
      <w:start w:val="1"/>
      <w:numFmt w:val="bullet"/>
      <w:pStyle w:val="ListBullet3"/>
      <w:lvlText w:val=""/>
      <w:lvlJc w:val="left"/>
      <w:pPr>
        <w:tabs>
          <w:tab w:val="num" w:pos="1728"/>
        </w:tabs>
        <w:ind w:left="1728" w:hanging="288"/>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8">
    <w:nsid w:val="2CFB650B"/>
    <w:multiLevelType w:val="hybridMultilevel"/>
    <w:tmpl w:val="CCE28FA8"/>
    <w:lvl w:ilvl="0">
      <w:start w:val="1"/>
      <w:numFmt w:val="decimal"/>
      <w:pStyle w:val="BodyText"/>
      <w:lvlText w:val="%1."/>
      <w:lvlJc w:val="left"/>
      <w:pPr>
        <w:tabs>
          <w:tab w:val="num" w:pos="720"/>
        </w:tabs>
        <w:ind w:left="72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3DE70C75"/>
    <w:multiLevelType w:val="hybridMultilevel"/>
    <w:tmpl w:val="4F94510C"/>
    <w:lvl w:ilvl="0">
      <w:start w:val="1"/>
      <w:numFmt w:val="bullet"/>
      <w:pStyle w:val="List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2">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7E3C2346"/>
    <w:multiLevelType w:val="hybridMultilevel"/>
    <w:tmpl w:val="F1A6E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49454283">
    <w:abstractNumId w:val="22"/>
  </w:num>
  <w:num w:numId="2" w16cid:durableId="162792068">
    <w:abstractNumId w:val="10"/>
  </w:num>
  <w:num w:numId="3" w16cid:durableId="2002654231">
    <w:abstractNumId w:val="20"/>
  </w:num>
  <w:num w:numId="4" w16cid:durableId="2001930876">
    <w:abstractNumId w:val="24"/>
  </w:num>
  <w:num w:numId="5" w16cid:durableId="1018888261">
    <w:abstractNumId w:val="11"/>
  </w:num>
  <w:num w:numId="6" w16cid:durableId="1359550432">
    <w:abstractNumId w:val="15"/>
  </w:num>
  <w:num w:numId="7" w16cid:durableId="709494751">
    <w:abstractNumId w:val="14"/>
  </w:num>
  <w:num w:numId="8" w16cid:durableId="1788814061">
    <w:abstractNumId w:val="12"/>
  </w:num>
  <w:num w:numId="9" w16cid:durableId="1733768489">
    <w:abstractNumId w:val="23"/>
  </w:num>
  <w:num w:numId="10" w16cid:durableId="604001058">
    <w:abstractNumId w:val="13"/>
  </w:num>
  <w:num w:numId="11" w16cid:durableId="124587891">
    <w:abstractNumId w:val="16"/>
  </w:num>
  <w:num w:numId="12" w16cid:durableId="391540160">
    <w:abstractNumId w:val="19"/>
  </w:num>
  <w:num w:numId="13" w16cid:durableId="31225176">
    <w:abstractNumId w:val="9"/>
  </w:num>
  <w:num w:numId="14" w16cid:durableId="1246652316">
    <w:abstractNumId w:val="7"/>
  </w:num>
  <w:num w:numId="15" w16cid:durableId="750466410">
    <w:abstractNumId w:val="6"/>
  </w:num>
  <w:num w:numId="16" w16cid:durableId="616256877">
    <w:abstractNumId w:val="5"/>
  </w:num>
  <w:num w:numId="17" w16cid:durableId="1109204647">
    <w:abstractNumId w:val="4"/>
  </w:num>
  <w:num w:numId="18" w16cid:durableId="241375849">
    <w:abstractNumId w:val="8"/>
  </w:num>
  <w:num w:numId="19" w16cid:durableId="996227970">
    <w:abstractNumId w:val="3"/>
  </w:num>
  <w:num w:numId="20" w16cid:durableId="557476157">
    <w:abstractNumId w:val="2"/>
  </w:num>
  <w:num w:numId="21" w16cid:durableId="1471899884">
    <w:abstractNumId w:val="1"/>
  </w:num>
  <w:num w:numId="22" w16cid:durableId="844856560">
    <w:abstractNumId w:val="0"/>
  </w:num>
  <w:num w:numId="23" w16cid:durableId="870649262">
    <w:abstractNumId w:val="18"/>
  </w:num>
  <w:num w:numId="24" w16cid:durableId="143592991">
    <w:abstractNumId w:val="13"/>
    <w:lvlOverride w:ilvl="0">
      <w:startOverride w:val="1"/>
    </w:lvlOverride>
  </w:num>
  <w:num w:numId="25" w16cid:durableId="789593969">
    <w:abstractNumId w:val="13"/>
    <w:lvlOverride w:ilvl="0">
      <w:startOverride w:val="1"/>
    </w:lvlOverride>
  </w:num>
  <w:num w:numId="26" w16cid:durableId="185559679">
    <w:abstractNumId w:val="13"/>
    <w:lvlOverride w:ilvl="0">
      <w:startOverride w:val="1"/>
    </w:lvlOverride>
  </w:num>
  <w:num w:numId="27" w16cid:durableId="361708730">
    <w:abstractNumId w:val="17"/>
  </w:num>
  <w:num w:numId="28" w16cid:durableId="955260605">
    <w:abstractNumId w:val="17"/>
    <w:lvlOverride w:ilvl="0">
      <w:startOverride w:val="1"/>
    </w:lvlOverride>
  </w:num>
  <w:num w:numId="29" w16cid:durableId="2045671126">
    <w:abstractNumId w:val="21"/>
  </w:num>
  <w:num w:numId="30" w16cid:durableId="16891407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stylePaneSortMethod w:val="nam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footnotePr>
    <w:footnote w:id="0"/>
    <w:footnote w:id="1"/>
  </w:foot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61"/>
    <w:rsid w:val="0000315F"/>
    <w:rsid w:val="000052D7"/>
    <w:rsid w:val="00026CEE"/>
    <w:rsid w:val="000623C1"/>
    <w:rsid w:val="000712DA"/>
    <w:rsid w:val="00080CE0"/>
    <w:rsid w:val="00085F53"/>
    <w:rsid w:val="00090E42"/>
    <w:rsid w:val="000A42FA"/>
    <w:rsid w:val="000B00D2"/>
    <w:rsid w:val="000C19CB"/>
    <w:rsid w:val="000D5A86"/>
    <w:rsid w:val="000F1A9A"/>
    <w:rsid w:val="0010686E"/>
    <w:rsid w:val="0010769F"/>
    <w:rsid w:val="00127F6C"/>
    <w:rsid w:val="001405F9"/>
    <w:rsid w:val="00141B6C"/>
    <w:rsid w:val="0019320E"/>
    <w:rsid w:val="0019590A"/>
    <w:rsid w:val="001A595D"/>
    <w:rsid w:val="001A7D7A"/>
    <w:rsid w:val="001C5D1D"/>
    <w:rsid w:val="0020380B"/>
    <w:rsid w:val="00215244"/>
    <w:rsid w:val="00235084"/>
    <w:rsid w:val="00242FF9"/>
    <w:rsid w:val="00277E2B"/>
    <w:rsid w:val="00286111"/>
    <w:rsid w:val="0029577A"/>
    <w:rsid w:val="002A4087"/>
    <w:rsid w:val="002A4A73"/>
    <w:rsid w:val="002E199D"/>
    <w:rsid w:val="002E7594"/>
    <w:rsid w:val="002F3119"/>
    <w:rsid w:val="00336E6C"/>
    <w:rsid w:val="00365736"/>
    <w:rsid w:val="003778E5"/>
    <w:rsid w:val="00384FF9"/>
    <w:rsid w:val="003978B2"/>
    <w:rsid w:val="003A0F52"/>
    <w:rsid w:val="003A45DF"/>
    <w:rsid w:val="003B1EAC"/>
    <w:rsid w:val="003C4643"/>
    <w:rsid w:val="00402B20"/>
    <w:rsid w:val="0041428A"/>
    <w:rsid w:val="004417E7"/>
    <w:rsid w:val="00467A3A"/>
    <w:rsid w:val="004822D9"/>
    <w:rsid w:val="00494557"/>
    <w:rsid w:val="004C2BFD"/>
    <w:rsid w:val="004D74BB"/>
    <w:rsid w:val="004E361B"/>
    <w:rsid w:val="004F3779"/>
    <w:rsid w:val="00515212"/>
    <w:rsid w:val="0052144C"/>
    <w:rsid w:val="00525E40"/>
    <w:rsid w:val="00531D97"/>
    <w:rsid w:val="00544C29"/>
    <w:rsid w:val="0054585A"/>
    <w:rsid w:val="005543AD"/>
    <w:rsid w:val="00574622"/>
    <w:rsid w:val="00590B61"/>
    <w:rsid w:val="005B6129"/>
    <w:rsid w:val="005C3DD7"/>
    <w:rsid w:val="00603702"/>
    <w:rsid w:val="006049A7"/>
    <w:rsid w:val="006074D4"/>
    <w:rsid w:val="00607608"/>
    <w:rsid w:val="00617769"/>
    <w:rsid w:val="00622483"/>
    <w:rsid w:val="00630AD7"/>
    <w:rsid w:val="006339FF"/>
    <w:rsid w:val="0063562D"/>
    <w:rsid w:val="006500C5"/>
    <w:rsid w:val="00651D77"/>
    <w:rsid w:val="006536DF"/>
    <w:rsid w:val="006619B1"/>
    <w:rsid w:val="00662686"/>
    <w:rsid w:val="0069648D"/>
    <w:rsid w:val="006A0CC6"/>
    <w:rsid w:val="006B0B31"/>
    <w:rsid w:val="006B2290"/>
    <w:rsid w:val="006B38F6"/>
    <w:rsid w:val="006B5E95"/>
    <w:rsid w:val="006C79B6"/>
    <w:rsid w:val="006D6138"/>
    <w:rsid w:val="006E606E"/>
    <w:rsid w:val="006F083F"/>
    <w:rsid w:val="00703B09"/>
    <w:rsid w:val="00712C2B"/>
    <w:rsid w:val="007132D6"/>
    <w:rsid w:val="007312F9"/>
    <w:rsid w:val="0073455E"/>
    <w:rsid w:val="00743116"/>
    <w:rsid w:val="00754AEC"/>
    <w:rsid w:val="00765E88"/>
    <w:rsid w:val="00790AEB"/>
    <w:rsid w:val="00792B9D"/>
    <w:rsid w:val="007A6C48"/>
    <w:rsid w:val="007B31B8"/>
    <w:rsid w:val="007B32A5"/>
    <w:rsid w:val="007C03A1"/>
    <w:rsid w:val="007D3C34"/>
    <w:rsid w:val="007E6F17"/>
    <w:rsid w:val="007F5988"/>
    <w:rsid w:val="00803AC0"/>
    <w:rsid w:val="00807BA2"/>
    <w:rsid w:val="008255EE"/>
    <w:rsid w:val="008266C0"/>
    <w:rsid w:val="00833B6C"/>
    <w:rsid w:val="008500A5"/>
    <w:rsid w:val="00884C69"/>
    <w:rsid w:val="008A4764"/>
    <w:rsid w:val="008D7291"/>
    <w:rsid w:val="008D7B0A"/>
    <w:rsid w:val="008F233F"/>
    <w:rsid w:val="008F74F4"/>
    <w:rsid w:val="00901F1F"/>
    <w:rsid w:val="009147A2"/>
    <w:rsid w:val="00914A5D"/>
    <w:rsid w:val="00921351"/>
    <w:rsid w:val="009271B3"/>
    <w:rsid w:val="00947B1D"/>
    <w:rsid w:val="00952B0B"/>
    <w:rsid w:val="00974223"/>
    <w:rsid w:val="00985FDD"/>
    <w:rsid w:val="009A5DFB"/>
    <w:rsid w:val="009D1DF6"/>
    <w:rsid w:val="009D5D2B"/>
    <w:rsid w:val="009E51F5"/>
    <w:rsid w:val="009F0DF7"/>
    <w:rsid w:val="009F15D0"/>
    <w:rsid w:val="00A00A80"/>
    <w:rsid w:val="00A05B27"/>
    <w:rsid w:val="00A3466A"/>
    <w:rsid w:val="00A348E7"/>
    <w:rsid w:val="00A37FAA"/>
    <w:rsid w:val="00A5237F"/>
    <w:rsid w:val="00A56B2D"/>
    <w:rsid w:val="00A70A0B"/>
    <w:rsid w:val="00AA001D"/>
    <w:rsid w:val="00AA2D33"/>
    <w:rsid w:val="00AB4BE2"/>
    <w:rsid w:val="00AC5FF8"/>
    <w:rsid w:val="00AF45F2"/>
    <w:rsid w:val="00B0571D"/>
    <w:rsid w:val="00B1471A"/>
    <w:rsid w:val="00B27061"/>
    <w:rsid w:val="00B31EBB"/>
    <w:rsid w:val="00B635A9"/>
    <w:rsid w:val="00B7349D"/>
    <w:rsid w:val="00B92447"/>
    <w:rsid w:val="00BB00D2"/>
    <w:rsid w:val="00BC45DC"/>
    <w:rsid w:val="00BD3260"/>
    <w:rsid w:val="00BE3C63"/>
    <w:rsid w:val="00BF20DF"/>
    <w:rsid w:val="00BF7444"/>
    <w:rsid w:val="00C0142F"/>
    <w:rsid w:val="00C04531"/>
    <w:rsid w:val="00C06114"/>
    <w:rsid w:val="00C068A7"/>
    <w:rsid w:val="00C10207"/>
    <w:rsid w:val="00C323B3"/>
    <w:rsid w:val="00C61CEF"/>
    <w:rsid w:val="00C62A1F"/>
    <w:rsid w:val="00C75619"/>
    <w:rsid w:val="00C9224C"/>
    <w:rsid w:val="00CB3053"/>
    <w:rsid w:val="00CB40BC"/>
    <w:rsid w:val="00CD6D53"/>
    <w:rsid w:val="00CF3116"/>
    <w:rsid w:val="00D10214"/>
    <w:rsid w:val="00D15779"/>
    <w:rsid w:val="00D215FA"/>
    <w:rsid w:val="00D22B13"/>
    <w:rsid w:val="00D3407F"/>
    <w:rsid w:val="00D80E94"/>
    <w:rsid w:val="00DA2D6B"/>
    <w:rsid w:val="00DA631D"/>
    <w:rsid w:val="00DE08FF"/>
    <w:rsid w:val="00DF3236"/>
    <w:rsid w:val="00DF658C"/>
    <w:rsid w:val="00DF65E2"/>
    <w:rsid w:val="00E15619"/>
    <w:rsid w:val="00E46428"/>
    <w:rsid w:val="00E61E1B"/>
    <w:rsid w:val="00E7365F"/>
    <w:rsid w:val="00E82AAF"/>
    <w:rsid w:val="00E85D6D"/>
    <w:rsid w:val="00E91139"/>
    <w:rsid w:val="00E94F77"/>
    <w:rsid w:val="00EA1FB2"/>
    <w:rsid w:val="00EC3504"/>
    <w:rsid w:val="00ED1809"/>
    <w:rsid w:val="00F019F8"/>
    <w:rsid w:val="00F156E4"/>
    <w:rsid w:val="00F17724"/>
    <w:rsid w:val="00F51847"/>
    <w:rsid w:val="00F51E18"/>
    <w:rsid w:val="00F621CF"/>
    <w:rsid w:val="00FB15EE"/>
    <w:rsid w:val="00FC4E49"/>
    <w:rsid w:val="00FD21A4"/>
    <w:rsid w:val="00FE1E9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72149E4B"/>
  <w15:chartTrackingRefBased/>
  <w15:docId w15:val="{12A1714C-DA5F-4998-95AF-79E6F5A7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B31B8"/>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622483"/>
    <w:pPr>
      <w:outlineLvl w:val="0"/>
    </w:pPr>
    <w:rPr>
      <w:rFonts w:ascii="Times New Roman" w:hAnsi="Times New Roman"/>
      <w:b/>
      <w:sz w:val="28"/>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link w:val="BodyTextIndentChar"/>
    <w:rsid w:val="00B92447"/>
    <w:pPr>
      <w:ind w:left="720"/>
    </w:pPr>
    <w:rPr>
      <w:sz w:val="24"/>
      <w:szCs w:val="24"/>
    </w:rPr>
  </w:style>
  <w:style w:type="character" w:customStyle="1" w:styleId="BodyTextIndentChar">
    <w:name w:val="Body Text Indent Char"/>
    <w:link w:val="BodyTextIndent"/>
    <w:rsid w:val="00B92447"/>
    <w:rP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paragraph" w:styleId="ListParagraph">
    <w:name w:val="List Paragraph"/>
    <w:basedOn w:val="Normal"/>
    <w:uiPriority w:val="34"/>
    <w:qFormat/>
    <w:rsid w:val="00A70A0B"/>
    <w:pPr>
      <w:widowControl/>
      <w:autoSpaceDE/>
      <w:autoSpaceDN/>
      <w:adjustRightInd/>
      <w:spacing w:after="200" w:line="276" w:lineRule="auto"/>
      <w:ind w:left="720"/>
      <w:contextualSpacing/>
    </w:pPr>
    <w:rPr>
      <w:rFonts w:ascii="Calibri" w:hAnsi="Calibri"/>
      <w:sz w:val="22"/>
      <w:szCs w:val="22"/>
    </w:rPr>
  </w:style>
  <w:style w:type="paragraph" w:styleId="FootnoteText">
    <w:name w:val="footnote text"/>
    <w:basedOn w:val="Normal"/>
    <w:link w:val="FootnoteTextChar"/>
    <w:rsid w:val="00A70A0B"/>
    <w:pPr>
      <w:widowControl/>
      <w:autoSpaceDE/>
      <w:autoSpaceDN/>
      <w:adjustRightInd/>
    </w:pPr>
    <w:rPr>
      <w:rFonts w:ascii="Calibri" w:hAnsi="Calibri"/>
      <w:sz w:val="20"/>
      <w:szCs w:val="20"/>
    </w:rPr>
  </w:style>
  <w:style w:type="character" w:customStyle="1" w:styleId="FootnoteTextChar">
    <w:name w:val="Footnote Text Char"/>
    <w:link w:val="FootnoteText"/>
    <w:rsid w:val="00A70A0B"/>
    <w:rPr>
      <w:rFonts w:ascii="Calibri" w:hAnsi="Calibri"/>
    </w:rPr>
  </w:style>
  <w:style w:type="paragraph" w:styleId="BodyTextIndent2">
    <w:name w:val="Body Text Indent 2"/>
    <w:basedOn w:val="Normal"/>
    <w:link w:val="BodyTextIndent2Char"/>
    <w:rsid w:val="004C2BFD"/>
    <w:pPr>
      <w:widowControl/>
      <w:autoSpaceDE/>
      <w:autoSpaceDN/>
      <w:adjustRightInd/>
      <w:spacing w:after="120" w:line="480" w:lineRule="auto"/>
      <w:ind w:left="360"/>
    </w:pPr>
    <w:rPr>
      <w:rFonts w:ascii="Calibri" w:hAnsi="Calibri"/>
      <w:sz w:val="22"/>
      <w:szCs w:val="22"/>
    </w:rPr>
  </w:style>
  <w:style w:type="character" w:customStyle="1" w:styleId="BodyTextIndent2Char">
    <w:name w:val="Body Text Indent 2 Char"/>
    <w:link w:val="BodyTextIndent2"/>
    <w:rsid w:val="004C2BFD"/>
    <w:rPr>
      <w:rFonts w:ascii="Calibri" w:hAnsi="Calibri"/>
      <w:sz w:val="22"/>
      <w:szCs w:val="22"/>
    </w:rPr>
  </w:style>
  <w:style w:type="paragraph" w:styleId="BodyTextIndent3">
    <w:name w:val="Body Text Indent 3"/>
    <w:basedOn w:val="Normal"/>
    <w:link w:val="BodyTextIndent3Char"/>
    <w:rsid w:val="00AC5FF8"/>
    <w:pPr>
      <w:spacing w:after="120"/>
      <w:ind w:left="360"/>
    </w:pPr>
    <w:rPr>
      <w:sz w:val="16"/>
      <w:szCs w:val="16"/>
    </w:rPr>
  </w:style>
  <w:style w:type="character" w:customStyle="1" w:styleId="BodyTextIndent3Char">
    <w:name w:val="Body Text Indent 3 Char"/>
    <w:link w:val="BodyTextIndent3"/>
    <w:rsid w:val="00AC5FF8"/>
    <w:rPr>
      <w:rFonts w:ascii="Courier" w:hAnsi="Courier"/>
      <w:sz w:val="16"/>
      <w:szCs w:val="16"/>
    </w:rPr>
  </w:style>
  <w:style w:type="paragraph" w:styleId="Revision">
    <w:name w:val="Revision"/>
    <w:hidden/>
    <w:uiPriority w:val="99"/>
    <w:semiHidden/>
    <w:rsid w:val="00574622"/>
    <w:rPr>
      <w:rFonts w:ascii="Courier" w:hAnsi="Courier"/>
      <w:sz w:val="24"/>
      <w:szCs w:val="24"/>
    </w:rPr>
  </w:style>
  <w:style w:type="character" w:styleId="CommentReference">
    <w:name w:val="annotation reference"/>
    <w:rsid w:val="00A37FAA"/>
    <w:rPr>
      <w:sz w:val="16"/>
      <w:szCs w:val="16"/>
    </w:rPr>
  </w:style>
  <w:style w:type="paragraph" w:styleId="CommentText">
    <w:name w:val="annotation text"/>
    <w:basedOn w:val="Normal"/>
    <w:link w:val="CommentTextChar"/>
    <w:rsid w:val="00A37FAA"/>
    <w:rPr>
      <w:sz w:val="20"/>
      <w:szCs w:val="20"/>
    </w:rPr>
  </w:style>
  <w:style w:type="character" w:customStyle="1" w:styleId="CommentTextChar">
    <w:name w:val="Comment Text Char"/>
    <w:link w:val="CommentText"/>
    <w:rsid w:val="00A37FAA"/>
    <w:rPr>
      <w:rFonts w:ascii="Courier" w:hAnsi="Courier"/>
    </w:rPr>
  </w:style>
  <w:style w:type="paragraph" w:styleId="CommentSubject">
    <w:name w:val="annotation subject"/>
    <w:basedOn w:val="CommentText"/>
    <w:next w:val="CommentText"/>
    <w:link w:val="CommentSubjectChar"/>
    <w:rsid w:val="00A37FAA"/>
    <w:rPr>
      <w:b/>
      <w:bCs/>
    </w:rPr>
  </w:style>
  <w:style w:type="character" w:customStyle="1" w:styleId="CommentSubjectChar">
    <w:name w:val="Comment Subject Char"/>
    <w:link w:val="CommentSubject"/>
    <w:rsid w:val="00A37FAA"/>
    <w:rPr>
      <w:rFonts w:ascii="Courier" w:hAnsi="Courier"/>
      <w:b/>
      <w:bCs/>
    </w:rPr>
  </w:style>
  <w:style w:type="paragraph" w:styleId="BodyText2">
    <w:name w:val="Body Text 2"/>
    <w:link w:val="BodyText2Char"/>
    <w:rsid w:val="00235084"/>
    <w:pPr>
      <w:ind w:left="720"/>
    </w:pPr>
    <w:rPr>
      <w:sz w:val="24"/>
      <w:szCs w:val="24"/>
    </w:rPr>
  </w:style>
  <w:style w:type="character" w:customStyle="1" w:styleId="BodyText2Char">
    <w:name w:val="Body Text 2 Char"/>
    <w:link w:val="BodyText2"/>
    <w:rsid w:val="00235084"/>
    <w:rPr>
      <w:sz w:val="24"/>
      <w:szCs w:val="24"/>
    </w:rPr>
  </w:style>
  <w:style w:type="paragraph" w:styleId="BodyText">
    <w:name w:val="Body Text"/>
    <w:basedOn w:val="Normal"/>
    <w:link w:val="BodyTextChar"/>
    <w:rsid w:val="004D74BB"/>
    <w:pPr>
      <w:numPr>
        <w:numId w:val="23"/>
      </w:numPr>
      <w:tabs>
        <w:tab w:val="left" w:pos="-1440"/>
      </w:tabs>
    </w:pPr>
    <w:rPr>
      <w:rFonts w:ascii="Times New Roman" w:hAnsi="Times New Roman"/>
      <w:b/>
    </w:rPr>
  </w:style>
  <w:style w:type="character" w:customStyle="1" w:styleId="BodyTextChar">
    <w:name w:val="Body Text Char"/>
    <w:link w:val="BodyText"/>
    <w:rsid w:val="004D74BB"/>
    <w:rPr>
      <w:b/>
      <w:sz w:val="24"/>
      <w:szCs w:val="24"/>
    </w:rPr>
  </w:style>
  <w:style w:type="character" w:customStyle="1" w:styleId="Heading1Char">
    <w:name w:val="Heading 1 Char"/>
    <w:link w:val="Heading1"/>
    <w:rsid w:val="00622483"/>
    <w:rPr>
      <w:b/>
      <w:sz w:val="28"/>
      <w:szCs w:val="24"/>
    </w:rPr>
  </w:style>
  <w:style w:type="paragraph" w:styleId="Title">
    <w:name w:val="Title"/>
    <w:basedOn w:val="Normal"/>
    <w:next w:val="Normal"/>
    <w:link w:val="TitleChar"/>
    <w:qFormat/>
    <w:rsid w:val="000052D7"/>
    <w:pPr>
      <w:jc w:val="center"/>
    </w:pPr>
    <w:rPr>
      <w:rFonts w:ascii="Times New Roman" w:hAnsi="Times New Roman"/>
      <w:b/>
      <w:bCs/>
      <w:sz w:val="28"/>
    </w:rPr>
  </w:style>
  <w:style w:type="character" w:customStyle="1" w:styleId="TitleChar">
    <w:name w:val="Title Char"/>
    <w:link w:val="Title"/>
    <w:rsid w:val="000052D7"/>
    <w:rPr>
      <w:b/>
      <w:bCs/>
      <w:sz w:val="28"/>
      <w:szCs w:val="24"/>
    </w:rPr>
  </w:style>
  <w:style w:type="paragraph" w:styleId="ListBullet2">
    <w:name w:val="List Bullet 2"/>
    <w:basedOn w:val="ListParagraph"/>
    <w:rsid w:val="000052D7"/>
    <w:pPr>
      <w:numPr>
        <w:numId w:val="10"/>
      </w:numPr>
      <w:spacing w:before="40" w:after="40" w:line="240" w:lineRule="auto"/>
      <w:contextualSpacing w:val="0"/>
    </w:pPr>
    <w:rPr>
      <w:rFonts w:ascii="Times New Roman" w:hAnsi="Times New Roman"/>
      <w:sz w:val="24"/>
      <w:szCs w:val="24"/>
    </w:rPr>
  </w:style>
  <w:style w:type="paragraph" w:styleId="ListBullet3">
    <w:name w:val="List Bullet 3"/>
    <w:basedOn w:val="ListBullet2"/>
    <w:rsid w:val="0010686E"/>
    <w:pPr>
      <w:numPr>
        <w:numId w:val="27"/>
      </w:numPr>
    </w:pPr>
  </w:style>
  <w:style w:type="paragraph" w:styleId="ListBullet">
    <w:name w:val="List Bullet"/>
    <w:rsid w:val="00DF658C"/>
    <w:pPr>
      <w:numPr>
        <w:numId w:val="29"/>
      </w:numPr>
      <w:tabs>
        <w:tab w:val="left" w:pos="-1440"/>
        <w:tab w:val="left" w:pos="1080"/>
      </w:tabs>
      <w:spacing w:before="120" w:after="120"/>
    </w:pPr>
    <w:rPr>
      <w:b/>
      <w:sz w:val="24"/>
      <w:szCs w:val="24"/>
    </w:rPr>
  </w:style>
  <w:style w:type="paragraph" w:customStyle="1" w:styleId="TABLEheading1">
    <w:name w:val="TABLE heading1"/>
    <w:qFormat/>
    <w:rsid w:val="007B31B8"/>
    <w:pPr>
      <w:spacing w:line="240" w:lineRule="atLeast"/>
      <w:jc w:val="center"/>
    </w:pPr>
    <w:rPr>
      <w:rFonts w:ascii="Arial Narrow" w:hAnsi="Arial Narrow" w:cs="Calibri Light"/>
      <w:sz w:val="22"/>
      <w:szCs w:val="24"/>
    </w:rPr>
  </w:style>
  <w:style w:type="paragraph" w:customStyle="1" w:styleId="TABLEtext1">
    <w:name w:val="TABLE text1"/>
    <w:rsid w:val="00FB15EE"/>
    <w:pPr>
      <w:jc w:val="center"/>
    </w:pPr>
    <w:rPr>
      <w:rFonts w:ascii="Arial Narrow" w:hAnsi="Arial Narrow"/>
      <w:sz w:val="24"/>
    </w:rPr>
  </w:style>
  <w:style w:type="paragraph" w:styleId="BodyText3">
    <w:name w:val="Body Text 3"/>
    <w:link w:val="BodyText3Char"/>
    <w:rsid w:val="00277E2B"/>
    <w:rPr>
      <w:i/>
      <w:szCs w:val="24"/>
    </w:rPr>
  </w:style>
  <w:style w:type="character" w:customStyle="1" w:styleId="BodyText3Char">
    <w:name w:val="Body Text 3 Char"/>
    <w:link w:val="BodyText3"/>
    <w:rsid w:val="00277E2B"/>
    <w:rPr>
      <w:i/>
      <w:szCs w:val="24"/>
    </w:rPr>
  </w:style>
  <w:style w:type="paragraph" w:customStyle="1" w:styleId="TABLEtext2">
    <w:name w:val="TABLE text2"/>
    <w:qFormat/>
    <w:rsid w:val="00FB15EE"/>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yperlink" Target="https://www.bls.gov/oes/2016/may/oes_nat.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Rulemaking xmlns="22ac6cab-782d-443c-b600-8507bc21811b" xsi:nil="true"/>
    <Submission_x0020_to_x0020_DHS xmlns="22ac6cab-782d-443c-b600-8507bc21811b" xsi:nil="true"/>
    <ROCIS_x0020_ICR_x0023_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Priority_x0020_Type xmlns="22ac6cab-782d-443c-b600-8507bc21811b" xsi:nil="true"/>
    <_x0033_0_x0020_Day_x0020_FRN_x0020__x002d__x0020_Comment_x0020_End_x0020_Date xmlns="22ac6cab-782d-443c-b600-8507bc21811b" xsi:nil="true"/>
    <Rule_x0020_Short_x0020_Name xmlns="22ac6cab-782d-443c-b600-8507bc21811b" xsi:nil="true"/>
    <Submitted_x0020_to_x0020_OMB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ICFilingFormat xmlns="22ac6cab-782d-443c-b600-8507bc21811b" xsi:nil="true"/>
    <Rule_x0020_Effective_x0020_Date xmlns="22ac6cab-782d-443c-b600-8507bc2181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34ddf56e8f2efb0958f78d24b31bc113">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94ba038e972ca73ccbc4f6436da0a2fc"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Final Rule"/>
          <xsd:enumeration value="AARWI IFR"/>
          <xsd:enumeration value="Affidavit of Support NPRM 2026"/>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FR"/>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Credit Report"/>
          <xsd:enumeration value="Generic Clearance FDNS Questions"/>
          <xsd:enumeration value="Generic Clearance High Value Questions"/>
          <xsd:enumeration value="Generic Clearance Social Media Questions"/>
          <xsd:enumeration value="Generic Clearance Voter Registration"/>
          <xsd:enumeration value="Global Asylum Reform NPRM"/>
          <xsd:enumeration value="Global Asylum Reform Final Rule"/>
          <xsd:enumeration value="H-1B Comprehensive Final Rule"/>
          <xsd:enumeration value="H-1B Fee NPRM"/>
          <xsd:enumeration value="H-1B Fee Final Rule 2026"/>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aturalization Application Fee Adjustments Final Rule"/>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C5DBF8-2C03-4F78-AE20-D24820C9BCEA}">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2.xml><?xml version="1.0" encoding="utf-8"?>
<ds:datastoreItem xmlns:ds="http://schemas.openxmlformats.org/officeDocument/2006/customXml" ds:itemID="{D70A510E-B70A-4AF4-9539-E5B8407FD318}">
  <ds:schemaRefs>
    <ds:schemaRef ds:uri="http://schemas.microsoft.com/sharepoint/v3/contenttype/forms"/>
  </ds:schemaRefs>
</ds:datastoreItem>
</file>

<file path=customXml/itemProps3.xml><?xml version="1.0" encoding="utf-8"?>
<ds:datastoreItem xmlns:ds="http://schemas.openxmlformats.org/officeDocument/2006/customXml" ds:itemID="{585C3782-B25D-446A-8847-182F3890A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3110</Words>
  <Characters>17728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SUPPORTING STATEMENT FOR</vt:lpstr>
    </vt:vector>
  </TitlesOfParts>
  <Company>Transportation Security Administration</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dc:title>
  <dc:creator>TSA Standard PC User</dc:creator>
  <cp:lastModifiedBy>Stout, Samantha J</cp:lastModifiedBy>
  <cp:revision>4</cp:revision>
  <cp:lastPrinted>2015-03-24T17:53:00Z</cp:lastPrinted>
  <dcterms:created xsi:type="dcterms:W3CDTF">2026-10-30T18:35:00Z</dcterms:created>
  <dcterms:modified xsi:type="dcterms:W3CDTF">2026-10-30T18:46:00Z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30-day Comments Received">
    <vt:lpwstr>0</vt:lpwstr>
  </property>
  <property fmtid="{D5CDD505-2E9C-101B-9397-08002B2CF9AE}" pid="3" name="30-Day FRN Document Citation">
    <vt:lpwstr/>
  </property>
  <property fmtid="{D5CDD505-2E9C-101B-9397-08002B2CF9AE}" pid="4" name="ContentTypeId">
    <vt:lpwstr>0x0101002235AD59818FC74FAE4A21AB82E9D17F</vt:lpwstr>
  </property>
  <property fmtid="{D5CDD505-2E9C-101B-9397-08002B2CF9AE}" pid="5" name="MediaServiceImageTags">
    <vt:lpwstr/>
  </property>
</Properties>
</file>