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B3E6F" w:rsidP="00FD66F1" w14:paraId="0ACFBA64" w14:textId="7E76A068">
      <w:pPr>
        <w:spacing w:after="0"/>
        <w:jc w:val="center"/>
        <w:rPr>
          <w:rFonts w:ascii="Times New Roman" w:hAnsi="Times New Roman" w:cs="Times New Roman"/>
          <w:sz w:val="24"/>
          <w:szCs w:val="24"/>
        </w:rPr>
      </w:pPr>
      <w:r>
        <w:rPr>
          <w:rFonts w:ascii="Times New Roman" w:hAnsi="Times New Roman" w:cs="Times New Roman"/>
          <w:sz w:val="24"/>
          <w:szCs w:val="24"/>
        </w:rPr>
        <w:t>S</w:t>
      </w:r>
      <w:r w:rsidR="00FD66F1">
        <w:rPr>
          <w:rFonts w:ascii="Times New Roman" w:hAnsi="Times New Roman" w:cs="Times New Roman"/>
          <w:sz w:val="24"/>
          <w:szCs w:val="24"/>
        </w:rPr>
        <w:t>upporting Statement</w:t>
      </w:r>
    </w:p>
    <w:p w:rsidR="00A96B65" w:rsidRPr="00A2084E" w:rsidP="00570861" w14:paraId="5E2E51C3" w14:textId="77777777">
      <w:pPr>
        <w:spacing w:after="0"/>
        <w:jc w:val="center"/>
        <w:rPr>
          <w:rFonts w:ascii="Times New Roman" w:hAnsi="Times New Roman" w:cs="Times New Roman"/>
          <w:b/>
          <w:sz w:val="26"/>
          <w:szCs w:val="26"/>
        </w:rPr>
      </w:pPr>
      <w:r w:rsidRPr="00A2084E">
        <w:rPr>
          <w:rFonts w:ascii="Times New Roman" w:hAnsi="Times New Roman" w:cs="Times New Roman"/>
          <w:b/>
          <w:sz w:val="26"/>
          <w:szCs w:val="26"/>
        </w:rPr>
        <w:t>FERC-725L</w:t>
      </w:r>
      <w:r w:rsidRPr="00A2084E" w:rsidR="00570861">
        <w:rPr>
          <w:rFonts w:ascii="Times New Roman" w:hAnsi="Times New Roman" w:cs="Times New Roman"/>
          <w:b/>
          <w:sz w:val="26"/>
          <w:szCs w:val="26"/>
        </w:rPr>
        <w:t>, Mandatory Reliability Standards for the Bulk-Power System: MOD Reliability Standards</w:t>
      </w:r>
    </w:p>
    <w:p w:rsidR="003B3B61" w:rsidRPr="00A2084E" w:rsidP="003B3B61" w14:paraId="320391F6" w14:textId="2BCE5C14">
      <w:pPr>
        <w:spacing w:after="0"/>
        <w:jc w:val="center"/>
        <w:rPr>
          <w:rFonts w:ascii="Times New Roman" w:hAnsi="Times New Roman" w:cs="Times New Roman"/>
          <w:sz w:val="26"/>
          <w:szCs w:val="26"/>
        </w:rPr>
      </w:pPr>
      <w:r w:rsidRPr="00A2084E">
        <w:rPr>
          <w:rFonts w:ascii="Times New Roman" w:hAnsi="Times New Roman" w:cs="Times New Roman"/>
          <w:sz w:val="26"/>
          <w:szCs w:val="26"/>
        </w:rPr>
        <w:t>(Three-year extension requested)</w:t>
      </w:r>
    </w:p>
    <w:p w:rsidR="00FD66F1" w:rsidRPr="00A2084E" w:rsidP="00F8440A" w14:paraId="4E036854" w14:textId="77777777">
      <w:pPr>
        <w:spacing w:after="0"/>
        <w:rPr>
          <w:rFonts w:ascii="Times New Roman" w:hAnsi="Times New Roman" w:cs="Times New Roman"/>
          <w:sz w:val="26"/>
          <w:szCs w:val="26"/>
        </w:rPr>
      </w:pPr>
    </w:p>
    <w:p w:rsidR="00546870" w:rsidRPr="00A2084E" w:rsidP="00546870" w14:paraId="56B41986" w14:textId="600FBB96">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 Federal Energy Regulatory Commission (FERC or Commission) requests that the Office of Management and Budget (OMB) review and </w:t>
      </w:r>
      <w:r w:rsidRPr="00A2084E" w:rsidR="00F27CB1">
        <w:rPr>
          <w:rFonts w:ascii="Times New Roman" w:hAnsi="Times New Roman" w:cs="Times New Roman"/>
          <w:sz w:val="26"/>
          <w:szCs w:val="26"/>
        </w:rPr>
        <w:t xml:space="preserve">approve the changes </w:t>
      </w:r>
      <w:r w:rsidRPr="00A2084E" w:rsidR="00F60092">
        <w:rPr>
          <w:rFonts w:ascii="Times New Roman" w:hAnsi="Times New Roman" w:cs="Times New Roman"/>
          <w:sz w:val="26"/>
          <w:szCs w:val="26"/>
        </w:rPr>
        <w:t>in</w:t>
      </w:r>
      <w:r w:rsidRPr="00A2084E">
        <w:rPr>
          <w:rFonts w:ascii="Times New Roman" w:hAnsi="Times New Roman" w:cs="Times New Roman"/>
          <w:sz w:val="26"/>
          <w:szCs w:val="26"/>
        </w:rPr>
        <w:t xml:space="preserve"> the information collection requirements in FERC-725L under OMB Control No. 1902-0261</w:t>
      </w:r>
      <w:r w:rsidRPr="00A2084E" w:rsidR="00F60092">
        <w:rPr>
          <w:rFonts w:ascii="Times New Roman" w:hAnsi="Times New Roman" w:cs="Times New Roman"/>
          <w:sz w:val="26"/>
          <w:szCs w:val="26"/>
        </w:rPr>
        <w:t xml:space="preserve"> for RD26-1, RD26-2, RD26-3</w:t>
      </w:r>
      <w:r w:rsidRPr="00A2084E">
        <w:rPr>
          <w:rFonts w:ascii="Times New Roman" w:hAnsi="Times New Roman" w:cs="Times New Roman"/>
          <w:sz w:val="26"/>
          <w:szCs w:val="26"/>
        </w:rPr>
        <w:t xml:space="preserve">. </w:t>
      </w:r>
      <w:r w:rsidR="001E21E5">
        <w:rPr>
          <w:rFonts w:ascii="Times New Roman" w:hAnsi="Times New Roman" w:cs="Times New Roman"/>
          <w:sz w:val="26"/>
          <w:szCs w:val="26"/>
        </w:rPr>
        <w:t xml:space="preserve"> </w:t>
      </w:r>
      <w:r w:rsidRPr="00A2084E">
        <w:rPr>
          <w:rFonts w:ascii="Times New Roman" w:hAnsi="Times New Roman" w:cs="Times New Roman"/>
          <w:sz w:val="26"/>
          <w:szCs w:val="26"/>
        </w:rPr>
        <w:t xml:space="preserve">This supporting statement covers the requirements of the FERC-725L information collection. </w:t>
      </w:r>
      <w:r w:rsidR="001E21E5">
        <w:rPr>
          <w:rFonts w:ascii="Times New Roman" w:hAnsi="Times New Roman" w:cs="Times New Roman"/>
          <w:sz w:val="26"/>
          <w:szCs w:val="26"/>
        </w:rPr>
        <w:t xml:space="preserve"> </w:t>
      </w:r>
      <w:r w:rsidRPr="00A2084E">
        <w:rPr>
          <w:rFonts w:ascii="Times New Roman" w:hAnsi="Times New Roman" w:cs="Times New Roman"/>
          <w:sz w:val="26"/>
          <w:szCs w:val="26"/>
        </w:rPr>
        <w:t>The reporting requirements in the FERC-725L are also contained in FERC’s regulations in 18 Code of Federal Regulations (CFR) Part 40.</w:t>
      </w:r>
    </w:p>
    <w:p w:rsidR="0002242D" w:rsidRPr="00A2084E" w:rsidP="00FD66F1" w14:paraId="3418B643" w14:textId="2C605138">
      <w:pPr>
        <w:spacing w:after="0"/>
        <w:rPr>
          <w:rFonts w:ascii="Times New Roman" w:hAnsi="Times New Roman" w:cs="Times New Roman"/>
          <w:sz w:val="26"/>
          <w:szCs w:val="26"/>
        </w:rPr>
      </w:pPr>
    </w:p>
    <w:p w:rsidR="00A72E7B" w:rsidRPr="00A2084E" w:rsidP="00A72E7B" w14:paraId="331505ED"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CIRCUMSTANCES THAT MAKE THE COLLECTION OF INFORMATION NECESSARY</w:t>
      </w:r>
    </w:p>
    <w:p w:rsidR="00A72E7B" w:rsidRPr="00A2084E" w:rsidP="00EB3E6F" w14:paraId="489129EB" w14:textId="77777777">
      <w:pPr>
        <w:spacing w:after="0"/>
        <w:rPr>
          <w:rFonts w:ascii="Times New Roman" w:hAnsi="Times New Roman" w:cs="Times New Roman"/>
          <w:sz w:val="26"/>
          <w:szCs w:val="26"/>
        </w:rPr>
      </w:pPr>
    </w:p>
    <w:p w:rsidR="00A2774E" w:rsidP="00A2774E" w14:paraId="0E862527" w14:textId="00CAAA5E">
      <w:pPr>
        <w:rPr>
          <w:rFonts w:ascii="Times New Roman" w:eastAsia="Times New Roman" w:hAnsi="Times New Roman" w:cs="Times New Roman"/>
          <w:sz w:val="26"/>
          <w:szCs w:val="26"/>
        </w:rPr>
      </w:pPr>
      <w:r w:rsidRPr="2A2D9407">
        <w:rPr>
          <w:rFonts w:ascii="Times New Roman" w:eastAsia="Times New Roman" w:hAnsi="Times New Roman" w:cs="Times New Roman"/>
          <w:sz w:val="26"/>
          <w:szCs w:val="26"/>
        </w:rPr>
        <w:t>On August 8, 2005, The Electricity Modernization Act of 2005, Title XII of the Energy Policy Act of 2005 (EPAct of 2005), was enacted into law</w:t>
      </w:r>
      <w:r w:rsidRPr="00A2084E">
        <w:rPr>
          <w:rFonts w:ascii="Times New Roman" w:eastAsia="Times New Roman" w:hAnsi="Times New Roman" w:cs="Times New Roman"/>
          <w:sz w:val="26"/>
          <w:szCs w:val="26"/>
          <w:vertAlign w:val="superscript"/>
        </w:rPr>
        <w:t>.</w:t>
      </w:r>
      <w:r>
        <w:rPr>
          <w:rStyle w:val="FootnoteReference"/>
          <w:rFonts w:ascii="Times New Roman" w:eastAsia="Times New Roman" w:hAnsi="Times New Roman" w:cs="Times New Roman"/>
          <w:b/>
          <w:sz w:val="26"/>
          <w:szCs w:val="26"/>
          <w:vertAlign w:val="superscript"/>
        </w:rPr>
        <w:footnoteReference w:id="2"/>
      </w:r>
      <w:r w:rsidRPr="2A2D9407">
        <w:rPr>
          <w:rFonts w:ascii="Times New Roman" w:eastAsia="Times New Roman" w:hAnsi="Times New Roman" w:cs="Times New Roman"/>
          <w:sz w:val="26"/>
          <w:szCs w:val="26"/>
        </w:rPr>
        <w:t xml:space="preserve"> </w:t>
      </w:r>
      <w:r w:rsidR="008D6FEB">
        <w:rPr>
          <w:rFonts w:ascii="Times New Roman" w:eastAsia="Times New Roman" w:hAnsi="Times New Roman" w:cs="Times New Roman"/>
          <w:sz w:val="26"/>
          <w:szCs w:val="26"/>
        </w:rPr>
        <w:t xml:space="preserve"> </w:t>
      </w:r>
      <w:r w:rsidRPr="2A2D9407">
        <w:rPr>
          <w:rFonts w:ascii="Times New Roman" w:eastAsia="Times New Roman" w:hAnsi="Times New Roman" w:cs="Times New Roman"/>
          <w:sz w:val="26"/>
          <w:szCs w:val="26"/>
        </w:rPr>
        <w:t>EPAct of 2005 added a new section 215 to the Federal Power Act (FPA), which requires a Commission-certified Electric Reliability Organization (ERO) to develop mandatory and enforceable Reliability Standards, subject to Commission review and approval.</w:t>
      </w:r>
    </w:p>
    <w:p w:rsidR="00A2774E" w:rsidP="00A2774E" w14:paraId="4B4BFA52" w14:textId="77777777">
      <w:pPr>
        <w:rPr>
          <w:rFonts w:ascii="Times New Roman" w:eastAsia="Times New Roman" w:hAnsi="Times New Roman" w:cs="Times New Roman"/>
          <w:sz w:val="26"/>
          <w:szCs w:val="26"/>
        </w:rPr>
      </w:pPr>
      <w:r w:rsidRPr="2A2D9407">
        <w:rPr>
          <w:rFonts w:ascii="Times New Roman" w:eastAsia="Times New Roman" w:hAnsi="Times New Roman" w:cs="Times New Roman"/>
          <w:sz w:val="26"/>
          <w:szCs w:val="26"/>
        </w:rPr>
        <w:t xml:space="preserve">Section 215 of the FPA requires the Commission-certified ERO to develop mandatory and enforceable Reliability Standards, subject to Commission review and approval.  Once approved, the Reliability Standards may be enforced in the United States by the ERO subject to Commission oversight, or by the Commission independently.  </w:t>
      </w:r>
    </w:p>
    <w:p w:rsidR="00A2774E" w:rsidP="00A2774E" w14:paraId="3CCEFB9F" w14:textId="57FBE75C">
      <w:pPr>
        <w:rPr>
          <w:rFonts w:ascii="Times New Roman" w:eastAsia="Times New Roman" w:hAnsi="Times New Roman" w:cs="Times New Roman"/>
          <w:sz w:val="26"/>
          <w:szCs w:val="26"/>
        </w:rPr>
      </w:pPr>
      <w:r w:rsidRPr="2A2D9407">
        <w:rPr>
          <w:rFonts w:ascii="Times New Roman" w:eastAsia="Times New Roman" w:hAnsi="Times New Roman" w:cs="Times New Roman"/>
          <w:sz w:val="26"/>
          <w:szCs w:val="26"/>
        </w:rPr>
        <w:t>Pursuant to the requirements of FPA section 215, the Commission established a process to select and certify an ERO</w:t>
      </w:r>
      <w:r>
        <w:rPr>
          <w:rStyle w:val="FootnoteReference"/>
          <w:rFonts w:ascii="Times New Roman" w:eastAsia="Times New Roman" w:hAnsi="Times New Roman" w:cs="Times New Roman"/>
          <w:b/>
          <w:sz w:val="26"/>
          <w:szCs w:val="26"/>
          <w:vertAlign w:val="superscript"/>
        </w:rPr>
        <w:footnoteReference w:id="3"/>
      </w:r>
      <w:r w:rsidRPr="2A2D9407">
        <w:rPr>
          <w:rFonts w:ascii="Times New Roman" w:eastAsia="Times New Roman" w:hAnsi="Times New Roman" w:cs="Times New Roman"/>
          <w:sz w:val="26"/>
          <w:szCs w:val="26"/>
        </w:rPr>
        <w:t xml:space="preserve"> and, subsequently, certified the North American Electric Reliability Corporation (NERC) as the ERO. </w:t>
      </w:r>
      <w:r w:rsidR="008D6FEB">
        <w:rPr>
          <w:rFonts w:ascii="Times New Roman" w:eastAsia="Times New Roman" w:hAnsi="Times New Roman" w:cs="Times New Roman"/>
          <w:sz w:val="26"/>
          <w:szCs w:val="26"/>
        </w:rPr>
        <w:t xml:space="preserve"> </w:t>
      </w:r>
      <w:r w:rsidRPr="2A2D9407">
        <w:rPr>
          <w:rFonts w:ascii="Times New Roman" w:eastAsia="Times New Roman" w:hAnsi="Times New Roman" w:cs="Times New Roman"/>
          <w:sz w:val="26"/>
          <w:szCs w:val="26"/>
        </w:rPr>
        <w:t xml:space="preserve">Pursuant to Section 215(d)(1) of the FPA </w:t>
      </w:r>
      <w:r w:rsidRPr="2A2D9407">
        <w:rPr>
          <w:rFonts w:ascii="Times New Roman" w:eastAsia="Times New Roman" w:hAnsi="Times New Roman" w:cs="Times New Roman"/>
          <w:sz w:val="26"/>
          <w:szCs w:val="26"/>
        </w:rPr>
        <w:t>and 18 CFR 39.5, the NERC is authorized to submit for Commission approval proposed Reliability Standards, and to propose revision or retirement of such standards.</w:t>
      </w:r>
    </w:p>
    <w:p w:rsidR="002C283D" w:rsidP="00C90385" w14:paraId="4889FF38" w14:textId="77777777">
      <w:pPr>
        <w:spacing w:after="0"/>
        <w:rPr>
          <w:rFonts w:ascii="Times New Roman" w:hAnsi="Times New Roman" w:cs="Times New Roman"/>
          <w:sz w:val="26"/>
          <w:szCs w:val="26"/>
        </w:rPr>
      </w:pPr>
    </w:p>
    <w:p w:rsidR="00A2774E" w:rsidRPr="00257D06" w:rsidP="00A2774E" w14:paraId="7C2B4D71" w14:textId="212BD51A">
      <w:pPr>
        <w:spacing w:after="0"/>
        <w:rPr>
          <w:rFonts w:ascii="Times New Roman" w:hAnsi="Times New Roman" w:cs="Times New Roman"/>
          <w:sz w:val="26"/>
          <w:szCs w:val="26"/>
        </w:rPr>
      </w:pPr>
      <w:r>
        <w:rPr>
          <w:rFonts w:ascii="Times New Roman" w:eastAsia="Times New Roman" w:hAnsi="Times New Roman" w:cs="Times New Roman"/>
          <w:sz w:val="26"/>
          <w:szCs w:val="26"/>
        </w:rPr>
        <w:t xml:space="preserve">On February </w:t>
      </w:r>
      <w:r w:rsidR="00E13722">
        <w:rPr>
          <w:rFonts w:ascii="Times New Roman" w:eastAsia="Times New Roman" w:hAnsi="Times New Roman" w:cs="Times New Roman"/>
          <w:sz w:val="26"/>
          <w:szCs w:val="26"/>
        </w:rPr>
        <w:t>19</w:t>
      </w:r>
      <w:r>
        <w:rPr>
          <w:rFonts w:ascii="Times New Roman" w:eastAsia="Times New Roman" w:hAnsi="Times New Roman" w:cs="Times New Roman"/>
          <w:sz w:val="26"/>
          <w:szCs w:val="26"/>
        </w:rPr>
        <w:t xml:space="preserve">, 2026, the Commission issued an </w:t>
      </w:r>
      <w:r w:rsidRPr="47073EDB">
        <w:rPr>
          <w:rFonts w:ascii="Times New Roman" w:eastAsia="Times New Roman" w:hAnsi="Times New Roman" w:cs="Times New Roman"/>
          <w:sz w:val="26"/>
          <w:szCs w:val="26"/>
        </w:rPr>
        <w:t>order</w:t>
      </w:r>
      <w:r>
        <w:rPr>
          <w:rFonts w:ascii="Times New Roman" w:eastAsia="Times New Roman" w:hAnsi="Times New Roman" w:cs="Times New Roman"/>
          <w:sz w:val="26"/>
          <w:szCs w:val="26"/>
        </w:rPr>
        <w:t xml:space="preserve"> in Docket Nos.</w:t>
      </w:r>
      <w:r w:rsidRPr="47073EDB">
        <w:rPr>
          <w:rFonts w:ascii="Times New Roman" w:eastAsia="Times New Roman" w:hAnsi="Times New Roman" w:cs="Times New Roman"/>
          <w:sz w:val="26"/>
          <w:szCs w:val="26"/>
        </w:rPr>
        <w:t xml:space="preserve"> RD2</w:t>
      </w:r>
      <w:r>
        <w:rPr>
          <w:rFonts w:ascii="Times New Roman" w:eastAsia="Times New Roman" w:hAnsi="Times New Roman" w:cs="Times New Roman"/>
          <w:sz w:val="26"/>
          <w:szCs w:val="26"/>
        </w:rPr>
        <w:t>6</w:t>
      </w:r>
      <w:r w:rsidRPr="47073EDB">
        <w:rPr>
          <w:rFonts w:ascii="Times New Roman" w:eastAsia="Times New Roman" w:hAnsi="Times New Roman" w:cs="Times New Roman"/>
          <w:sz w:val="26"/>
          <w:szCs w:val="26"/>
        </w:rPr>
        <w:t>-</w:t>
      </w:r>
      <w:r>
        <w:rPr>
          <w:rFonts w:ascii="Times New Roman" w:eastAsia="Times New Roman" w:hAnsi="Times New Roman" w:cs="Times New Roman"/>
          <w:sz w:val="26"/>
          <w:szCs w:val="26"/>
        </w:rPr>
        <w:t>1</w:t>
      </w:r>
      <w:r w:rsidRPr="47073EDB">
        <w:rPr>
          <w:rFonts w:ascii="Times New Roman" w:eastAsia="Times New Roman" w:hAnsi="Times New Roman" w:cs="Times New Roman"/>
          <w:sz w:val="26"/>
          <w:szCs w:val="26"/>
        </w:rPr>
        <w:t>-000,</w:t>
      </w:r>
      <w:r>
        <w:rPr>
          <w:rFonts w:ascii="Times New Roman" w:eastAsia="Times New Roman" w:hAnsi="Times New Roman" w:cs="Times New Roman"/>
          <w:sz w:val="26"/>
          <w:szCs w:val="26"/>
        </w:rPr>
        <w:t xml:space="preserve"> RD26-2-000, and RD26-3-000 approving Reliability </w:t>
      </w:r>
      <w:r w:rsidRPr="00257D06">
        <w:rPr>
          <w:rFonts w:ascii="Times New Roman" w:eastAsia="Times New Roman" w:hAnsi="Times New Roman" w:cs="Times New Roman"/>
          <w:sz w:val="26"/>
          <w:szCs w:val="26"/>
        </w:rPr>
        <w:t>MOD-032-2 (Data for Power System Modeling and Analysis</w:t>
      </w:r>
      <w:r>
        <w:rPr>
          <w:rFonts w:ascii="Times New Roman" w:eastAsia="Times New Roman" w:hAnsi="Times New Roman" w:cs="Times New Roman"/>
          <w:sz w:val="26"/>
          <w:szCs w:val="26"/>
        </w:rPr>
        <w:t xml:space="preserve">, </w:t>
      </w:r>
      <w:r w:rsidRPr="00257D06">
        <w:rPr>
          <w:rFonts w:ascii="Times New Roman" w:eastAsia="Times New Roman" w:hAnsi="Times New Roman" w:cs="Times New Roman"/>
          <w:sz w:val="26"/>
          <w:szCs w:val="26"/>
        </w:rPr>
        <w:t>MOD-033-3 (Steady-State and Dynamic System Model Validation)</w:t>
      </w:r>
      <w:r>
        <w:rPr>
          <w:rFonts w:ascii="Times New Roman" w:eastAsia="Times New Roman" w:hAnsi="Times New Roman" w:cs="Times New Roman"/>
          <w:sz w:val="26"/>
          <w:szCs w:val="26"/>
        </w:rPr>
        <w:t>, and</w:t>
      </w:r>
      <w:r w:rsidRPr="00257D0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w:t>
      </w:r>
      <w:r w:rsidRPr="00257D06">
        <w:rPr>
          <w:rFonts w:ascii="Times New Roman" w:eastAsia="Times New Roman" w:hAnsi="Times New Roman" w:cs="Times New Roman"/>
          <w:sz w:val="26"/>
          <w:szCs w:val="26"/>
        </w:rPr>
        <w:t>OD-026-2 (Verification and Validation of Dynamic Models and Data)</w:t>
      </w:r>
      <w:r>
        <w:rPr>
          <w:rFonts w:ascii="Times New Roman" w:eastAsia="Times New Roman" w:hAnsi="Times New Roman" w:cs="Times New Roman"/>
          <w:sz w:val="26"/>
          <w:szCs w:val="26"/>
        </w:rPr>
        <w:t xml:space="preserve"> to improve the modeling of inverter-based resources (IBR) performance. </w:t>
      </w:r>
    </w:p>
    <w:p w:rsidR="0098431D" w:rsidRPr="00A2084E" w:rsidP="002C67B4" w14:paraId="381CCFF2" w14:textId="0FA69153">
      <w:pPr>
        <w:spacing w:after="0"/>
        <w:rPr>
          <w:rFonts w:ascii="Times New Roman" w:hAnsi="Times New Roman" w:cs="Times New Roman"/>
          <w:sz w:val="26"/>
          <w:szCs w:val="26"/>
        </w:rPr>
      </w:pPr>
    </w:p>
    <w:p w:rsidR="002C67B4" w:rsidRPr="00A2084E" w:rsidP="002C67B4" w14:paraId="3ED808FE" w14:textId="1CF2F6AD">
      <w:pPr>
        <w:spacing w:after="0"/>
        <w:rPr>
          <w:rFonts w:ascii="Times New Roman" w:hAnsi="Times New Roman" w:cs="Times New Roman"/>
          <w:sz w:val="26"/>
          <w:szCs w:val="26"/>
        </w:rPr>
      </w:pPr>
      <w:r w:rsidRPr="00A2084E">
        <w:rPr>
          <w:rFonts w:ascii="Times New Roman" w:hAnsi="Times New Roman" w:cs="Times New Roman"/>
          <w:sz w:val="26"/>
          <w:szCs w:val="26"/>
        </w:rPr>
        <w:t>MOD-025-2, MOD-026-</w:t>
      </w:r>
      <w:r w:rsidRPr="00A2084E" w:rsidR="0098431D">
        <w:rPr>
          <w:rFonts w:ascii="Times New Roman" w:hAnsi="Times New Roman" w:cs="Times New Roman"/>
          <w:sz w:val="26"/>
          <w:szCs w:val="26"/>
        </w:rPr>
        <w:t>2</w:t>
      </w:r>
      <w:r w:rsidRPr="00A2084E">
        <w:rPr>
          <w:rFonts w:ascii="Times New Roman" w:hAnsi="Times New Roman" w:cs="Times New Roman"/>
          <w:sz w:val="26"/>
          <w:szCs w:val="26"/>
        </w:rPr>
        <w:t>, MOD-031-3, MOD-032-</w:t>
      </w:r>
      <w:r w:rsidRPr="00A2084E" w:rsidR="0098431D">
        <w:rPr>
          <w:rFonts w:ascii="Times New Roman" w:hAnsi="Times New Roman" w:cs="Times New Roman"/>
          <w:sz w:val="26"/>
          <w:szCs w:val="26"/>
        </w:rPr>
        <w:t>2</w:t>
      </w:r>
      <w:r w:rsidRPr="00A2084E">
        <w:rPr>
          <w:rFonts w:ascii="Times New Roman" w:hAnsi="Times New Roman" w:cs="Times New Roman"/>
          <w:sz w:val="26"/>
          <w:szCs w:val="26"/>
        </w:rPr>
        <w:t xml:space="preserve"> and MOD-033</w:t>
      </w:r>
      <w:r w:rsidRPr="00A2084E" w:rsidR="0098431D">
        <w:rPr>
          <w:rFonts w:ascii="Times New Roman" w:hAnsi="Times New Roman" w:cs="Times New Roman"/>
          <w:sz w:val="26"/>
          <w:szCs w:val="26"/>
        </w:rPr>
        <w:t>-3 are the</w:t>
      </w:r>
      <w:r w:rsidRPr="00A2084E" w:rsidR="000311CD">
        <w:rPr>
          <w:rFonts w:ascii="Times New Roman" w:hAnsi="Times New Roman" w:cs="Times New Roman"/>
          <w:sz w:val="26"/>
          <w:szCs w:val="26"/>
        </w:rPr>
        <w:t xml:space="preserve"> reliability</w:t>
      </w:r>
      <w:r w:rsidRPr="00A2084E" w:rsidR="0098431D">
        <w:rPr>
          <w:rFonts w:ascii="Times New Roman" w:hAnsi="Times New Roman" w:cs="Times New Roman"/>
          <w:sz w:val="26"/>
          <w:szCs w:val="26"/>
        </w:rPr>
        <w:t xml:space="preserve"> standards that fall</w:t>
      </w:r>
      <w:r w:rsidRPr="00A2084E">
        <w:rPr>
          <w:rFonts w:ascii="Times New Roman" w:hAnsi="Times New Roman" w:cs="Times New Roman"/>
          <w:sz w:val="26"/>
          <w:szCs w:val="26"/>
        </w:rPr>
        <w:t xml:space="preserve"> within the FERC-725L information collection.  </w:t>
      </w:r>
    </w:p>
    <w:p w:rsidR="00D2490E" w:rsidRPr="00A2084E" w:rsidP="002C67B4" w14:paraId="5F4D51BE" w14:textId="77777777">
      <w:pPr>
        <w:spacing w:after="0"/>
        <w:rPr>
          <w:rFonts w:ascii="Times New Roman" w:hAnsi="Times New Roman" w:cs="Times New Roman"/>
          <w:sz w:val="26"/>
          <w:szCs w:val="26"/>
        </w:rPr>
      </w:pPr>
    </w:p>
    <w:p w:rsidR="00D9712F" w:rsidRPr="00A2084E" w:rsidP="002C67B4" w14:paraId="12C2AA19" w14:textId="3C8B6EEE">
      <w:pPr>
        <w:spacing w:after="0"/>
        <w:rPr>
          <w:rFonts w:ascii="Times New Roman" w:hAnsi="Times New Roman" w:cs="Times New Roman"/>
          <w:sz w:val="26"/>
          <w:szCs w:val="26"/>
        </w:rPr>
      </w:pPr>
      <w:r w:rsidRPr="00A2084E">
        <w:rPr>
          <w:rFonts w:ascii="Times New Roman" w:hAnsi="Times New Roman" w:cs="Times New Roman"/>
          <w:sz w:val="26"/>
          <w:szCs w:val="26"/>
        </w:rPr>
        <w:t xml:space="preserve">MOD </w:t>
      </w:r>
      <w:r w:rsidRPr="00A2084E" w:rsidR="000311CD">
        <w:rPr>
          <w:rFonts w:ascii="Times New Roman" w:hAnsi="Times New Roman" w:cs="Times New Roman"/>
          <w:sz w:val="26"/>
          <w:szCs w:val="26"/>
        </w:rPr>
        <w:t>r</w:t>
      </w:r>
      <w:r w:rsidRPr="00A2084E">
        <w:rPr>
          <w:rFonts w:ascii="Times New Roman" w:hAnsi="Times New Roman" w:cs="Times New Roman"/>
          <w:sz w:val="26"/>
          <w:szCs w:val="26"/>
        </w:rPr>
        <w:t xml:space="preserve">eliability </w:t>
      </w:r>
      <w:r w:rsidRPr="00A2084E" w:rsidR="000311CD">
        <w:rPr>
          <w:rFonts w:ascii="Times New Roman" w:hAnsi="Times New Roman" w:cs="Times New Roman"/>
          <w:sz w:val="26"/>
          <w:szCs w:val="26"/>
        </w:rPr>
        <w:t>s</w:t>
      </w:r>
      <w:r w:rsidRPr="00A2084E">
        <w:rPr>
          <w:rFonts w:ascii="Times New Roman" w:hAnsi="Times New Roman" w:cs="Times New Roman"/>
          <w:sz w:val="26"/>
          <w:szCs w:val="26"/>
        </w:rPr>
        <w:t>tandards ensure that generators remain in operation during specified voltage and frequency excursions, properly coordinate protective relays and generator voltage regulator controls, and ensure that generator models accurately reflect the generator’s capabilities and equipment performance.</w:t>
      </w:r>
    </w:p>
    <w:p w:rsidR="00EB3E6F" w:rsidRPr="00A2084E" w:rsidP="00EB3E6F" w14:paraId="41C0BFB7" w14:textId="77777777">
      <w:pPr>
        <w:spacing w:after="0"/>
        <w:rPr>
          <w:rFonts w:ascii="Times New Roman" w:hAnsi="Times New Roman" w:cs="Times New Roman"/>
          <w:sz w:val="26"/>
          <w:szCs w:val="26"/>
        </w:rPr>
      </w:pPr>
    </w:p>
    <w:p w:rsidR="00A72E7B" w:rsidRPr="00A2084E" w:rsidP="00A72E7B" w14:paraId="1A879F5B"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HOW, BY WHOM, AND FOR WHAT PURPOSE THE INFORMATION IS TO BE USED AND THE CONSEQUENCES OF NOT COLLECTING THE INFORMATION</w:t>
      </w:r>
    </w:p>
    <w:p w:rsidR="00281EA5" w:rsidP="004276A5" w14:paraId="069BD82D" w14:textId="77777777">
      <w:pPr>
        <w:spacing w:after="0"/>
        <w:rPr>
          <w:rFonts w:ascii="Times New Roman" w:hAnsi="Times New Roman" w:cs="Times New Roman"/>
          <w:b/>
          <w:bCs/>
          <w:sz w:val="26"/>
          <w:szCs w:val="26"/>
        </w:rPr>
      </w:pPr>
    </w:p>
    <w:p w:rsidR="00281EA5" w:rsidP="00281EA5" w14:paraId="195307DD" w14:textId="77777777">
      <w:pPr>
        <w:spacing w:after="0" w:line="240" w:lineRule="auto"/>
        <w:rPr>
          <w:rFonts w:ascii="Times New Roman" w:hAnsi="Times New Roman" w:cs="Times New Roman"/>
          <w:sz w:val="26"/>
          <w:szCs w:val="26"/>
        </w:rPr>
      </w:pPr>
      <w:r w:rsidRPr="2A2D9407">
        <w:rPr>
          <w:rFonts w:ascii="Times New Roman" w:hAnsi="Times New Roman" w:cs="Times New Roman"/>
          <w:sz w:val="26"/>
          <w:szCs w:val="26"/>
        </w:rPr>
        <w:t>In general, information collection and record retention requirements related to Reliability Standards are not submitted to or retained for audit by the Commission.  Rather they are submitted to or retained for audit by NERC (the Commission-approved ERO) or the Compliance Enforcement Authority, as specified in each individual Reliability Standard.</w:t>
      </w:r>
    </w:p>
    <w:p w:rsidR="00095A55" w:rsidP="00281EA5" w14:paraId="6F23A7CE" w14:textId="77777777">
      <w:pPr>
        <w:spacing w:after="0" w:line="240" w:lineRule="auto"/>
        <w:rPr>
          <w:rFonts w:ascii="Times New Roman" w:hAnsi="Times New Roman" w:cs="Times New Roman"/>
          <w:sz w:val="26"/>
          <w:szCs w:val="26"/>
        </w:rPr>
      </w:pPr>
    </w:p>
    <w:p w:rsidR="00095A55" w:rsidRPr="00257D06" w:rsidP="00095A55" w14:paraId="3EE1A945" w14:textId="77777777">
      <w:pPr>
        <w:spacing w:after="0"/>
        <w:rPr>
          <w:rFonts w:ascii="Times New Roman" w:hAnsi="Times New Roman" w:cs="Times New Roman"/>
          <w:sz w:val="26"/>
          <w:szCs w:val="26"/>
        </w:rPr>
      </w:pPr>
      <w:r w:rsidRPr="00257D06">
        <w:rPr>
          <w:rFonts w:ascii="Times New Roman" w:hAnsi="Times New Roman" w:cs="Times New Roman"/>
          <w:sz w:val="26"/>
          <w:szCs w:val="26"/>
        </w:rPr>
        <w:t xml:space="preserve">In conjunction with Reliability Standards PRC-029-1 and PRC-024-1, </w:t>
      </w:r>
      <w:r w:rsidRPr="009F0349">
        <w:rPr>
          <w:rFonts w:ascii="Times New Roman" w:hAnsi="Times New Roman" w:cs="Times New Roman"/>
          <w:sz w:val="26"/>
          <w:szCs w:val="26"/>
        </w:rPr>
        <w:t>t</w:t>
      </w:r>
      <w:r w:rsidRPr="00257D06">
        <w:rPr>
          <w:rFonts w:ascii="Times New Roman" w:hAnsi="Times New Roman" w:cs="Times New Roman"/>
          <w:sz w:val="26"/>
          <w:szCs w:val="26"/>
        </w:rPr>
        <w:t>he purpose of these generator verification Reliability Standards</w:t>
      </w:r>
      <w:r>
        <w:rPr>
          <w:rStyle w:val="FootnoteReference"/>
          <w:rFonts w:ascii="Times New Roman" w:hAnsi="Times New Roman" w:cs="Times New Roman"/>
          <w:b/>
          <w:bCs/>
          <w:sz w:val="26"/>
          <w:szCs w:val="26"/>
          <w:vertAlign w:val="superscript"/>
        </w:rPr>
        <w:footnoteReference w:id="4"/>
      </w:r>
      <w:r w:rsidRPr="00257D06">
        <w:rPr>
          <w:rFonts w:ascii="Times New Roman" w:hAnsi="Times New Roman" w:cs="Times New Roman"/>
          <w:sz w:val="26"/>
          <w:szCs w:val="26"/>
        </w:rPr>
        <w:t xml:space="preserve"> is to ensure:</w:t>
      </w:r>
    </w:p>
    <w:p w:rsidR="00095A55" w:rsidRPr="00257D06" w:rsidP="00095A55" w14:paraId="722781C0" w14:textId="77777777">
      <w:pPr>
        <w:pStyle w:val="ListParagraph"/>
        <w:numPr>
          <w:ilvl w:val="0"/>
          <w:numId w:val="9"/>
        </w:numPr>
        <w:spacing w:after="0"/>
        <w:rPr>
          <w:rFonts w:ascii="Times New Roman" w:hAnsi="Times New Roman" w:cs="Times New Roman"/>
          <w:sz w:val="26"/>
          <w:szCs w:val="26"/>
        </w:rPr>
      </w:pPr>
      <w:r w:rsidRPr="00257D06">
        <w:rPr>
          <w:rFonts w:ascii="Times New Roman" w:hAnsi="Times New Roman" w:cs="Times New Roman"/>
          <w:sz w:val="26"/>
          <w:szCs w:val="26"/>
        </w:rPr>
        <w:t>generators remain in operation during specified voltage and frequency excursions</w:t>
      </w:r>
      <w:r>
        <w:rPr>
          <w:rFonts w:ascii="Times New Roman" w:hAnsi="Times New Roman" w:cs="Times New Roman"/>
          <w:sz w:val="26"/>
          <w:szCs w:val="26"/>
        </w:rPr>
        <w:t xml:space="preserve"> and</w:t>
      </w:r>
      <w:r w:rsidRPr="00257D06">
        <w:rPr>
          <w:rFonts w:ascii="Times New Roman" w:hAnsi="Times New Roman" w:cs="Times New Roman"/>
          <w:sz w:val="26"/>
          <w:szCs w:val="26"/>
        </w:rPr>
        <w:t xml:space="preserve"> properly coordinate protective relays and generator voltage regulator controls; and </w:t>
      </w:r>
    </w:p>
    <w:p w:rsidR="00095A55" w:rsidRPr="00257D06" w:rsidP="00095A55" w14:paraId="70A98534" w14:textId="77777777">
      <w:pPr>
        <w:pStyle w:val="ListParagraph"/>
        <w:numPr>
          <w:ilvl w:val="0"/>
          <w:numId w:val="9"/>
        </w:numPr>
        <w:spacing w:after="0"/>
        <w:rPr>
          <w:rFonts w:ascii="Times New Roman" w:hAnsi="Times New Roman" w:cs="Times New Roman"/>
          <w:sz w:val="26"/>
          <w:szCs w:val="26"/>
        </w:rPr>
      </w:pPr>
      <w:r w:rsidRPr="00257D06">
        <w:rPr>
          <w:rFonts w:ascii="Times New Roman" w:hAnsi="Times New Roman" w:cs="Times New Roman"/>
          <w:sz w:val="26"/>
          <w:szCs w:val="26"/>
        </w:rPr>
        <w:t>generator models accurately reflect the generator’s capabilities and equipment performance.</w:t>
      </w:r>
    </w:p>
    <w:p w:rsidR="00281EA5" w:rsidRPr="00A2084E" w:rsidP="00A2084E" w14:paraId="7DDF7799" w14:textId="36BCA95C">
      <w:pPr>
        <w:spacing w:after="0" w:line="240" w:lineRule="auto"/>
        <w:rPr>
          <w:rFonts w:ascii="Times New Roman" w:hAnsi="Times New Roman" w:cs="Times New Roman"/>
          <w:sz w:val="26"/>
          <w:szCs w:val="26"/>
        </w:rPr>
      </w:pPr>
    </w:p>
    <w:p w:rsidR="006E7D90" w:rsidRPr="00A2084E" w:rsidP="006E7D90" w14:paraId="18E87C99" w14:textId="0D497A67">
      <w:pPr>
        <w:spacing w:after="0" w:line="240" w:lineRule="auto"/>
        <w:rPr>
          <w:rFonts w:ascii="Times New Roman" w:eastAsia="Times New Roman" w:hAnsi="Times New Roman" w:cs="Times New Roman"/>
          <w:sz w:val="26"/>
          <w:szCs w:val="26"/>
        </w:rPr>
      </w:pPr>
      <w:r w:rsidRPr="4635B435">
        <w:rPr>
          <w:rFonts w:ascii="Times New Roman" w:eastAsia="Times New Roman" w:hAnsi="Times New Roman" w:cs="Times New Roman"/>
          <w:sz w:val="26"/>
          <w:szCs w:val="26"/>
        </w:rPr>
        <w:t xml:space="preserve"> The Commission approved </w:t>
      </w:r>
      <w:r w:rsidRPr="00A2084E" w:rsidR="00217BBA">
        <w:rPr>
          <w:rFonts w:ascii="Times New Roman" w:eastAsia="Times New Roman" w:hAnsi="Times New Roman" w:cs="Times New Roman"/>
          <w:sz w:val="26"/>
          <w:szCs w:val="26"/>
        </w:rPr>
        <w:t>NERC</w:t>
      </w:r>
      <w:r w:rsidRPr="4635B435">
        <w:rPr>
          <w:rFonts w:ascii="Times New Roman" w:eastAsia="Times New Roman" w:hAnsi="Times New Roman" w:cs="Times New Roman"/>
          <w:sz w:val="26"/>
          <w:szCs w:val="26"/>
        </w:rPr>
        <w:t>’s</w:t>
      </w:r>
      <w:r w:rsidRPr="00A2084E" w:rsidR="00217BBA">
        <w:rPr>
          <w:rFonts w:ascii="Times New Roman" w:eastAsia="Times New Roman" w:hAnsi="Times New Roman" w:cs="Times New Roman"/>
          <w:sz w:val="26"/>
          <w:szCs w:val="26"/>
        </w:rPr>
        <w:t>: (1)  definition of the term distributed energy resource (DER) for inclusion in the NERC Glossary of Terms Used in NERC Reliability Standards (NERC Glossary); and (2) Reliability Standards MOD-032-2 (Data for Power System Modeling and Analysis)</w:t>
      </w:r>
      <w:r w:rsidRPr="00A2084E" w:rsidR="004720F9">
        <w:rPr>
          <w:rFonts w:ascii="Times New Roman" w:eastAsia="Times New Roman" w:hAnsi="Times New Roman" w:cs="Times New Roman"/>
          <w:sz w:val="26"/>
          <w:szCs w:val="26"/>
        </w:rPr>
        <w:t xml:space="preserve">. </w:t>
      </w:r>
      <w:r w:rsidRPr="4635B435" w:rsidR="0043092F">
        <w:rPr>
          <w:rFonts w:ascii="Times New Roman" w:eastAsia="Times New Roman" w:hAnsi="Times New Roman" w:cs="Times New Roman"/>
          <w:sz w:val="26"/>
          <w:szCs w:val="26"/>
        </w:rPr>
        <w:t xml:space="preserve"> </w:t>
      </w:r>
      <w:r w:rsidRPr="4635B435">
        <w:rPr>
          <w:rFonts w:ascii="Times New Roman" w:eastAsia="Times New Roman" w:hAnsi="Times New Roman" w:cs="Times New Roman"/>
          <w:sz w:val="26"/>
          <w:szCs w:val="26"/>
        </w:rPr>
        <w:t xml:space="preserve">The Commission approved </w:t>
      </w:r>
      <w:r w:rsidRPr="4635B435" w:rsidR="002534AC">
        <w:rPr>
          <w:rFonts w:ascii="Times New Roman" w:eastAsia="Times New Roman" w:hAnsi="Times New Roman" w:cs="Times New Roman"/>
          <w:sz w:val="26"/>
          <w:szCs w:val="26"/>
        </w:rPr>
        <w:t>NERC</w:t>
      </w:r>
      <w:r w:rsidRPr="4635B435">
        <w:rPr>
          <w:rFonts w:ascii="Times New Roman" w:eastAsia="Times New Roman" w:hAnsi="Times New Roman" w:cs="Times New Roman"/>
          <w:sz w:val="26"/>
          <w:szCs w:val="26"/>
        </w:rPr>
        <w:t>’s</w:t>
      </w:r>
      <w:r w:rsidRPr="4635B435" w:rsidR="002534AC">
        <w:rPr>
          <w:rFonts w:ascii="Times New Roman" w:eastAsia="Times New Roman" w:hAnsi="Times New Roman" w:cs="Times New Roman"/>
          <w:sz w:val="26"/>
          <w:szCs w:val="26"/>
        </w:rPr>
        <w:t xml:space="preserve"> </w:t>
      </w:r>
      <w:r w:rsidRPr="00A2084E" w:rsidR="004720F9">
        <w:rPr>
          <w:rFonts w:ascii="Times New Roman" w:eastAsia="Times New Roman" w:hAnsi="Times New Roman" w:cs="Times New Roman"/>
          <w:sz w:val="26"/>
          <w:szCs w:val="26"/>
        </w:rPr>
        <w:t>Reliability Standard MOD-033-3 (Steady-State and Dynamic System Model Validation).</w:t>
      </w:r>
      <w:r>
        <w:rPr>
          <w:rFonts w:ascii="Times New Roman" w:eastAsia="Times New Roman" w:hAnsi="Times New Roman" w:cs="Times New Roman"/>
          <w:b/>
          <w:bCs/>
          <w:sz w:val="26"/>
          <w:szCs w:val="26"/>
          <w:vertAlign w:val="superscript"/>
        </w:rPr>
        <w:footnoteReference w:id="5"/>
      </w:r>
      <w:r w:rsidRPr="00A2084E" w:rsidR="004720F9">
        <w:rPr>
          <w:rFonts w:ascii="Times New Roman" w:eastAsia="Times New Roman" w:hAnsi="Times New Roman" w:cs="Times New Roman"/>
          <w:sz w:val="26"/>
          <w:szCs w:val="26"/>
        </w:rPr>
        <w:t xml:space="preserve">  </w:t>
      </w:r>
      <w:r w:rsidRPr="4635B435" w:rsidR="00957EDB">
        <w:rPr>
          <w:rFonts w:ascii="Times New Roman" w:eastAsia="Times New Roman" w:hAnsi="Times New Roman" w:cs="Times New Roman"/>
          <w:sz w:val="26"/>
          <w:szCs w:val="26"/>
        </w:rPr>
        <w:t>Lastly</w:t>
      </w:r>
      <w:r w:rsidRPr="4635B435">
        <w:rPr>
          <w:rFonts w:ascii="Times New Roman" w:eastAsia="Times New Roman" w:hAnsi="Times New Roman" w:cs="Times New Roman"/>
          <w:sz w:val="26"/>
          <w:szCs w:val="26"/>
        </w:rPr>
        <w:t>, the Commission approved</w:t>
      </w:r>
      <w:r w:rsidRPr="4635B435" w:rsidR="00957EDB">
        <w:rPr>
          <w:rFonts w:ascii="Times New Roman" w:eastAsia="Times New Roman" w:hAnsi="Times New Roman" w:cs="Times New Roman"/>
          <w:sz w:val="26"/>
          <w:szCs w:val="26"/>
        </w:rPr>
        <w:t xml:space="preserve"> NERC</w:t>
      </w:r>
      <w:r w:rsidRPr="4635B435">
        <w:rPr>
          <w:rFonts w:ascii="Times New Roman" w:eastAsia="Times New Roman" w:hAnsi="Times New Roman" w:cs="Times New Roman"/>
          <w:sz w:val="26"/>
          <w:szCs w:val="26"/>
        </w:rPr>
        <w:t>’s</w:t>
      </w:r>
      <w:r w:rsidRPr="4635B435" w:rsidR="00E607E1">
        <w:rPr>
          <w:rFonts w:ascii="Times New Roman" w:eastAsia="Times New Roman" w:hAnsi="Times New Roman" w:cs="Times New Roman"/>
          <w:sz w:val="26"/>
          <w:szCs w:val="26"/>
        </w:rPr>
        <w:t xml:space="preserve">: </w:t>
      </w:r>
      <w:r w:rsidRPr="4635B435" w:rsidR="00957EDB">
        <w:rPr>
          <w:rFonts w:ascii="Times New Roman" w:eastAsia="Times New Roman" w:hAnsi="Times New Roman" w:cs="Times New Roman"/>
          <w:sz w:val="26"/>
          <w:szCs w:val="26"/>
        </w:rPr>
        <w:t xml:space="preserve"> </w:t>
      </w:r>
      <w:r w:rsidRPr="00A2084E" w:rsidR="004720F9">
        <w:rPr>
          <w:rFonts w:ascii="Times New Roman" w:eastAsia="Times New Roman" w:hAnsi="Times New Roman" w:cs="Times New Roman"/>
          <w:sz w:val="26"/>
          <w:szCs w:val="26"/>
        </w:rPr>
        <w:t>(1) definitions of model validation and model verification in the NERC Glossary; and (2) Reliability Standard MOD-026-2 (Verification and Validation of Dynamic Models and Data).</w:t>
      </w:r>
      <w:r>
        <w:rPr>
          <w:rFonts w:ascii="Times New Roman" w:eastAsia="Times New Roman" w:hAnsi="Times New Roman" w:cs="Times New Roman"/>
          <w:b/>
          <w:bCs/>
          <w:sz w:val="26"/>
          <w:szCs w:val="26"/>
          <w:vertAlign w:val="superscript"/>
        </w:rPr>
        <w:footnoteReference w:id="6"/>
      </w:r>
      <w:r w:rsidRPr="00A2084E" w:rsidR="004720F9">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In addition,</w:t>
      </w:r>
      <w:r w:rsidRPr="4635B435" w:rsidR="00F8737C">
        <w:rPr>
          <w:rFonts w:ascii="Times New Roman" w:eastAsia="Times New Roman" w:hAnsi="Times New Roman" w:cs="Times New Roman"/>
          <w:sz w:val="26"/>
          <w:szCs w:val="26"/>
        </w:rPr>
        <w:t xml:space="preserve"> the Commission approved</w:t>
      </w:r>
      <w:r w:rsidRPr="4635B435" w:rsidR="00AF5D3D">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 xml:space="preserve"> retir</w:t>
      </w:r>
      <w:r w:rsidRPr="4635B435" w:rsidR="00AF5D3D">
        <w:rPr>
          <w:rFonts w:ascii="Times New Roman" w:eastAsia="Times New Roman" w:hAnsi="Times New Roman" w:cs="Times New Roman"/>
          <w:sz w:val="26"/>
          <w:szCs w:val="26"/>
        </w:rPr>
        <w:t>ing</w:t>
      </w:r>
      <w:r w:rsidRPr="00A2084E">
        <w:rPr>
          <w:rFonts w:ascii="Times New Roman" w:eastAsia="Times New Roman" w:hAnsi="Times New Roman" w:cs="Times New Roman"/>
          <w:sz w:val="26"/>
          <w:szCs w:val="26"/>
        </w:rPr>
        <w:t xml:space="preserve"> currently effective Reliability Standards MOD-032-1</w:t>
      </w:r>
      <w:r w:rsidRPr="4635B435" w:rsidR="00AF5D3D">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 xml:space="preserve"> MOD-033-2</w:t>
      </w:r>
      <w:r w:rsidRPr="4635B435" w:rsidR="00AF5D3D">
        <w:rPr>
          <w:rFonts w:ascii="Times New Roman" w:eastAsia="Times New Roman" w:hAnsi="Times New Roman" w:cs="Times New Roman"/>
          <w:sz w:val="26"/>
          <w:szCs w:val="26"/>
        </w:rPr>
        <w:t>,</w:t>
      </w:r>
      <w:r w:rsidRPr="00A2084E">
        <w:rPr>
          <w:rFonts w:ascii="Times New Roman" w:eastAsia="Times New Roman" w:hAnsi="Times New Roman" w:cs="Times New Roman"/>
          <w:sz w:val="26"/>
          <w:szCs w:val="26"/>
        </w:rPr>
        <w:t xml:space="preserve"> and MOD-026-1</w:t>
      </w:r>
      <w:r w:rsidRPr="4635B435" w:rsidR="00F8737C">
        <w:rPr>
          <w:rFonts w:ascii="Times New Roman" w:eastAsia="Times New Roman" w:hAnsi="Times New Roman" w:cs="Times New Roman"/>
          <w:sz w:val="26"/>
          <w:szCs w:val="26"/>
        </w:rPr>
        <w:t>,</w:t>
      </w:r>
      <w:r w:rsidRPr="00A2084E">
        <w:rPr>
          <w:rFonts w:ascii="Times New Roman" w:eastAsia="Times New Roman" w:hAnsi="Times New Roman" w:cs="Times New Roman"/>
          <w:sz w:val="26"/>
          <w:szCs w:val="26"/>
        </w:rPr>
        <w:t xml:space="preserve"> and MOD-027-1</w:t>
      </w:r>
      <w:r w:rsidRPr="4635B435" w:rsidR="00426CF5">
        <w:rPr>
          <w:rFonts w:ascii="Times New Roman" w:eastAsia="Times New Roman" w:hAnsi="Times New Roman" w:cs="Times New Roman"/>
          <w:sz w:val="26"/>
          <w:szCs w:val="26"/>
        </w:rPr>
        <w:t xml:space="preserve"> and </w:t>
      </w:r>
      <w:r w:rsidRPr="00A2084E" w:rsidR="000A3ADC">
        <w:rPr>
          <w:rFonts w:ascii="Times New Roman" w:hAnsi="Times New Roman" w:cs="Times New Roman"/>
          <w:sz w:val="26"/>
          <w:szCs w:val="26"/>
        </w:rPr>
        <w:t>NERC’s associated implementation plants, violation risk factors, and violation severity levels for Reliability Standards</w:t>
      </w:r>
      <w:r w:rsidR="000A3ADC">
        <w:t xml:space="preserve"> </w:t>
      </w:r>
      <w:r w:rsidRPr="4635B435" w:rsidR="000A3ADC">
        <w:rPr>
          <w:rFonts w:ascii="Times New Roman" w:eastAsia="Times New Roman" w:hAnsi="Times New Roman" w:cs="Times New Roman"/>
          <w:sz w:val="26"/>
          <w:szCs w:val="26"/>
        </w:rPr>
        <w:t>MOD-032-2, MOD-033-3, and MOD-026-2.</w:t>
      </w:r>
    </w:p>
    <w:p w:rsidR="008E58B7" w:rsidRPr="00A2084E" w:rsidP="004276A5" w14:paraId="62206D66" w14:textId="77777777">
      <w:pPr>
        <w:spacing w:after="0"/>
        <w:rPr>
          <w:rFonts w:ascii="Times New Roman" w:hAnsi="Times New Roman" w:cs="Times New Roman"/>
          <w:sz w:val="26"/>
          <w:szCs w:val="26"/>
        </w:rPr>
      </w:pPr>
    </w:p>
    <w:p w:rsidR="00CE0343" w:rsidRPr="00A2084E" w:rsidP="00CE0343" w14:paraId="727B4F61" w14:textId="77777777">
      <w:pPr>
        <w:pStyle w:val="ListParagraph"/>
        <w:spacing w:after="0"/>
        <w:rPr>
          <w:rFonts w:ascii="Times New Roman" w:hAnsi="Times New Roman" w:cs="Times New Roman"/>
          <w:sz w:val="26"/>
          <w:szCs w:val="26"/>
        </w:rPr>
      </w:pPr>
    </w:p>
    <w:p w:rsidR="00CE0343" w:rsidRPr="00A2084E" w:rsidP="004276A5" w14:paraId="2925D5F8" w14:textId="2B721FF1">
      <w:pPr>
        <w:spacing w:after="0"/>
        <w:rPr>
          <w:rFonts w:ascii="Times New Roman" w:hAnsi="Times New Roman" w:cs="Times New Roman"/>
          <w:b/>
          <w:bCs/>
          <w:sz w:val="26"/>
          <w:szCs w:val="26"/>
        </w:rPr>
      </w:pPr>
      <w:r w:rsidRPr="00A2084E">
        <w:rPr>
          <w:rFonts w:ascii="Times New Roman" w:hAnsi="Times New Roman" w:cs="Times New Roman"/>
          <w:b/>
          <w:bCs/>
          <w:sz w:val="26"/>
          <w:szCs w:val="26"/>
        </w:rPr>
        <w:t>Reliability Standard MOD-025-2</w:t>
      </w:r>
      <w:r w:rsidRPr="00A2084E" w:rsidR="00764008">
        <w:rPr>
          <w:rFonts w:ascii="Times New Roman" w:hAnsi="Times New Roman" w:cs="Times New Roman"/>
          <w:b/>
          <w:bCs/>
          <w:sz w:val="26"/>
          <w:szCs w:val="26"/>
        </w:rPr>
        <w:t xml:space="preserve"> </w:t>
      </w:r>
      <w:r w:rsidRPr="00A2084E">
        <w:rPr>
          <w:rFonts w:ascii="Times New Roman" w:hAnsi="Times New Roman" w:cs="Times New Roman"/>
          <w:b/>
          <w:bCs/>
          <w:sz w:val="26"/>
          <w:szCs w:val="26"/>
        </w:rPr>
        <w:t>Requirements</w:t>
      </w:r>
    </w:p>
    <w:p w:rsidR="00AD6602" w:rsidRPr="00A2084E" w:rsidP="00AD6602" w14:paraId="74335328"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R1. </w:t>
      </w:r>
      <w:r w:rsidRPr="00A2084E">
        <w:rPr>
          <w:rFonts w:ascii="Times New Roman" w:hAnsi="Times New Roman" w:cs="Times New Roman"/>
          <w:sz w:val="26"/>
          <w:szCs w:val="26"/>
        </w:rPr>
        <w:t>Each Generator Owner shall provide its Transmission Planner with verification of the</w:t>
      </w:r>
    </w:p>
    <w:p w:rsidR="00AD6602" w:rsidRPr="00A2084E" w:rsidP="00DF55A8" w14:paraId="4DD28C03" w14:textId="19EFEDCA">
      <w:pPr>
        <w:spacing w:after="0"/>
        <w:rPr>
          <w:rFonts w:ascii="Times New Roman" w:hAnsi="Times New Roman" w:cs="Times New Roman"/>
          <w:i/>
          <w:iCs/>
          <w:sz w:val="26"/>
          <w:szCs w:val="26"/>
        </w:rPr>
      </w:pPr>
      <w:r w:rsidRPr="00A2084E">
        <w:rPr>
          <w:rFonts w:ascii="Times New Roman" w:hAnsi="Times New Roman" w:cs="Times New Roman"/>
          <w:sz w:val="26"/>
          <w:szCs w:val="26"/>
        </w:rPr>
        <w:t xml:space="preserve">Real Power capability of its applicable Facilities as follows: </w:t>
      </w:r>
    </w:p>
    <w:p w:rsidR="00AD6602" w:rsidRPr="00A2084E" w:rsidP="00AD6602" w14:paraId="6951F49D" w14:textId="43CE7E0A">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1.1. </w:t>
      </w:r>
      <w:r w:rsidRPr="00A2084E">
        <w:rPr>
          <w:rFonts w:ascii="Times New Roman" w:hAnsi="Times New Roman" w:cs="Times New Roman"/>
          <w:sz w:val="26"/>
          <w:szCs w:val="26"/>
        </w:rPr>
        <w:t>Verify the Real Power capability of its generating units in accordance with</w:t>
      </w:r>
      <w:r w:rsidRPr="00A2084E" w:rsidR="006100AC">
        <w:rPr>
          <w:rFonts w:ascii="Times New Roman" w:hAnsi="Times New Roman" w:cs="Times New Roman"/>
          <w:sz w:val="26"/>
          <w:szCs w:val="26"/>
        </w:rPr>
        <w:t xml:space="preserve"> </w:t>
      </w:r>
      <w:r w:rsidRPr="00A2084E">
        <w:rPr>
          <w:rFonts w:ascii="Times New Roman" w:hAnsi="Times New Roman" w:cs="Times New Roman"/>
          <w:sz w:val="26"/>
          <w:szCs w:val="26"/>
        </w:rPr>
        <w:t>Attachment 1.</w:t>
      </w:r>
    </w:p>
    <w:p w:rsidR="00AD6602" w:rsidRPr="00A2084E" w:rsidP="00AD6602" w14:paraId="3C2DFE1D" w14:textId="3A84C51F">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1.2. </w:t>
      </w:r>
      <w:r w:rsidRPr="00A2084E">
        <w:rPr>
          <w:rFonts w:ascii="Times New Roman" w:hAnsi="Times New Roman" w:cs="Times New Roman"/>
          <w:sz w:val="26"/>
          <w:szCs w:val="26"/>
        </w:rPr>
        <w:t>Submit a completed Attachment 2 (or a form containing the same information as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identified in Attachment 2) to its Transmission Planner within 90 calendar days of</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either (i) the date the data is recorded for a staged test; or (ii) the date the data is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selected for verification using historical operational data.</w:t>
      </w:r>
    </w:p>
    <w:p w:rsidR="00AD6602" w:rsidRPr="00A2084E" w:rsidP="00AD6602" w14:paraId="4B7A7A06"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R2. </w:t>
      </w:r>
      <w:r w:rsidRPr="00A2084E">
        <w:rPr>
          <w:rFonts w:ascii="Times New Roman" w:hAnsi="Times New Roman" w:cs="Times New Roman"/>
          <w:sz w:val="26"/>
          <w:szCs w:val="26"/>
        </w:rPr>
        <w:t>Each Generator Owner shall provide its Transmission Planner with verification of the</w:t>
      </w:r>
    </w:p>
    <w:p w:rsidR="00AD6602" w:rsidRPr="00A2084E" w:rsidP="00DF55A8" w14:paraId="2D8909D8" w14:textId="24820D71">
      <w:pPr>
        <w:spacing w:after="0"/>
        <w:rPr>
          <w:rFonts w:ascii="Times New Roman" w:hAnsi="Times New Roman" w:cs="Times New Roman"/>
          <w:i/>
          <w:iCs/>
          <w:sz w:val="26"/>
          <w:szCs w:val="26"/>
        </w:rPr>
      </w:pPr>
      <w:r w:rsidRPr="00A2084E">
        <w:rPr>
          <w:rFonts w:ascii="Times New Roman" w:hAnsi="Times New Roman" w:cs="Times New Roman"/>
          <w:sz w:val="26"/>
          <w:szCs w:val="26"/>
        </w:rPr>
        <w:t>Reactive Power capability of its applicable Facilities as follows</w:t>
      </w:r>
    </w:p>
    <w:p w:rsidR="00AD6602" w:rsidRPr="00A2084E" w:rsidP="00AD6602" w14:paraId="7D4B79EF"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2.1. </w:t>
      </w:r>
      <w:r w:rsidRPr="00A2084E">
        <w:rPr>
          <w:rFonts w:ascii="Times New Roman" w:hAnsi="Times New Roman" w:cs="Times New Roman"/>
          <w:sz w:val="26"/>
          <w:szCs w:val="26"/>
        </w:rPr>
        <w:t>Verify, in accordance with Attachment 1, (i) the Reactive Power capability of its</w:t>
      </w:r>
    </w:p>
    <w:p w:rsidR="00AD6602" w:rsidRPr="00A2084E" w:rsidP="00AD6602" w14:paraId="182DA5E6" w14:textId="128AFFC5">
      <w:pPr>
        <w:spacing w:after="0"/>
        <w:rPr>
          <w:rFonts w:ascii="Times New Roman" w:hAnsi="Times New Roman" w:cs="Times New Roman"/>
          <w:sz w:val="26"/>
          <w:szCs w:val="26"/>
        </w:rPr>
      </w:pPr>
      <w:r w:rsidRPr="00A2084E">
        <w:rPr>
          <w:rFonts w:ascii="Times New Roman" w:hAnsi="Times New Roman" w:cs="Times New Roman"/>
          <w:sz w:val="26"/>
          <w:szCs w:val="26"/>
        </w:rPr>
        <w:t>generating units and (ii) the Reactive Power capability of its synchronous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condenser units.</w:t>
      </w:r>
    </w:p>
    <w:p w:rsidR="00AD6602" w:rsidRPr="00A2084E" w:rsidP="00AD6602" w14:paraId="30088561" w14:textId="05EA8FFC">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2.2. </w:t>
      </w:r>
      <w:r w:rsidRPr="00A2084E">
        <w:rPr>
          <w:rFonts w:ascii="Times New Roman" w:hAnsi="Times New Roman" w:cs="Times New Roman"/>
          <w:sz w:val="26"/>
          <w:szCs w:val="26"/>
        </w:rPr>
        <w:t>Submit a completed Attachment 2 (or a form containing the same information as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identified in Attachment 2) to its Transmission Planner within 90 calendar days of</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either (i) the date the data is recorded for a staged test; or (ii) the date the data is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selected for verification using historical operational data.</w:t>
      </w:r>
    </w:p>
    <w:p w:rsidR="00AD6602" w:rsidRPr="00A2084E" w:rsidP="00DF55A8" w14:paraId="207327C8" w14:textId="12A2635B">
      <w:pPr>
        <w:spacing w:after="0"/>
        <w:rPr>
          <w:rFonts w:ascii="Times New Roman" w:hAnsi="Times New Roman" w:cs="Times New Roman"/>
          <w:i/>
          <w:iCs/>
          <w:sz w:val="26"/>
          <w:szCs w:val="26"/>
        </w:rPr>
      </w:pPr>
      <w:r w:rsidRPr="00A2084E">
        <w:rPr>
          <w:rFonts w:ascii="Times New Roman" w:hAnsi="Times New Roman" w:cs="Times New Roman"/>
          <w:b/>
          <w:bCs/>
          <w:sz w:val="26"/>
          <w:szCs w:val="26"/>
        </w:rPr>
        <w:t xml:space="preserve">R3. </w:t>
      </w:r>
      <w:r w:rsidRPr="00A2084E">
        <w:rPr>
          <w:rFonts w:ascii="Times New Roman" w:hAnsi="Times New Roman" w:cs="Times New Roman"/>
          <w:sz w:val="26"/>
          <w:szCs w:val="26"/>
        </w:rPr>
        <w:t>Each Transmission Owner shall provide its Transmission Planner with verification of</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 xml:space="preserve">the Reactive Power capability of its applicable Facilities as follows: </w:t>
      </w:r>
    </w:p>
    <w:p w:rsidR="00AD6602" w:rsidRPr="00A2084E" w:rsidP="00AD6602" w14:paraId="69B31DF7" w14:textId="7ACA655C">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3.1. </w:t>
      </w:r>
      <w:r w:rsidRPr="00A2084E">
        <w:rPr>
          <w:rFonts w:ascii="Times New Roman" w:hAnsi="Times New Roman" w:cs="Times New Roman"/>
          <w:sz w:val="26"/>
          <w:szCs w:val="26"/>
        </w:rPr>
        <w:t>Verify, in accordance with Attachment 1, the Reactive Power capability of its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synchronous condenser units.</w:t>
      </w:r>
    </w:p>
    <w:p w:rsidR="00AD6602" w:rsidRPr="00A2084E" w:rsidP="00AD6602" w14:paraId="61F40539" w14:textId="356A67C2">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3.2. </w:t>
      </w:r>
      <w:r w:rsidRPr="00A2084E">
        <w:rPr>
          <w:rFonts w:ascii="Times New Roman" w:hAnsi="Times New Roman" w:cs="Times New Roman"/>
          <w:sz w:val="26"/>
          <w:szCs w:val="26"/>
        </w:rPr>
        <w:t>Submit a completed Attachment 2 (or a form containing the same information as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identified in Attachment 2) to its Transmission Planner within 90 calendar days of</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either (i) the date the data is recorded for a staged test; or (ii) the date the data is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selected for verification using historical operational data.</w:t>
      </w:r>
    </w:p>
    <w:p w:rsidR="00AD6602" w:rsidRPr="00A2084E" w:rsidP="00AD6602" w14:paraId="69795936" w14:textId="313AAEB0">
      <w:pPr>
        <w:spacing w:after="0"/>
        <w:rPr>
          <w:rFonts w:ascii="Times New Roman" w:hAnsi="Times New Roman" w:cs="Times New Roman"/>
          <w:b/>
          <w:bCs/>
          <w:sz w:val="26"/>
          <w:szCs w:val="26"/>
        </w:rPr>
      </w:pPr>
      <w:r w:rsidRPr="00A2084E">
        <w:rPr>
          <w:rFonts w:ascii="Times New Roman" w:hAnsi="Times New Roman" w:cs="Times New Roman"/>
          <w:b/>
          <w:bCs/>
          <w:sz w:val="26"/>
          <w:szCs w:val="26"/>
        </w:rPr>
        <w:t>Measures</w:t>
      </w:r>
    </w:p>
    <w:p w:rsidR="00AD6602" w:rsidRPr="00A2084E" w:rsidP="00AD6602" w14:paraId="6F604FF8"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M1. </w:t>
      </w:r>
      <w:r w:rsidRPr="00A2084E">
        <w:rPr>
          <w:rFonts w:ascii="Times New Roman" w:hAnsi="Times New Roman" w:cs="Times New Roman"/>
          <w:sz w:val="26"/>
          <w:szCs w:val="26"/>
        </w:rPr>
        <w:t>Each Generator Owner will have evidence that it performed the verification, such as a</w:t>
      </w:r>
    </w:p>
    <w:p w:rsidR="00AD6602" w:rsidRPr="00A2084E" w:rsidP="00AD6602" w14:paraId="037828F9" w14:textId="60879BBD">
      <w:pPr>
        <w:spacing w:after="0"/>
        <w:rPr>
          <w:rFonts w:ascii="Times New Roman" w:hAnsi="Times New Roman" w:cs="Times New Roman"/>
          <w:sz w:val="26"/>
          <w:szCs w:val="26"/>
        </w:rPr>
      </w:pPr>
      <w:r w:rsidRPr="00A2084E">
        <w:rPr>
          <w:rFonts w:ascii="Times New Roman" w:hAnsi="Times New Roman" w:cs="Times New Roman"/>
          <w:sz w:val="26"/>
          <w:szCs w:val="26"/>
        </w:rPr>
        <w:t>completed Attachment 2 or the Generator Owner form with the same information or</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dated information collected and used to complete attachments, and will have evidence</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that it submitted the information within 90 days to its Transmission Planner; such as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dated electronic mail messages or mail receipts in accordance with Requirement R1.</w:t>
      </w:r>
    </w:p>
    <w:p w:rsidR="00AD6602" w:rsidRPr="00A2084E" w:rsidP="00AD6602" w14:paraId="33C89CB8"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M2. </w:t>
      </w:r>
      <w:r w:rsidRPr="00A2084E">
        <w:rPr>
          <w:rFonts w:ascii="Times New Roman" w:hAnsi="Times New Roman" w:cs="Times New Roman"/>
          <w:sz w:val="26"/>
          <w:szCs w:val="26"/>
        </w:rPr>
        <w:t>Each Generator Owner will have evidence that it performed the verification, such as a</w:t>
      </w:r>
    </w:p>
    <w:p w:rsidR="00AD6602" w:rsidRPr="00A2084E" w:rsidP="00AD6602" w14:paraId="2F8EFB03" w14:textId="489A87C0">
      <w:pPr>
        <w:spacing w:after="0"/>
        <w:rPr>
          <w:rFonts w:ascii="Times New Roman" w:hAnsi="Times New Roman" w:cs="Times New Roman"/>
          <w:sz w:val="26"/>
          <w:szCs w:val="26"/>
        </w:rPr>
      </w:pPr>
      <w:r w:rsidRPr="00A2084E">
        <w:rPr>
          <w:rFonts w:ascii="Times New Roman" w:hAnsi="Times New Roman" w:cs="Times New Roman"/>
          <w:sz w:val="26"/>
          <w:szCs w:val="26"/>
        </w:rPr>
        <w:t>completed Attachment 2 or the Generator Owner form with the same information, or</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dated information collected and used to complete attachments and will have evidence</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that it submitted the information within 90 days to its Transmission Planner; such as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dated electronic mail messages or mail receipts in accordance with Requirement R2.</w:t>
      </w:r>
    </w:p>
    <w:p w:rsidR="00A02B31" w:rsidRPr="00A2084E" w:rsidP="00A02B31" w14:paraId="1E4A68C9" w14:textId="6B56B2FB">
      <w:pPr>
        <w:spacing w:after="0"/>
        <w:rPr>
          <w:rFonts w:ascii="Times New Roman" w:hAnsi="Times New Roman" w:cs="Times New Roman"/>
          <w:sz w:val="26"/>
          <w:szCs w:val="26"/>
        </w:rPr>
      </w:pPr>
      <w:r w:rsidRPr="00A2084E">
        <w:rPr>
          <w:rFonts w:ascii="Times New Roman" w:hAnsi="Times New Roman" w:cs="Times New Roman"/>
          <w:sz w:val="26"/>
          <w:szCs w:val="26"/>
        </w:rPr>
        <w:t>Reliability Standard MOD-031-3 purpose is to provide authority for applicable entities to collect Demand, energy and related data to support reliability studies and assessments and to enumerate the</w:t>
      </w:r>
      <w:r w:rsidRPr="00A2084E" w:rsidR="00CE0343">
        <w:rPr>
          <w:rFonts w:ascii="Times New Roman" w:hAnsi="Times New Roman" w:cs="Times New Roman"/>
          <w:sz w:val="26"/>
          <w:szCs w:val="26"/>
        </w:rPr>
        <w:t xml:space="preserve"> </w:t>
      </w:r>
      <w:r w:rsidRPr="00A2084E">
        <w:rPr>
          <w:rFonts w:ascii="Times New Roman" w:hAnsi="Times New Roman" w:cs="Times New Roman"/>
          <w:sz w:val="26"/>
          <w:szCs w:val="26"/>
        </w:rPr>
        <w:t xml:space="preserve">responsibilities and obligations of requestors and respondents of that data. </w:t>
      </w:r>
      <w:r w:rsidRPr="00A2084E" w:rsidR="00CE68CF">
        <w:rPr>
          <w:rFonts w:ascii="Times New Roman" w:hAnsi="Times New Roman" w:cs="Times New Roman"/>
          <w:sz w:val="26"/>
          <w:szCs w:val="26"/>
        </w:rPr>
        <w:t xml:space="preserve"> P</w:t>
      </w:r>
      <w:r w:rsidRPr="00A2084E" w:rsidR="00E52D63">
        <w:rPr>
          <w:rFonts w:ascii="Times New Roman" w:hAnsi="Times New Roman" w:cs="Times New Roman"/>
          <w:sz w:val="26"/>
          <w:szCs w:val="26"/>
        </w:rPr>
        <w:t>rovides plann</w:t>
      </w:r>
      <w:r w:rsidRPr="00A2084E" w:rsidR="00621C29">
        <w:rPr>
          <w:rFonts w:ascii="Times New Roman" w:hAnsi="Times New Roman" w:cs="Times New Roman"/>
          <w:sz w:val="26"/>
          <w:szCs w:val="26"/>
        </w:rPr>
        <w:t>ers and operators access to</w:t>
      </w:r>
      <w:r w:rsidRPr="00A2084E" w:rsidR="00E52D63">
        <w:rPr>
          <w:rFonts w:ascii="Times New Roman" w:hAnsi="Times New Roman" w:cs="Times New Roman"/>
          <w:sz w:val="26"/>
          <w:szCs w:val="26"/>
        </w:rPr>
        <w:t xml:space="preserve"> actual and forecast demand and energy data as neede</w:t>
      </w:r>
      <w:r w:rsidRPr="00A2084E" w:rsidR="0040192F">
        <w:rPr>
          <w:rFonts w:ascii="Times New Roman" w:hAnsi="Times New Roman" w:cs="Times New Roman"/>
          <w:sz w:val="26"/>
          <w:szCs w:val="26"/>
        </w:rPr>
        <w:t xml:space="preserve">d to perform </w:t>
      </w:r>
      <w:r w:rsidRPr="00A2084E" w:rsidR="00C676C1">
        <w:rPr>
          <w:rFonts w:ascii="Times New Roman" w:hAnsi="Times New Roman" w:cs="Times New Roman"/>
          <w:sz w:val="26"/>
          <w:szCs w:val="26"/>
        </w:rPr>
        <w:t xml:space="preserve">resource </w:t>
      </w:r>
      <w:r w:rsidRPr="00A2084E" w:rsidR="0040192F">
        <w:rPr>
          <w:rFonts w:ascii="Times New Roman" w:hAnsi="Times New Roman" w:cs="Times New Roman"/>
          <w:sz w:val="26"/>
          <w:szCs w:val="26"/>
        </w:rPr>
        <w:t xml:space="preserve">adequacy studies. </w:t>
      </w:r>
    </w:p>
    <w:p w:rsidR="00CE0343" w:rsidRPr="00A2084E" w:rsidP="006100AC" w14:paraId="5AFD581C" w14:textId="4D1D169D">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M3. </w:t>
      </w:r>
      <w:r w:rsidRPr="00A2084E">
        <w:rPr>
          <w:rFonts w:ascii="Times New Roman" w:hAnsi="Times New Roman" w:cs="Times New Roman"/>
          <w:sz w:val="26"/>
          <w:szCs w:val="26"/>
        </w:rPr>
        <w:t>Each Transmission Owner will have evidence that it performed the verification, such as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a completed Attachment 2 or the Transmission Owner form with equivalent</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information or dated information collected and used to complete attachments, and will</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have evidence that it submitted the information within 90 days to its Transmission</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Planner; such as dated electronic mail messages or mail receipts in accordance with</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Requirement R3.</w:t>
      </w:r>
    </w:p>
    <w:p w:rsidR="00152BA3" w:rsidRPr="00A2084E" w:rsidP="00152BA3" w14:paraId="0DF05086" w14:textId="77777777">
      <w:pPr>
        <w:spacing w:after="0"/>
        <w:rPr>
          <w:rFonts w:ascii="Times New Roman" w:hAnsi="Times New Roman" w:cs="Times New Roman"/>
          <w:b/>
          <w:bCs/>
          <w:sz w:val="26"/>
          <w:szCs w:val="26"/>
        </w:rPr>
      </w:pPr>
      <w:r w:rsidRPr="00A2084E">
        <w:rPr>
          <w:rFonts w:ascii="Times New Roman" w:hAnsi="Times New Roman" w:cs="Times New Roman"/>
          <w:b/>
          <w:bCs/>
          <w:sz w:val="26"/>
          <w:szCs w:val="26"/>
        </w:rPr>
        <w:t>Evidence Retention</w:t>
      </w:r>
    </w:p>
    <w:p w:rsidR="00152BA3" w:rsidRPr="00A2084E" w:rsidP="00152BA3" w14:paraId="6EA2345B" w14:textId="724B6ADD">
      <w:pPr>
        <w:spacing w:after="0"/>
        <w:rPr>
          <w:rFonts w:ascii="Times New Roman" w:hAnsi="Times New Roman" w:cs="Times New Roman"/>
          <w:sz w:val="26"/>
          <w:szCs w:val="26"/>
        </w:rPr>
      </w:pPr>
      <w:r w:rsidRPr="00A2084E">
        <w:rPr>
          <w:rFonts w:ascii="Times New Roman" w:hAnsi="Times New Roman" w:cs="Times New Roman"/>
          <w:sz w:val="26"/>
          <w:szCs w:val="26"/>
        </w:rPr>
        <w:t>The following evidence retention periods identify a period of time an entity is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required to retain specific evidence to demonstrate compliance. For instances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where the evidence retention specified below is shorter than the time since the last</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 xml:space="preserve">compliance audit, the </w:t>
      </w:r>
      <w:r w:rsidRPr="00A2084E">
        <w:rPr>
          <w:rFonts w:ascii="Times New Roman" w:hAnsi="Times New Roman" w:cs="Times New Roman"/>
          <w:sz w:val="26"/>
          <w:szCs w:val="26"/>
        </w:rPr>
        <w:t>Compliance Enforcement Authority may ask an entity to</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provide other evidence to show that it was compliant for the full time period since</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the last audit.</w:t>
      </w:r>
    </w:p>
    <w:p w:rsidR="00764008" w:rsidRPr="00A2084E" w:rsidP="00152BA3" w14:paraId="1B6814EF" w14:textId="77777777">
      <w:pPr>
        <w:spacing w:after="0"/>
        <w:rPr>
          <w:rFonts w:ascii="Times New Roman" w:hAnsi="Times New Roman" w:cs="Times New Roman"/>
          <w:sz w:val="26"/>
          <w:szCs w:val="26"/>
        </w:rPr>
      </w:pPr>
    </w:p>
    <w:p w:rsidR="00152BA3" w:rsidRPr="00A2084E" w:rsidP="00152BA3" w14:paraId="287CF90E" w14:textId="6C12D6D8">
      <w:pPr>
        <w:spacing w:after="0"/>
        <w:rPr>
          <w:rFonts w:ascii="Times New Roman" w:hAnsi="Times New Roman" w:cs="Times New Roman"/>
          <w:sz w:val="26"/>
          <w:szCs w:val="26"/>
        </w:rPr>
      </w:pPr>
      <w:r w:rsidRPr="00A2084E">
        <w:rPr>
          <w:rFonts w:ascii="Times New Roman" w:hAnsi="Times New Roman" w:cs="Times New Roman"/>
          <w:sz w:val="26"/>
          <w:szCs w:val="26"/>
        </w:rPr>
        <w:t>The Generator Owner and Transmission Owner shall each keep the data or</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evidence to show compliance as identified below, unless directed by its</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Compliance Enforcement Authority to retain specific evidence for a longer period</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of time as part of an investigation:</w:t>
      </w:r>
    </w:p>
    <w:p w:rsidR="00152BA3" w:rsidRPr="00A2084E" w:rsidP="00E4624E" w14:paraId="3C57CBC7" w14:textId="449072D3">
      <w:pPr>
        <w:pStyle w:val="ListParagraph"/>
        <w:numPr>
          <w:ilvl w:val="0"/>
          <w:numId w:val="18"/>
        </w:numPr>
        <w:spacing w:after="0"/>
        <w:rPr>
          <w:rFonts w:ascii="Times New Roman" w:hAnsi="Times New Roman" w:cs="Times New Roman"/>
          <w:sz w:val="26"/>
          <w:szCs w:val="26"/>
        </w:rPr>
      </w:pPr>
      <w:r w:rsidRPr="00A2084E">
        <w:rPr>
          <w:rFonts w:ascii="Times New Roman" w:hAnsi="Times New Roman" w:cs="Times New Roman"/>
          <w:sz w:val="26"/>
          <w:szCs w:val="26"/>
        </w:rPr>
        <w:t>The Generator Owner shall retain the latest MOD-025 Attachment 2 and</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the data behind Attachment 2 or Generator Owner form with equivalent</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information and submittal evidence for Requirements R1 and R2,</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Measures M1 and M2 for the time period since the last compliance</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audit.</w:t>
      </w:r>
    </w:p>
    <w:p w:rsidR="00152BA3" w:rsidRPr="00A2084E" w:rsidP="00E4624E" w14:paraId="6CEF4D3A" w14:textId="3BCEADE8">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The Transmission Owner shall retain the latest MOD-025 Attachment 2</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and the data behind Attachment 2 or Transmission Owner form with</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equivalent information and submittal evidence for Requirement R3,</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Measure M3 for the time period since the last compliance audit.</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If a Generator Owner or Transmission Owner is found noncompliant, it shall keep</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information related to the noncompliance until mitigation is complete or for the</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time specified above, whichever is longer.</w:t>
      </w:r>
    </w:p>
    <w:p w:rsidR="006100AC" w:rsidRPr="00A2084E" w:rsidP="00152BA3" w14:paraId="5BF17A82" w14:textId="02F27B52">
      <w:pPr>
        <w:spacing w:after="0"/>
        <w:rPr>
          <w:rFonts w:ascii="Times New Roman" w:hAnsi="Times New Roman" w:cs="Times New Roman"/>
          <w:sz w:val="26"/>
          <w:szCs w:val="26"/>
        </w:rPr>
      </w:pPr>
      <w:r w:rsidRPr="00A2084E">
        <w:rPr>
          <w:rFonts w:ascii="Times New Roman" w:hAnsi="Times New Roman" w:cs="Times New Roman"/>
          <w:sz w:val="26"/>
          <w:szCs w:val="26"/>
        </w:rPr>
        <w:t>The Compliance Enforcement Authority shall keep the last audit records and all</w:t>
      </w:r>
      <w:r w:rsidRPr="00A2084E" w:rsidR="00764008">
        <w:rPr>
          <w:rFonts w:ascii="Times New Roman" w:hAnsi="Times New Roman" w:cs="Times New Roman"/>
          <w:sz w:val="26"/>
          <w:szCs w:val="26"/>
        </w:rPr>
        <w:t xml:space="preserve"> </w:t>
      </w:r>
      <w:r w:rsidRPr="00A2084E">
        <w:rPr>
          <w:rFonts w:ascii="Times New Roman" w:hAnsi="Times New Roman" w:cs="Times New Roman"/>
          <w:sz w:val="26"/>
          <w:szCs w:val="26"/>
        </w:rPr>
        <w:t>requested and submitted subsequent audit records.</w:t>
      </w:r>
    </w:p>
    <w:p w:rsidR="008A79A2" w:rsidRPr="00A2084E" w:rsidP="00152BA3" w14:paraId="1B2053F7" w14:textId="4241F43C">
      <w:pPr>
        <w:spacing w:after="0"/>
        <w:rPr>
          <w:rFonts w:ascii="Times New Roman" w:hAnsi="Times New Roman" w:cs="Times New Roman"/>
          <w:sz w:val="26"/>
          <w:szCs w:val="26"/>
        </w:rPr>
      </w:pPr>
    </w:p>
    <w:p w:rsidR="008A79A2" w:rsidRPr="00A2084E" w:rsidP="008A79A2" w14:paraId="1EC7ADC5" w14:textId="40B21767">
      <w:pPr>
        <w:spacing w:after="0"/>
        <w:rPr>
          <w:rFonts w:ascii="Times New Roman" w:hAnsi="Times New Roman" w:cs="Times New Roman"/>
          <w:b/>
          <w:bCs/>
          <w:sz w:val="26"/>
          <w:szCs w:val="26"/>
        </w:rPr>
      </w:pPr>
      <w:r w:rsidRPr="00A2084E">
        <w:rPr>
          <w:rFonts w:ascii="Times New Roman" w:hAnsi="Times New Roman" w:cs="Times New Roman"/>
          <w:b/>
          <w:bCs/>
          <w:sz w:val="26"/>
          <w:szCs w:val="26"/>
        </w:rPr>
        <w:t>Reliability Standard MOD 26-</w:t>
      </w:r>
      <w:r w:rsidRPr="00A2084E" w:rsidR="002C283D">
        <w:rPr>
          <w:rFonts w:ascii="Times New Roman" w:hAnsi="Times New Roman" w:cs="Times New Roman"/>
          <w:b/>
          <w:bCs/>
          <w:sz w:val="26"/>
          <w:szCs w:val="26"/>
        </w:rPr>
        <w:t>2</w:t>
      </w:r>
    </w:p>
    <w:p w:rsidR="008A79A2" w:rsidRPr="00A2084E" w:rsidP="008A79A2" w14:paraId="6D621377"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Requirements </w:t>
      </w:r>
    </w:p>
    <w:p w:rsidR="008A79A2" w:rsidRPr="00A2084E" w:rsidP="008A79A2" w14:paraId="66919F35" w14:textId="4EE89E62">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R1. </w:t>
      </w:r>
      <w:r w:rsidRPr="00A2084E">
        <w:rPr>
          <w:rFonts w:ascii="Times New Roman" w:hAnsi="Times New Roman" w:cs="Times New Roman"/>
          <w:sz w:val="26"/>
          <w:szCs w:val="26"/>
        </w:rPr>
        <w:t>Each Transmission Planner shall provide the following requested information to the Generator Owner within 90 calendar days of receiving a written request</w:t>
      </w:r>
      <w:r w:rsidRPr="00A2084E" w:rsidR="00CE0343">
        <w:rPr>
          <w:rFonts w:ascii="Times New Roman" w:hAnsi="Times New Roman" w:cs="Times New Roman"/>
          <w:sz w:val="26"/>
          <w:szCs w:val="26"/>
        </w:rPr>
        <w:t>:</w:t>
      </w:r>
    </w:p>
    <w:p w:rsidR="008A79A2" w:rsidRPr="00A2084E" w:rsidP="00CE0343" w14:paraId="7B95B281" w14:textId="01EEB0AD">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Instructions on how to obtain the list of excitation control system or plant volt/var control function models that are acceptable to the Transmission Planner for use in dynamic simulation, </w:t>
      </w:r>
    </w:p>
    <w:p w:rsidR="008A79A2" w:rsidRPr="00A2084E" w:rsidP="00CE0343" w14:paraId="38EE018A" w14:textId="251FE8FB">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Instructions on how to obtain the dynamic excitation control system or plant volt/var control function model library block diagrams and/or data sheets for models that are acceptable to the Transmission Planner, or </w:t>
      </w:r>
    </w:p>
    <w:p w:rsidR="008A79A2" w:rsidRPr="00A2084E" w:rsidP="00CE0343" w14:paraId="1DBDDC95" w14:textId="55718765">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Model data for any of the Generator Owner’s existing applicable unit specific excitation control system or plant volt/var control function contained in the Transmission Planner’s dynamic database from the current (in-use) models, including generator MVA base. </w:t>
      </w:r>
    </w:p>
    <w:p w:rsidR="008A79A2" w:rsidRPr="00A2084E" w:rsidP="008A79A2" w14:paraId="7B8412AB" w14:textId="314294C6">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R2. </w:t>
      </w:r>
      <w:r w:rsidRPr="00A2084E">
        <w:rPr>
          <w:rFonts w:ascii="Times New Roman" w:hAnsi="Times New Roman" w:cs="Times New Roman"/>
          <w:sz w:val="26"/>
          <w:szCs w:val="26"/>
        </w:rPr>
        <w:t>Each Generator Owner shall provide for each applicable unit, a verified generator excitation control system or plant volt/var control function model, including documentation and data (as specified in Part 2.1) to its Transmission Planner in accordance with the periodicity specified in MOD-026.</w:t>
      </w:r>
    </w:p>
    <w:p w:rsidR="008A79A2" w:rsidRPr="00A2084E" w:rsidP="008A79A2" w14:paraId="14CD16D9"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R3. </w:t>
      </w:r>
      <w:r w:rsidRPr="00A2084E">
        <w:rPr>
          <w:rFonts w:ascii="Times New Roman" w:hAnsi="Times New Roman" w:cs="Times New Roman"/>
          <w:sz w:val="26"/>
          <w:szCs w:val="26"/>
        </w:rPr>
        <w:t xml:space="preserve">Each Generator Owner shall provide a written response to its Transmission Planner within 90 calendar days of receiving one of the following items for an applicable unit: </w:t>
      </w:r>
    </w:p>
    <w:p w:rsidR="008A79A2" w:rsidRPr="00A2084E" w:rsidP="00CE0343" w14:paraId="1AF23C74" w14:textId="6D9296C7">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Written notification from its Transmission Planner (in accordance with Requirement R6) that the excitation control system or plant volt/var control function model is not usable, </w:t>
      </w:r>
    </w:p>
    <w:p w:rsidR="008A79A2" w:rsidRPr="00A2084E" w:rsidP="00CE0343" w14:paraId="5A05FBC4" w14:textId="6E96D6DE">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Written comments from its Transmission Planner identifying technical concerns with the verification documentation related to the excitation control system or plant volt/var control function model, or </w:t>
      </w:r>
    </w:p>
    <w:p w:rsidR="008A79A2" w:rsidRPr="00A2084E" w:rsidP="00CE0343" w14:paraId="32986EF0" w14:textId="513B49D4">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Written comments and supporting evidence from its Transmission Planner indicating that the simulated excitation control system or plant volt/var control function model response did not match the recorded response to a transmission system event. </w:t>
      </w:r>
    </w:p>
    <w:p w:rsidR="008A79A2" w:rsidRPr="00A2084E" w:rsidP="008A79A2" w14:paraId="1CE4B3C6" w14:textId="4D80F927">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 written response shall contain either the technical basis for maintaining the current model, the model changes, or a plan to perform model verification3 (in accordance with Requirement R2). </w:t>
      </w:r>
    </w:p>
    <w:p w:rsidR="008A79A2" w:rsidRPr="00A2084E" w:rsidP="008A79A2" w14:paraId="204E8E04" w14:textId="12C08DDB">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R4. </w:t>
      </w:r>
      <w:r w:rsidRPr="00A2084E">
        <w:rPr>
          <w:rFonts w:ascii="Times New Roman" w:hAnsi="Times New Roman" w:cs="Times New Roman"/>
          <w:sz w:val="26"/>
          <w:szCs w:val="26"/>
        </w:rPr>
        <w:t>Each Generator Owner shall provide revised model data or plans to perform model verification4 (in accordance with Requirement R2) for an applicable unit to its Transmission Planner within 180 calendar days of making changes to the excitation control system or plant volt/var control function that alter the equipment response characteristic.</w:t>
      </w:r>
      <w:r w:rsidRPr="00A2084E">
        <w:rPr>
          <w:rFonts w:ascii="Times New Roman" w:hAnsi="Times New Roman" w:cs="Times New Roman"/>
          <w:i/>
          <w:iCs/>
          <w:sz w:val="26"/>
          <w:szCs w:val="26"/>
        </w:rPr>
        <w:t xml:space="preserve"> </w:t>
      </w:r>
    </w:p>
    <w:p w:rsidR="008A79A2" w:rsidRPr="00A2084E" w:rsidP="008A79A2" w14:paraId="00AAE46E" w14:textId="2B71AAB1">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R5. </w:t>
      </w:r>
      <w:r w:rsidRPr="00A2084E">
        <w:rPr>
          <w:rFonts w:ascii="Times New Roman" w:hAnsi="Times New Roman" w:cs="Times New Roman"/>
          <w:sz w:val="26"/>
          <w:szCs w:val="26"/>
        </w:rPr>
        <w:t xml:space="preserve">Each Generator Owner shall provide a written response to its Transmission Planner, within 90 calendar days following receipt of a technically justified unit request from the Transmission Planner to perform a model review of a unit or plant that includes one of the following: </w:t>
      </w:r>
    </w:p>
    <w:p w:rsidR="008A79A2" w:rsidRPr="00A2084E" w:rsidP="00DF55A8" w14:paraId="370A138C" w14:textId="0622C48A">
      <w:pPr>
        <w:pStyle w:val="ListParagraph"/>
        <w:numPr>
          <w:ilvl w:val="0"/>
          <w:numId w:val="22"/>
        </w:numPr>
        <w:spacing w:after="0"/>
        <w:rPr>
          <w:rFonts w:ascii="Times New Roman" w:hAnsi="Times New Roman" w:cs="Times New Roman"/>
          <w:sz w:val="26"/>
          <w:szCs w:val="26"/>
        </w:rPr>
      </w:pPr>
      <w:r w:rsidRPr="00A2084E">
        <w:rPr>
          <w:rFonts w:ascii="Times New Roman" w:hAnsi="Times New Roman" w:cs="Times New Roman"/>
          <w:sz w:val="26"/>
          <w:szCs w:val="26"/>
        </w:rPr>
        <w:t xml:space="preserve">Details of plans to verify the model (in accordance with Requirement R2), or </w:t>
      </w:r>
    </w:p>
    <w:p w:rsidR="008A79A2" w:rsidRPr="00A2084E" w:rsidP="00DF55A8" w14:paraId="189CB58F" w14:textId="2359F073">
      <w:pPr>
        <w:pStyle w:val="ListParagraph"/>
        <w:numPr>
          <w:ilvl w:val="0"/>
          <w:numId w:val="22"/>
        </w:numPr>
        <w:spacing w:after="0"/>
        <w:rPr>
          <w:rFonts w:ascii="Times New Roman" w:hAnsi="Times New Roman" w:cs="Times New Roman"/>
          <w:sz w:val="26"/>
          <w:szCs w:val="26"/>
        </w:rPr>
      </w:pPr>
      <w:r w:rsidRPr="00A2084E">
        <w:rPr>
          <w:rFonts w:ascii="Times New Roman" w:hAnsi="Times New Roman" w:cs="Times New Roman"/>
          <w:sz w:val="26"/>
          <w:szCs w:val="26"/>
        </w:rPr>
        <w:t xml:space="preserve">Corrected model data including the source of revised model data such as discovery of manufacturer test values to replace generic model data or updating of data parameters based on an on-site review of the equipment. </w:t>
      </w:r>
    </w:p>
    <w:p w:rsidR="008A79A2" w:rsidRPr="00A2084E" w:rsidP="008A79A2" w14:paraId="4EEDE9C4"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R6. </w:t>
      </w:r>
      <w:r w:rsidRPr="00A2084E">
        <w:rPr>
          <w:rFonts w:ascii="Times New Roman" w:hAnsi="Times New Roman" w:cs="Times New Roman"/>
          <w:sz w:val="26"/>
          <w:szCs w:val="26"/>
        </w:rPr>
        <w:t xml:space="preserve">Each Transmission Planner shall provide a written response to the Generator Owner within 90 calendar days of receiving the verified excitation control system or plant volt/var control function model information in accordance with Requirement R2 that the model is usable (meets the criteria specified in Parts 6.1 through 6.3) or is not usable. </w:t>
      </w:r>
    </w:p>
    <w:p w:rsidR="008A79A2" w:rsidRPr="00A2084E" w:rsidP="008A79A2" w14:paraId="182DF499"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6.1. </w:t>
      </w:r>
      <w:r w:rsidRPr="00A2084E">
        <w:rPr>
          <w:rFonts w:ascii="Times New Roman" w:hAnsi="Times New Roman" w:cs="Times New Roman"/>
          <w:sz w:val="26"/>
          <w:szCs w:val="26"/>
        </w:rPr>
        <w:t xml:space="preserve">The excitation control system or plant volt/var control function model initializes to compute modeling data without error, </w:t>
      </w:r>
    </w:p>
    <w:p w:rsidR="008A79A2" w:rsidRPr="00A2084E" w:rsidP="008A79A2" w14:paraId="360D56BE"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6.2. </w:t>
      </w:r>
      <w:r w:rsidRPr="00A2084E">
        <w:rPr>
          <w:rFonts w:ascii="Times New Roman" w:hAnsi="Times New Roman" w:cs="Times New Roman"/>
          <w:sz w:val="26"/>
          <w:szCs w:val="26"/>
        </w:rPr>
        <w:t xml:space="preserve">A no-disturbance simulation results in negligible transients, and </w:t>
      </w:r>
    </w:p>
    <w:p w:rsidR="008A79A2" w:rsidRPr="00A2084E" w:rsidP="008A79A2" w14:paraId="38C5839A"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6.3. </w:t>
      </w:r>
      <w:r w:rsidRPr="00A2084E">
        <w:rPr>
          <w:rFonts w:ascii="Times New Roman" w:hAnsi="Times New Roman" w:cs="Times New Roman"/>
          <w:sz w:val="26"/>
          <w:szCs w:val="26"/>
        </w:rPr>
        <w:t xml:space="preserve">For an otherwise stable simulation, a disturbance simulation results in the excitation control and plant volt/var control function model exhibiting positive damping. </w:t>
      </w:r>
    </w:p>
    <w:p w:rsidR="008A79A2" w:rsidRPr="00A2084E" w:rsidP="008A79A2" w14:paraId="6C1A3CBE" w14:textId="2151AD23">
      <w:pPr>
        <w:spacing w:after="0"/>
        <w:rPr>
          <w:rFonts w:ascii="Times New Roman" w:hAnsi="Times New Roman" w:cs="Times New Roman"/>
          <w:sz w:val="26"/>
          <w:szCs w:val="26"/>
        </w:rPr>
      </w:pPr>
      <w:r w:rsidRPr="00A2084E">
        <w:rPr>
          <w:rFonts w:ascii="Times New Roman" w:hAnsi="Times New Roman" w:cs="Times New Roman"/>
          <w:sz w:val="26"/>
          <w:szCs w:val="26"/>
        </w:rPr>
        <w:t xml:space="preserve">If the model is not usable, the Transmission Planner shall provide a technical description of why the model is not usable. </w:t>
      </w:r>
    </w:p>
    <w:p w:rsidR="008A79A2" w:rsidRPr="00A2084E" w:rsidP="008A79A2" w14:paraId="45994407" w14:textId="632BC5D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Measures </w:t>
      </w:r>
    </w:p>
    <w:p w:rsidR="008A79A2" w:rsidRPr="00A2084E" w:rsidP="008A79A2" w14:paraId="23D395E3"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M1. </w:t>
      </w:r>
      <w:r w:rsidRPr="00A2084E">
        <w:rPr>
          <w:rFonts w:ascii="Times New Roman" w:hAnsi="Times New Roman" w:cs="Times New Roman"/>
          <w:sz w:val="26"/>
          <w:szCs w:val="26"/>
        </w:rPr>
        <w:t xml:space="preserve">The Transmission Planner must have and provide the dated request for instructions or data, the transmitted instructions or data, and dated evidence of a written transmittal (e.g., electronic mail message, postal receipt, or confirmation of facsimile) as evidence that it provided the request within 90 calendar days in accordance with Requirement R1. </w:t>
      </w:r>
    </w:p>
    <w:p w:rsidR="008A79A2" w:rsidRPr="00A2084E" w:rsidP="008A79A2" w14:paraId="0729FB09"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M2. </w:t>
      </w:r>
      <w:r w:rsidRPr="00A2084E">
        <w:rPr>
          <w:rFonts w:ascii="Times New Roman" w:hAnsi="Times New Roman" w:cs="Times New Roman"/>
          <w:sz w:val="26"/>
          <w:szCs w:val="26"/>
        </w:rPr>
        <w:t xml:space="preserve">The Generator Owner must have and provide dated evidence it verified each generator excitation control system or plant volt/var control function model according to Part 2.1 for each applicable unit and a dated transmittal (e.g., electronic mail message, postal receipt, or confirmation of facsimile) as evidence it provided the model, documentation, and data to its Transmission Planner, in accordance with Requirement R2. </w:t>
      </w:r>
    </w:p>
    <w:p w:rsidR="008A79A2" w:rsidRPr="00A2084E" w:rsidP="008A79A2" w14:paraId="27500CED" w14:textId="308A0563">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M3. </w:t>
      </w:r>
      <w:r w:rsidRPr="00A2084E">
        <w:rPr>
          <w:rFonts w:ascii="Times New Roman" w:hAnsi="Times New Roman" w:cs="Times New Roman"/>
          <w:sz w:val="26"/>
          <w:szCs w:val="26"/>
        </w:rPr>
        <w:t xml:space="preserve">Evidence for Requirement R3 must include the Generator Owner’s dated written response containing the information identified in Requirement R3 and dated evidence of transmittal (e.g., electronic mail message, postal receipt, or confirmation of facsimile) of the response. </w:t>
      </w:r>
    </w:p>
    <w:p w:rsidR="008A79A2" w:rsidRPr="00A2084E" w:rsidP="008A79A2" w14:paraId="450CB12C"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M4. </w:t>
      </w:r>
      <w:r w:rsidRPr="00A2084E">
        <w:rPr>
          <w:rFonts w:ascii="Times New Roman" w:hAnsi="Times New Roman" w:cs="Times New Roman"/>
          <w:sz w:val="26"/>
          <w:szCs w:val="26"/>
        </w:rPr>
        <w:t xml:space="preserve">Evidence for Requirement R4 must include, for each of the Generator Owner’s applicable units for which system changes specified in Requirement R4 were made, a dated revised model data or plans to perform a model verification and dated evidence (e.g., electronic mail message, postal receipt, or confirmation of facsimile) it provided the revised model and data or plans within 180 calendar days of making changes. </w:t>
      </w:r>
    </w:p>
    <w:p w:rsidR="008A79A2" w:rsidRPr="00A2084E" w:rsidP="008A79A2" w14:paraId="12F5ACFE"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M5. </w:t>
      </w:r>
      <w:r w:rsidRPr="00A2084E">
        <w:rPr>
          <w:rFonts w:ascii="Times New Roman" w:hAnsi="Times New Roman" w:cs="Times New Roman"/>
          <w:sz w:val="26"/>
          <w:szCs w:val="26"/>
        </w:rPr>
        <w:t xml:space="preserve">Evidence for Requirement R5 must include the Generator Owner’s dated written response containing the information identified in Requirement R5 and dated evidence (e.g., electronic mail message, postal receipt, or confirmation of facsimile) it provided a written response within 90 calendar days following receipt of a technically justified request. </w:t>
      </w:r>
    </w:p>
    <w:p w:rsidR="003E295A" w:rsidRPr="00A2084E" w:rsidP="003E295A" w14:paraId="2E14CF02" w14:textId="62522C2C">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M6. </w:t>
      </w:r>
      <w:r w:rsidRPr="00A2084E">
        <w:rPr>
          <w:rFonts w:ascii="Times New Roman" w:hAnsi="Times New Roman" w:cs="Times New Roman"/>
          <w:sz w:val="26"/>
          <w:szCs w:val="26"/>
        </w:rPr>
        <w:t xml:space="preserve">Evidence of Requirement R6 must include, for each model received, the dated response indicating the model was usable or not usable according to the criteria specified in Parts 6.1 through 6.3 and for a model that is not usable, a technical description; and dated evidence of transmittal (e.g., electronic mail message, postal receipt, or </w:t>
      </w:r>
      <w:r w:rsidRPr="00A2084E">
        <w:rPr>
          <w:rFonts w:ascii="Times New Roman" w:hAnsi="Times New Roman" w:cs="Times New Roman"/>
          <w:sz w:val="26"/>
          <w:szCs w:val="26"/>
        </w:rPr>
        <w:t xml:space="preserve">confirmation of facsimile) that the Generator Owner was notified within 90 calendar days of receipt of model inform </w:t>
      </w:r>
    </w:p>
    <w:p w:rsidR="003E295A" w:rsidRPr="00A2084E" w:rsidP="003E295A" w14:paraId="6F564CD3"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Data Retention </w:t>
      </w:r>
    </w:p>
    <w:p w:rsidR="003E295A" w:rsidRPr="00A2084E" w:rsidP="003E295A" w14:paraId="5CCE3755" w14:textId="77777777">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 following evidence retention periods identify the period of time an entity is required to retain specific evidence to demonstrate compliance. For instances where the evidence retention period specified below is shorter than the time since the last audit, the Compliance Enforcement Authority may ask an entity to provide other evidence to show that it was compliant for the full time period since the last audit. </w:t>
      </w:r>
    </w:p>
    <w:p w:rsidR="003E295A" w:rsidRPr="00A2084E" w:rsidP="003E295A" w14:paraId="6E2D9B4E" w14:textId="77777777">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 Generator Owner and Transmission Planner shall each keep data or evidence to show compliance as identified below unless directed by its Compliance Enforcement Authority to retain specific evidence for a longer period of time as part of an investigation: </w:t>
      </w:r>
    </w:p>
    <w:p w:rsidR="003E295A" w:rsidRPr="00A2084E" w:rsidP="00EF7774" w14:paraId="28713EAC" w14:textId="60D4F197">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The Transmission Planner shall retain the information/data request and provided response evidence of Requirements R1 and R6, Measures M1 and M6 for three calendar years from the date the document was provided.</w:t>
      </w:r>
    </w:p>
    <w:p w:rsidR="003E295A" w:rsidRPr="00A2084E" w:rsidP="003E295A" w14:paraId="1B7E19BD" w14:textId="2C59EF0F">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The Generator Owner shall retain the latest excitation control system or plant volt/var control function model verification evidence of Requirement R2, Measure M2. </w:t>
      </w:r>
    </w:p>
    <w:p w:rsidR="003E295A" w:rsidRPr="00A2084E" w:rsidP="003E295A" w14:paraId="4FAE258D" w14:textId="151AEC6D">
      <w:pPr>
        <w:pStyle w:val="ListParagraph"/>
        <w:numPr>
          <w:ilvl w:val="0"/>
          <w:numId w:val="17"/>
        </w:numPr>
        <w:spacing w:after="0"/>
        <w:rPr>
          <w:rFonts w:ascii="Times New Roman" w:hAnsi="Times New Roman" w:cs="Times New Roman"/>
          <w:sz w:val="26"/>
          <w:szCs w:val="26"/>
        </w:rPr>
      </w:pPr>
      <w:r w:rsidRPr="00A2084E">
        <w:rPr>
          <w:rFonts w:ascii="Times New Roman" w:hAnsi="Times New Roman" w:cs="Times New Roman"/>
          <w:sz w:val="26"/>
          <w:szCs w:val="26"/>
        </w:rPr>
        <w:t xml:space="preserve">The Generator Owner shall retain the information/data request and provided response evidence of Requirements R3 through R5, and Measures M3 through M5 for three calendar years from the date the document was provided. </w:t>
      </w:r>
    </w:p>
    <w:p w:rsidR="003E295A" w:rsidRPr="00A2084E" w:rsidP="003E295A" w14:paraId="66E36D69" w14:textId="77777777">
      <w:pPr>
        <w:spacing w:after="0"/>
        <w:rPr>
          <w:rFonts w:ascii="Times New Roman" w:hAnsi="Times New Roman" w:cs="Times New Roman"/>
          <w:sz w:val="26"/>
          <w:szCs w:val="26"/>
        </w:rPr>
      </w:pPr>
      <w:r w:rsidRPr="00A2084E">
        <w:rPr>
          <w:rFonts w:ascii="Times New Roman" w:hAnsi="Times New Roman" w:cs="Times New Roman"/>
          <w:sz w:val="26"/>
          <w:szCs w:val="26"/>
        </w:rPr>
        <w:t xml:space="preserve">If a Generator Owner or Transmission Planner is found non-compliant, it shall keep information related to the non-compliance until mitigation is complete or approved or for the time specified above, whichever is longer. </w:t>
      </w:r>
    </w:p>
    <w:p w:rsidR="00047866" w:rsidRPr="00A2084E" w:rsidP="003E295A" w14:paraId="047CA2E9" w14:textId="43A1FB86">
      <w:pPr>
        <w:spacing w:after="0"/>
        <w:rPr>
          <w:rFonts w:ascii="Times New Roman" w:hAnsi="Times New Roman" w:cs="Times New Roman"/>
          <w:sz w:val="26"/>
          <w:szCs w:val="26"/>
        </w:rPr>
      </w:pPr>
      <w:r w:rsidRPr="00A2084E">
        <w:rPr>
          <w:rFonts w:ascii="Times New Roman" w:hAnsi="Times New Roman" w:cs="Times New Roman"/>
          <w:sz w:val="26"/>
          <w:szCs w:val="26"/>
        </w:rPr>
        <w:t>The Compliance Enforcement Authority shall keep the last audit records and all requested and submitted subsequent audit reco</w:t>
      </w:r>
      <w:r w:rsidRPr="00A2084E" w:rsidR="00A73CCF">
        <w:rPr>
          <w:rFonts w:ascii="Times New Roman" w:hAnsi="Times New Roman" w:cs="Times New Roman"/>
          <w:sz w:val="26"/>
          <w:szCs w:val="26"/>
        </w:rPr>
        <w:t>rds.</w:t>
      </w:r>
    </w:p>
    <w:p w:rsidR="00CE0343" w:rsidRPr="00A2084E" w:rsidP="00CE0343" w14:paraId="61090BBF" w14:textId="77777777">
      <w:pPr>
        <w:spacing w:after="0"/>
        <w:rPr>
          <w:rFonts w:ascii="Times New Roman" w:hAnsi="Times New Roman" w:cs="Times New Roman"/>
          <w:sz w:val="26"/>
          <w:szCs w:val="26"/>
        </w:rPr>
      </w:pPr>
    </w:p>
    <w:p w:rsidR="00621C29" w:rsidRPr="00A2084E" w:rsidP="00E23E64" w14:paraId="41C11352" w14:textId="79694938">
      <w:pPr>
        <w:spacing w:after="0"/>
        <w:rPr>
          <w:rFonts w:ascii="Times New Roman" w:hAnsi="Times New Roman" w:cs="Times New Roman"/>
          <w:sz w:val="26"/>
          <w:szCs w:val="26"/>
        </w:rPr>
      </w:pPr>
      <w:r w:rsidRPr="00A2084E">
        <w:rPr>
          <w:rFonts w:ascii="Times New Roman" w:hAnsi="Times New Roman" w:cs="Times New Roman"/>
          <w:b/>
          <w:bCs/>
          <w:sz w:val="26"/>
          <w:szCs w:val="26"/>
        </w:rPr>
        <w:t>MOD-031-</w:t>
      </w:r>
      <w:r w:rsidRPr="00A2084E" w:rsidR="0047153F">
        <w:rPr>
          <w:rFonts w:ascii="Times New Roman" w:hAnsi="Times New Roman" w:cs="Times New Roman"/>
          <w:b/>
          <w:bCs/>
          <w:sz w:val="26"/>
          <w:szCs w:val="26"/>
        </w:rPr>
        <w:t>3</w:t>
      </w:r>
      <w:r w:rsidRPr="00A2084E">
        <w:rPr>
          <w:rFonts w:ascii="Times New Roman" w:hAnsi="Times New Roman" w:cs="Times New Roman"/>
          <w:sz w:val="26"/>
          <w:szCs w:val="26"/>
        </w:rPr>
        <w:t xml:space="preserve"> contains four requirements:</w:t>
      </w:r>
    </w:p>
    <w:p w:rsidR="0047153F" w:rsidRPr="00A2084E" w:rsidP="00794CB5" w14:paraId="1E5FD766" w14:textId="6E73112B">
      <w:pPr>
        <w:spacing w:after="0"/>
        <w:rPr>
          <w:rFonts w:ascii="Times New Roman" w:hAnsi="Times New Roman" w:cs="Times New Roman"/>
          <w:i/>
          <w:iCs/>
          <w:sz w:val="26"/>
          <w:szCs w:val="26"/>
        </w:rPr>
      </w:pPr>
      <w:r w:rsidRPr="00A2084E">
        <w:rPr>
          <w:rFonts w:ascii="Times New Roman" w:hAnsi="Times New Roman" w:cs="Times New Roman"/>
          <w:b/>
          <w:bCs/>
          <w:sz w:val="26"/>
          <w:szCs w:val="26"/>
        </w:rPr>
        <w:t xml:space="preserve">R1. </w:t>
      </w:r>
      <w:r w:rsidRPr="00A2084E">
        <w:rPr>
          <w:rFonts w:ascii="Times New Roman" w:hAnsi="Times New Roman" w:cs="Times New Roman"/>
          <w:sz w:val="26"/>
          <w:szCs w:val="26"/>
        </w:rPr>
        <w:t>Each Planning Coordinator or Balancing Authority that identifies a need for the</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collection of Total Internal Demand, Net Energy for Load, and Demand Side</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Management data shall develop and issue a data request to the applicable entities in</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 xml:space="preserve">its area. </w:t>
      </w:r>
    </w:p>
    <w:p w:rsidR="0047153F" w:rsidRPr="00A2084E" w:rsidP="0047153F" w14:paraId="22C7EA63" w14:textId="4F669DEC">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1.1. </w:t>
      </w:r>
      <w:r w:rsidRPr="00A2084E">
        <w:rPr>
          <w:rFonts w:ascii="Times New Roman" w:hAnsi="Times New Roman" w:cs="Times New Roman"/>
          <w:sz w:val="26"/>
          <w:szCs w:val="26"/>
        </w:rPr>
        <w:t>A list of Transmission Planners, Balancing Authorities, and Distribution Providers</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that are required to provide the data (“Applicable Entities”).</w:t>
      </w:r>
    </w:p>
    <w:p w:rsidR="0047153F" w:rsidRPr="00A2084E" w:rsidP="0047153F" w14:paraId="09216939" w14:textId="2EC557F4">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1.2. </w:t>
      </w:r>
      <w:r w:rsidRPr="00A2084E">
        <w:rPr>
          <w:rFonts w:ascii="Times New Roman" w:hAnsi="Times New Roman" w:cs="Times New Roman"/>
          <w:sz w:val="26"/>
          <w:szCs w:val="26"/>
        </w:rPr>
        <w:t>A timetable for providing the data. (A minimum of 30 calendar days must be</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allowed for responding to the request).</w:t>
      </w:r>
    </w:p>
    <w:p w:rsidR="0047153F" w:rsidRPr="00A2084E" w:rsidP="0047153F" w14:paraId="61CE6E92"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1.3. </w:t>
      </w:r>
      <w:r w:rsidRPr="00A2084E">
        <w:rPr>
          <w:rFonts w:ascii="Times New Roman" w:hAnsi="Times New Roman" w:cs="Times New Roman"/>
          <w:sz w:val="26"/>
          <w:szCs w:val="26"/>
        </w:rPr>
        <w:t>A request to provide any or all of the following actual data, as necessary:</w:t>
      </w:r>
    </w:p>
    <w:p w:rsidR="0047153F" w:rsidRPr="00A2084E" w:rsidP="0047153F" w14:paraId="4774C017"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1.3.1. </w:t>
      </w:r>
      <w:r w:rsidRPr="00A2084E">
        <w:rPr>
          <w:rFonts w:ascii="Times New Roman" w:hAnsi="Times New Roman" w:cs="Times New Roman"/>
          <w:sz w:val="26"/>
          <w:szCs w:val="26"/>
        </w:rPr>
        <w:t>Integrated hourly Demands in megawatts for the prior calendar year.</w:t>
      </w:r>
    </w:p>
    <w:p w:rsidR="0047153F" w:rsidRPr="00A2084E" w:rsidP="0047153F" w14:paraId="65BE8256" w14:textId="63CBF0B9">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1.3.2. </w:t>
      </w:r>
      <w:r w:rsidRPr="00A2084E">
        <w:rPr>
          <w:rFonts w:ascii="Times New Roman" w:hAnsi="Times New Roman" w:cs="Times New Roman"/>
          <w:sz w:val="26"/>
          <w:szCs w:val="26"/>
        </w:rPr>
        <w:t>Monthly and annual integrated peak hour Demands in megawatts for the</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prior calendar year.</w:t>
      </w:r>
    </w:p>
    <w:p w:rsidR="0047153F" w:rsidRPr="00A2084E" w:rsidP="0047153F" w14:paraId="794DFF4F" w14:textId="7CA515BB">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1.3.2.1. </w:t>
      </w:r>
      <w:r w:rsidRPr="00A2084E">
        <w:rPr>
          <w:rFonts w:ascii="Times New Roman" w:hAnsi="Times New Roman" w:cs="Times New Roman"/>
          <w:sz w:val="26"/>
          <w:szCs w:val="26"/>
        </w:rPr>
        <w:t>If the annual peak hour actual Demand varies due to weather related</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conditions (e.g., temperature, humidity or wind</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speed), the Applicable Entity shall also provide the weather</w:t>
      </w:r>
    </w:p>
    <w:p w:rsidR="0012296A" w:rsidRPr="00A2084E" w:rsidP="0047153F" w14:paraId="78B255AF" w14:textId="643FA6D6">
      <w:pPr>
        <w:spacing w:after="0"/>
        <w:rPr>
          <w:rFonts w:ascii="Times New Roman" w:hAnsi="Times New Roman" w:cs="Times New Roman"/>
          <w:sz w:val="26"/>
          <w:szCs w:val="26"/>
        </w:rPr>
      </w:pPr>
      <w:r w:rsidRPr="00A2084E">
        <w:rPr>
          <w:rFonts w:ascii="Times New Roman" w:hAnsi="Times New Roman" w:cs="Times New Roman"/>
          <w:sz w:val="26"/>
          <w:szCs w:val="26"/>
        </w:rPr>
        <w:t>normalized annual peak hour actual Demand for the prior</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calendar year.</w:t>
      </w:r>
    </w:p>
    <w:p w:rsidR="0047153F" w:rsidRPr="00A2084E" w:rsidP="0047153F" w14:paraId="6AFB9202" w14:textId="78F03BFA">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M1. </w:t>
      </w:r>
      <w:r w:rsidRPr="00A2084E">
        <w:rPr>
          <w:rFonts w:ascii="Times New Roman" w:hAnsi="Times New Roman" w:cs="Times New Roman"/>
          <w:sz w:val="26"/>
          <w:szCs w:val="26"/>
        </w:rPr>
        <w:t>The Planning Coordinator or Balancing Authority shall have a dated data request,</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either in hardcopy or electronic format, in accordance with Requirement R1.</w:t>
      </w:r>
    </w:p>
    <w:p w:rsidR="0047153F" w:rsidRPr="00A2084E" w:rsidP="00794CB5" w14:paraId="3844EBB7" w14:textId="4CED0083">
      <w:pPr>
        <w:spacing w:after="0"/>
        <w:rPr>
          <w:rFonts w:ascii="Times New Roman" w:hAnsi="Times New Roman" w:cs="Times New Roman"/>
          <w:i/>
          <w:iCs/>
          <w:sz w:val="26"/>
          <w:szCs w:val="26"/>
        </w:rPr>
      </w:pPr>
      <w:r w:rsidRPr="00A2084E">
        <w:rPr>
          <w:rFonts w:ascii="Times New Roman" w:hAnsi="Times New Roman" w:cs="Times New Roman"/>
          <w:b/>
          <w:bCs/>
          <w:sz w:val="26"/>
          <w:szCs w:val="26"/>
        </w:rPr>
        <w:t xml:space="preserve">R2. </w:t>
      </w:r>
      <w:r w:rsidRPr="00A2084E">
        <w:rPr>
          <w:rFonts w:ascii="Times New Roman" w:hAnsi="Times New Roman" w:cs="Times New Roman"/>
          <w:sz w:val="26"/>
          <w:szCs w:val="26"/>
        </w:rPr>
        <w:t>Each Applicable Entity identified in a data request shall provide the data requested by</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its Planning Coordinator or Balancing Authority in accordance with the data request</w:t>
      </w:r>
      <w:r w:rsidRPr="00A2084E" w:rsidR="006D50B5">
        <w:rPr>
          <w:rFonts w:ascii="Times New Roman" w:hAnsi="Times New Roman" w:cs="Times New Roman"/>
          <w:sz w:val="26"/>
          <w:szCs w:val="26"/>
        </w:rPr>
        <w:t xml:space="preserve"> </w:t>
      </w:r>
      <w:r w:rsidRPr="00A2084E">
        <w:rPr>
          <w:rFonts w:ascii="Times New Roman" w:hAnsi="Times New Roman" w:cs="Times New Roman"/>
          <w:sz w:val="26"/>
          <w:szCs w:val="26"/>
        </w:rPr>
        <w:t xml:space="preserve">issued pursuant to Requirement R1. </w:t>
      </w:r>
    </w:p>
    <w:p w:rsidR="0047153F" w:rsidRPr="00A2084E" w:rsidP="0047153F" w14:paraId="4713A53F" w14:textId="77777777">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M2. </w:t>
      </w:r>
      <w:r w:rsidRPr="00A2084E">
        <w:rPr>
          <w:rFonts w:ascii="Times New Roman" w:hAnsi="Times New Roman" w:cs="Times New Roman"/>
          <w:sz w:val="26"/>
          <w:szCs w:val="26"/>
        </w:rPr>
        <w:t>Each Applicable Entity shall have evidence, such as dated e-mails or dated transmittal</w:t>
      </w:r>
    </w:p>
    <w:p w:rsidR="0047153F" w:rsidRPr="00A2084E" w:rsidP="0047153F" w14:paraId="57B72C97" w14:textId="77777777">
      <w:pPr>
        <w:spacing w:after="0"/>
        <w:rPr>
          <w:rFonts w:ascii="Times New Roman" w:hAnsi="Times New Roman" w:cs="Times New Roman"/>
          <w:sz w:val="26"/>
          <w:szCs w:val="26"/>
        </w:rPr>
      </w:pPr>
      <w:r w:rsidRPr="00A2084E">
        <w:rPr>
          <w:rFonts w:ascii="Times New Roman" w:hAnsi="Times New Roman" w:cs="Times New Roman"/>
          <w:sz w:val="26"/>
          <w:szCs w:val="26"/>
        </w:rPr>
        <w:t>letters that it provided the requested data in accordance with Requirement R2.</w:t>
      </w:r>
    </w:p>
    <w:p w:rsidR="0047153F" w:rsidRPr="00A2084E" w:rsidP="00794CB5" w14:paraId="53960D19" w14:textId="49B1AD5B">
      <w:pPr>
        <w:spacing w:after="0"/>
        <w:rPr>
          <w:rFonts w:ascii="Times New Roman" w:hAnsi="Times New Roman" w:cs="Times New Roman"/>
          <w:i/>
          <w:iCs/>
          <w:sz w:val="26"/>
          <w:szCs w:val="26"/>
        </w:rPr>
      </w:pPr>
      <w:r w:rsidRPr="00A2084E">
        <w:rPr>
          <w:rFonts w:ascii="Times New Roman" w:hAnsi="Times New Roman" w:cs="Times New Roman"/>
          <w:b/>
          <w:bCs/>
          <w:sz w:val="26"/>
          <w:szCs w:val="26"/>
        </w:rPr>
        <w:t xml:space="preserve">R3. </w:t>
      </w:r>
      <w:r w:rsidRPr="00A2084E">
        <w:rPr>
          <w:rFonts w:ascii="Times New Roman" w:hAnsi="Times New Roman" w:cs="Times New Roman"/>
          <w:sz w:val="26"/>
          <w:szCs w:val="26"/>
        </w:rPr>
        <w:t>The Planning Coordinator or the Balancing Authority shall provide the data listed</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under Requirement R1 Parts 1.3 through 1.5 for their area to the applicable Regional</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Entity within 75 calendar days of receiving a request for such data, unless otherwise</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 xml:space="preserve">agreed upon by the parties. </w:t>
      </w:r>
    </w:p>
    <w:p w:rsidR="0047153F" w:rsidRPr="00A2084E" w:rsidP="0047153F" w14:paraId="4308F13D" w14:textId="01AC04FC">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M3. </w:t>
      </w:r>
      <w:r w:rsidRPr="00A2084E">
        <w:rPr>
          <w:rFonts w:ascii="Times New Roman" w:hAnsi="Times New Roman" w:cs="Times New Roman"/>
          <w:sz w:val="26"/>
          <w:szCs w:val="26"/>
        </w:rPr>
        <w:t>Each Planning Coordinator or Balancing Authority, shall have evidence, such as dated</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e-mails or dated transmittal letters that it provided the data requested by the</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applicable Regional Entity in accordance with Requirement R3.</w:t>
      </w:r>
    </w:p>
    <w:p w:rsidR="0047153F" w:rsidRPr="00A2084E" w:rsidP="0047153F" w14:paraId="082A8692" w14:textId="1DE9A622">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R4. </w:t>
      </w:r>
      <w:r w:rsidRPr="00A2084E">
        <w:rPr>
          <w:rFonts w:ascii="Times New Roman" w:hAnsi="Times New Roman" w:cs="Times New Roman"/>
          <w:sz w:val="26"/>
          <w:szCs w:val="26"/>
        </w:rPr>
        <w:t>Any Applicable Entity shall, in response to a written request for the data included in</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parts 1.3-1.5 of Requirement R1 from a Planning Coordinator, Balancing Authority,</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Transmission Planner or Resource Planner with a demonstrated need for such data in</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order to conduct reliability assessments of the Bulk Electric System, provide or</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otherwise make available that data to the requesting entity. This requirement does</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not modify an entity’s obligation pursuant to Requirement R2 to respond to data</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requests issued by its Planning Coordinator or Balancing Authority pursuant to</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 xml:space="preserve">Requirement R1. </w:t>
      </w:r>
    </w:p>
    <w:p w:rsidR="00C77A60" w:rsidRPr="00A2084E" w:rsidP="0047153F" w14:paraId="022172CD" w14:textId="754B27EC">
      <w:pPr>
        <w:spacing w:after="0"/>
        <w:rPr>
          <w:rFonts w:ascii="Times New Roman" w:hAnsi="Times New Roman" w:cs="Times New Roman"/>
          <w:i/>
          <w:iCs/>
          <w:sz w:val="26"/>
          <w:szCs w:val="26"/>
        </w:rPr>
      </w:pPr>
      <w:r w:rsidRPr="00A2084E">
        <w:rPr>
          <w:rFonts w:ascii="Times New Roman" w:hAnsi="Times New Roman" w:cs="Times New Roman"/>
          <w:sz w:val="26"/>
          <w:szCs w:val="26"/>
        </w:rPr>
        <w:t>This entity:</w:t>
      </w:r>
    </w:p>
    <w:p w:rsidR="0047153F" w:rsidRPr="00A2084E" w:rsidP="0047153F" w14:paraId="62794848" w14:textId="04665B38">
      <w:pPr>
        <w:pStyle w:val="ListParagraph"/>
        <w:numPr>
          <w:ilvl w:val="0"/>
          <w:numId w:val="16"/>
        </w:numPr>
        <w:spacing w:after="0"/>
        <w:rPr>
          <w:rFonts w:ascii="Times New Roman" w:hAnsi="Times New Roman" w:cs="Times New Roman"/>
          <w:sz w:val="26"/>
          <w:szCs w:val="26"/>
        </w:rPr>
      </w:pPr>
      <w:r w:rsidRPr="00A2084E">
        <w:rPr>
          <w:rFonts w:ascii="Times New Roman" w:hAnsi="Times New Roman" w:cs="Times New Roman"/>
          <w:sz w:val="26"/>
          <w:szCs w:val="26"/>
        </w:rPr>
        <w:t>shall not be required to alter the format in which it maintains or uses the data;</w:t>
      </w:r>
    </w:p>
    <w:p w:rsidR="00C77A60" w:rsidRPr="00A2084E" w:rsidP="00E5339A" w14:paraId="3A8CEB88" w14:textId="52662E73">
      <w:pPr>
        <w:pStyle w:val="ListParagraph"/>
        <w:numPr>
          <w:ilvl w:val="0"/>
          <w:numId w:val="16"/>
        </w:numPr>
        <w:spacing w:after="0"/>
        <w:rPr>
          <w:rFonts w:ascii="Times New Roman" w:hAnsi="Times New Roman" w:cs="Times New Roman"/>
          <w:sz w:val="26"/>
          <w:szCs w:val="26"/>
        </w:rPr>
      </w:pPr>
      <w:r w:rsidRPr="00A2084E">
        <w:rPr>
          <w:rFonts w:ascii="Times New Roman" w:hAnsi="Times New Roman" w:cs="Times New Roman"/>
          <w:sz w:val="26"/>
          <w:szCs w:val="26"/>
        </w:rPr>
        <w:t>shall provide the requested data within 45 calendar days of the written request, subject to part 4.1 of this requirement; unless providing the requested data would conflict with the Applicable Entity’s confidentiality, regulatory, or security requirements.</w:t>
      </w:r>
    </w:p>
    <w:p w:rsidR="00D9654A" w:rsidRPr="00A2084E" w:rsidP="00E4624E" w14:paraId="215BBE57" w14:textId="6ACFBA81">
      <w:pPr>
        <w:spacing w:after="0"/>
        <w:rPr>
          <w:rFonts w:ascii="Times New Roman" w:hAnsi="Times New Roman" w:cs="Times New Roman"/>
          <w:sz w:val="26"/>
          <w:szCs w:val="26"/>
        </w:rPr>
      </w:pPr>
      <w:r w:rsidRPr="00A2084E">
        <w:rPr>
          <w:rFonts w:ascii="Times New Roman" w:hAnsi="Times New Roman" w:cs="Times New Roman"/>
          <w:b/>
          <w:bCs/>
          <w:sz w:val="26"/>
          <w:szCs w:val="26"/>
        </w:rPr>
        <w:t>4.1</w:t>
      </w:r>
      <w:r w:rsidRPr="00A2084E">
        <w:rPr>
          <w:rFonts w:ascii="Times New Roman" w:hAnsi="Times New Roman" w:cs="Times New Roman"/>
          <w:sz w:val="26"/>
          <w:szCs w:val="26"/>
        </w:rPr>
        <w:t>. If the Applicable Entity does not provide data requested because (1) the requesting entity did not demonstrate a reliability need for the data; or (2) providing the data would conflict with the Applicable Entity’s confidentiality, regulatory, or security requirements, the Applicable Entity shall, within 30 calendar days of the written request, provide a written response to the requesting entity specifying the data that is not being provided and on what basis.</w:t>
      </w:r>
    </w:p>
    <w:p w:rsidR="0047153F" w:rsidRPr="00A2084E" w:rsidP="0047153F" w14:paraId="453C2DF0" w14:textId="23A8CA5C">
      <w:pPr>
        <w:spacing w:after="0"/>
        <w:rPr>
          <w:rFonts w:ascii="Times New Roman" w:hAnsi="Times New Roman" w:cs="Times New Roman"/>
          <w:sz w:val="26"/>
          <w:szCs w:val="26"/>
        </w:rPr>
      </w:pPr>
      <w:r w:rsidRPr="00A2084E">
        <w:rPr>
          <w:rFonts w:ascii="Times New Roman" w:hAnsi="Times New Roman" w:cs="Times New Roman"/>
          <w:b/>
          <w:bCs/>
          <w:sz w:val="26"/>
          <w:szCs w:val="26"/>
        </w:rPr>
        <w:t xml:space="preserve">M4. </w:t>
      </w:r>
      <w:r w:rsidRPr="00A2084E">
        <w:rPr>
          <w:rFonts w:ascii="Times New Roman" w:hAnsi="Times New Roman" w:cs="Times New Roman"/>
          <w:sz w:val="26"/>
          <w:szCs w:val="26"/>
        </w:rPr>
        <w:t>Each Applicable Entity identified in Requirement R4 shall have evidence such as dated</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e-mails or dated transmittal letters that it provided the data requested or provided a</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written response specifying the data that is not being provided and the basis for not</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providing the data in accordance with Requirement R4.</w:t>
      </w:r>
    </w:p>
    <w:p w:rsidR="0047153F" w:rsidRPr="00A2084E" w:rsidP="0047153F" w14:paraId="1AC28B6E" w14:textId="2061FAFF">
      <w:pPr>
        <w:spacing w:after="0"/>
        <w:rPr>
          <w:rFonts w:ascii="Times New Roman" w:hAnsi="Times New Roman" w:cs="Times New Roman"/>
          <w:b/>
          <w:bCs/>
          <w:sz w:val="26"/>
          <w:szCs w:val="26"/>
        </w:rPr>
      </w:pPr>
      <w:r w:rsidRPr="00A2084E">
        <w:rPr>
          <w:rFonts w:ascii="Times New Roman" w:hAnsi="Times New Roman" w:cs="Times New Roman"/>
          <w:b/>
          <w:bCs/>
          <w:sz w:val="26"/>
          <w:szCs w:val="26"/>
        </w:rPr>
        <w:t>Evidence Retention</w:t>
      </w:r>
    </w:p>
    <w:p w:rsidR="0047153F" w:rsidRPr="00A2084E" w:rsidP="0047153F" w14:paraId="6176B6B0" w14:textId="6608B7C8">
      <w:pPr>
        <w:spacing w:after="0"/>
        <w:rPr>
          <w:rFonts w:ascii="Times New Roman" w:hAnsi="Times New Roman" w:cs="Times New Roman"/>
          <w:sz w:val="26"/>
          <w:szCs w:val="26"/>
        </w:rPr>
      </w:pPr>
      <w:r w:rsidRPr="00A2084E">
        <w:rPr>
          <w:rFonts w:ascii="Times New Roman" w:hAnsi="Times New Roman" w:cs="Times New Roman"/>
          <w:sz w:val="26"/>
          <w:szCs w:val="26"/>
        </w:rPr>
        <w:t>The following evidence retention periods identify the period of time an entity is</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required to retain specific evidence to demonstrate compliance. For instances</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where the evidence retention period specified below is shorter than the time</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since the last audit, the Compliance Enforcement Authority may ask an entity to</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provide other evidence to show that it was compliant for the full time period</w:t>
      </w:r>
      <w:r w:rsidRPr="00A2084E" w:rsidR="00AA401B">
        <w:rPr>
          <w:rFonts w:ascii="Times New Roman" w:hAnsi="Times New Roman" w:cs="Times New Roman"/>
          <w:sz w:val="26"/>
          <w:szCs w:val="26"/>
        </w:rPr>
        <w:t xml:space="preserve"> </w:t>
      </w:r>
      <w:r w:rsidRPr="00A2084E">
        <w:rPr>
          <w:rFonts w:ascii="Times New Roman" w:hAnsi="Times New Roman" w:cs="Times New Roman"/>
          <w:sz w:val="26"/>
          <w:szCs w:val="26"/>
        </w:rPr>
        <w:t>since the last audit.</w:t>
      </w:r>
    </w:p>
    <w:p w:rsidR="003E2BEB" w:rsidRPr="00A2084E" w:rsidP="00E4624E" w14:paraId="1A0F6DF6" w14:textId="77777777">
      <w:pPr>
        <w:pStyle w:val="ListParagraph"/>
        <w:numPr>
          <w:ilvl w:val="0"/>
          <w:numId w:val="27"/>
        </w:numPr>
        <w:rPr>
          <w:rFonts w:ascii="Times New Roman" w:hAnsi="Times New Roman" w:cs="Times New Roman"/>
          <w:sz w:val="26"/>
          <w:szCs w:val="26"/>
        </w:rPr>
      </w:pPr>
      <w:r w:rsidRPr="00A2084E">
        <w:rPr>
          <w:rFonts w:ascii="Times New Roman" w:hAnsi="Times New Roman" w:cs="Times New Roman"/>
          <w:sz w:val="26"/>
          <w:szCs w:val="26"/>
        </w:rPr>
        <w:t>The Applicable Entity shall keep data or evidence to show compliance with Requirements R1 through R4, and Measures M1 through M4, since the last audit, unless directed by its Compliance Enforcement Authority to retain specific evidence for a longer period of time as part of an investigation.</w:t>
      </w:r>
    </w:p>
    <w:p w:rsidR="003E2BEB" w:rsidRPr="00A2084E" w:rsidP="00E4624E" w14:paraId="5CFA3ADA" w14:textId="77777777">
      <w:pPr>
        <w:pStyle w:val="ListParagraph"/>
        <w:numPr>
          <w:ilvl w:val="0"/>
          <w:numId w:val="27"/>
        </w:numPr>
        <w:rPr>
          <w:rFonts w:ascii="Times New Roman" w:hAnsi="Times New Roman" w:cs="Times New Roman"/>
          <w:sz w:val="26"/>
          <w:szCs w:val="26"/>
        </w:rPr>
      </w:pPr>
      <w:r w:rsidRPr="00A2084E">
        <w:rPr>
          <w:rFonts w:ascii="Times New Roman" w:hAnsi="Times New Roman" w:cs="Times New Roman"/>
          <w:sz w:val="26"/>
          <w:szCs w:val="26"/>
        </w:rPr>
        <w:t>If an Applicable Entity is found non-compliant, it shall keep information related to the non-compliance until mitigation is complete and approved, or for the time specified above, whichever is longer.</w:t>
      </w:r>
    </w:p>
    <w:p w:rsidR="0047153F" w:rsidRPr="00A2084E" w:rsidP="00E4624E" w14:paraId="577640E1" w14:textId="06B097CA">
      <w:pPr>
        <w:pStyle w:val="ListParagraph"/>
        <w:numPr>
          <w:ilvl w:val="0"/>
          <w:numId w:val="27"/>
        </w:numPr>
        <w:rPr>
          <w:rFonts w:ascii="Times New Roman" w:hAnsi="Times New Roman" w:cs="Times New Roman"/>
          <w:sz w:val="26"/>
          <w:szCs w:val="26"/>
        </w:rPr>
      </w:pPr>
      <w:r w:rsidRPr="00A2084E">
        <w:rPr>
          <w:rFonts w:ascii="Times New Roman" w:hAnsi="Times New Roman" w:cs="Times New Roman"/>
          <w:sz w:val="26"/>
          <w:szCs w:val="26"/>
        </w:rPr>
        <w:t>The Compliance Enforcement Authority shall keep the last audit records and all requested and submitted subsequent audit records.</w:t>
      </w:r>
    </w:p>
    <w:p w:rsidR="000D6FBE" w:rsidRPr="00A2084E" w:rsidP="000D6FBE" w14:paraId="0F385964" w14:textId="7B0F86A1">
      <w:pPr>
        <w:spacing w:after="0" w:line="240" w:lineRule="auto"/>
        <w:rPr>
          <w:rFonts w:ascii="Times New Roman" w:eastAsia="Times New Roman" w:hAnsi="Times New Roman" w:cs="Times New Roman"/>
          <w:sz w:val="26"/>
          <w:szCs w:val="26"/>
        </w:rPr>
      </w:pPr>
      <w:r w:rsidRPr="00A2084E">
        <w:rPr>
          <w:rFonts w:ascii="Times New Roman" w:hAnsi="Times New Roman" w:cs="Times New Roman"/>
          <w:sz w:val="26"/>
          <w:szCs w:val="26"/>
        </w:rPr>
        <w:t>Reliability Standards MOD-032-1 and MOD-033-</w:t>
      </w:r>
      <w:r w:rsidRPr="00A2084E" w:rsidR="00A02B31">
        <w:rPr>
          <w:rFonts w:ascii="Times New Roman" w:hAnsi="Times New Roman" w:cs="Times New Roman"/>
          <w:sz w:val="26"/>
          <w:szCs w:val="26"/>
        </w:rPr>
        <w:t>3</w:t>
      </w:r>
      <w:r w:rsidRPr="00A2084E">
        <w:rPr>
          <w:rFonts w:ascii="Times New Roman" w:hAnsi="Times New Roman" w:cs="Times New Roman"/>
          <w:sz w:val="26"/>
          <w:szCs w:val="26"/>
        </w:rPr>
        <w:t xml:space="preserve"> were approved by the Commission in an Order in Docket No. RD14-5-000</w:t>
      </w:r>
      <w:r w:rsidRPr="4635B435" w:rsidR="002B6B0B">
        <w:rPr>
          <w:rFonts w:ascii="Times New Roman" w:hAnsi="Times New Roman" w:cs="Times New Roman"/>
          <w:sz w:val="26"/>
          <w:szCs w:val="26"/>
        </w:rPr>
        <w:t>.</w:t>
      </w:r>
      <w:r>
        <w:rPr>
          <w:rStyle w:val="FootnoteReference"/>
          <w:rFonts w:ascii="Times New Roman" w:hAnsi="Times New Roman" w:cs="Times New Roman"/>
          <w:b/>
          <w:bCs/>
          <w:sz w:val="26"/>
          <w:szCs w:val="26"/>
          <w:vertAlign w:val="superscript"/>
        </w:rPr>
        <w:footnoteReference w:id="7"/>
      </w:r>
      <w:r w:rsidRPr="00A2084E">
        <w:rPr>
          <w:rFonts w:ascii="Times New Roman" w:hAnsi="Times New Roman" w:cs="Times New Roman"/>
          <w:sz w:val="26"/>
          <w:szCs w:val="26"/>
        </w:rPr>
        <w:t xml:space="preserve">  Both standards were </w:t>
      </w:r>
      <w:r w:rsidRPr="00A2084E">
        <w:rPr>
          <w:rFonts w:ascii="Times New Roman" w:eastAsia="Times New Roman" w:hAnsi="Times New Roman" w:cs="Times New Roman"/>
          <w:sz w:val="26"/>
          <w:szCs w:val="26"/>
        </w:rPr>
        <w:t>designed to replace, consolidate and improve upon existing MOD standards, “in addressing system-level modeling data and validation requirements necessary for developing planning models and the Interconnection-wide cases that are integral to analyzing the reliability of the Bulk-Power System.”</w:t>
      </w:r>
      <w:r>
        <w:rPr>
          <w:rStyle w:val="FootnoteReference"/>
          <w:rFonts w:ascii="Times New Roman" w:eastAsia="Times New Roman" w:hAnsi="Times New Roman" w:cs="Times New Roman"/>
          <w:sz w:val="26"/>
          <w:szCs w:val="26"/>
          <w:vertAlign w:val="superscript"/>
        </w:rPr>
        <w:footnoteReference w:id="8"/>
      </w:r>
    </w:p>
    <w:p w:rsidR="000D6FBE" w:rsidRPr="00A2084E" w:rsidP="000D6FBE" w14:paraId="003FA32B" w14:textId="77777777">
      <w:pPr>
        <w:spacing w:after="0" w:line="240" w:lineRule="auto"/>
        <w:rPr>
          <w:rFonts w:ascii="Times New Roman" w:eastAsia="Times New Roman" w:hAnsi="Times New Roman" w:cs="Times New Roman"/>
          <w:b/>
          <w:bCs/>
          <w:sz w:val="26"/>
          <w:szCs w:val="26"/>
        </w:rPr>
      </w:pPr>
    </w:p>
    <w:p w:rsidR="000D6FBE" w:rsidRPr="00A2084E" w:rsidP="000D6FBE" w14:paraId="24636551" w14:textId="587F0032">
      <w:pPr>
        <w:spacing w:after="0" w:line="240" w:lineRule="auto"/>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MOD-032-1</w:t>
      </w:r>
      <w:r w:rsidRPr="00A2084E">
        <w:rPr>
          <w:rFonts w:ascii="Times New Roman" w:eastAsia="Times New Roman" w:hAnsi="Times New Roman" w:cs="Times New Roman"/>
          <w:sz w:val="26"/>
          <w:szCs w:val="26"/>
        </w:rPr>
        <w:t xml:space="preserve"> Reliability Standard contains four requirements:</w:t>
      </w:r>
    </w:p>
    <w:p w:rsidR="000D6FBE" w:rsidRPr="00A2084E" w:rsidP="000D6FBE" w14:paraId="72524070" w14:textId="0D072197">
      <w:pPr>
        <w:pStyle w:val="ListParagraph"/>
        <w:numPr>
          <w:ilvl w:val="0"/>
          <w:numId w:val="12"/>
        </w:numPr>
        <w:spacing w:after="0" w:line="240" w:lineRule="auto"/>
        <w:rPr>
          <w:rFonts w:ascii="Times New Roman" w:hAnsi="Times New Roman" w:cs="Times New Roman"/>
          <w:sz w:val="26"/>
          <w:szCs w:val="26"/>
        </w:rPr>
      </w:pPr>
      <w:r w:rsidRPr="00A2084E">
        <w:rPr>
          <w:rFonts w:ascii="Times New Roman" w:eastAsia="Times New Roman" w:hAnsi="Times New Roman" w:cs="Times New Roman"/>
          <w:sz w:val="26"/>
          <w:szCs w:val="26"/>
        </w:rPr>
        <w:t>Req</w:t>
      </w:r>
      <w:r w:rsidRPr="00A2084E" w:rsidR="0020384F">
        <w:rPr>
          <w:rFonts w:ascii="Times New Roman" w:eastAsia="Times New Roman" w:hAnsi="Times New Roman" w:cs="Times New Roman"/>
          <w:sz w:val="26"/>
          <w:szCs w:val="26"/>
        </w:rPr>
        <w:t>uirement R1 mandates that each planning coordinator and each of its transmission p</w:t>
      </w:r>
      <w:r w:rsidRPr="00A2084E">
        <w:rPr>
          <w:rFonts w:ascii="Times New Roman" w:eastAsia="Times New Roman" w:hAnsi="Times New Roman" w:cs="Times New Roman"/>
          <w:sz w:val="26"/>
          <w:szCs w:val="26"/>
        </w:rPr>
        <w:t>lanners shall jointly develop steady-state, dynamics, and short circuit modeling data requirements an</w:t>
      </w:r>
      <w:r w:rsidRPr="00A2084E" w:rsidR="0020384F">
        <w:rPr>
          <w:rFonts w:ascii="Times New Roman" w:eastAsia="Times New Roman" w:hAnsi="Times New Roman" w:cs="Times New Roman"/>
          <w:sz w:val="26"/>
          <w:szCs w:val="26"/>
        </w:rPr>
        <w:t>d reporting procedures for the planning c</w:t>
      </w:r>
      <w:r w:rsidRPr="00A2084E">
        <w:rPr>
          <w:rFonts w:ascii="Times New Roman" w:eastAsia="Times New Roman" w:hAnsi="Times New Roman" w:cs="Times New Roman"/>
          <w:sz w:val="26"/>
          <w:szCs w:val="26"/>
        </w:rPr>
        <w:t>oordinator’s planning area;</w:t>
      </w:r>
    </w:p>
    <w:p w:rsidR="000D6FBE" w:rsidRPr="00A2084E" w:rsidP="000D6FBE" w14:paraId="00BCA728" w14:textId="2ACAD01B">
      <w:pPr>
        <w:pStyle w:val="ListParagraph"/>
        <w:numPr>
          <w:ilvl w:val="0"/>
          <w:numId w:val="12"/>
        </w:numPr>
        <w:spacing w:after="0" w:line="240" w:lineRule="auto"/>
        <w:rPr>
          <w:rFonts w:ascii="Times New Roman" w:hAnsi="Times New Roman" w:cs="Times New Roman"/>
          <w:sz w:val="26"/>
          <w:szCs w:val="26"/>
        </w:rPr>
      </w:pPr>
      <w:r w:rsidRPr="00A2084E">
        <w:rPr>
          <w:rFonts w:ascii="Times New Roman" w:hAnsi="Times New Roman" w:cs="Times New Roman"/>
          <w:sz w:val="26"/>
          <w:szCs w:val="26"/>
        </w:rPr>
        <w:t>Requirement R2 mandates that e</w:t>
      </w:r>
      <w:r w:rsidRPr="00A2084E" w:rsidR="0020384F">
        <w:rPr>
          <w:rFonts w:ascii="Times New Roman" w:hAnsi="Times New Roman" w:cs="Times New Roman"/>
          <w:sz w:val="26"/>
          <w:szCs w:val="26"/>
        </w:rPr>
        <w:t>ach balancing authority, generator owner, load s</w:t>
      </w:r>
      <w:r w:rsidRPr="00A2084E">
        <w:rPr>
          <w:rFonts w:ascii="Times New Roman" w:hAnsi="Times New Roman" w:cs="Times New Roman"/>
          <w:sz w:val="26"/>
          <w:szCs w:val="26"/>
        </w:rPr>
        <w:t>e</w:t>
      </w:r>
      <w:r w:rsidRPr="00A2084E" w:rsidR="0020384F">
        <w:rPr>
          <w:rFonts w:ascii="Times New Roman" w:hAnsi="Times New Roman" w:cs="Times New Roman"/>
          <w:sz w:val="26"/>
          <w:szCs w:val="26"/>
        </w:rPr>
        <w:t>rving entity, resource p</w:t>
      </w:r>
      <w:r w:rsidRPr="00A2084E">
        <w:rPr>
          <w:rFonts w:ascii="Times New Roman" w:hAnsi="Times New Roman" w:cs="Times New Roman"/>
          <w:sz w:val="26"/>
          <w:szCs w:val="26"/>
        </w:rPr>
        <w:t xml:space="preserve">lanner, </w:t>
      </w:r>
      <w:r w:rsidRPr="00A2084E" w:rsidR="0020384F">
        <w:rPr>
          <w:rFonts w:ascii="Times New Roman" w:hAnsi="Times New Roman" w:cs="Times New Roman"/>
          <w:sz w:val="26"/>
          <w:szCs w:val="26"/>
        </w:rPr>
        <w:t>transmission owner, and transmission service p</w:t>
      </w:r>
      <w:r w:rsidRPr="00A2084E">
        <w:rPr>
          <w:rFonts w:ascii="Times New Roman" w:hAnsi="Times New Roman" w:cs="Times New Roman"/>
          <w:sz w:val="26"/>
          <w:szCs w:val="26"/>
        </w:rPr>
        <w:t>rovider shall provide steady-state, dynamics, and short circuit modeling data t</w:t>
      </w:r>
      <w:r w:rsidRPr="00A2084E" w:rsidR="0020384F">
        <w:rPr>
          <w:rFonts w:ascii="Times New Roman" w:hAnsi="Times New Roman" w:cs="Times New Roman"/>
          <w:sz w:val="26"/>
          <w:szCs w:val="26"/>
        </w:rPr>
        <w:t>o its transmission planner(s) and planning c</w:t>
      </w:r>
      <w:r w:rsidRPr="00A2084E">
        <w:rPr>
          <w:rFonts w:ascii="Times New Roman" w:hAnsi="Times New Roman" w:cs="Times New Roman"/>
          <w:sz w:val="26"/>
          <w:szCs w:val="26"/>
        </w:rPr>
        <w:t>oordinator(s) according to the data requirements and reporti</w:t>
      </w:r>
      <w:r w:rsidRPr="00A2084E" w:rsidR="0020384F">
        <w:rPr>
          <w:rFonts w:ascii="Times New Roman" w:hAnsi="Times New Roman" w:cs="Times New Roman"/>
          <w:sz w:val="26"/>
          <w:szCs w:val="26"/>
        </w:rPr>
        <w:t>ng procedures developed by its planning coordinator and transmission p</w:t>
      </w:r>
      <w:r w:rsidRPr="00A2084E">
        <w:rPr>
          <w:rFonts w:ascii="Times New Roman" w:hAnsi="Times New Roman" w:cs="Times New Roman"/>
          <w:sz w:val="26"/>
          <w:szCs w:val="26"/>
        </w:rPr>
        <w:t>lanner in Requirement R1. For data that has not changed since the last submission, a written confirmation that the data has not changed is sufficient;</w:t>
      </w:r>
    </w:p>
    <w:p w:rsidR="000D6FBE" w:rsidRPr="00A2084E" w:rsidP="0020384F" w14:paraId="0AD1DF8C" w14:textId="7F78276F">
      <w:pPr>
        <w:pStyle w:val="ListParagraph"/>
        <w:numPr>
          <w:ilvl w:val="0"/>
          <w:numId w:val="12"/>
        </w:numPr>
        <w:spacing w:after="0" w:line="240" w:lineRule="auto"/>
        <w:rPr>
          <w:rFonts w:ascii="Times New Roman" w:hAnsi="Times New Roman" w:cs="Times New Roman"/>
          <w:sz w:val="26"/>
          <w:szCs w:val="26"/>
        </w:rPr>
      </w:pPr>
      <w:r w:rsidRPr="00A2084E">
        <w:rPr>
          <w:rFonts w:ascii="Times New Roman" w:hAnsi="Times New Roman" w:cs="Times New Roman"/>
          <w:sz w:val="26"/>
          <w:szCs w:val="26"/>
        </w:rPr>
        <w:t>Re</w:t>
      </w:r>
      <w:r w:rsidRPr="00A2084E" w:rsidR="004D29AB">
        <w:rPr>
          <w:rFonts w:ascii="Times New Roman" w:hAnsi="Times New Roman" w:cs="Times New Roman"/>
          <w:sz w:val="26"/>
          <w:szCs w:val="26"/>
        </w:rPr>
        <w:t>quirement R3 mandates that u</w:t>
      </w:r>
      <w:r w:rsidRPr="00A2084E" w:rsidR="0020384F">
        <w:rPr>
          <w:rFonts w:ascii="Times New Roman" w:hAnsi="Times New Roman" w:cs="Times New Roman"/>
          <w:sz w:val="26"/>
          <w:szCs w:val="26"/>
        </w:rPr>
        <w:t>pon receipt of written notification from its planning coordinator or transmission planner regarding technical concerns with the data submitted under Requirement R2, including the technical basis or reason for the technical concerns, each notified balancing authority, generator owner, load serving entity, resource planner, transmission owner, or transmission service provider shall respond to the notifying planning coordinator or transmission planner as follows:</w:t>
      </w:r>
    </w:p>
    <w:p w:rsidR="0020384F" w:rsidRPr="00A2084E" w:rsidP="0020384F" w14:paraId="6A537174" w14:textId="77777777">
      <w:pPr>
        <w:pStyle w:val="ListParagraph"/>
        <w:numPr>
          <w:ilvl w:val="1"/>
          <w:numId w:val="12"/>
        </w:numPr>
        <w:spacing w:after="0" w:line="240" w:lineRule="auto"/>
        <w:rPr>
          <w:rFonts w:ascii="Times New Roman" w:hAnsi="Times New Roman" w:cs="Times New Roman"/>
          <w:sz w:val="26"/>
          <w:szCs w:val="26"/>
        </w:rPr>
      </w:pPr>
      <w:r w:rsidRPr="00A2084E">
        <w:rPr>
          <w:rFonts w:ascii="Times New Roman" w:eastAsia="Times New Roman" w:hAnsi="Times New Roman" w:cs="Times New Roman"/>
          <w:sz w:val="26"/>
          <w:szCs w:val="26"/>
        </w:rPr>
        <w:t>Provide either updated data or an explanation with a technical basis for maintaining the current data;</w:t>
      </w:r>
    </w:p>
    <w:p w:rsidR="0020384F" w:rsidRPr="00A2084E" w:rsidP="0020384F" w14:paraId="5C0F778F" w14:textId="1C2B3449">
      <w:pPr>
        <w:pStyle w:val="ListParagraph"/>
        <w:numPr>
          <w:ilvl w:val="1"/>
          <w:numId w:val="12"/>
        </w:numPr>
        <w:spacing w:after="0" w:line="240" w:lineRule="auto"/>
        <w:rPr>
          <w:rFonts w:ascii="Times New Roman" w:hAnsi="Times New Roman" w:cs="Times New Roman"/>
          <w:sz w:val="26"/>
          <w:szCs w:val="26"/>
        </w:rPr>
      </w:pPr>
      <w:r w:rsidRPr="00A2084E">
        <w:rPr>
          <w:rFonts w:ascii="Times New Roman" w:eastAsia="Times New Roman" w:hAnsi="Times New Roman" w:cs="Times New Roman"/>
          <w:sz w:val="26"/>
          <w:szCs w:val="26"/>
        </w:rPr>
        <w:t>Provide the response within 90 calendar days of receipt, unless a longer time period is agreed upon by the notifying planning coordinator or transmission planner.</w:t>
      </w:r>
    </w:p>
    <w:p w:rsidR="0020384F" w:rsidRPr="00A2084E" w:rsidP="0020384F" w14:paraId="7BF66145" w14:textId="1F745179">
      <w:pPr>
        <w:pStyle w:val="ListParagraph"/>
        <w:numPr>
          <w:ilvl w:val="0"/>
          <w:numId w:val="12"/>
        </w:numPr>
        <w:spacing w:after="0" w:line="240" w:lineRule="auto"/>
        <w:rPr>
          <w:rFonts w:ascii="Times New Roman" w:hAnsi="Times New Roman" w:cs="Times New Roman"/>
          <w:sz w:val="26"/>
          <w:szCs w:val="26"/>
        </w:rPr>
      </w:pPr>
      <w:r w:rsidRPr="00A2084E">
        <w:rPr>
          <w:rFonts w:ascii="Times New Roman" w:eastAsia="Times New Roman" w:hAnsi="Times New Roman" w:cs="Times New Roman"/>
          <w:sz w:val="26"/>
          <w:szCs w:val="26"/>
        </w:rPr>
        <w:t>Requirement R4 mandates that each planning coordinator shall make available models for its planning area reflecting data provided to it under Requirement R2 to the Electric Reliability Organization (ERO) or its designee to support creation of the Interconnection-wide case(s) that includes the planning coordinator’s planning area.</w:t>
      </w:r>
    </w:p>
    <w:p w:rsidR="00C676C1" w:rsidRPr="00A2084E" w:rsidP="0020384F" w14:paraId="11AEEEB0" w14:textId="77777777">
      <w:pPr>
        <w:spacing w:after="0" w:line="240" w:lineRule="auto"/>
        <w:rPr>
          <w:rFonts w:ascii="Times New Roman" w:hAnsi="Times New Roman" w:cs="Times New Roman"/>
          <w:sz w:val="26"/>
          <w:szCs w:val="26"/>
        </w:rPr>
      </w:pPr>
    </w:p>
    <w:p w:rsidR="0020384F" w:rsidRPr="00A2084E" w:rsidP="0020384F" w14:paraId="5AEBB464" w14:textId="56F26243">
      <w:pPr>
        <w:spacing w:after="0" w:line="240" w:lineRule="auto"/>
        <w:rPr>
          <w:rFonts w:ascii="Times New Roman" w:hAnsi="Times New Roman" w:cs="Times New Roman"/>
          <w:sz w:val="26"/>
          <w:szCs w:val="26"/>
        </w:rPr>
      </w:pPr>
      <w:r w:rsidRPr="00A2084E">
        <w:rPr>
          <w:rFonts w:ascii="Times New Roman" w:hAnsi="Times New Roman" w:cs="Times New Roman"/>
          <w:b/>
          <w:bCs/>
          <w:sz w:val="26"/>
          <w:szCs w:val="26"/>
        </w:rPr>
        <w:t>MOD-033-</w:t>
      </w:r>
      <w:r w:rsidRPr="00A2084E" w:rsidR="00E0535D">
        <w:rPr>
          <w:rFonts w:ascii="Times New Roman" w:hAnsi="Times New Roman" w:cs="Times New Roman"/>
          <w:b/>
          <w:bCs/>
          <w:sz w:val="26"/>
          <w:szCs w:val="26"/>
        </w:rPr>
        <w:t>2</w:t>
      </w:r>
      <w:r w:rsidRPr="00A2084E">
        <w:rPr>
          <w:rFonts w:ascii="Times New Roman" w:hAnsi="Times New Roman" w:cs="Times New Roman"/>
          <w:sz w:val="26"/>
          <w:szCs w:val="26"/>
        </w:rPr>
        <w:t xml:space="preserve"> Reliability Standard contains two requirements:</w:t>
      </w:r>
    </w:p>
    <w:p w:rsidR="009C5849" w:rsidRPr="00A2084E" w:rsidP="009C5849" w14:paraId="2BB07DCE" w14:textId="11B372F8">
      <w:pPr>
        <w:spacing w:after="0" w:line="240" w:lineRule="auto"/>
        <w:rPr>
          <w:rFonts w:ascii="Times New Roman" w:hAnsi="Times New Roman" w:cs="Times New Roman"/>
          <w:sz w:val="26"/>
          <w:szCs w:val="26"/>
        </w:rPr>
      </w:pPr>
      <w:r w:rsidRPr="00A2084E">
        <w:rPr>
          <w:rFonts w:ascii="Times New Roman" w:hAnsi="Times New Roman" w:cs="Times New Roman"/>
          <w:sz w:val="26"/>
          <w:szCs w:val="26"/>
        </w:rPr>
        <w:t>Purpose is to establish consistent validation requirements to facilitate the collection of accurate data and building of planning models to analyze the reliability of the interconnected transmission system.</w:t>
      </w:r>
    </w:p>
    <w:p w:rsidR="009C5849" w:rsidRPr="00A2084E" w:rsidP="009C5849" w14:paraId="5D7F1AC3" w14:textId="43919224">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R1. </w:t>
      </w:r>
      <w:r w:rsidRPr="00A2084E">
        <w:rPr>
          <w:rFonts w:ascii="Times New Roman" w:eastAsia="Times New Roman" w:hAnsi="Times New Roman" w:cs="Times New Roman"/>
          <w:sz w:val="26"/>
          <w:szCs w:val="26"/>
        </w:rPr>
        <w:t>Each Planning Coordinator shall implement a documented data validation process</w:t>
      </w:r>
      <w:r w:rsidRPr="00A2084E" w:rsidR="00C8052F">
        <w:rPr>
          <w:rFonts w:ascii="Times New Roman" w:eastAsia="Times New Roman" w:hAnsi="Times New Roman" w:cs="Times New Roman"/>
          <w:sz w:val="26"/>
          <w:szCs w:val="26"/>
        </w:rPr>
        <w:t xml:space="preserve"> that includes the following:</w:t>
      </w:r>
    </w:p>
    <w:p w:rsidR="009C5849" w:rsidRPr="00A2084E" w:rsidP="009C5849" w14:paraId="6DBFFA21" w14:textId="525A80DF">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1.1. </w:t>
      </w:r>
      <w:r w:rsidRPr="00A2084E">
        <w:rPr>
          <w:rFonts w:ascii="Times New Roman" w:eastAsia="Times New Roman" w:hAnsi="Times New Roman" w:cs="Times New Roman"/>
          <w:sz w:val="26"/>
          <w:szCs w:val="26"/>
        </w:rPr>
        <w:t>Comparison of the performance of the Planning Coordinator’s portion of the</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existing system in a planning power flow model to actual system behavior,</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represented by a state estimator case or other Real-time data sources, at least</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once every 24 calendar months through simulation;</w:t>
      </w:r>
    </w:p>
    <w:p w:rsidR="009C5849" w:rsidRPr="00A2084E" w:rsidP="009C5849" w14:paraId="18F3249D" w14:textId="4EA577BE">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1.2. </w:t>
      </w:r>
      <w:r w:rsidRPr="00A2084E">
        <w:rPr>
          <w:rFonts w:ascii="Times New Roman" w:eastAsia="Times New Roman" w:hAnsi="Times New Roman" w:cs="Times New Roman"/>
          <w:sz w:val="26"/>
          <w:szCs w:val="26"/>
        </w:rPr>
        <w:t>Comparison of the performance of the Planning Coordinator’s portion of the</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existing system in a planning dynamic model to actual system response, through</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simulation of a dynamic local event, at least once every 24 calendar months (use</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a dynamic local event that occurs within 24 calendar months of the last dynamic</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local event used in comparison, and complete each comparison within 24</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calendar months of the dynamic local event). If no dynamic local event occurs</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within the 24 calendar months, use the next dynamic local event that occurs;</w:t>
      </w:r>
    </w:p>
    <w:p w:rsidR="009C5849" w:rsidRPr="00A2084E" w:rsidP="009C5849" w14:paraId="4B585529" w14:textId="18431EF9">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1.3. </w:t>
      </w:r>
      <w:r w:rsidRPr="00A2084E">
        <w:rPr>
          <w:rFonts w:ascii="Times New Roman" w:eastAsia="Times New Roman" w:hAnsi="Times New Roman" w:cs="Times New Roman"/>
          <w:sz w:val="26"/>
          <w:szCs w:val="26"/>
        </w:rPr>
        <w:t>Guidelines the Planning Coordinator will use to determine unacceptable</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differences in performance under Part 1.1 or 1.2; and</w:t>
      </w:r>
    </w:p>
    <w:p w:rsidR="009C5849" w:rsidRPr="00A2084E" w:rsidP="009C5849" w14:paraId="0C214982" w14:textId="5779E7AF">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1.4. </w:t>
      </w:r>
      <w:r w:rsidRPr="00A2084E">
        <w:rPr>
          <w:rFonts w:ascii="Times New Roman" w:eastAsia="Times New Roman" w:hAnsi="Times New Roman" w:cs="Times New Roman"/>
          <w:sz w:val="26"/>
          <w:szCs w:val="26"/>
        </w:rPr>
        <w:t>Guidelines to resolve the unacceptable differences in performance identified</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under Part 1.3.</w:t>
      </w:r>
    </w:p>
    <w:p w:rsidR="009C5849" w:rsidRPr="00A2084E" w:rsidP="009C5849" w14:paraId="740DB6B2" w14:textId="77777777">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M1. </w:t>
      </w:r>
      <w:r w:rsidRPr="00A2084E">
        <w:rPr>
          <w:rFonts w:ascii="Times New Roman" w:eastAsia="Times New Roman" w:hAnsi="Times New Roman" w:cs="Times New Roman"/>
          <w:sz w:val="26"/>
          <w:szCs w:val="26"/>
        </w:rPr>
        <w:t>Each Planning Coordinator shall provide evidence that it has a documented validation</w:t>
      </w:r>
    </w:p>
    <w:p w:rsidR="009C5849" w:rsidRPr="00A2084E" w:rsidP="009C5849" w14:paraId="648F14FA" w14:textId="2D9F90CB">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sz w:val="26"/>
          <w:szCs w:val="26"/>
        </w:rPr>
        <w:t>process according to Requirement R1 as well as evidence that demonstrates the</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implementation of the required components of the process.</w:t>
      </w:r>
    </w:p>
    <w:p w:rsidR="009C5849" w:rsidRPr="00A2084E" w:rsidP="009C5849" w14:paraId="048A10DA" w14:textId="1E512568">
      <w:pPr>
        <w:spacing w:after="0"/>
        <w:rPr>
          <w:rFonts w:ascii="Times New Roman" w:eastAsia="Times New Roman" w:hAnsi="Times New Roman" w:cs="Times New Roman"/>
          <w:i/>
          <w:iCs/>
          <w:sz w:val="26"/>
          <w:szCs w:val="26"/>
        </w:rPr>
      </w:pPr>
      <w:r w:rsidRPr="00A2084E">
        <w:rPr>
          <w:rFonts w:ascii="Times New Roman" w:eastAsia="Times New Roman" w:hAnsi="Times New Roman" w:cs="Times New Roman"/>
          <w:b/>
          <w:bCs/>
          <w:sz w:val="26"/>
          <w:szCs w:val="26"/>
        </w:rPr>
        <w:t xml:space="preserve">R2. </w:t>
      </w:r>
      <w:r w:rsidRPr="00A2084E">
        <w:rPr>
          <w:rFonts w:ascii="Times New Roman" w:eastAsia="Times New Roman" w:hAnsi="Times New Roman" w:cs="Times New Roman"/>
          <w:sz w:val="26"/>
          <w:szCs w:val="26"/>
        </w:rPr>
        <w:t>Each Reliability Coordinator and Transmission Operator shall provide actual system</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behavior data (or a written response that it does not have the requested data) to any</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Planning Coordinator performing validation under Requirement R1 within 30 calendar</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days of a written request, such as, but not limited to, state estimator case or other</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Real-time data (including disturbance data recordings) necessary for actual system</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 xml:space="preserve">response validation. </w:t>
      </w:r>
    </w:p>
    <w:p w:rsidR="000D6FBE" w:rsidRPr="00A2084E" w:rsidP="009C5849" w14:paraId="4683B0AA" w14:textId="5BF12BAC">
      <w:pPr>
        <w:spacing w:after="0"/>
        <w:rPr>
          <w:rFonts w:ascii="Times New Roman" w:eastAsia="Times New Roman" w:hAnsi="Times New Roman" w:cs="Times New Roman"/>
          <w:sz w:val="26"/>
          <w:szCs w:val="26"/>
        </w:rPr>
      </w:pPr>
      <w:r w:rsidRPr="00A2084E">
        <w:rPr>
          <w:rFonts w:ascii="Times New Roman" w:eastAsia="Times New Roman" w:hAnsi="Times New Roman" w:cs="Times New Roman"/>
          <w:b/>
          <w:bCs/>
          <w:sz w:val="26"/>
          <w:szCs w:val="26"/>
        </w:rPr>
        <w:t xml:space="preserve">M2. </w:t>
      </w:r>
      <w:r w:rsidRPr="00A2084E">
        <w:rPr>
          <w:rFonts w:ascii="Times New Roman" w:eastAsia="Times New Roman" w:hAnsi="Times New Roman" w:cs="Times New Roman"/>
          <w:sz w:val="26"/>
          <w:szCs w:val="26"/>
        </w:rPr>
        <w:t>Each Reliability Coordinator and Transmission Operator shall provide evidence, such</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as email notices or postal receipts showing recipient and date that it has distributed</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the requested data or written response that it does not have the data, to any Planning</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Coordinator performing validation under Requirement R1 within 30 days of a written</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request in accordance with Requirement R2; or a statement by the Reliability</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Coordinator or Transmission Operator that it has not received notification regarding</w:t>
      </w:r>
      <w:r w:rsidRPr="00A2084E" w:rsidR="00212171">
        <w:rPr>
          <w:rFonts w:ascii="Times New Roman" w:eastAsia="Times New Roman" w:hAnsi="Times New Roman" w:cs="Times New Roman"/>
          <w:sz w:val="26"/>
          <w:szCs w:val="26"/>
        </w:rPr>
        <w:t xml:space="preserve"> </w:t>
      </w:r>
      <w:r w:rsidRPr="00A2084E">
        <w:rPr>
          <w:rFonts w:ascii="Times New Roman" w:eastAsia="Times New Roman" w:hAnsi="Times New Roman" w:cs="Times New Roman"/>
          <w:sz w:val="26"/>
          <w:szCs w:val="26"/>
        </w:rPr>
        <w:t>data necessary for validation by any Planning Coordinator.</w:t>
      </w:r>
    </w:p>
    <w:p w:rsidR="009C5849" w:rsidRPr="00A2084E" w:rsidP="009C5849" w14:paraId="4B63364B" w14:textId="0E085BCB">
      <w:pPr>
        <w:spacing w:after="0"/>
        <w:rPr>
          <w:rFonts w:ascii="Times New Roman" w:eastAsia="Times New Roman" w:hAnsi="Times New Roman" w:cs="Times New Roman"/>
          <w:b/>
          <w:bCs/>
          <w:sz w:val="26"/>
          <w:szCs w:val="26"/>
        </w:rPr>
      </w:pPr>
      <w:r w:rsidRPr="00A2084E">
        <w:rPr>
          <w:rFonts w:ascii="Times New Roman" w:eastAsia="Times New Roman" w:hAnsi="Times New Roman" w:cs="Times New Roman"/>
          <w:b/>
          <w:bCs/>
          <w:sz w:val="26"/>
          <w:szCs w:val="26"/>
        </w:rPr>
        <w:t>Evidence Retention</w:t>
      </w:r>
    </w:p>
    <w:p w:rsidR="009C5849" w:rsidRPr="00A2084E" w:rsidP="009C5849" w14:paraId="71B6211B" w14:textId="6600DF3F">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 following evidence retention periods identify the period of time an entity is required to retain specific evidence to demonstrate compliance. For instances where the evidence retention period specified below is shorter than the time since the last audit, the Compliance Enforcement Authority may ask an entity to provide other evidence to show that it was compliant for the full time period since the last audit. The applicable entity shall keep data or evidence to show compliance with Requirements R1 through R2, and Measures M1 through M2, since the last audit, unless directed by its Compliance </w:t>
      </w:r>
      <w:r w:rsidRPr="00A2084E">
        <w:rPr>
          <w:rFonts w:ascii="Times New Roman" w:hAnsi="Times New Roman" w:cs="Times New Roman"/>
          <w:sz w:val="26"/>
          <w:szCs w:val="26"/>
        </w:rPr>
        <w:t>Enforcement Authority to retain specific evidence for a longer period of time as part of an investigation. If an applicable entity is found non-compliant, it shall keep information related to the non-compliance until mitigation is complete and approved, or for the time specified above, whichever is longer. The Compliance Enforcement Authority shall keep the last audit records and all requested and submitted subsequent audit records.</w:t>
      </w:r>
    </w:p>
    <w:p w:rsidR="009C5849" w:rsidRPr="00A2084E" w:rsidP="009C5849" w14:paraId="4A817390" w14:textId="77777777">
      <w:pPr>
        <w:spacing w:after="0"/>
        <w:rPr>
          <w:rFonts w:ascii="Times New Roman" w:hAnsi="Times New Roman" w:cs="Times New Roman"/>
          <w:sz w:val="26"/>
          <w:szCs w:val="26"/>
        </w:rPr>
      </w:pPr>
    </w:p>
    <w:p w:rsidR="00EB3E6F" w:rsidRPr="00A2084E" w:rsidP="00A72E7B" w14:paraId="383755D2"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DESCRIBE ANY CONSIDERATION OF THE USE OF IMPROVED INFORMATION TECHNOLOGY TO REDUCE THE BURDEN AND TECHNICAL OR LEGAL OBSTACLES TO REDUCING BURDEN</w:t>
      </w:r>
    </w:p>
    <w:p w:rsidR="00EB3E6F" w:rsidRPr="00A2084E" w:rsidP="00EB3E6F" w14:paraId="3DE42D36" w14:textId="77777777">
      <w:pPr>
        <w:spacing w:after="0"/>
        <w:rPr>
          <w:rFonts w:ascii="Times New Roman" w:hAnsi="Times New Roman" w:cs="Times New Roman"/>
          <w:sz w:val="26"/>
          <w:szCs w:val="26"/>
        </w:rPr>
      </w:pPr>
    </w:p>
    <w:p w:rsidR="00C15A8E" w:rsidRPr="00D0606B" w:rsidP="00C15A8E" w14:paraId="56CF9F0B" w14:textId="34F1B7DD">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The use of current or improved technology and the medium are not covered in Reliability Standards.</w:t>
      </w:r>
      <w:r w:rsidR="00FF7F12">
        <w:rPr>
          <w:rFonts w:ascii="Times New Roman" w:hAnsi="Times New Roman" w:cs="Times New Roman"/>
          <w:sz w:val="26"/>
          <w:szCs w:val="26"/>
        </w:rPr>
        <w:t xml:space="preserve"> </w:t>
      </w:r>
      <w:r w:rsidRPr="00D0606B">
        <w:rPr>
          <w:rFonts w:ascii="Times New Roman" w:hAnsi="Times New Roman" w:cs="Times New Roman"/>
          <w:sz w:val="26"/>
          <w:szCs w:val="26"/>
        </w:rPr>
        <w:t xml:space="preserve"> </w:t>
      </w:r>
      <w:r w:rsidRPr="2A2D9407">
        <w:rPr>
          <w:rFonts w:ascii="Times New Roman" w:hAnsi="Times New Roman" w:cs="Times New Roman"/>
          <w:sz w:val="26"/>
          <w:szCs w:val="26"/>
        </w:rPr>
        <w:t xml:space="preserve">We think that nearly all the respondents are likely to make and keep related records in an electronic format.  Each of the </w:t>
      </w:r>
      <w:r>
        <w:rPr>
          <w:rFonts w:ascii="Times New Roman" w:hAnsi="Times New Roman" w:cs="Times New Roman"/>
          <w:sz w:val="26"/>
          <w:szCs w:val="26"/>
        </w:rPr>
        <w:t>six</w:t>
      </w:r>
      <w:r w:rsidRPr="2A2D9407">
        <w:rPr>
          <w:rFonts w:ascii="Times New Roman" w:hAnsi="Times New Roman" w:cs="Times New Roman"/>
          <w:sz w:val="26"/>
          <w:szCs w:val="26"/>
        </w:rPr>
        <w:t xml:space="preserve"> Regional Entities possesses a well-established compliance portal for registered entities to electronically submit compliance information and reports.  The compliance portals allow documents developed by the registered entities to be attached and uploaded to the Regional Entity’s portal.  Compliance data can also be submitted by filling out data forms on the portals.  These portals are accessible through an internet browser password-protected user interface.</w:t>
      </w:r>
      <w:r>
        <w:rPr>
          <w:rFonts w:ascii="Times New Roman" w:hAnsi="Times New Roman" w:cs="Times New Roman"/>
          <w:sz w:val="26"/>
          <w:szCs w:val="26"/>
        </w:rPr>
        <w:t xml:space="preserve"> </w:t>
      </w:r>
      <w:r w:rsidRPr="00D0606B">
        <w:rPr>
          <w:rFonts w:ascii="Times New Roman" w:hAnsi="Times New Roman" w:cs="Times New Roman"/>
          <w:sz w:val="26"/>
          <w:szCs w:val="26"/>
        </w:rPr>
        <w:t>In general, the Commission supports the use of information technology to reduce burden.</w:t>
      </w:r>
    </w:p>
    <w:p w:rsidR="00466C57" w:rsidRPr="00A2084E" w:rsidP="00EB3E6F" w14:paraId="2AA4616C" w14:textId="77777777">
      <w:pPr>
        <w:spacing w:after="0"/>
        <w:rPr>
          <w:rFonts w:ascii="Times New Roman" w:hAnsi="Times New Roman" w:cs="Times New Roman"/>
          <w:sz w:val="26"/>
          <w:szCs w:val="26"/>
        </w:rPr>
      </w:pPr>
    </w:p>
    <w:p w:rsidR="00EB3E6F" w:rsidRPr="00A2084E" w:rsidP="00A72E7B" w14:paraId="7F3A435F"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DESCRIBE EFFORTS TO IDENTIF</w:t>
      </w:r>
      <w:r w:rsidRPr="00A2084E" w:rsidR="00074DC8">
        <w:rPr>
          <w:rFonts w:ascii="Times New Roman" w:hAnsi="Times New Roman" w:cs="Times New Roman"/>
          <w:b/>
          <w:sz w:val="26"/>
          <w:szCs w:val="26"/>
        </w:rPr>
        <w:t>Y</w:t>
      </w:r>
      <w:r w:rsidRPr="00A2084E">
        <w:rPr>
          <w:rFonts w:ascii="Times New Roman" w:hAnsi="Times New Roman" w:cs="Times New Roman"/>
          <w:b/>
          <w:sz w:val="26"/>
          <w:szCs w:val="26"/>
        </w:rPr>
        <w:t xml:space="preserve"> DUPLICATION AND SHOW SPECIFICALLY WHY ANY SIMILAR INFORMATION ALREADY AVAILABLE CANNOT BE USED OR MODIFIED FOR USE FOR THE PURPOSE(S) DESCRIBED IN INSTRUCTION NO. 2</w:t>
      </w:r>
    </w:p>
    <w:p w:rsidR="00EB3E6F" w:rsidRPr="00A2084E" w:rsidP="00EB3E6F" w14:paraId="79379D3A" w14:textId="77777777">
      <w:pPr>
        <w:spacing w:after="0"/>
        <w:rPr>
          <w:rFonts w:ascii="Times New Roman" w:hAnsi="Times New Roman" w:cs="Times New Roman"/>
          <w:sz w:val="26"/>
          <w:szCs w:val="26"/>
        </w:rPr>
      </w:pPr>
    </w:p>
    <w:p w:rsidR="00D43F0E" w:rsidRPr="00A2084E" w:rsidP="00D43F0E" w14:paraId="2FB02FDA" w14:textId="66AD3CD3">
      <w:pPr>
        <w:spacing w:after="0"/>
        <w:rPr>
          <w:rFonts w:ascii="Times New Roman" w:hAnsi="Times New Roman" w:cs="Times New Roman"/>
          <w:sz w:val="26"/>
          <w:szCs w:val="26"/>
        </w:rPr>
      </w:pPr>
      <w:r w:rsidRPr="00A2084E">
        <w:rPr>
          <w:rFonts w:ascii="Times New Roman" w:hAnsi="Times New Roman" w:cs="Times New Roman"/>
          <w:sz w:val="26"/>
          <w:szCs w:val="26"/>
        </w:rPr>
        <w:t>The Commission periodically reviews requirements concurrent with OMB review or as the Commission deems necessary to eliminate duplicati</w:t>
      </w:r>
      <w:r w:rsidR="00322DF8">
        <w:rPr>
          <w:rFonts w:ascii="Times New Roman" w:hAnsi="Times New Roman" w:cs="Times New Roman"/>
          <w:sz w:val="26"/>
          <w:szCs w:val="26"/>
        </w:rPr>
        <w:t>on</w:t>
      </w:r>
      <w:r w:rsidRPr="00A2084E">
        <w:rPr>
          <w:rFonts w:ascii="Times New Roman" w:hAnsi="Times New Roman" w:cs="Times New Roman"/>
          <w:sz w:val="26"/>
          <w:szCs w:val="26"/>
        </w:rPr>
        <w:t xml:space="preserve"> and to minimize the burden. </w:t>
      </w:r>
      <w:r w:rsidR="008C18C8">
        <w:rPr>
          <w:rFonts w:ascii="Times New Roman" w:hAnsi="Times New Roman" w:cs="Times New Roman"/>
          <w:sz w:val="26"/>
          <w:szCs w:val="26"/>
        </w:rPr>
        <w:t xml:space="preserve"> </w:t>
      </w:r>
      <w:r w:rsidRPr="002705B2" w:rsidR="008C18C8">
        <w:rPr>
          <w:rFonts w:ascii="Times New Roman" w:hAnsi="Times New Roman" w:cs="Times New Roman"/>
          <w:sz w:val="26"/>
          <w:szCs w:val="24"/>
        </w:rPr>
        <w:t xml:space="preserve">Reliability Standards are developed by a collaborative process which requires industry participation. </w:t>
      </w:r>
      <w:r w:rsidR="009D7B78">
        <w:rPr>
          <w:rFonts w:ascii="Times New Roman" w:hAnsi="Times New Roman" w:cs="Times New Roman"/>
          <w:sz w:val="26"/>
          <w:szCs w:val="24"/>
        </w:rPr>
        <w:t xml:space="preserve"> </w:t>
      </w:r>
      <w:r w:rsidRPr="00A2084E">
        <w:rPr>
          <w:rFonts w:ascii="Times New Roman" w:hAnsi="Times New Roman" w:cs="Times New Roman"/>
          <w:sz w:val="26"/>
          <w:szCs w:val="26"/>
        </w:rPr>
        <w:t xml:space="preserve">The Commission is unaware of any other source of information </w:t>
      </w:r>
      <w:r w:rsidRPr="002705B2" w:rsidR="00022C97">
        <w:rPr>
          <w:rFonts w:ascii="Times New Roman" w:hAnsi="Times New Roman" w:cs="Times New Roman"/>
          <w:sz w:val="26"/>
          <w:szCs w:val="24"/>
        </w:rPr>
        <w:t>similar to the requirements</w:t>
      </w:r>
      <w:r w:rsidR="00022C97">
        <w:rPr>
          <w:rFonts w:ascii="Times New Roman" w:hAnsi="Times New Roman" w:cs="Times New Roman"/>
          <w:sz w:val="26"/>
          <w:szCs w:val="24"/>
        </w:rPr>
        <w:t xml:space="preserve"> in the Reliability Standards.  </w:t>
      </w:r>
    </w:p>
    <w:p w:rsidR="00466C57" w:rsidRPr="00A2084E" w:rsidP="00EB3E6F" w14:paraId="0802EA7E" w14:textId="77777777">
      <w:pPr>
        <w:spacing w:after="0"/>
        <w:rPr>
          <w:rFonts w:ascii="Times New Roman" w:hAnsi="Times New Roman" w:cs="Times New Roman"/>
          <w:sz w:val="26"/>
          <w:szCs w:val="26"/>
        </w:rPr>
      </w:pPr>
    </w:p>
    <w:p w:rsidR="00EB3E6F" w:rsidRPr="00A2084E" w:rsidP="00A72E7B" w14:paraId="72EA9393"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METHODS USED TO MINIMIZE THE BURDEN IN COLLECTION OF INFORMATION INVOLVING SMALL ENTITIES</w:t>
      </w:r>
    </w:p>
    <w:p w:rsidR="00EB3E6F" w:rsidRPr="00A2084E" w:rsidP="00EB3E6F" w14:paraId="2C2C6A43" w14:textId="77777777">
      <w:pPr>
        <w:spacing w:after="0"/>
        <w:rPr>
          <w:rFonts w:ascii="Times New Roman" w:hAnsi="Times New Roman" w:cs="Times New Roman"/>
          <w:sz w:val="26"/>
          <w:szCs w:val="26"/>
        </w:rPr>
      </w:pPr>
    </w:p>
    <w:p w:rsidR="00D43F0E" w:rsidRPr="00A2084E" w:rsidP="00D43F0E" w14:paraId="07808E18" w14:textId="00ED8D9A">
      <w:pPr>
        <w:spacing w:after="0"/>
        <w:rPr>
          <w:rFonts w:ascii="Times New Roman" w:hAnsi="Times New Roman" w:cs="Times New Roman"/>
          <w:sz w:val="26"/>
          <w:szCs w:val="26"/>
        </w:rPr>
      </w:pPr>
      <w:r w:rsidRPr="00A2084E">
        <w:rPr>
          <w:rFonts w:ascii="Times New Roman" w:hAnsi="Times New Roman" w:cs="Times New Roman"/>
          <w:sz w:val="26"/>
          <w:szCs w:val="26"/>
        </w:rPr>
        <w:t xml:space="preserve">In general, small entities may reduce their burden by taking part in a joint registration organization or a coordinated functional registration.  These options allow a small entity to share the compliance burden with other entities and, thus, to minimize their own </w:t>
      </w:r>
      <w:r w:rsidRPr="00A2084E">
        <w:rPr>
          <w:rFonts w:ascii="Times New Roman" w:hAnsi="Times New Roman" w:cs="Times New Roman"/>
          <w:sz w:val="26"/>
          <w:szCs w:val="26"/>
        </w:rPr>
        <w:t>compliance burden. Detailed information regarding these options is available in NERC’s Rule of Procedure at Sections 507 and 508</w:t>
      </w:r>
      <w:r w:rsidRPr="4635B435" w:rsidR="009602A3">
        <w:rPr>
          <w:rFonts w:ascii="Times New Roman" w:hAnsi="Times New Roman" w:cs="Times New Roman"/>
          <w:sz w:val="26"/>
          <w:szCs w:val="26"/>
        </w:rPr>
        <w:t>.</w:t>
      </w:r>
      <w:r>
        <w:rPr>
          <w:rStyle w:val="FootnoteReference"/>
          <w:rFonts w:ascii="Times New Roman" w:hAnsi="Times New Roman" w:cs="Times New Roman"/>
          <w:b/>
          <w:bCs/>
          <w:sz w:val="26"/>
          <w:szCs w:val="26"/>
          <w:vertAlign w:val="superscript"/>
        </w:rPr>
        <w:footnoteReference w:id="9"/>
      </w:r>
    </w:p>
    <w:p w:rsidR="001348AC" w:rsidRPr="00A2084E" w:rsidP="00EB3E6F" w14:paraId="6313B5C9" w14:textId="77777777">
      <w:pPr>
        <w:spacing w:after="0"/>
        <w:rPr>
          <w:rFonts w:ascii="Times New Roman" w:hAnsi="Times New Roman" w:cs="Times New Roman"/>
          <w:sz w:val="26"/>
          <w:szCs w:val="26"/>
        </w:rPr>
      </w:pPr>
    </w:p>
    <w:p w:rsidR="00EB3E6F" w:rsidRPr="00A2084E" w:rsidP="00A72E7B" w14:paraId="0631BAC3"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CONSEQUENCE TO FEDERAL PROGRAM IF COLLECTION WERE CONDUCTED LESS FREQUENTLY</w:t>
      </w:r>
    </w:p>
    <w:p w:rsidR="00EB3E6F" w:rsidRPr="00A2084E" w:rsidP="00EB3E6F" w14:paraId="3CD67D0B" w14:textId="77777777">
      <w:pPr>
        <w:spacing w:after="0"/>
        <w:rPr>
          <w:rFonts w:ascii="Times New Roman" w:hAnsi="Times New Roman" w:cs="Times New Roman"/>
          <w:sz w:val="26"/>
          <w:szCs w:val="26"/>
        </w:rPr>
      </w:pPr>
    </w:p>
    <w:p w:rsidR="00CF759C" w:rsidRPr="00A2084E" w:rsidP="00EB3E6F" w14:paraId="0B87DD4D" w14:textId="2D9BB014">
      <w:pPr>
        <w:spacing w:after="0"/>
        <w:rPr>
          <w:rFonts w:ascii="Times New Roman" w:eastAsia="Times New Roman" w:hAnsi="Times New Roman" w:cs="Times New Roman"/>
          <w:sz w:val="26"/>
          <w:szCs w:val="26"/>
        </w:rPr>
      </w:pPr>
      <w:r w:rsidRPr="19802ACB">
        <w:rPr>
          <w:rFonts w:ascii="Times New Roman" w:eastAsia="Times New Roman" w:hAnsi="Times New Roman" w:cs="Times New Roman"/>
          <w:sz w:val="26"/>
          <w:szCs w:val="26"/>
        </w:rPr>
        <w:t>In general, information collection requirements in Reliability Standards and requirements help maintain Bulk-Power System reliability</w:t>
      </w:r>
      <w:r>
        <w:rPr>
          <w:rFonts w:ascii="Times New Roman" w:eastAsia="Times New Roman" w:hAnsi="Times New Roman" w:cs="Times New Roman"/>
          <w:sz w:val="26"/>
          <w:szCs w:val="26"/>
        </w:rPr>
        <w:t>.</w:t>
      </w:r>
      <w:r w:rsidRPr="2A2D9407">
        <w:rPr>
          <w:rFonts w:ascii="Times New Roman" w:eastAsia="Times New Roman" w:hAnsi="Times New Roman" w:cs="Times New Roman"/>
          <w:sz w:val="26"/>
          <w:szCs w:val="26"/>
        </w:rPr>
        <w:t xml:space="preserve"> </w:t>
      </w:r>
      <w:r w:rsidRPr="2A2D9407" w:rsidR="00A53BD8">
        <w:rPr>
          <w:rFonts w:ascii="Times New Roman" w:eastAsia="Times New Roman" w:hAnsi="Times New Roman" w:cs="Times New Roman"/>
          <w:sz w:val="26"/>
          <w:szCs w:val="26"/>
        </w:rPr>
        <w:t>If th</w:t>
      </w:r>
      <w:r w:rsidR="00A53BD8">
        <w:rPr>
          <w:rFonts w:ascii="Times New Roman" w:eastAsia="Times New Roman" w:hAnsi="Times New Roman" w:cs="Times New Roman"/>
          <w:sz w:val="26"/>
          <w:szCs w:val="26"/>
        </w:rPr>
        <w:t xml:space="preserve">e standards </w:t>
      </w:r>
      <w:r w:rsidRPr="2A2D9407" w:rsidR="00A53BD8">
        <w:rPr>
          <w:rFonts w:ascii="Times New Roman" w:eastAsia="Times New Roman" w:hAnsi="Times New Roman" w:cs="Times New Roman"/>
          <w:sz w:val="26"/>
          <w:szCs w:val="26"/>
        </w:rPr>
        <w:t xml:space="preserve">and the associated information collection requirements did not exist or were performed less frequently, it would not be possible to ensure that applicable entities have the access to </w:t>
      </w:r>
      <w:r w:rsidR="00A53BD8">
        <w:rPr>
          <w:rFonts w:ascii="Times New Roman" w:eastAsia="Times New Roman" w:hAnsi="Times New Roman" w:cs="Times New Roman"/>
          <w:sz w:val="26"/>
          <w:szCs w:val="26"/>
        </w:rPr>
        <w:t>the</w:t>
      </w:r>
      <w:r w:rsidR="00667709">
        <w:rPr>
          <w:rFonts w:ascii="Times New Roman" w:eastAsia="Times New Roman" w:hAnsi="Times New Roman" w:cs="Times New Roman"/>
          <w:sz w:val="26"/>
          <w:szCs w:val="26"/>
        </w:rPr>
        <w:t xml:space="preserve"> IBR</w:t>
      </w:r>
      <w:r w:rsidR="00A53BD8">
        <w:rPr>
          <w:rFonts w:ascii="Times New Roman" w:eastAsia="Times New Roman" w:hAnsi="Times New Roman" w:cs="Times New Roman"/>
          <w:sz w:val="26"/>
          <w:szCs w:val="26"/>
        </w:rPr>
        <w:t xml:space="preserve"> modeling needed </w:t>
      </w:r>
      <w:r w:rsidRPr="2A2D9407" w:rsidR="00A53BD8">
        <w:rPr>
          <w:rFonts w:ascii="Times New Roman" w:eastAsia="Times New Roman" w:hAnsi="Times New Roman" w:cs="Times New Roman"/>
          <w:sz w:val="26"/>
          <w:szCs w:val="26"/>
        </w:rPr>
        <w:t xml:space="preserve">to ensure </w:t>
      </w:r>
      <w:r w:rsidR="00E424F6">
        <w:rPr>
          <w:rFonts w:ascii="Times New Roman" w:eastAsia="Times New Roman" w:hAnsi="Times New Roman" w:cs="Times New Roman"/>
          <w:sz w:val="26"/>
          <w:szCs w:val="26"/>
        </w:rPr>
        <w:t>the reliable operation</w:t>
      </w:r>
      <w:r w:rsidRPr="2A2D9407" w:rsidR="00A53BD8">
        <w:rPr>
          <w:rFonts w:ascii="Times New Roman" w:eastAsia="Times New Roman" w:hAnsi="Times New Roman" w:cs="Times New Roman"/>
          <w:sz w:val="26"/>
          <w:szCs w:val="26"/>
        </w:rPr>
        <w:t xml:space="preserve"> of the Bulk-Power System.  This would likely lead to lower system reliability and higher vulnerability and risk by operating in an unknown state.</w:t>
      </w:r>
    </w:p>
    <w:p w:rsidR="00297631" w:rsidRPr="00A2084E" w:rsidP="00EB3E6F" w14:paraId="76417F54" w14:textId="77777777">
      <w:pPr>
        <w:spacing w:after="0"/>
        <w:rPr>
          <w:rFonts w:ascii="Times New Roman" w:hAnsi="Times New Roman" w:cs="Times New Roman"/>
          <w:sz w:val="26"/>
          <w:szCs w:val="26"/>
        </w:rPr>
      </w:pPr>
    </w:p>
    <w:p w:rsidR="00EB3E6F" w:rsidRPr="00A2084E" w:rsidP="00A72E7B" w14:paraId="49BEA7BC"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EXPLAIN ANY SPECIAL CIRCUMSTANCES RELATING TO THE INFORMATION COLLECTION</w:t>
      </w:r>
    </w:p>
    <w:p w:rsidR="00EB3E6F" w:rsidRPr="00A2084E" w:rsidP="00EB3E6F" w14:paraId="3235B8A1" w14:textId="77777777">
      <w:pPr>
        <w:spacing w:after="0"/>
        <w:rPr>
          <w:rFonts w:ascii="Times New Roman" w:hAnsi="Times New Roman" w:cs="Times New Roman"/>
          <w:sz w:val="26"/>
          <w:szCs w:val="26"/>
        </w:rPr>
      </w:pPr>
    </w:p>
    <w:p w:rsidR="00EB3E6F" w:rsidRPr="00A2084E" w:rsidP="00EB3E6F" w14:paraId="51F8D074" w14:textId="1FA93D21">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There are no special circumstances </w:t>
      </w:r>
      <w:r w:rsidRPr="00A2084E" w:rsidR="00D43F0E">
        <w:rPr>
          <w:rFonts w:ascii="Times New Roman" w:hAnsi="Times New Roman" w:cs="Times New Roman"/>
          <w:sz w:val="26"/>
          <w:szCs w:val="26"/>
        </w:rPr>
        <w:t>related to the FERC-725L information collection.</w:t>
      </w:r>
    </w:p>
    <w:p w:rsidR="008D310F" w:rsidRPr="00A2084E" w:rsidP="00EB3E6F" w14:paraId="5161D56B" w14:textId="77777777">
      <w:pPr>
        <w:spacing w:after="0"/>
        <w:rPr>
          <w:rFonts w:ascii="Times New Roman" w:hAnsi="Times New Roman" w:cs="Times New Roman"/>
          <w:sz w:val="26"/>
          <w:szCs w:val="26"/>
        </w:rPr>
      </w:pPr>
    </w:p>
    <w:p w:rsidR="00EB3E6F" w:rsidRPr="00A2084E" w:rsidP="00A72E7B" w14:paraId="31455D90"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DESCRIBE EFFORTS TO CONSULT OUTSIDE THE AGENCY: SUMMARIZE PUBLIC COMMENTS AND THE AGENCY’S RESPONSE</w:t>
      </w:r>
    </w:p>
    <w:p w:rsidR="00EB3E6F" w:rsidRPr="00A2084E" w:rsidP="00EB3E6F" w14:paraId="4D23222C" w14:textId="77777777">
      <w:pPr>
        <w:spacing w:after="0"/>
        <w:rPr>
          <w:rFonts w:ascii="Times New Roman" w:hAnsi="Times New Roman" w:cs="Times New Roman"/>
          <w:sz w:val="26"/>
          <w:szCs w:val="26"/>
        </w:rPr>
      </w:pPr>
    </w:p>
    <w:p w:rsidR="00D43F0E" w:rsidRPr="00A2084E" w:rsidP="00D43F0E" w14:paraId="58C70201" w14:textId="77777777">
      <w:pPr>
        <w:spacing w:after="0"/>
        <w:rPr>
          <w:rFonts w:ascii="Times New Roman" w:hAnsi="Times New Roman" w:cs="Times New Roman"/>
          <w:sz w:val="26"/>
          <w:szCs w:val="26"/>
        </w:rPr>
      </w:pPr>
      <w:r w:rsidRPr="00A2084E">
        <w:rPr>
          <w:rFonts w:ascii="Times New Roman" w:hAnsi="Times New Roman" w:cs="Times New Roman"/>
          <w:sz w:val="26"/>
          <w:szCs w:val="26"/>
        </w:rPr>
        <w:t>The ERO process to establish Reliability Standards is a collaborative process with the ERO, Regional Entities, and other stakeholders developing and reviewing drafts and providing comments.</w:t>
      </w:r>
      <w:r>
        <w:rPr>
          <w:rStyle w:val="FootnoteReference"/>
          <w:rFonts w:ascii="Times New Roman" w:hAnsi="Times New Roman" w:cs="Times New Roman"/>
          <w:b/>
          <w:bCs/>
          <w:sz w:val="26"/>
          <w:szCs w:val="26"/>
          <w:vertAlign w:val="superscript"/>
        </w:rPr>
        <w:footnoteReference w:id="10"/>
      </w:r>
      <w:r w:rsidRPr="00A2084E">
        <w:rPr>
          <w:rFonts w:ascii="Times New Roman" w:hAnsi="Times New Roman" w:cs="Times New Roman"/>
          <w:sz w:val="26"/>
          <w:szCs w:val="26"/>
        </w:rPr>
        <w:t xml:space="preserve">  The NERC-approved Reliability Standards were then submitted by NERC to the FERC for review and approval.</w:t>
      </w:r>
    </w:p>
    <w:p w:rsidR="00D43F0E" w:rsidRPr="00A2084E" w:rsidP="00D43F0E" w14:paraId="65A4CC8F" w14:textId="77777777">
      <w:pPr>
        <w:spacing w:after="0"/>
        <w:rPr>
          <w:rFonts w:ascii="Times New Roman" w:hAnsi="Times New Roman" w:cs="Times New Roman"/>
          <w:sz w:val="26"/>
          <w:szCs w:val="26"/>
        </w:rPr>
      </w:pPr>
    </w:p>
    <w:p w:rsidR="00D43F0E" w:rsidRPr="00A2084E" w:rsidP="00D43F0E" w14:paraId="7E486EE0" w14:textId="3465CB95">
      <w:pPr>
        <w:autoSpaceDE w:val="0"/>
        <w:autoSpaceDN w:val="0"/>
        <w:adjustRightInd w:val="0"/>
        <w:spacing w:after="0"/>
        <w:rPr>
          <w:rFonts w:ascii="Times New Roman" w:hAnsi="Times New Roman" w:cs="Times New Roman"/>
          <w:sz w:val="26"/>
          <w:szCs w:val="26"/>
        </w:rPr>
      </w:pPr>
      <w:r w:rsidRPr="00A2084E">
        <w:rPr>
          <w:rFonts w:ascii="Times New Roman" w:hAnsi="Times New Roman" w:cs="Times New Roman"/>
          <w:sz w:val="26"/>
          <w:szCs w:val="26"/>
        </w:rPr>
        <w:t>In accordance with OMB requirements, the Commission published a 60-day notice</w:t>
      </w:r>
      <w:r>
        <w:rPr>
          <w:rStyle w:val="FootnoteReference"/>
          <w:rFonts w:ascii="Times New Roman" w:hAnsi="Times New Roman" w:cs="Times New Roman"/>
          <w:b/>
          <w:bCs/>
          <w:sz w:val="26"/>
          <w:szCs w:val="26"/>
          <w:vertAlign w:val="superscript"/>
        </w:rPr>
        <w:footnoteReference w:id="11"/>
      </w:r>
      <w:r w:rsidRPr="00A2084E">
        <w:rPr>
          <w:rFonts w:ascii="Times New Roman" w:hAnsi="Times New Roman" w:cs="Times New Roman"/>
          <w:sz w:val="26"/>
          <w:szCs w:val="26"/>
        </w:rPr>
        <w:t xml:space="preserve"> and a 30-day notice</w:t>
      </w:r>
      <w:r>
        <w:rPr>
          <w:rStyle w:val="FootnoteReference"/>
          <w:rFonts w:ascii="Times New Roman" w:hAnsi="Times New Roman" w:cs="Times New Roman"/>
          <w:b/>
          <w:bCs/>
          <w:sz w:val="26"/>
          <w:szCs w:val="26"/>
          <w:vertAlign w:val="superscript"/>
        </w:rPr>
        <w:footnoteReference w:id="12"/>
      </w:r>
      <w:r w:rsidRPr="00A2084E">
        <w:rPr>
          <w:rFonts w:ascii="Times New Roman" w:hAnsi="Times New Roman" w:cs="Times New Roman"/>
          <w:sz w:val="26"/>
          <w:szCs w:val="26"/>
        </w:rPr>
        <w:t xml:space="preserve"> to the public regarding this information collection on </w:t>
      </w:r>
      <w:r w:rsidRPr="00A2084E" w:rsidR="00200481">
        <w:rPr>
          <w:rFonts w:ascii="Times New Roman" w:hAnsi="Times New Roman" w:cs="Times New Roman"/>
          <w:sz w:val="26"/>
          <w:szCs w:val="26"/>
        </w:rPr>
        <w:t>February</w:t>
      </w:r>
      <w:r w:rsidRPr="00A2084E" w:rsidR="00011035">
        <w:rPr>
          <w:rFonts w:ascii="Times New Roman" w:hAnsi="Times New Roman" w:cs="Times New Roman"/>
          <w:sz w:val="26"/>
          <w:szCs w:val="26"/>
        </w:rPr>
        <w:t xml:space="preserve"> 2</w:t>
      </w:r>
      <w:r w:rsidRPr="00A2084E" w:rsidR="005A6BE4">
        <w:rPr>
          <w:rFonts w:ascii="Times New Roman" w:hAnsi="Times New Roman" w:cs="Times New Roman"/>
          <w:sz w:val="26"/>
          <w:szCs w:val="26"/>
        </w:rPr>
        <w:t>4</w:t>
      </w:r>
      <w:r w:rsidRPr="00A2084E" w:rsidR="00011035">
        <w:rPr>
          <w:rFonts w:ascii="Times New Roman" w:hAnsi="Times New Roman" w:cs="Times New Roman"/>
          <w:sz w:val="26"/>
          <w:szCs w:val="26"/>
        </w:rPr>
        <w:t xml:space="preserve">, </w:t>
      </w:r>
      <w:r w:rsidRPr="00A2084E" w:rsidR="00262475">
        <w:rPr>
          <w:rFonts w:ascii="Times New Roman" w:hAnsi="Times New Roman" w:cs="Times New Roman"/>
          <w:sz w:val="26"/>
          <w:szCs w:val="26"/>
        </w:rPr>
        <w:t>202</w:t>
      </w:r>
      <w:r w:rsidRPr="00A2084E" w:rsidR="005A6BE4">
        <w:rPr>
          <w:rFonts w:ascii="Times New Roman" w:hAnsi="Times New Roman" w:cs="Times New Roman"/>
          <w:sz w:val="26"/>
          <w:szCs w:val="26"/>
        </w:rPr>
        <w:t>6</w:t>
      </w:r>
      <w:r w:rsidRPr="00A2084E" w:rsidR="00262475">
        <w:rPr>
          <w:rFonts w:ascii="Times New Roman" w:hAnsi="Times New Roman" w:cs="Times New Roman"/>
          <w:sz w:val="26"/>
          <w:szCs w:val="26"/>
        </w:rPr>
        <w:t>,</w:t>
      </w:r>
      <w:r w:rsidRPr="00A2084E">
        <w:rPr>
          <w:rFonts w:ascii="Times New Roman" w:hAnsi="Times New Roman" w:cs="Times New Roman"/>
          <w:sz w:val="26"/>
          <w:szCs w:val="26"/>
        </w:rPr>
        <w:t xml:space="preserve"> and </w:t>
      </w:r>
      <w:r w:rsidRPr="00A2084E" w:rsidR="00200481">
        <w:rPr>
          <w:rFonts w:ascii="Times New Roman" w:hAnsi="Times New Roman" w:cs="Times New Roman"/>
          <w:sz w:val="26"/>
          <w:szCs w:val="26"/>
        </w:rPr>
        <w:t xml:space="preserve">October </w:t>
      </w:r>
      <w:r w:rsidRPr="4635B435" w:rsidR="00F91A19">
        <w:rPr>
          <w:rFonts w:ascii="Times New Roman" w:hAnsi="Times New Roman" w:cs="Times New Roman"/>
          <w:sz w:val="26"/>
          <w:szCs w:val="26"/>
        </w:rPr>
        <w:t>15</w:t>
      </w:r>
      <w:r w:rsidRPr="00A2084E" w:rsidR="00DF0461">
        <w:rPr>
          <w:rFonts w:ascii="Times New Roman" w:hAnsi="Times New Roman" w:cs="Times New Roman"/>
          <w:sz w:val="26"/>
          <w:szCs w:val="26"/>
        </w:rPr>
        <w:t>, 2026</w:t>
      </w:r>
      <w:r w:rsidRPr="00A2084E" w:rsidR="00262475">
        <w:rPr>
          <w:rFonts w:ascii="Times New Roman" w:hAnsi="Times New Roman" w:cs="Times New Roman"/>
          <w:sz w:val="26"/>
          <w:szCs w:val="26"/>
        </w:rPr>
        <w:t>,</w:t>
      </w:r>
      <w:r w:rsidRPr="00A2084E">
        <w:rPr>
          <w:rFonts w:ascii="Times New Roman" w:hAnsi="Times New Roman" w:cs="Times New Roman"/>
          <w:sz w:val="26"/>
          <w:szCs w:val="26"/>
        </w:rPr>
        <w:t xml:space="preserve"> respectively.  Within the public notices, the Commission noted that it would be requesting a three-year extension of the public reporting burden. The Commission received no comments from the public in response to </w:t>
      </w:r>
      <w:r w:rsidRPr="00A2084E" w:rsidR="00744A3C">
        <w:rPr>
          <w:rFonts w:ascii="Times New Roman" w:hAnsi="Times New Roman" w:cs="Times New Roman"/>
          <w:sz w:val="26"/>
          <w:szCs w:val="26"/>
        </w:rPr>
        <w:t>the 60-day</w:t>
      </w:r>
      <w:r w:rsidRPr="00A2084E">
        <w:rPr>
          <w:rFonts w:ascii="Times New Roman" w:hAnsi="Times New Roman" w:cs="Times New Roman"/>
          <w:sz w:val="26"/>
          <w:szCs w:val="26"/>
        </w:rPr>
        <w:t xml:space="preserve"> notice regarding the FERC-725L information collection.</w:t>
      </w:r>
    </w:p>
    <w:p w:rsidR="00EB3E6F" w:rsidRPr="00A2084E" w:rsidP="00EB3E6F" w14:paraId="45339A23" w14:textId="595D6301">
      <w:pPr>
        <w:spacing w:after="0"/>
        <w:rPr>
          <w:rFonts w:ascii="Times New Roman" w:hAnsi="Times New Roman" w:cs="Times New Roman"/>
          <w:sz w:val="26"/>
          <w:szCs w:val="26"/>
        </w:rPr>
      </w:pPr>
    </w:p>
    <w:p w:rsidR="00EB3E6F" w:rsidRPr="00A2084E" w:rsidP="00A72E7B" w14:paraId="67AD048F"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EXPLAIN ANY PAYMENT OR GIFTS TO RESPONDENTS</w:t>
      </w:r>
    </w:p>
    <w:p w:rsidR="00D80FBD" w:rsidRPr="00A2084E" w:rsidP="00D80FBD" w14:paraId="7394C59A" w14:textId="77777777">
      <w:pPr>
        <w:spacing w:after="0"/>
        <w:rPr>
          <w:rFonts w:ascii="Times New Roman" w:hAnsi="Times New Roman" w:cs="Times New Roman"/>
          <w:sz w:val="26"/>
          <w:szCs w:val="26"/>
        </w:rPr>
      </w:pPr>
    </w:p>
    <w:p w:rsidR="00D80FBD" w:rsidRPr="00A2084E" w:rsidP="00D80FBD" w14:paraId="2D6D951D" w14:textId="0B60396C">
      <w:pPr>
        <w:spacing w:after="0"/>
        <w:rPr>
          <w:rFonts w:ascii="Times New Roman" w:hAnsi="Times New Roman" w:cs="Times New Roman"/>
          <w:sz w:val="26"/>
          <w:szCs w:val="26"/>
        </w:rPr>
      </w:pPr>
      <w:r w:rsidRPr="00D0606B">
        <w:rPr>
          <w:rFonts w:ascii="Times New Roman" w:hAnsi="Times New Roman" w:cs="Times New Roman"/>
          <w:sz w:val="26"/>
          <w:szCs w:val="26"/>
        </w:rPr>
        <w:t>The Commission does not make payments or provide gifts</w:t>
      </w:r>
      <w:r>
        <w:rPr>
          <w:rFonts w:ascii="Times New Roman" w:hAnsi="Times New Roman" w:cs="Times New Roman"/>
          <w:sz w:val="26"/>
          <w:szCs w:val="26"/>
        </w:rPr>
        <w:t xml:space="preserve"> to respondents</w:t>
      </w:r>
      <w:r w:rsidRPr="00D0606B">
        <w:rPr>
          <w:rFonts w:ascii="Times New Roman" w:hAnsi="Times New Roman" w:cs="Times New Roman"/>
          <w:sz w:val="26"/>
          <w:szCs w:val="26"/>
        </w:rPr>
        <w:t>.</w:t>
      </w:r>
      <w:r>
        <w:rPr>
          <w:rFonts w:ascii="Times New Roman" w:hAnsi="Times New Roman" w:cs="Times New Roman"/>
          <w:sz w:val="26"/>
          <w:szCs w:val="26"/>
        </w:rPr>
        <w:t xml:space="preserve"> </w:t>
      </w:r>
    </w:p>
    <w:p w:rsidR="008D310F" w:rsidRPr="00A2084E" w:rsidP="00D80FBD" w14:paraId="5FFE503A" w14:textId="77777777">
      <w:pPr>
        <w:spacing w:after="0"/>
        <w:rPr>
          <w:rFonts w:ascii="Times New Roman" w:hAnsi="Times New Roman" w:cs="Times New Roman"/>
          <w:sz w:val="26"/>
          <w:szCs w:val="26"/>
        </w:rPr>
      </w:pPr>
    </w:p>
    <w:p w:rsidR="00D80FBD" w:rsidRPr="00A2084E" w:rsidP="00A72E7B" w14:paraId="3A58A0FB"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DESCRIBE ANY ASSURANCE OF CONFIDENTIALITY PROVIDED TO RESPONDENTS</w:t>
      </w:r>
    </w:p>
    <w:p w:rsidR="00D80FBD" w:rsidRPr="00A2084E" w:rsidP="00D80FBD" w14:paraId="752483D7" w14:textId="77777777">
      <w:pPr>
        <w:spacing w:after="0"/>
        <w:rPr>
          <w:rFonts w:ascii="Times New Roman" w:hAnsi="Times New Roman" w:cs="Times New Roman"/>
          <w:sz w:val="26"/>
          <w:szCs w:val="26"/>
        </w:rPr>
      </w:pPr>
    </w:p>
    <w:p w:rsidR="002C1BFB" w:rsidRPr="00A2084E" w:rsidP="002C1BFB" w14:paraId="581EAAB9" w14:textId="77777777">
      <w:pPr>
        <w:spacing w:after="0"/>
        <w:rPr>
          <w:rFonts w:ascii="Times New Roman" w:hAnsi="Times New Roman" w:cs="Times New Roman"/>
          <w:sz w:val="26"/>
          <w:szCs w:val="26"/>
        </w:rPr>
      </w:pPr>
    </w:p>
    <w:p w:rsidR="002C1BFB" w:rsidP="002C1BFB" w14:paraId="2B886A8D" w14:textId="6AFAD9E8">
      <w:pPr>
        <w:spacing w:after="0"/>
        <w:rPr>
          <w:rFonts w:ascii="Times New Roman" w:hAnsi="Times New Roman" w:cs="Times New Roman"/>
          <w:sz w:val="26"/>
          <w:szCs w:val="26"/>
        </w:rPr>
      </w:pPr>
      <w:r w:rsidRPr="00A2084E">
        <w:rPr>
          <w:rFonts w:ascii="Times New Roman" w:hAnsi="Times New Roman" w:cs="Times New Roman"/>
          <w:sz w:val="26"/>
          <w:szCs w:val="26"/>
        </w:rPr>
        <w:t>Responding entities do not submit the informat</w:t>
      </w:r>
      <w:r w:rsidRPr="00A2084E" w:rsidR="00952D21">
        <w:rPr>
          <w:rFonts w:ascii="Times New Roman" w:hAnsi="Times New Roman" w:cs="Times New Roman"/>
          <w:sz w:val="26"/>
          <w:szCs w:val="26"/>
        </w:rPr>
        <w:t>ion collected under the</w:t>
      </w:r>
      <w:r w:rsidRPr="00A2084E" w:rsidR="006437A2">
        <w:rPr>
          <w:rFonts w:ascii="Times New Roman" w:hAnsi="Times New Roman" w:cs="Times New Roman"/>
          <w:sz w:val="26"/>
          <w:szCs w:val="26"/>
        </w:rPr>
        <w:t>se</w:t>
      </w:r>
      <w:r w:rsidRPr="00A2084E">
        <w:rPr>
          <w:rFonts w:ascii="Times New Roman" w:hAnsi="Times New Roman" w:cs="Times New Roman"/>
          <w:sz w:val="26"/>
          <w:szCs w:val="26"/>
        </w:rPr>
        <w:t xml:space="preserve"> Reliability Standard</w:t>
      </w:r>
      <w:r w:rsidRPr="00A2084E" w:rsidR="006437A2">
        <w:rPr>
          <w:rFonts w:ascii="Times New Roman" w:hAnsi="Times New Roman" w:cs="Times New Roman"/>
          <w:sz w:val="26"/>
          <w:szCs w:val="26"/>
        </w:rPr>
        <w:t>s</w:t>
      </w:r>
      <w:r w:rsidRPr="00A2084E">
        <w:rPr>
          <w:rFonts w:ascii="Times New Roman" w:hAnsi="Times New Roman" w:cs="Times New Roman"/>
          <w:sz w:val="26"/>
          <w:szCs w:val="26"/>
        </w:rPr>
        <w:t xml:space="preserve"> to FERC.  Rather, they</w:t>
      </w:r>
      <w:r w:rsidR="00DE2EAB">
        <w:rPr>
          <w:rFonts w:ascii="Times New Roman" w:hAnsi="Times New Roman" w:cs="Times New Roman"/>
          <w:sz w:val="26"/>
          <w:szCs w:val="26"/>
        </w:rPr>
        <w:t xml:space="preserve"> submit the information to NERC, the regional entities, </w:t>
      </w:r>
      <w:r w:rsidR="00317F02">
        <w:rPr>
          <w:rFonts w:ascii="Times New Roman" w:hAnsi="Times New Roman" w:cs="Times New Roman"/>
          <w:sz w:val="26"/>
          <w:szCs w:val="26"/>
        </w:rPr>
        <w:t>or</w:t>
      </w:r>
      <w:r w:rsidRPr="00A2084E">
        <w:rPr>
          <w:rFonts w:ascii="Times New Roman" w:hAnsi="Times New Roman" w:cs="Times New Roman"/>
          <w:sz w:val="26"/>
          <w:szCs w:val="26"/>
        </w:rPr>
        <w:t xml:space="preserve"> maintain it internally.  Since there are no submissions made to FERC, FERC provides no specific provisions in order to protect confidentiality. </w:t>
      </w:r>
    </w:p>
    <w:p w:rsidR="00A142AE" w:rsidP="002C1BFB" w14:paraId="1735C115" w14:textId="77777777">
      <w:pPr>
        <w:spacing w:after="0"/>
        <w:rPr>
          <w:rFonts w:ascii="Times New Roman" w:hAnsi="Times New Roman" w:cs="Times New Roman"/>
          <w:sz w:val="26"/>
          <w:szCs w:val="26"/>
        </w:rPr>
      </w:pPr>
    </w:p>
    <w:p w:rsidR="00A142AE" w:rsidRPr="00A2084E" w:rsidP="002C1BFB" w14:paraId="4EFC94C3" w14:textId="50E1FF14">
      <w:pPr>
        <w:spacing w:after="0"/>
        <w:rPr>
          <w:rFonts w:ascii="Times New Roman" w:hAnsi="Times New Roman" w:cs="Times New Roman"/>
          <w:sz w:val="26"/>
          <w:szCs w:val="26"/>
        </w:rPr>
      </w:pPr>
      <w:r w:rsidRPr="4635B435">
        <w:rPr>
          <w:rFonts w:ascii="Times New Roman" w:hAnsi="Times New Roman" w:cs="Times New Roman"/>
          <w:sz w:val="26"/>
          <w:szCs w:val="26"/>
        </w:rPr>
        <w:t>According to the NERC Rule of Procedure</w:t>
      </w:r>
      <w:r w:rsidRPr="4635B435" w:rsidR="001E2551">
        <w:rPr>
          <w:rFonts w:ascii="Times New Roman" w:hAnsi="Times New Roman" w:cs="Times New Roman"/>
          <w:sz w:val="26"/>
          <w:szCs w:val="26"/>
        </w:rPr>
        <w:t xml:space="preserve"> section 1502</w:t>
      </w:r>
      <w:r w:rsidRPr="4635B435" w:rsidR="00765DE0">
        <w:rPr>
          <w:rFonts w:ascii="Times New Roman" w:hAnsi="Times New Roman" w:cs="Times New Roman"/>
          <w:sz w:val="26"/>
          <w:szCs w:val="26"/>
        </w:rPr>
        <w:t>,</w:t>
      </w:r>
      <w:r w:rsidRPr="4635B435">
        <w:rPr>
          <w:rFonts w:ascii="Times New Roman" w:hAnsi="Times New Roman" w:cs="Times New Roman"/>
          <w:sz w:val="26"/>
          <w:szCs w:val="26"/>
        </w:rPr>
        <w:t xml:space="preserve"> “a Receiving Entity shall keep in confidence and not copy, disclose, or distribute any Confidential Information or any part thereof without the permission of the Submitting Entity, except as otherwise legally required.”</w:t>
      </w:r>
      <w:r>
        <w:rPr>
          <w:rStyle w:val="FootnoteReference"/>
          <w:rFonts w:ascii="Times New Roman" w:hAnsi="Times New Roman" w:cs="Times New Roman"/>
          <w:b/>
          <w:bCs/>
          <w:sz w:val="26"/>
          <w:szCs w:val="26"/>
          <w:vertAlign w:val="superscript"/>
        </w:rPr>
        <w:footnoteReference w:id="13"/>
      </w:r>
      <w:r w:rsidRPr="4635B435">
        <w:rPr>
          <w:rFonts w:ascii="Times New Roman" w:hAnsi="Times New Roman" w:cs="Times New Roman"/>
          <w:sz w:val="26"/>
          <w:szCs w:val="26"/>
        </w:rPr>
        <w:t xml:space="preserve">  This serves to protect confidential information submitted to NERC or Regional Entities.</w:t>
      </w:r>
    </w:p>
    <w:p w:rsidR="008D310F" w:rsidRPr="00A2084E" w:rsidP="00D80FBD" w14:paraId="2B6C79EB" w14:textId="77777777">
      <w:pPr>
        <w:spacing w:after="0"/>
        <w:rPr>
          <w:rFonts w:ascii="Times New Roman" w:hAnsi="Times New Roman" w:cs="Times New Roman"/>
          <w:sz w:val="26"/>
          <w:szCs w:val="26"/>
        </w:rPr>
      </w:pPr>
    </w:p>
    <w:p w:rsidR="00D80FBD" w:rsidRPr="00A2084E" w:rsidP="00A72E7B" w14:paraId="7B8DE5EA"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 xml:space="preserve">PROVIDE </w:t>
      </w:r>
      <w:r w:rsidRPr="00A2084E" w:rsidR="004C5E0E">
        <w:rPr>
          <w:rFonts w:ascii="Times New Roman" w:hAnsi="Times New Roman" w:cs="Times New Roman"/>
          <w:b/>
          <w:sz w:val="26"/>
          <w:szCs w:val="26"/>
        </w:rPr>
        <w:t>ADDITIONAL JUSTIFICATION FOR ANY QUESTIONS OF A SENSITIVE NATURE, SUCH AS SEXUAL BEHAVIOR AND ATTITUDES, RELIGIOUS BELIEFS, AND OTHER MATTERS THAT ARE COMMONLY CONSIDERED PRIVATE.</w:t>
      </w:r>
    </w:p>
    <w:p w:rsidR="00D80FBD" w:rsidRPr="00A2084E" w:rsidP="00D80FBD" w14:paraId="0DBA2F08" w14:textId="77777777">
      <w:pPr>
        <w:spacing w:after="0"/>
        <w:rPr>
          <w:rFonts w:ascii="Times New Roman" w:hAnsi="Times New Roman" w:cs="Times New Roman"/>
          <w:sz w:val="26"/>
          <w:szCs w:val="26"/>
        </w:rPr>
      </w:pPr>
    </w:p>
    <w:p w:rsidR="00D80FBD" w:rsidRPr="00A2084E" w:rsidP="00D80FBD" w14:paraId="3AAB0479" w14:textId="77777777">
      <w:pPr>
        <w:spacing w:after="0"/>
        <w:rPr>
          <w:rFonts w:ascii="Times New Roman" w:hAnsi="Times New Roman" w:cs="Times New Roman"/>
          <w:sz w:val="26"/>
          <w:szCs w:val="26"/>
        </w:rPr>
      </w:pPr>
      <w:r w:rsidRPr="00A2084E">
        <w:rPr>
          <w:rFonts w:ascii="Times New Roman" w:hAnsi="Times New Roman" w:cs="Times New Roman"/>
          <w:sz w:val="26"/>
          <w:szCs w:val="26"/>
        </w:rPr>
        <w:t>There are no questions of a sensitive nature in the reporting requirements.</w:t>
      </w:r>
    </w:p>
    <w:p w:rsidR="0074195A" w:rsidRPr="00A2084E" w:rsidP="00D80FBD" w14:paraId="4DD76322" w14:textId="77777777">
      <w:pPr>
        <w:spacing w:after="0"/>
        <w:rPr>
          <w:rFonts w:ascii="Times New Roman" w:hAnsi="Times New Roman" w:cs="Times New Roman"/>
          <w:sz w:val="26"/>
          <w:szCs w:val="26"/>
        </w:rPr>
      </w:pPr>
    </w:p>
    <w:p w:rsidR="00D80FBD" w:rsidP="00A72E7B" w14:paraId="5B02ECA3"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ESTIMATED BURDEN OF COLLECTION OF INFORMATION</w:t>
      </w:r>
    </w:p>
    <w:p w:rsidR="007D6EA2" w:rsidRPr="00A2084E" w:rsidP="00A2084E" w14:paraId="1EC882FB" w14:textId="77777777">
      <w:pPr>
        <w:pStyle w:val="ListParagraph"/>
        <w:spacing w:after="0"/>
        <w:ind w:left="360"/>
        <w:rPr>
          <w:rFonts w:ascii="Times New Roman" w:hAnsi="Times New Roman" w:cs="Times New Roman"/>
          <w:b/>
          <w:sz w:val="26"/>
          <w:szCs w:val="26"/>
        </w:rPr>
      </w:pPr>
    </w:p>
    <w:p w:rsidR="00E80DE8" w:rsidRPr="00A2084E" w:rsidP="002C5784" w14:paraId="5D64D8ED" w14:textId="0B820AFE">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 number of respondents that are subject to mandatory compliance with Reliability Standards MOD-032-2, MOD-033-3, and MOD-026-2, in the tables below, are based on the NERC Compliance Registry as of December 3, 2025, and good faith estimates provided by NERC to Commission staff, in August 2025.  NERC estimates that there are 491 category 2 generator owners and 310 category 2 generator operators, which will be added to the respective category 1 generator owners and generator operators in the NERC Compliance Registry to reach an estimate of the total number of generator owners and generator operators.  </w:t>
      </w:r>
      <w:r w:rsidRPr="00A2084E" w:rsidR="00441339">
        <w:rPr>
          <w:rFonts w:ascii="Times New Roman" w:hAnsi="Times New Roman" w:cs="Times New Roman"/>
          <w:sz w:val="26"/>
          <w:szCs w:val="26"/>
        </w:rPr>
        <w:t xml:space="preserve">The burden for the FERC-725L information collection includes estimates related to each </w:t>
      </w:r>
      <w:r w:rsidRPr="00A2084E" w:rsidR="00CE0A63">
        <w:rPr>
          <w:rFonts w:ascii="Times New Roman" w:hAnsi="Times New Roman" w:cs="Times New Roman"/>
          <w:sz w:val="26"/>
          <w:szCs w:val="26"/>
        </w:rPr>
        <w:t>of the six</w:t>
      </w:r>
      <w:r w:rsidRPr="00A2084E" w:rsidR="00441339">
        <w:rPr>
          <w:rFonts w:ascii="Times New Roman" w:hAnsi="Times New Roman" w:cs="Times New Roman"/>
          <w:sz w:val="26"/>
          <w:szCs w:val="26"/>
        </w:rPr>
        <w:t xml:space="preserve"> previously approved Reliability Standards.</w:t>
      </w:r>
      <w:r w:rsidRPr="00A2084E">
        <w:rPr>
          <w:rFonts w:ascii="Times New Roman" w:hAnsi="Times New Roman" w:cs="Times New Roman"/>
          <w:sz w:val="26"/>
          <w:szCs w:val="26"/>
        </w:rPr>
        <w:t xml:space="preserve"> </w:t>
      </w:r>
    </w:p>
    <w:p w:rsidR="002C5784" w:rsidRPr="00A2084E" w:rsidP="002C5784" w14:paraId="026CA84A" w14:textId="266A7706">
      <w:pPr>
        <w:spacing w:after="0"/>
        <w:rPr>
          <w:rFonts w:ascii="Times New Roman" w:hAnsi="Times New Roman" w:cs="Times New Roman"/>
          <w:sz w:val="26"/>
          <w:szCs w:val="26"/>
        </w:rPr>
      </w:pPr>
      <w:r w:rsidRPr="00A2084E">
        <w:rPr>
          <w:rFonts w:ascii="Times New Roman" w:hAnsi="Times New Roman" w:cs="Times New Roman"/>
          <w:sz w:val="26"/>
          <w:szCs w:val="26"/>
        </w:rPr>
        <w:t xml:space="preserve"> </w:t>
      </w:r>
    </w:p>
    <w:p w:rsidR="00461020" w:rsidRPr="00A2084E" w:rsidP="00461020" w14:paraId="793D7C95" w14:textId="31D4AE14">
      <w:pPr>
        <w:spacing w:after="0"/>
        <w:rPr>
          <w:rFonts w:ascii="Times New Roman" w:hAnsi="Times New Roman" w:cs="Times New Roman"/>
          <w:sz w:val="26"/>
          <w:szCs w:val="26"/>
        </w:rPr>
      </w:pPr>
      <w:r w:rsidRPr="00A2084E">
        <w:rPr>
          <w:rFonts w:ascii="Times New Roman" w:hAnsi="Times New Roman" w:cs="Times New Roman"/>
          <w:i/>
          <w:iCs/>
          <w:sz w:val="26"/>
          <w:szCs w:val="26"/>
        </w:rPr>
        <w:t>Estimate of Annual Burden</w:t>
      </w:r>
      <w:r>
        <w:rPr>
          <w:rFonts w:ascii="Times New Roman" w:hAnsi="Times New Roman" w:cs="Times New Roman"/>
          <w:b/>
          <w:bCs/>
          <w:sz w:val="26"/>
          <w:szCs w:val="26"/>
          <w:vertAlign w:val="superscript"/>
        </w:rPr>
        <w:footnoteReference w:id="14"/>
      </w:r>
      <w:r w:rsidRPr="00A2084E">
        <w:rPr>
          <w:rFonts w:ascii="Times New Roman" w:hAnsi="Times New Roman" w:cs="Times New Roman"/>
          <w:i/>
          <w:iCs/>
          <w:sz w:val="26"/>
          <w:szCs w:val="26"/>
        </w:rPr>
        <w:t xml:space="preserve">: </w:t>
      </w:r>
      <w:r w:rsidRPr="00A2084E">
        <w:rPr>
          <w:rFonts w:ascii="Times New Roman" w:hAnsi="Times New Roman" w:cs="Times New Roman"/>
          <w:sz w:val="26"/>
          <w:szCs w:val="26"/>
        </w:rPr>
        <w:t>The Commission estimates the annual public reporting burden and cost for the information collection as: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06A10800" w14:textId="77777777" w:rsidTr="4635B435">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66BD48DC"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Proposed Changes in Burden MOD-032-2 Docket No. RD26-1</w:t>
            </w:r>
          </w:p>
        </w:tc>
      </w:tr>
      <w:tr w14:paraId="59CF9386" w14:textId="77777777" w:rsidTr="4635B435">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6ABCA6F0"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Reliability Standard</w:t>
            </w:r>
          </w:p>
        </w:tc>
        <w:tc>
          <w:tcPr>
            <w:tcW w:w="1867" w:type="dxa"/>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625D3534"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Type and Number of Entity</w:t>
            </w:r>
            <w:r>
              <w:rPr>
                <w:rFonts w:ascii="Times New Roman" w:eastAsia="Calibri" w:hAnsi="Times New Roman" w:cs="Times New Roman"/>
                <w:b/>
                <w:bCs/>
                <w:sz w:val="26"/>
                <w:szCs w:val="26"/>
                <w:vertAlign w:val="superscript"/>
              </w:rPr>
              <w:footnoteReference w:id="15"/>
            </w:r>
            <w:r w:rsidRPr="00CE5C88">
              <w:rPr>
                <w:rFonts w:ascii="Times New Roman" w:eastAsia="Calibri" w:hAnsi="Times New Roman" w:cs="Times New Roman"/>
                <w:sz w:val="26"/>
                <w:szCs w:val="26"/>
              </w:rPr>
              <w:t> </w:t>
            </w:r>
          </w:p>
          <w:p w:rsidR="00CE5C88" w:rsidRPr="00CE5C88" w:rsidP="00CE5C88" w14:paraId="2CCEFAF0"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sz w:val="26"/>
                <w:szCs w:val="26"/>
              </w:rPr>
              <w:t>(1)</w:t>
            </w:r>
          </w:p>
        </w:tc>
        <w:tc>
          <w:tcPr>
            <w:tcW w:w="1427" w:type="dxa"/>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1B7D8402"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Number of Annual Responses Per Entity</w:t>
            </w:r>
          </w:p>
          <w:p w:rsidR="00CE5C88" w:rsidRPr="00CE5C88" w:rsidP="00CE5C88" w14:paraId="393E0AC2"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w:t>
            </w:r>
            <w:r w:rsidRPr="00CE5C88">
              <w:rPr>
                <w:rFonts w:ascii="Times New Roman" w:eastAsia="Calibri" w:hAnsi="Times New Roman" w:cs="Times New Roman"/>
                <w:b/>
                <w:sz w:val="26"/>
                <w:szCs w:val="26"/>
              </w:rPr>
              <w:t>2)</w:t>
            </w:r>
          </w:p>
        </w:tc>
        <w:tc>
          <w:tcPr>
            <w:tcW w:w="1434" w:type="dxa"/>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1C2F79A3"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Total Number of Responses</w:t>
            </w:r>
          </w:p>
          <w:p w:rsidR="00CE5C88" w:rsidRPr="00CE5C88" w:rsidP="00CE5C88" w14:paraId="645A2ECA"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(1)*(2)=(3)</w:t>
            </w:r>
          </w:p>
        </w:tc>
        <w:tc>
          <w:tcPr>
            <w:tcW w:w="1428" w:type="dxa"/>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72C1EDA5"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4635B435">
              <w:rPr>
                <w:rFonts w:ascii="Times New Roman" w:eastAsia="Calibri" w:hAnsi="Times New Roman" w:cs="Times New Roman"/>
                <w:b/>
                <w:bCs/>
                <w:sz w:val="26"/>
                <w:szCs w:val="26"/>
              </w:rPr>
              <w:t>Average Number of Burden Hours per Response</w:t>
            </w:r>
            <w:r>
              <w:rPr>
                <w:rFonts w:ascii="Times New Roman" w:eastAsia="Calibri" w:hAnsi="Times New Roman" w:cs="Times New Roman"/>
                <w:b/>
                <w:bCs/>
                <w:sz w:val="26"/>
                <w:szCs w:val="26"/>
                <w:vertAlign w:val="superscript"/>
              </w:rPr>
              <w:footnoteReference w:id="16"/>
            </w:r>
          </w:p>
          <w:p w:rsidR="00CE5C88" w:rsidRPr="00CE5C88" w:rsidP="00CE5C88" w14:paraId="14C6D339"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(4)</w:t>
            </w:r>
          </w:p>
        </w:tc>
        <w:tc>
          <w:tcPr>
            <w:tcW w:w="1776" w:type="dxa"/>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2AA1E3FC"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Total Burden Hours</w:t>
            </w:r>
          </w:p>
          <w:p w:rsidR="00CE5C88" w:rsidRPr="00CE5C88" w:rsidP="00CE5C88" w14:paraId="1FB40FD1"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(3)*(4)=(5)</w:t>
            </w:r>
          </w:p>
        </w:tc>
      </w:tr>
      <w:tr w14:paraId="4D08DD2A" w14:textId="77777777" w:rsidTr="4635B435">
        <w:tblPrEx>
          <w:tblW w:w="9344" w:type="dxa"/>
          <w:tblCellMar>
            <w:left w:w="0" w:type="dxa"/>
            <w:right w:w="0" w:type="dxa"/>
          </w:tblCellMar>
          <w:tblLook w:val="04A0"/>
        </w:tblPrEx>
        <w:trPr>
          <w:trHeight w:val="315"/>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hideMark/>
          </w:tcPr>
          <w:p w:rsidR="00CE5C88" w:rsidRPr="00CE5C88" w:rsidP="00CE5C88" w14:paraId="0B5B6A47"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Annual Collection MOD-032-2 FERC-725 L</w:t>
            </w:r>
          </w:p>
        </w:tc>
      </w:tr>
      <w:tr w14:paraId="7BCDEC16" w14:textId="77777777" w:rsidTr="4635B435">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CE5C88" w:rsidRPr="00CE5C88" w:rsidP="00CE5C88" w14:paraId="68197703"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Annual review and record retention</w:t>
            </w:r>
          </w:p>
        </w:tc>
        <w:tc>
          <w:tcPr>
            <w:tcW w:w="1867" w:type="dxa"/>
            <w:tcBorders>
              <w:top w:val="single" w:sz="6" w:space="0" w:color="auto"/>
              <w:left w:val="single" w:sz="6" w:space="0" w:color="auto"/>
              <w:bottom w:val="single" w:sz="6" w:space="0" w:color="auto"/>
              <w:right w:val="single" w:sz="6" w:space="0" w:color="auto"/>
            </w:tcBorders>
            <w:hideMark/>
          </w:tcPr>
          <w:p w:rsidR="00CE5C88" w:rsidRPr="00CE5C88" w:rsidP="00CE5C88" w14:paraId="33F7975D"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 xml:space="preserve">97 (BA) </w:t>
            </w:r>
          </w:p>
        </w:tc>
        <w:tc>
          <w:tcPr>
            <w:tcW w:w="1427" w:type="dxa"/>
            <w:tcBorders>
              <w:top w:val="single" w:sz="6" w:space="0" w:color="auto"/>
              <w:left w:val="single" w:sz="6" w:space="0" w:color="auto"/>
              <w:bottom w:val="single" w:sz="6" w:space="0" w:color="auto"/>
              <w:right w:val="single" w:sz="6" w:space="0" w:color="auto"/>
            </w:tcBorders>
            <w:hideMark/>
          </w:tcPr>
          <w:p w:rsidR="00CE5C88" w:rsidRPr="00CE5C88" w:rsidP="00CE5C88" w14:paraId="3C76AC7E"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CE5C88" w:rsidRPr="00CE5C88" w:rsidP="00CE5C88" w14:paraId="2FC43238"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97</w:t>
            </w:r>
          </w:p>
        </w:tc>
        <w:tc>
          <w:tcPr>
            <w:tcW w:w="1428" w:type="dxa"/>
            <w:tcBorders>
              <w:top w:val="single" w:sz="6" w:space="0" w:color="auto"/>
              <w:left w:val="single" w:sz="6" w:space="0" w:color="auto"/>
              <w:bottom w:val="single" w:sz="6" w:space="0" w:color="auto"/>
              <w:right w:val="single" w:sz="6" w:space="0" w:color="auto"/>
            </w:tcBorders>
            <w:hideMark/>
          </w:tcPr>
          <w:p w:rsidR="00CE5C88" w:rsidRPr="00CE5C88" w:rsidP="00CE5C88" w14:paraId="14C75D05"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8 hrs.</w:t>
            </w:r>
          </w:p>
          <w:p w:rsidR="00CE5C88" w:rsidRPr="00CE5C88" w:rsidP="00CE5C88" w14:paraId="3F485804" w14:textId="15B2788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$ 508.16 </w:t>
            </w:r>
          </w:p>
        </w:tc>
        <w:tc>
          <w:tcPr>
            <w:tcW w:w="1776" w:type="dxa"/>
            <w:tcBorders>
              <w:top w:val="single" w:sz="6" w:space="0" w:color="auto"/>
              <w:left w:val="single" w:sz="6" w:space="0" w:color="auto"/>
              <w:bottom w:val="single" w:sz="6" w:space="0" w:color="auto"/>
              <w:right w:val="single" w:sz="6" w:space="0" w:color="auto"/>
            </w:tcBorders>
            <w:hideMark/>
          </w:tcPr>
          <w:p w:rsidR="00CE5C88" w:rsidRPr="00CE5C88" w:rsidP="00CE5C88" w14:paraId="55656B11"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776 hrs. </w:t>
            </w:r>
          </w:p>
          <w:p w:rsidR="00CE5C88" w:rsidRPr="00CE5C88" w:rsidP="00CE5C88" w14:paraId="2EC94E4F"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$ 49,291.52</w:t>
            </w:r>
          </w:p>
        </w:tc>
      </w:tr>
      <w:tr w14:paraId="2648990E" w14:textId="77777777" w:rsidTr="4635B435">
        <w:tblPrEx>
          <w:tblW w:w="9344" w:type="dxa"/>
          <w:tblCellMar>
            <w:left w:w="0" w:type="dxa"/>
            <w:right w:w="0" w:type="dxa"/>
          </w:tblCellMar>
          <w:tblLook w:val="04A0"/>
        </w:tblPrEx>
        <w:trPr>
          <w:trHeight w:val="300"/>
        </w:trPr>
        <w:tc>
          <w:tcPr>
            <w:tcW w:w="0" w:type="auto"/>
            <w:vMerge/>
            <w:vAlign w:val="center"/>
            <w:hideMark/>
          </w:tcPr>
          <w:p w:rsidR="00CE5C88" w:rsidRPr="00CE5C88" w:rsidP="00CE5C88" w14:paraId="25E6FB75"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hideMark/>
          </w:tcPr>
          <w:p w:rsidR="00CE5C88" w:rsidRPr="00CE5C88" w:rsidP="00CE5C88" w14:paraId="29498DE6"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 xml:space="preserve">299 (DP) </w:t>
            </w:r>
          </w:p>
        </w:tc>
        <w:tc>
          <w:tcPr>
            <w:tcW w:w="1427" w:type="dxa"/>
            <w:tcBorders>
              <w:top w:val="single" w:sz="6" w:space="0" w:color="auto"/>
              <w:left w:val="single" w:sz="6" w:space="0" w:color="auto"/>
              <w:bottom w:val="single" w:sz="6" w:space="0" w:color="auto"/>
              <w:right w:val="single" w:sz="6" w:space="0" w:color="auto"/>
            </w:tcBorders>
            <w:hideMark/>
          </w:tcPr>
          <w:p w:rsidR="00CE5C88" w:rsidRPr="00CE5C88" w:rsidP="00CE5C88" w14:paraId="05D57498"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CE5C88" w:rsidRPr="00CE5C88" w:rsidP="00CE5C88" w14:paraId="68E69BFF"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299</w:t>
            </w:r>
          </w:p>
        </w:tc>
        <w:tc>
          <w:tcPr>
            <w:tcW w:w="1428" w:type="dxa"/>
            <w:tcBorders>
              <w:top w:val="single" w:sz="6" w:space="0" w:color="auto"/>
              <w:left w:val="single" w:sz="6" w:space="0" w:color="auto"/>
              <w:bottom w:val="single" w:sz="6" w:space="0" w:color="auto"/>
              <w:right w:val="single" w:sz="6" w:space="0" w:color="auto"/>
            </w:tcBorders>
            <w:hideMark/>
          </w:tcPr>
          <w:p w:rsidR="00CE5C88" w:rsidRPr="00CE5C88" w:rsidP="00CE5C88" w14:paraId="71FB68FD"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8 hrs.</w:t>
            </w:r>
          </w:p>
          <w:p w:rsidR="00CE5C88" w:rsidRPr="00CE5C88" w:rsidP="00CE5C88" w14:paraId="54F7AC91" w14:textId="16FDD256">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hideMark/>
          </w:tcPr>
          <w:p w:rsidR="00CE5C88" w:rsidRPr="00CE5C88" w:rsidP="00CE5C88" w14:paraId="3CA41DDA"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2,392 hrs. </w:t>
            </w:r>
          </w:p>
          <w:p w:rsidR="00CE5C88" w:rsidRPr="00CE5C88" w:rsidP="00CE5C88" w14:paraId="7F1A129A"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xml:space="preserve">$ 151,939.84 </w:t>
            </w:r>
          </w:p>
        </w:tc>
      </w:tr>
      <w:tr w14:paraId="2E98E4A2" w14:textId="77777777" w:rsidTr="4635B435">
        <w:tblPrEx>
          <w:tblW w:w="9344" w:type="dxa"/>
          <w:tblCellMar>
            <w:left w:w="0" w:type="dxa"/>
            <w:right w:w="0" w:type="dxa"/>
          </w:tblCellMar>
          <w:tblLook w:val="04A0"/>
        </w:tblPrEx>
        <w:trPr>
          <w:trHeight w:val="300"/>
        </w:trPr>
        <w:tc>
          <w:tcPr>
            <w:tcW w:w="0" w:type="auto"/>
            <w:vMerge/>
            <w:vAlign w:val="center"/>
            <w:hideMark/>
          </w:tcPr>
          <w:p w:rsidR="00CE5C88" w:rsidRPr="00CE5C88" w:rsidP="00CE5C88" w14:paraId="4A247258"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hideMark/>
          </w:tcPr>
          <w:p w:rsidR="00CE5C88" w:rsidRPr="00CE5C88" w:rsidP="00CE5C88" w14:paraId="73438603"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4635B435">
              <w:rPr>
                <w:rFonts w:ascii="Times New Roman" w:eastAsia="Calibri" w:hAnsi="Times New Roman" w:cs="Times New Roman"/>
                <w:sz w:val="26"/>
                <w:szCs w:val="26"/>
              </w:rPr>
              <w:t>1,834</w:t>
            </w:r>
            <w:r w:rsidRPr="4635B435">
              <w:rPr>
                <w:rFonts w:ascii="Times New Roman" w:eastAsia="Calibri" w:hAnsi="Times New Roman" w:cs="Times New Roman"/>
                <w:color w:val="FF0000"/>
                <w:sz w:val="26"/>
                <w:szCs w:val="26"/>
              </w:rPr>
              <w:t xml:space="preserve"> </w:t>
            </w:r>
            <w:r w:rsidRPr="4635B435">
              <w:rPr>
                <w:rFonts w:ascii="Times New Roman" w:eastAsia="Calibri" w:hAnsi="Times New Roman" w:cs="Times New Roman"/>
                <w:sz w:val="26"/>
                <w:szCs w:val="26"/>
              </w:rPr>
              <w:t>(GO)</w:t>
            </w:r>
            <w:r>
              <w:rPr>
                <w:rFonts w:ascii="Times New Roman" w:eastAsia="Calibri" w:hAnsi="Times New Roman" w:cs="Times New Roman"/>
                <w:b/>
                <w:bCs/>
                <w:sz w:val="26"/>
                <w:szCs w:val="26"/>
                <w:vertAlign w:val="superscript"/>
              </w:rPr>
              <w:footnoteReference w:id="17"/>
            </w:r>
            <w:r w:rsidRPr="4635B435">
              <w:rPr>
                <w:rFonts w:ascii="Times New Roman" w:eastAsia="Calibri" w:hAnsi="Times New Roman" w:cs="Times New Roman"/>
                <w:sz w:val="26"/>
                <w:szCs w:val="26"/>
              </w:rPr>
              <w:t xml:space="preserve"> </w:t>
            </w:r>
          </w:p>
        </w:tc>
        <w:tc>
          <w:tcPr>
            <w:tcW w:w="1427" w:type="dxa"/>
            <w:tcBorders>
              <w:top w:val="single" w:sz="6" w:space="0" w:color="auto"/>
              <w:left w:val="single" w:sz="6" w:space="0" w:color="auto"/>
              <w:bottom w:val="single" w:sz="6" w:space="0" w:color="auto"/>
              <w:right w:val="single" w:sz="6" w:space="0" w:color="auto"/>
            </w:tcBorders>
            <w:hideMark/>
          </w:tcPr>
          <w:p w:rsidR="00CE5C88" w:rsidRPr="00CE5C88" w:rsidP="00CE5C88" w14:paraId="00791E73"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CE5C88" w:rsidRPr="00CE5C88" w:rsidP="00CE5C88" w14:paraId="4191D0E8"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1834</w:t>
            </w:r>
          </w:p>
        </w:tc>
        <w:tc>
          <w:tcPr>
            <w:tcW w:w="1428" w:type="dxa"/>
            <w:tcBorders>
              <w:top w:val="single" w:sz="6" w:space="0" w:color="auto"/>
              <w:left w:val="single" w:sz="6" w:space="0" w:color="auto"/>
              <w:bottom w:val="single" w:sz="6" w:space="0" w:color="auto"/>
              <w:right w:val="single" w:sz="6" w:space="0" w:color="auto"/>
            </w:tcBorders>
            <w:hideMark/>
          </w:tcPr>
          <w:p w:rsidR="00CE5C88" w:rsidRPr="00CE5C88" w:rsidP="00CE5C88" w14:paraId="120837CA"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8 hrs.</w:t>
            </w:r>
          </w:p>
          <w:p w:rsidR="00CE5C88" w:rsidRPr="00CE5C88" w:rsidP="00CE5C88" w14:paraId="605107B7" w14:textId="583FB2EF">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hideMark/>
          </w:tcPr>
          <w:p w:rsidR="00CE5C88" w:rsidRPr="00CE5C88" w:rsidP="00CE5C88" w14:paraId="1FA1CE53"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14,672 hrs. </w:t>
            </w:r>
          </w:p>
          <w:p w:rsidR="00CE5C88" w:rsidRPr="00CE5C88" w:rsidP="00CE5C88" w14:paraId="1D750DA3"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xml:space="preserve">$931,965.44 </w:t>
            </w:r>
          </w:p>
        </w:tc>
      </w:tr>
      <w:tr w14:paraId="19FDBF68" w14:textId="77777777" w:rsidTr="4635B435">
        <w:tblPrEx>
          <w:tblW w:w="9344" w:type="dxa"/>
          <w:tblCellMar>
            <w:left w:w="0" w:type="dxa"/>
            <w:right w:w="0" w:type="dxa"/>
          </w:tblCellMar>
          <w:tblLook w:val="04A0"/>
        </w:tblPrEx>
        <w:trPr>
          <w:trHeight w:val="300"/>
        </w:trPr>
        <w:tc>
          <w:tcPr>
            <w:tcW w:w="0" w:type="auto"/>
            <w:vMerge/>
            <w:vAlign w:val="center"/>
          </w:tcPr>
          <w:p w:rsidR="00CE5C88" w:rsidRPr="00CE5C88" w:rsidP="00CE5C88" w14:paraId="3A87DA17"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CE5C88" w:rsidRPr="00CE5C88" w:rsidP="00CE5C88" w14:paraId="08C689E3"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 xml:space="preserve">62 (PC) </w:t>
            </w:r>
          </w:p>
        </w:tc>
        <w:tc>
          <w:tcPr>
            <w:tcW w:w="1427" w:type="dxa"/>
            <w:tcBorders>
              <w:top w:val="single" w:sz="6" w:space="0" w:color="auto"/>
              <w:left w:val="single" w:sz="6" w:space="0" w:color="auto"/>
              <w:bottom w:val="single" w:sz="6" w:space="0" w:color="auto"/>
              <w:right w:val="single" w:sz="6" w:space="0" w:color="auto"/>
            </w:tcBorders>
          </w:tcPr>
          <w:p w:rsidR="00CE5C88" w:rsidRPr="00CE5C88" w:rsidP="00CE5C88" w14:paraId="43A481A9"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CE5C88" w:rsidRPr="00CE5C88" w:rsidP="00CE5C88" w14:paraId="190F1314"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62</w:t>
            </w:r>
          </w:p>
        </w:tc>
        <w:tc>
          <w:tcPr>
            <w:tcW w:w="1428" w:type="dxa"/>
            <w:tcBorders>
              <w:top w:val="single" w:sz="6" w:space="0" w:color="auto"/>
              <w:left w:val="single" w:sz="6" w:space="0" w:color="auto"/>
              <w:bottom w:val="single" w:sz="6" w:space="0" w:color="auto"/>
              <w:right w:val="single" w:sz="6" w:space="0" w:color="auto"/>
            </w:tcBorders>
          </w:tcPr>
          <w:p w:rsidR="00CE5C88" w:rsidRPr="00CE5C88" w:rsidP="00CE5C88" w14:paraId="725BA235"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16 hrs.</w:t>
            </w:r>
          </w:p>
          <w:p w:rsidR="00CE5C88" w:rsidRPr="00CE5C88" w:rsidP="00CE5C88" w14:paraId="406AB115" w14:textId="3E084EC0">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$1016.32 </w:t>
            </w:r>
          </w:p>
        </w:tc>
        <w:tc>
          <w:tcPr>
            <w:tcW w:w="1776" w:type="dxa"/>
            <w:tcBorders>
              <w:top w:val="single" w:sz="6" w:space="0" w:color="auto"/>
              <w:left w:val="single" w:sz="6" w:space="0" w:color="auto"/>
              <w:bottom w:val="single" w:sz="6" w:space="0" w:color="auto"/>
              <w:right w:val="single" w:sz="6" w:space="0" w:color="auto"/>
            </w:tcBorders>
          </w:tcPr>
          <w:p w:rsidR="00CE5C88" w:rsidRPr="00CE5C88" w:rsidP="00CE5C88" w14:paraId="581846C6"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992 hrs. </w:t>
            </w:r>
          </w:p>
          <w:p w:rsidR="00CE5C88" w:rsidRPr="00CE5C88" w:rsidP="00CE5C88" w14:paraId="365FF318"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$63,011.84</w:t>
            </w:r>
          </w:p>
        </w:tc>
      </w:tr>
      <w:tr w14:paraId="6D8C2494" w14:textId="77777777" w:rsidTr="4635B435">
        <w:tblPrEx>
          <w:tblW w:w="9344" w:type="dxa"/>
          <w:tblCellMar>
            <w:left w:w="0" w:type="dxa"/>
            <w:right w:w="0" w:type="dxa"/>
          </w:tblCellMar>
          <w:tblLook w:val="04A0"/>
        </w:tblPrEx>
        <w:trPr>
          <w:trHeight w:val="300"/>
        </w:trPr>
        <w:tc>
          <w:tcPr>
            <w:tcW w:w="0" w:type="auto"/>
            <w:vMerge/>
            <w:vAlign w:val="center"/>
          </w:tcPr>
          <w:p w:rsidR="00CE5C88" w:rsidRPr="00CE5C88" w:rsidP="00CE5C88" w14:paraId="36A4AA89"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CE5C88" w:rsidRPr="00CE5C88" w:rsidP="00CE5C88" w14:paraId="662F149F"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 xml:space="preserve">157 (RP) </w:t>
            </w:r>
          </w:p>
        </w:tc>
        <w:tc>
          <w:tcPr>
            <w:tcW w:w="1427" w:type="dxa"/>
            <w:tcBorders>
              <w:top w:val="single" w:sz="6" w:space="0" w:color="auto"/>
              <w:left w:val="single" w:sz="6" w:space="0" w:color="auto"/>
              <w:bottom w:val="single" w:sz="6" w:space="0" w:color="auto"/>
              <w:right w:val="single" w:sz="6" w:space="0" w:color="auto"/>
            </w:tcBorders>
          </w:tcPr>
          <w:p w:rsidR="00CE5C88" w:rsidRPr="00CE5C88" w:rsidP="00CE5C88" w14:paraId="37370336"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CE5C88" w:rsidRPr="00CE5C88" w:rsidP="00CE5C88" w14:paraId="5482F43A"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157</w:t>
            </w:r>
          </w:p>
        </w:tc>
        <w:tc>
          <w:tcPr>
            <w:tcW w:w="1428" w:type="dxa"/>
            <w:tcBorders>
              <w:top w:val="single" w:sz="6" w:space="0" w:color="auto"/>
              <w:left w:val="single" w:sz="6" w:space="0" w:color="auto"/>
              <w:bottom w:val="single" w:sz="6" w:space="0" w:color="auto"/>
              <w:right w:val="single" w:sz="6" w:space="0" w:color="auto"/>
            </w:tcBorders>
          </w:tcPr>
          <w:p w:rsidR="00CE5C88" w:rsidRPr="00CE5C88" w:rsidP="00CE5C88" w14:paraId="3EE02518"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8 hrs.</w:t>
            </w:r>
          </w:p>
          <w:p w:rsidR="00CE5C88" w:rsidRPr="00CE5C88" w:rsidP="00CE5C88" w14:paraId="37FBE342" w14:textId="089F8CA5">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CE5C88" w:rsidRPr="00CE5C88" w:rsidP="00CE5C88" w14:paraId="554A3723"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1,256 hrs. </w:t>
            </w:r>
          </w:p>
          <w:p w:rsidR="00CE5C88" w:rsidRPr="00CE5C88" w:rsidP="00CE5C88" w14:paraId="1B32239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$79,781.12</w:t>
            </w:r>
          </w:p>
        </w:tc>
      </w:tr>
      <w:tr w14:paraId="3B092E64" w14:textId="77777777" w:rsidTr="4635B435">
        <w:tblPrEx>
          <w:tblW w:w="9344" w:type="dxa"/>
          <w:tblCellMar>
            <w:left w:w="0" w:type="dxa"/>
            <w:right w:w="0" w:type="dxa"/>
          </w:tblCellMar>
          <w:tblLook w:val="04A0"/>
        </w:tblPrEx>
        <w:trPr>
          <w:trHeight w:val="300"/>
        </w:trPr>
        <w:tc>
          <w:tcPr>
            <w:tcW w:w="0" w:type="auto"/>
            <w:vMerge/>
            <w:vAlign w:val="center"/>
          </w:tcPr>
          <w:p w:rsidR="00CE5C88" w:rsidRPr="00CE5C88" w:rsidP="00CE5C88" w14:paraId="346441F8"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CE5C88" w:rsidRPr="00CE5C88" w:rsidP="00CE5C88" w14:paraId="054398D8"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341 (TO)</w:t>
            </w:r>
          </w:p>
        </w:tc>
        <w:tc>
          <w:tcPr>
            <w:tcW w:w="1427" w:type="dxa"/>
            <w:tcBorders>
              <w:top w:val="single" w:sz="6" w:space="0" w:color="auto"/>
              <w:left w:val="single" w:sz="6" w:space="0" w:color="auto"/>
              <w:bottom w:val="single" w:sz="6" w:space="0" w:color="auto"/>
              <w:right w:val="single" w:sz="6" w:space="0" w:color="auto"/>
            </w:tcBorders>
          </w:tcPr>
          <w:p w:rsidR="00CE5C88" w:rsidRPr="00CE5C88" w:rsidP="00CE5C88" w14:paraId="0D4B5077"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CE5C88" w:rsidRPr="00CE5C88" w:rsidP="00CE5C88" w14:paraId="1D5AAF56"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341</w:t>
            </w:r>
          </w:p>
        </w:tc>
        <w:tc>
          <w:tcPr>
            <w:tcW w:w="1428" w:type="dxa"/>
            <w:tcBorders>
              <w:top w:val="single" w:sz="6" w:space="0" w:color="auto"/>
              <w:left w:val="single" w:sz="6" w:space="0" w:color="auto"/>
              <w:bottom w:val="single" w:sz="6" w:space="0" w:color="auto"/>
              <w:right w:val="single" w:sz="6" w:space="0" w:color="auto"/>
            </w:tcBorders>
          </w:tcPr>
          <w:p w:rsidR="00CE5C88" w:rsidRPr="00CE5C88" w:rsidP="00CE5C88" w14:paraId="3B05425F"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8 hrs.</w:t>
            </w:r>
          </w:p>
          <w:p w:rsidR="00CE5C88" w:rsidRPr="00CE5C88" w:rsidP="00CE5C88" w14:paraId="53CFFEF7" w14:textId="5430ACFA">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CE5C88" w:rsidRPr="00CE5C88" w:rsidP="00CE5C88" w14:paraId="6D753C5E"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2,728 hrs. </w:t>
            </w:r>
          </w:p>
          <w:p w:rsidR="00CE5C88" w:rsidRPr="00CE5C88" w:rsidP="00CE5C88" w14:paraId="4599DEE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xml:space="preserve">$173,282.56 </w:t>
            </w:r>
          </w:p>
        </w:tc>
      </w:tr>
      <w:tr w14:paraId="3CF4C7D6" w14:textId="77777777" w:rsidTr="4635B435">
        <w:tblPrEx>
          <w:tblW w:w="9344" w:type="dxa"/>
          <w:tblCellMar>
            <w:left w:w="0" w:type="dxa"/>
            <w:right w:w="0" w:type="dxa"/>
          </w:tblCellMar>
          <w:tblLook w:val="04A0"/>
        </w:tblPrEx>
        <w:trPr>
          <w:trHeight w:val="300"/>
        </w:trPr>
        <w:tc>
          <w:tcPr>
            <w:tcW w:w="0" w:type="auto"/>
            <w:vMerge/>
            <w:vAlign w:val="center"/>
          </w:tcPr>
          <w:p w:rsidR="00CE5C88" w:rsidRPr="00CE5C88" w:rsidP="00CE5C88" w14:paraId="6A459070"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CE5C88" w:rsidRPr="00CE5C88" w:rsidP="00CE5C88" w14:paraId="09C2F7ED"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208 (TP)</w:t>
            </w:r>
          </w:p>
        </w:tc>
        <w:tc>
          <w:tcPr>
            <w:tcW w:w="1427" w:type="dxa"/>
            <w:tcBorders>
              <w:top w:val="single" w:sz="6" w:space="0" w:color="auto"/>
              <w:left w:val="single" w:sz="6" w:space="0" w:color="auto"/>
              <w:bottom w:val="single" w:sz="6" w:space="0" w:color="auto"/>
              <w:right w:val="single" w:sz="6" w:space="0" w:color="auto"/>
            </w:tcBorders>
          </w:tcPr>
          <w:p w:rsidR="00CE5C88" w:rsidRPr="00CE5C88" w:rsidP="00CE5C88" w14:paraId="17ADED68"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CE5C88" w:rsidRPr="00CE5C88" w:rsidP="00CE5C88" w14:paraId="06796C00"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208</w:t>
            </w:r>
          </w:p>
        </w:tc>
        <w:tc>
          <w:tcPr>
            <w:tcW w:w="1428" w:type="dxa"/>
            <w:tcBorders>
              <w:top w:val="single" w:sz="6" w:space="0" w:color="auto"/>
              <w:left w:val="single" w:sz="6" w:space="0" w:color="auto"/>
              <w:bottom w:val="single" w:sz="6" w:space="0" w:color="auto"/>
              <w:right w:val="single" w:sz="6" w:space="0" w:color="auto"/>
            </w:tcBorders>
          </w:tcPr>
          <w:p w:rsidR="00CE5C88" w:rsidRPr="00CE5C88" w:rsidP="00CE5C88" w14:paraId="7B30FED5"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16 hrs.</w:t>
            </w:r>
          </w:p>
          <w:p w:rsidR="00CE5C88" w:rsidRPr="00CE5C88" w:rsidP="00CE5C88" w14:paraId="21AD327C" w14:textId="7A6F749C">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$1016.32 </w:t>
            </w:r>
          </w:p>
        </w:tc>
        <w:tc>
          <w:tcPr>
            <w:tcW w:w="1776" w:type="dxa"/>
            <w:tcBorders>
              <w:top w:val="single" w:sz="6" w:space="0" w:color="auto"/>
              <w:left w:val="single" w:sz="6" w:space="0" w:color="auto"/>
              <w:bottom w:val="single" w:sz="6" w:space="0" w:color="auto"/>
              <w:right w:val="single" w:sz="6" w:space="0" w:color="auto"/>
            </w:tcBorders>
          </w:tcPr>
          <w:p w:rsidR="00CE5C88" w:rsidRPr="00CE5C88" w:rsidP="00CE5C88" w14:paraId="0C767154"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3,328 hrs. </w:t>
            </w:r>
          </w:p>
          <w:p w:rsidR="00CE5C88" w:rsidRPr="00CE5C88" w:rsidP="00CE5C88" w14:paraId="36E6526C"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xml:space="preserve">$211,394.56 </w:t>
            </w:r>
          </w:p>
        </w:tc>
      </w:tr>
      <w:tr w14:paraId="558A4788" w14:textId="77777777" w:rsidTr="4635B435">
        <w:tblPrEx>
          <w:tblW w:w="9344" w:type="dxa"/>
          <w:tblCellMar>
            <w:left w:w="0" w:type="dxa"/>
            <w:right w:w="0" w:type="dxa"/>
          </w:tblCellMar>
          <w:tblLook w:val="04A0"/>
        </w:tblPrEx>
        <w:trPr>
          <w:trHeight w:val="300"/>
        </w:trPr>
        <w:tc>
          <w:tcPr>
            <w:tcW w:w="0" w:type="auto"/>
            <w:vMerge/>
            <w:vAlign w:val="center"/>
          </w:tcPr>
          <w:p w:rsidR="00CE5C88" w:rsidRPr="00CE5C88" w:rsidP="00CE5C88" w14:paraId="15A324FA"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CE5C88" w:rsidRPr="00CE5C88" w:rsidP="00CE5C88" w14:paraId="2ECE4232"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 xml:space="preserve">70 (TSP) </w:t>
            </w:r>
          </w:p>
        </w:tc>
        <w:tc>
          <w:tcPr>
            <w:tcW w:w="1427" w:type="dxa"/>
            <w:tcBorders>
              <w:top w:val="single" w:sz="6" w:space="0" w:color="auto"/>
              <w:left w:val="single" w:sz="6" w:space="0" w:color="auto"/>
              <w:bottom w:val="single" w:sz="6" w:space="0" w:color="auto"/>
              <w:right w:val="single" w:sz="6" w:space="0" w:color="auto"/>
            </w:tcBorders>
          </w:tcPr>
          <w:p w:rsidR="00CE5C88" w:rsidRPr="00CE5C88" w:rsidP="00CE5C88" w14:paraId="39CE348F"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CE5C88">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CE5C88" w:rsidRPr="00CE5C88" w:rsidP="00CE5C88" w14:paraId="36C314DC"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CE5C88">
              <w:rPr>
                <w:rFonts w:ascii="Times New Roman" w:eastAsia="Calibri" w:hAnsi="Times New Roman" w:cs="Times New Roman"/>
                <w:sz w:val="26"/>
              </w:rPr>
              <w:t>70</w:t>
            </w:r>
          </w:p>
        </w:tc>
        <w:tc>
          <w:tcPr>
            <w:tcW w:w="1428" w:type="dxa"/>
            <w:tcBorders>
              <w:top w:val="single" w:sz="6" w:space="0" w:color="auto"/>
              <w:left w:val="single" w:sz="6" w:space="0" w:color="auto"/>
              <w:bottom w:val="single" w:sz="6" w:space="0" w:color="auto"/>
              <w:right w:val="single" w:sz="6" w:space="0" w:color="auto"/>
            </w:tcBorders>
          </w:tcPr>
          <w:p w:rsidR="00CE5C88" w:rsidRPr="00CE5C88" w:rsidP="00CE5C88" w14:paraId="75041DA0"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8 hrs.</w:t>
            </w:r>
          </w:p>
          <w:p w:rsidR="00CE5C88" w:rsidRPr="00CE5C88" w:rsidP="00CE5C88" w14:paraId="39F17DEF" w14:textId="4FCD66D8">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CE5C88" w:rsidRPr="00CE5C88" w:rsidP="00CE5C88" w14:paraId="00790894"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560 hrs. </w:t>
            </w:r>
          </w:p>
          <w:p w:rsidR="00CE5C88" w:rsidRPr="00CE5C88" w:rsidP="00CE5C88" w14:paraId="3E4AC592"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CE5C88">
              <w:rPr>
                <w:rFonts w:ascii="Times New Roman" w:eastAsia="Calibri" w:hAnsi="Times New Roman" w:cs="Times New Roman"/>
                <w:sz w:val="26"/>
              </w:rPr>
              <w:t xml:space="preserve">$35,571.20 </w:t>
            </w:r>
          </w:p>
        </w:tc>
      </w:tr>
      <w:tr w14:paraId="43D9DCE7" w14:textId="77777777" w:rsidTr="4635B435">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CE5C88" w:rsidRPr="00CE5C88" w:rsidP="00CE5C88" w14:paraId="34E71B60" w14:textId="77777777">
            <w:pPr>
              <w:tabs>
                <w:tab w:val="left" w:pos="720"/>
              </w:tabs>
              <w:autoSpaceDE w:val="0"/>
              <w:autoSpaceDN w:val="0"/>
              <w:adjustRightInd w:val="0"/>
              <w:spacing w:after="0" w:line="240" w:lineRule="auto"/>
              <w:rPr>
                <w:rFonts w:ascii="Times New Roman" w:eastAsia="Calibri" w:hAnsi="Times New Roman" w:cs="Times New Roman"/>
                <w:b/>
                <w:bCs/>
                <w:sz w:val="26"/>
                <w:szCs w:val="26"/>
              </w:rPr>
            </w:pPr>
            <w:r w:rsidRPr="00CE5C88">
              <w:rPr>
                <w:rFonts w:ascii="Times New Roman" w:eastAsia="Calibri" w:hAnsi="Times New Roman" w:cs="Times New Roman"/>
                <w:b/>
                <w:bCs/>
                <w:sz w:val="26"/>
                <w:szCs w:val="26"/>
              </w:rPr>
              <w:t xml:space="preserve">Total for </w:t>
            </w:r>
          </w:p>
          <w:p w:rsidR="00CE5C88" w:rsidRPr="00CE5C88" w:rsidP="00CE5C88" w14:paraId="21120C17"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b/>
                <w:bCs/>
                <w:sz w:val="26"/>
                <w:szCs w:val="26"/>
              </w:rPr>
              <w:t>MOD-032-2</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CE5C88" w:rsidRPr="00CE5C88" w:rsidP="00CE5C88" w14:paraId="4C669C81"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sz w:val="26"/>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CE5C88" w:rsidRPr="00CE5C88" w:rsidP="00CE5C88" w14:paraId="178EEC03"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CE5C88">
              <w:rPr>
                <w:rFonts w:ascii="Times New Roman" w:eastAsia="Calibri" w:hAnsi="Times New Roman" w:cs="Times New Roman"/>
                <w:sz w:val="26"/>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CE5C88" w:rsidRPr="00CE5C88" w:rsidP="00CE5C88" w14:paraId="6100FF30" w14:textId="77777777">
            <w:pPr>
              <w:tabs>
                <w:tab w:val="left" w:pos="720"/>
              </w:tabs>
              <w:autoSpaceDE w:val="0"/>
              <w:autoSpaceDN w:val="0"/>
              <w:adjustRightInd w:val="0"/>
              <w:spacing w:after="0" w:line="240" w:lineRule="auto"/>
              <w:jc w:val="center"/>
              <w:rPr>
                <w:rFonts w:ascii="Times New Roman" w:eastAsia="Calibri" w:hAnsi="Times New Roman" w:cs="Times New Roman"/>
                <w:bCs/>
                <w:sz w:val="26"/>
              </w:rPr>
            </w:pPr>
            <w:r w:rsidRPr="00CE5C88">
              <w:rPr>
                <w:rFonts w:ascii="Times New Roman" w:eastAsia="Calibri" w:hAnsi="Times New Roman" w:cs="Times New Roman"/>
                <w:bCs/>
                <w:sz w:val="26"/>
              </w:rPr>
              <w:t>3,068</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CE5C88" w:rsidRPr="00CE5C88" w:rsidP="00CE5C88" w14:paraId="7E4AB4F1"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CE5C88">
              <w:rPr>
                <w:rFonts w:ascii="Times New Roman" w:eastAsia="Calibri" w:hAnsi="Times New Roman" w:cs="Times New Roman"/>
                <w:bCs/>
                <w:sz w:val="26"/>
              </w:rPr>
              <w:t> </w:t>
            </w:r>
          </w:p>
        </w:tc>
        <w:tc>
          <w:tcPr>
            <w:tcW w:w="1776" w:type="dxa"/>
            <w:tcBorders>
              <w:top w:val="single" w:sz="6" w:space="0" w:color="auto"/>
              <w:left w:val="single" w:sz="6" w:space="0" w:color="auto"/>
              <w:bottom w:val="single" w:sz="6" w:space="0" w:color="auto"/>
              <w:right w:val="single" w:sz="6" w:space="0" w:color="auto"/>
            </w:tcBorders>
            <w:hideMark/>
          </w:tcPr>
          <w:p w:rsidR="00CE5C88" w:rsidRPr="00CE5C88" w:rsidP="00CE5C88" w14:paraId="130C7FF5"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CE5C88">
              <w:rPr>
                <w:rFonts w:ascii="Times New Roman" w:eastAsia="Calibri" w:hAnsi="Times New Roman" w:cs="Times New Roman"/>
                <w:bCs/>
                <w:sz w:val="26"/>
              </w:rPr>
              <w:t>26,704 hrs. </w:t>
            </w:r>
          </w:p>
          <w:p w:rsidR="00CE5C88" w:rsidRPr="00CE5C88" w:rsidP="00CE5C88" w14:paraId="61959DF6"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CE5C88">
              <w:rPr>
                <w:rFonts w:ascii="Times New Roman" w:eastAsia="Calibri" w:hAnsi="Times New Roman" w:cs="Times New Roman"/>
                <w:bCs/>
                <w:sz w:val="26"/>
              </w:rPr>
              <w:t>$</w:t>
            </w:r>
            <w:r w:rsidRPr="00CE5C88">
              <w:rPr>
                <w:rFonts w:ascii="Times New Roman" w:eastAsia="Calibri" w:hAnsi="Times New Roman" w:cs="Times New Roman"/>
                <w:sz w:val="26"/>
              </w:rPr>
              <w:t>1,696,238.08</w:t>
            </w:r>
            <w:r w:rsidRPr="00CE5C88">
              <w:rPr>
                <w:rFonts w:ascii="Times New Roman" w:eastAsia="Calibri" w:hAnsi="Times New Roman" w:cs="Times New Roman"/>
                <w:bCs/>
                <w:sz w:val="26"/>
              </w:rPr>
              <w:t xml:space="preserve"> </w:t>
            </w:r>
          </w:p>
        </w:tc>
      </w:tr>
    </w:tbl>
    <w:p w:rsidR="00C06932" w:rsidP="008D310F" w14:paraId="630B72EF" w14:textId="77777777">
      <w:pPr>
        <w:spacing w:after="0"/>
        <w:rPr>
          <w:rFonts w:ascii="Times New Roman" w:hAnsi="Times New Roman" w:cs="Times New Roman"/>
          <w:sz w:val="24"/>
          <w:szCs w:val="24"/>
        </w:rPr>
      </w:pPr>
    </w:p>
    <w:tbl>
      <w:tblPr>
        <w:tblW w:w="93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
      <w:tblGrid>
        <w:gridCol w:w="1557"/>
        <w:gridCol w:w="1470"/>
        <w:gridCol w:w="1455"/>
        <w:gridCol w:w="1440"/>
        <w:gridCol w:w="1620"/>
        <w:gridCol w:w="1810"/>
      </w:tblGrid>
      <w:tr w14:paraId="51EB6318" w14:textId="77777777" w:rsidTr="4635B435">
        <w:tblPrEx>
          <w:tblW w:w="935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00"/>
        </w:tblPrEx>
        <w:trPr>
          <w:trHeight w:val="300"/>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7085A3D7"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Proposed Burden MOD-033-3 Docket No. RD26-2</w:t>
            </w:r>
          </w:p>
        </w:tc>
      </w:tr>
      <w:tr w14:paraId="59E2C6DD" w14:textId="77777777" w:rsidTr="4635B435">
        <w:tblPrEx>
          <w:tblW w:w="9352" w:type="dxa"/>
          <w:tblLayout w:type="fixed"/>
          <w:tblCellMar>
            <w:left w:w="0" w:type="dxa"/>
            <w:right w:w="0" w:type="dxa"/>
          </w:tblCellMar>
          <w:tblLook w:val="0400"/>
        </w:tblPrEx>
        <w:trPr>
          <w:trHeight w:val="1590"/>
        </w:trPr>
        <w:tc>
          <w:tcPr>
            <w:tcW w:w="1557" w:type="dxa"/>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4E457073"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Reliability Standard</w:t>
            </w:r>
          </w:p>
        </w:tc>
        <w:tc>
          <w:tcPr>
            <w:tcW w:w="1470" w:type="dxa"/>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58F7D8B9"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Type and Number of Entity</w:t>
            </w:r>
            <w:r>
              <w:rPr>
                <w:rFonts w:ascii="Times New Roman" w:eastAsia="Calibri" w:hAnsi="Times New Roman" w:cs="Times New Roman"/>
                <w:b/>
                <w:bCs/>
                <w:sz w:val="26"/>
                <w:szCs w:val="26"/>
                <w:vertAlign w:val="superscript"/>
              </w:rPr>
              <w:footnoteReference w:id="18"/>
            </w:r>
            <w:r w:rsidRPr="000C7E30">
              <w:rPr>
                <w:rFonts w:ascii="Times New Roman" w:eastAsia="Calibri" w:hAnsi="Times New Roman" w:cs="Times New Roman"/>
                <w:sz w:val="26"/>
                <w:szCs w:val="26"/>
              </w:rPr>
              <w:t> </w:t>
            </w:r>
          </w:p>
          <w:p w:rsidR="000C7E30" w:rsidRPr="000C7E30" w:rsidP="000C7E30" w14:paraId="37420F18"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sz w:val="26"/>
                <w:szCs w:val="26"/>
              </w:rPr>
              <w:t>(1)</w:t>
            </w:r>
          </w:p>
        </w:tc>
        <w:tc>
          <w:tcPr>
            <w:tcW w:w="1455" w:type="dxa"/>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7C49D60B" w14:textId="77777777">
            <w:pPr>
              <w:widowControl w:val="0"/>
              <w:tabs>
                <w:tab w:val="left" w:pos="720"/>
              </w:tabs>
              <w:autoSpaceDE w:val="0"/>
              <w:autoSpaceDN w:val="0"/>
              <w:adjustRightInd w:val="0"/>
              <w:spacing w:after="0" w:line="240" w:lineRule="auto"/>
              <w:rPr>
                <w:rFonts w:ascii="Times New Roman" w:eastAsia="Calibri" w:hAnsi="Times New Roman" w:cs="Times New Roman"/>
                <w:b/>
                <w:bCs/>
                <w:sz w:val="26"/>
                <w:szCs w:val="26"/>
              </w:rPr>
            </w:pPr>
            <w:r w:rsidRPr="000C7E30">
              <w:rPr>
                <w:rFonts w:ascii="Times New Roman" w:eastAsia="Calibri" w:hAnsi="Times New Roman" w:cs="Times New Roman"/>
                <w:b/>
                <w:bCs/>
                <w:sz w:val="26"/>
                <w:szCs w:val="26"/>
              </w:rPr>
              <w:t>Number of Annual Responses Per Entity</w:t>
            </w:r>
          </w:p>
          <w:p w:rsidR="000C7E30" w:rsidRPr="000C7E30" w:rsidP="000C7E30" w14:paraId="37A56B64"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w:t>
            </w:r>
            <w:r w:rsidRPr="000C7E30">
              <w:rPr>
                <w:rFonts w:ascii="Times New Roman" w:eastAsia="Calibri" w:hAnsi="Times New Roman" w:cs="Times New Roman"/>
                <w:b/>
                <w:sz w:val="26"/>
                <w:szCs w:val="26"/>
              </w:rPr>
              <w:t>2)</w:t>
            </w:r>
            <w:r w:rsidRPr="000C7E30">
              <w:rPr>
                <w:rFonts w:ascii="Times New Roman" w:eastAsia="Calibri" w:hAnsi="Times New Roman" w:cs="Times New Roman"/>
                <w:sz w:val="26"/>
                <w:szCs w:val="26"/>
              </w:rPr>
              <w:t> </w:t>
            </w:r>
          </w:p>
        </w:tc>
        <w:tc>
          <w:tcPr>
            <w:tcW w:w="1440" w:type="dxa"/>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6015BDDB"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Total Number of Responses</w:t>
            </w:r>
          </w:p>
          <w:p w:rsidR="000C7E30" w:rsidRPr="000C7E30" w:rsidP="000C7E30" w14:paraId="3D21754B"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(1)*(2)=(3)</w:t>
            </w:r>
          </w:p>
        </w:tc>
        <w:tc>
          <w:tcPr>
            <w:tcW w:w="1620" w:type="dxa"/>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479D85F4"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4635B435">
              <w:rPr>
                <w:rFonts w:ascii="Times New Roman" w:eastAsia="Calibri" w:hAnsi="Times New Roman" w:cs="Times New Roman"/>
                <w:b/>
                <w:bCs/>
                <w:sz w:val="26"/>
                <w:szCs w:val="26"/>
              </w:rPr>
              <w:t>Average Number of Burden Hours per Response</w:t>
            </w:r>
            <w:r>
              <w:rPr>
                <w:rFonts w:ascii="Times New Roman" w:eastAsia="Calibri" w:hAnsi="Times New Roman" w:cs="Times New Roman"/>
                <w:b/>
                <w:bCs/>
                <w:sz w:val="26"/>
                <w:szCs w:val="26"/>
                <w:vertAlign w:val="superscript"/>
              </w:rPr>
              <w:footnoteReference w:id="19"/>
            </w:r>
          </w:p>
          <w:p w:rsidR="000C7E30" w:rsidRPr="000C7E30" w:rsidP="000C7E30" w14:paraId="0128B4F7"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(4)</w:t>
            </w:r>
          </w:p>
        </w:tc>
        <w:tc>
          <w:tcPr>
            <w:tcW w:w="1810" w:type="dxa"/>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11B31A9C"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Total Burden Hours</w:t>
            </w:r>
            <w:r w:rsidRPr="000C7E30">
              <w:rPr>
                <w:rFonts w:ascii="Times New Roman" w:eastAsia="Calibri" w:hAnsi="Times New Roman" w:cs="Times New Roman"/>
                <w:sz w:val="26"/>
                <w:szCs w:val="26"/>
              </w:rPr>
              <w:t>  </w:t>
            </w:r>
          </w:p>
          <w:p w:rsidR="000C7E30" w:rsidRPr="000C7E30" w:rsidP="000C7E30" w14:paraId="1F1092F7"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(3)*(4)=(5)</w:t>
            </w:r>
          </w:p>
        </w:tc>
      </w:tr>
      <w:tr w14:paraId="06D19B33" w14:textId="77777777" w:rsidTr="4635B435">
        <w:tblPrEx>
          <w:tblW w:w="9352" w:type="dxa"/>
          <w:tblLayout w:type="fixed"/>
          <w:tblCellMar>
            <w:left w:w="0" w:type="dxa"/>
            <w:right w:w="0" w:type="dxa"/>
          </w:tblCellMar>
          <w:tblLook w:val="0400"/>
        </w:tblPrEx>
        <w:trPr>
          <w:trHeight w:val="315"/>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hideMark/>
          </w:tcPr>
          <w:p w:rsidR="000C7E30" w:rsidRPr="000C7E30" w:rsidP="000C7E30" w14:paraId="6BF3E629"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Annual Collection MOD-033-3 FERC-725 L</w:t>
            </w:r>
          </w:p>
        </w:tc>
      </w:tr>
      <w:tr w14:paraId="6BC8D439" w14:textId="77777777" w:rsidTr="4635B435">
        <w:tblPrEx>
          <w:tblW w:w="9352" w:type="dxa"/>
          <w:tblLayout w:type="fixed"/>
          <w:tblCellMar>
            <w:left w:w="0" w:type="dxa"/>
            <w:right w:w="0" w:type="dxa"/>
          </w:tblCellMar>
          <w:tblLook w:val="0400"/>
        </w:tblPrEx>
        <w:trPr>
          <w:trHeight w:val="630"/>
        </w:trPr>
        <w:tc>
          <w:tcPr>
            <w:tcW w:w="1557" w:type="dxa"/>
            <w:vMerge w:val="restart"/>
            <w:tcBorders>
              <w:top w:val="single" w:sz="6" w:space="0" w:color="auto"/>
              <w:left w:val="single" w:sz="6" w:space="0" w:color="auto"/>
              <w:right w:val="single" w:sz="6" w:space="0" w:color="auto"/>
            </w:tcBorders>
            <w:hideMark/>
          </w:tcPr>
          <w:p w:rsidR="000C7E30" w:rsidRPr="000C7E30" w:rsidP="000C7E30" w14:paraId="323BA103"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Annual review and record retention</w:t>
            </w:r>
          </w:p>
        </w:tc>
        <w:tc>
          <w:tcPr>
            <w:tcW w:w="1470" w:type="dxa"/>
            <w:tcBorders>
              <w:top w:val="single" w:sz="6" w:space="0" w:color="auto"/>
              <w:left w:val="single" w:sz="6" w:space="0" w:color="auto"/>
              <w:bottom w:val="single" w:sz="6" w:space="0" w:color="auto"/>
              <w:right w:val="single" w:sz="6" w:space="0" w:color="auto"/>
            </w:tcBorders>
            <w:hideMark/>
          </w:tcPr>
          <w:p w:rsidR="000C7E30" w:rsidRPr="000C7E30" w:rsidP="000C7E30" w14:paraId="349CAD62"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62 (PC)</w:t>
            </w:r>
          </w:p>
        </w:tc>
        <w:tc>
          <w:tcPr>
            <w:tcW w:w="1455" w:type="dxa"/>
            <w:tcBorders>
              <w:top w:val="single" w:sz="6" w:space="0" w:color="auto"/>
              <w:left w:val="single" w:sz="6" w:space="0" w:color="auto"/>
              <w:bottom w:val="single" w:sz="6" w:space="0" w:color="auto"/>
              <w:right w:val="single" w:sz="6" w:space="0" w:color="auto"/>
            </w:tcBorders>
            <w:hideMark/>
          </w:tcPr>
          <w:p w:rsidR="000C7E30" w:rsidRPr="000C7E30" w:rsidP="000C7E30" w14:paraId="79B45267"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1</w:t>
            </w:r>
          </w:p>
        </w:tc>
        <w:tc>
          <w:tcPr>
            <w:tcW w:w="1440" w:type="dxa"/>
            <w:tcBorders>
              <w:top w:val="single" w:sz="6" w:space="0" w:color="auto"/>
              <w:left w:val="single" w:sz="6" w:space="0" w:color="auto"/>
              <w:bottom w:val="single" w:sz="6" w:space="0" w:color="auto"/>
              <w:right w:val="single" w:sz="6" w:space="0" w:color="auto"/>
            </w:tcBorders>
            <w:hideMark/>
          </w:tcPr>
          <w:p w:rsidR="000C7E30" w:rsidRPr="000C7E30" w:rsidP="000C7E30" w14:paraId="15CA3667"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62</w:t>
            </w:r>
          </w:p>
        </w:tc>
        <w:tc>
          <w:tcPr>
            <w:tcW w:w="1620" w:type="dxa"/>
            <w:tcBorders>
              <w:top w:val="single" w:sz="6" w:space="0" w:color="auto"/>
              <w:left w:val="single" w:sz="6" w:space="0" w:color="auto"/>
              <w:bottom w:val="single" w:sz="6" w:space="0" w:color="auto"/>
              <w:right w:val="single" w:sz="6" w:space="0" w:color="auto"/>
            </w:tcBorders>
            <w:hideMark/>
          </w:tcPr>
          <w:p w:rsidR="000C7E30" w:rsidRPr="000C7E30" w:rsidP="000C7E30" w14:paraId="0995C000"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8 hrs.</w:t>
            </w:r>
          </w:p>
          <w:p w:rsidR="000C7E30" w:rsidRPr="000C7E30" w:rsidP="000C7E30" w14:paraId="50F3646A" w14:textId="51DF9508">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$508.1</w:t>
            </w:r>
            <w:r w:rsidR="003B2BAD">
              <w:rPr>
                <w:rFonts w:ascii="Times New Roman" w:eastAsia="Calibri" w:hAnsi="Times New Roman" w:cs="Times New Roman"/>
                <w:sz w:val="26"/>
              </w:rPr>
              <w:t>6</w:t>
            </w:r>
            <w:r w:rsidRPr="000C7E30">
              <w:rPr>
                <w:rFonts w:ascii="Times New Roman" w:eastAsia="Calibri" w:hAnsi="Times New Roman" w:cs="Times New Roman"/>
                <w:sz w:val="26"/>
              </w:rPr>
              <w:t> </w:t>
            </w:r>
          </w:p>
        </w:tc>
        <w:tc>
          <w:tcPr>
            <w:tcW w:w="1810" w:type="dxa"/>
            <w:tcBorders>
              <w:top w:val="single" w:sz="6" w:space="0" w:color="auto"/>
              <w:left w:val="single" w:sz="6" w:space="0" w:color="auto"/>
              <w:bottom w:val="single" w:sz="6" w:space="0" w:color="auto"/>
              <w:right w:val="single" w:sz="6" w:space="0" w:color="auto"/>
            </w:tcBorders>
            <w:hideMark/>
          </w:tcPr>
          <w:p w:rsidR="000C7E30" w:rsidRPr="000C7E30" w:rsidP="000C7E30" w14:paraId="24601AFD"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496 hrs. </w:t>
            </w:r>
          </w:p>
          <w:p w:rsidR="000C7E30" w:rsidRPr="000C7E30" w:rsidP="000C7E30" w14:paraId="15F825A4"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 xml:space="preserve">$31,505.92 </w:t>
            </w:r>
          </w:p>
        </w:tc>
      </w:tr>
      <w:tr w14:paraId="5517077B" w14:textId="77777777" w:rsidTr="4635B435">
        <w:tblPrEx>
          <w:tblW w:w="9352" w:type="dxa"/>
          <w:tblLayout w:type="fixed"/>
          <w:tblCellMar>
            <w:left w:w="0" w:type="dxa"/>
            <w:right w:w="0" w:type="dxa"/>
          </w:tblCellMar>
          <w:tblLook w:val="0400"/>
        </w:tblPrEx>
        <w:trPr>
          <w:trHeight w:val="570"/>
        </w:trPr>
        <w:tc>
          <w:tcPr>
            <w:tcW w:w="1557" w:type="dxa"/>
            <w:vMerge/>
            <w:vAlign w:val="center"/>
            <w:hideMark/>
          </w:tcPr>
          <w:p w:rsidR="000C7E30" w:rsidRPr="000C7E30" w:rsidP="000C7E30" w14:paraId="12829222"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70" w:type="dxa"/>
            <w:tcBorders>
              <w:top w:val="single" w:sz="6" w:space="0" w:color="auto"/>
              <w:left w:val="single" w:sz="6" w:space="0" w:color="auto"/>
              <w:bottom w:val="single" w:sz="6" w:space="0" w:color="auto"/>
              <w:right w:val="single" w:sz="6" w:space="0" w:color="auto"/>
            </w:tcBorders>
            <w:hideMark/>
          </w:tcPr>
          <w:p w:rsidR="000C7E30" w:rsidRPr="000C7E30" w:rsidP="000C7E30" w14:paraId="362CECE8"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12 (RC)</w:t>
            </w:r>
          </w:p>
        </w:tc>
        <w:tc>
          <w:tcPr>
            <w:tcW w:w="1455" w:type="dxa"/>
            <w:tcBorders>
              <w:top w:val="single" w:sz="6" w:space="0" w:color="auto"/>
              <w:left w:val="single" w:sz="6" w:space="0" w:color="auto"/>
              <w:bottom w:val="single" w:sz="6" w:space="0" w:color="auto"/>
              <w:right w:val="single" w:sz="6" w:space="0" w:color="auto"/>
            </w:tcBorders>
            <w:hideMark/>
          </w:tcPr>
          <w:p w:rsidR="000C7E30" w:rsidRPr="000C7E30" w:rsidP="000C7E30" w14:paraId="74894FDA"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1</w:t>
            </w:r>
          </w:p>
        </w:tc>
        <w:tc>
          <w:tcPr>
            <w:tcW w:w="1440" w:type="dxa"/>
            <w:tcBorders>
              <w:top w:val="single" w:sz="6" w:space="0" w:color="auto"/>
              <w:left w:val="single" w:sz="6" w:space="0" w:color="auto"/>
              <w:bottom w:val="single" w:sz="6" w:space="0" w:color="auto"/>
              <w:right w:val="single" w:sz="6" w:space="0" w:color="auto"/>
            </w:tcBorders>
            <w:hideMark/>
          </w:tcPr>
          <w:p w:rsidR="000C7E30" w:rsidRPr="000C7E30" w:rsidP="000C7E30" w14:paraId="52C95AA6"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12</w:t>
            </w:r>
          </w:p>
        </w:tc>
        <w:tc>
          <w:tcPr>
            <w:tcW w:w="1620" w:type="dxa"/>
            <w:tcBorders>
              <w:top w:val="single" w:sz="6" w:space="0" w:color="auto"/>
              <w:left w:val="single" w:sz="6" w:space="0" w:color="auto"/>
              <w:bottom w:val="single" w:sz="6" w:space="0" w:color="auto"/>
              <w:right w:val="single" w:sz="6" w:space="0" w:color="auto"/>
            </w:tcBorders>
            <w:hideMark/>
          </w:tcPr>
          <w:p w:rsidR="000C7E30" w:rsidRPr="000C7E30" w:rsidP="000C7E30" w14:paraId="11A78745"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8 hrs.</w:t>
            </w:r>
          </w:p>
          <w:p w:rsidR="000C7E30" w:rsidRPr="000C7E30" w:rsidP="000C7E30" w14:paraId="62FD2A4C" w14:textId="0A48C63B">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$508.16 </w:t>
            </w:r>
          </w:p>
        </w:tc>
        <w:tc>
          <w:tcPr>
            <w:tcW w:w="1810" w:type="dxa"/>
            <w:tcBorders>
              <w:top w:val="single" w:sz="6" w:space="0" w:color="auto"/>
              <w:left w:val="single" w:sz="6" w:space="0" w:color="auto"/>
              <w:bottom w:val="single" w:sz="6" w:space="0" w:color="auto"/>
              <w:right w:val="single" w:sz="6" w:space="0" w:color="auto"/>
            </w:tcBorders>
            <w:hideMark/>
          </w:tcPr>
          <w:p w:rsidR="000C7E30" w:rsidRPr="000C7E30" w:rsidP="000C7E30" w14:paraId="254C8359"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96 hrs. </w:t>
            </w:r>
          </w:p>
          <w:p w:rsidR="000C7E30" w:rsidRPr="000C7E30" w:rsidP="000C7E30" w14:paraId="0357A9BA"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 xml:space="preserve">$6,097.92  </w:t>
            </w:r>
          </w:p>
        </w:tc>
      </w:tr>
      <w:tr w14:paraId="1113DCA1" w14:textId="77777777" w:rsidTr="4635B435">
        <w:tblPrEx>
          <w:tblW w:w="9352" w:type="dxa"/>
          <w:tblLayout w:type="fixed"/>
          <w:tblCellMar>
            <w:left w:w="0" w:type="dxa"/>
            <w:right w:w="0" w:type="dxa"/>
          </w:tblCellMar>
          <w:tblLook w:val="0400"/>
        </w:tblPrEx>
        <w:trPr>
          <w:trHeight w:val="450"/>
        </w:trPr>
        <w:tc>
          <w:tcPr>
            <w:tcW w:w="1557" w:type="dxa"/>
            <w:vMerge/>
            <w:vAlign w:val="center"/>
          </w:tcPr>
          <w:p w:rsidR="000C7E30" w:rsidRPr="000C7E30" w:rsidP="000C7E30" w14:paraId="6F86DB63"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470" w:type="dxa"/>
            <w:tcBorders>
              <w:top w:val="single" w:sz="6" w:space="0" w:color="auto"/>
              <w:left w:val="single" w:sz="6" w:space="0" w:color="auto"/>
              <w:bottom w:val="single" w:sz="6" w:space="0" w:color="auto"/>
              <w:right w:val="single" w:sz="6" w:space="0" w:color="auto"/>
            </w:tcBorders>
          </w:tcPr>
          <w:p w:rsidR="000C7E30" w:rsidRPr="000C7E30" w:rsidP="000C7E30" w14:paraId="239B5FC6"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170 (TOP)</w:t>
            </w:r>
          </w:p>
        </w:tc>
        <w:tc>
          <w:tcPr>
            <w:tcW w:w="1455" w:type="dxa"/>
            <w:tcBorders>
              <w:top w:val="single" w:sz="6" w:space="0" w:color="auto"/>
              <w:left w:val="single" w:sz="6" w:space="0" w:color="auto"/>
              <w:bottom w:val="single" w:sz="6" w:space="0" w:color="auto"/>
              <w:right w:val="single" w:sz="6" w:space="0" w:color="auto"/>
            </w:tcBorders>
          </w:tcPr>
          <w:p w:rsidR="000C7E30" w:rsidRPr="000C7E30" w:rsidP="000C7E30" w14:paraId="1AB5FDAF"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1</w:t>
            </w:r>
          </w:p>
        </w:tc>
        <w:tc>
          <w:tcPr>
            <w:tcW w:w="1440" w:type="dxa"/>
            <w:tcBorders>
              <w:top w:val="single" w:sz="6" w:space="0" w:color="auto"/>
              <w:left w:val="single" w:sz="6" w:space="0" w:color="auto"/>
              <w:bottom w:val="single" w:sz="6" w:space="0" w:color="auto"/>
              <w:right w:val="single" w:sz="6" w:space="0" w:color="auto"/>
            </w:tcBorders>
          </w:tcPr>
          <w:p w:rsidR="000C7E30" w:rsidRPr="000C7E30" w:rsidP="000C7E30" w14:paraId="52D1D261"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170</w:t>
            </w:r>
          </w:p>
        </w:tc>
        <w:tc>
          <w:tcPr>
            <w:tcW w:w="1620" w:type="dxa"/>
            <w:tcBorders>
              <w:top w:val="single" w:sz="6" w:space="0" w:color="auto"/>
              <w:left w:val="single" w:sz="6" w:space="0" w:color="auto"/>
              <w:bottom w:val="single" w:sz="6" w:space="0" w:color="auto"/>
              <w:right w:val="single" w:sz="6" w:space="0" w:color="auto"/>
            </w:tcBorders>
          </w:tcPr>
          <w:p w:rsidR="000C7E30" w:rsidRPr="000C7E30" w:rsidP="000C7E30" w14:paraId="5680A8BB"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8 hrs.</w:t>
            </w:r>
          </w:p>
          <w:p w:rsidR="000C7E30" w:rsidRPr="000C7E30" w:rsidP="000C7E30" w14:paraId="20D5F171" w14:textId="032328D3">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$508.16 </w:t>
            </w:r>
          </w:p>
        </w:tc>
        <w:tc>
          <w:tcPr>
            <w:tcW w:w="1810" w:type="dxa"/>
            <w:tcBorders>
              <w:top w:val="single" w:sz="6" w:space="0" w:color="auto"/>
              <w:left w:val="single" w:sz="6" w:space="0" w:color="auto"/>
              <w:bottom w:val="single" w:sz="6" w:space="0" w:color="auto"/>
              <w:right w:val="single" w:sz="6" w:space="0" w:color="auto"/>
            </w:tcBorders>
          </w:tcPr>
          <w:p w:rsidR="000C7E30" w:rsidRPr="000C7E30" w:rsidP="000C7E30" w14:paraId="4A9C37EB"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1,360 hrs. </w:t>
            </w:r>
          </w:p>
          <w:p w:rsidR="000C7E30" w:rsidRPr="000C7E30" w:rsidP="000C7E30" w14:paraId="661A113A"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 xml:space="preserve">$86,387.20 </w:t>
            </w:r>
          </w:p>
        </w:tc>
      </w:tr>
      <w:tr w14:paraId="176EDEE6" w14:textId="77777777" w:rsidTr="4635B435">
        <w:tblPrEx>
          <w:tblW w:w="9352" w:type="dxa"/>
          <w:tblLayout w:type="fixed"/>
          <w:tblCellMar>
            <w:left w:w="0" w:type="dxa"/>
            <w:right w:w="0" w:type="dxa"/>
          </w:tblCellMar>
          <w:tblLook w:val="0400"/>
        </w:tblPrEx>
        <w:trPr>
          <w:trHeight w:val="300"/>
        </w:trPr>
        <w:tc>
          <w:tcPr>
            <w:tcW w:w="1557" w:type="dxa"/>
            <w:tcBorders>
              <w:top w:val="single" w:sz="6" w:space="0" w:color="auto"/>
              <w:left w:val="single" w:sz="6" w:space="0" w:color="auto"/>
              <w:bottom w:val="single" w:sz="6" w:space="0" w:color="auto"/>
              <w:right w:val="single" w:sz="6" w:space="0" w:color="auto"/>
            </w:tcBorders>
            <w:hideMark/>
          </w:tcPr>
          <w:p w:rsidR="000C7E30" w:rsidRPr="000C7E30" w:rsidP="000C7E30" w14:paraId="4203B7F2"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b/>
                <w:bCs/>
                <w:sz w:val="26"/>
                <w:szCs w:val="26"/>
              </w:rPr>
              <w:t>Total for MOD-033-3</w:t>
            </w:r>
          </w:p>
        </w:tc>
        <w:tc>
          <w:tcPr>
            <w:tcW w:w="147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0C7E30" w:rsidRPr="000C7E30" w:rsidP="000C7E30" w14:paraId="23B4A63E"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sz w:val="26"/>
                <w:szCs w:val="26"/>
              </w:rPr>
              <w:t> </w:t>
            </w:r>
          </w:p>
        </w:tc>
        <w:tc>
          <w:tcPr>
            <w:tcW w:w="145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0C7E30" w:rsidRPr="000C7E30" w:rsidP="000C7E30" w14:paraId="645A5E81"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r w:rsidRPr="000C7E30">
              <w:rPr>
                <w:rFonts w:ascii="Times New Roman" w:eastAsia="Calibri" w:hAnsi="Times New Roman" w:cs="Times New Roman"/>
                <w:sz w:val="26"/>
                <w:szCs w:val="26"/>
              </w:rPr>
              <w:t> </w:t>
            </w:r>
          </w:p>
        </w:tc>
        <w:tc>
          <w:tcPr>
            <w:tcW w:w="1440" w:type="dxa"/>
            <w:tcBorders>
              <w:top w:val="single" w:sz="6" w:space="0" w:color="auto"/>
              <w:left w:val="single" w:sz="6" w:space="0" w:color="auto"/>
              <w:bottom w:val="single" w:sz="6" w:space="0" w:color="auto"/>
              <w:right w:val="single" w:sz="6" w:space="0" w:color="auto"/>
            </w:tcBorders>
            <w:hideMark/>
          </w:tcPr>
          <w:p w:rsidR="000C7E30" w:rsidRPr="000C7E30" w:rsidP="000C7E30" w14:paraId="79E86DBA" w14:textId="77777777">
            <w:pPr>
              <w:widowControl w:val="0"/>
              <w:tabs>
                <w:tab w:val="left" w:pos="720"/>
              </w:tabs>
              <w:autoSpaceDE w:val="0"/>
              <w:autoSpaceDN w:val="0"/>
              <w:adjustRightInd w:val="0"/>
              <w:spacing w:after="0" w:line="240" w:lineRule="auto"/>
              <w:jc w:val="center"/>
              <w:rPr>
                <w:rFonts w:ascii="Times New Roman" w:eastAsia="Calibri" w:hAnsi="Times New Roman" w:cs="Times New Roman"/>
                <w:sz w:val="26"/>
              </w:rPr>
            </w:pPr>
            <w:r w:rsidRPr="000C7E30">
              <w:rPr>
                <w:rFonts w:ascii="Times New Roman" w:eastAsia="Calibri" w:hAnsi="Times New Roman" w:cs="Times New Roman"/>
                <w:sz w:val="26"/>
              </w:rPr>
              <w:t>244</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0C7E30" w:rsidRPr="000C7E30" w:rsidP="000C7E30" w14:paraId="64C663DE"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 </w:t>
            </w:r>
          </w:p>
        </w:tc>
        <w:tc>
          <w:tcPr>
            <w:tcW w:w="1810" w:type="dxa"/>
            <w:tcBorders>
              <w:top w:val="single" w:sz="6" w:space="0" w:color="auto"/>
              <w:left w:val="single" w:sz="6" w:space="0" w:color="auto"/>
              <w:bottom w:val="single" w:sz="6" w:space="0" w:color="auto"/>
              <w:right w:val="single" w:sz="6" w:space="0" w:color="auto"/>
            </w:tcBorders>
            <w:hideMark/>
          </w:tcPr>
          <w:p w:rsidR="000C7E30" w:rsidRPr="000C7E30" w:rsidP="000C7E30" w14:paraId="29F219AF"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1,952 hrs. </w:t>
            </w:r>
          </w:p>
          <w:p w:rsidR="000C7E30" w:rsidRPr="000C7E30" w:rsidP="000C7E30" w14:paraId="47D026D7"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0C7E30">
              <w:rPr>
                <w:rFonts w:ascii="Times New Roman" w:eastAsia="Calibri" w:hAnsi="Times New Roman" w:cs="Times New Roman"/>
                <w:sz w:val="26"/>
              </w:rPr>
              <w:t>$123,991.04</w:t>
            </w:r>
          </w:p>
        </w:tc>
      </w:tr>
    </w:tbl>
    <w:p w:rsidR="00CE5C88" w:rsidP="008D310F" w14:paraId="4E45F50D" w14:textId="77777777">
      <w:pPr>
        <w:spacing w:after="0"/>
        <w:rPr>
          <w:rFonts w:ascii="Times New Roman" w:hAnsi="Times New Roman" w:cs="Times New Roman"/>
          <w:sz w:val="24"/>
          <w:szCs w:val="24"/>
        </w:rPr>
      </w:pPr>
    </w:p>
    <w:tbl>
      <w:tblP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35"/>
        <w:gridCol w:w="1290"/>
        <w:gridCol w:w="1306"/>
        <w:gridCol w:w="1552"/>
        <w:gridCol w:w="2115"/>
        <w:gridCol w:w="1654"/>
      </w:tblGrid>
      <w:tr w14:paraId="749258AA" w14:textId="77777777" w:rsidTr="4635B435">
        <w:tblPrEx>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61A791D4" w14:textId="77777777">
            <w:pPr>
              <w:spacing w:after="0" w:line="240" w:lineRule="auto"/>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Proposed Changes in Burden MOD-26-2 Docket No. RD26-3</w:t>
            </w:r>
            <w:r w:rsidRPr="0092325F">
              <w:rPr>
                <w:rFonts w:ascii="Times New Roman" w:eastAsia="Times New Roman" w:hAnsi="Times New Roman" w:cs="Times New Roman"/>
                <w:sz w:val="26"/>
                <w:szCs w:val="26"/>
              </w:rPr>
              <w:t> </w:t>
            </w:r>
          </w:p>
        </w:tc>
      </w:tr>
      <w:tr w14:paraId="769B311D" w14:textId="77777777" w:rsidTr="4635B435">
        <w:tblPrEx>
          <w:tblW w:w="9352" w:type="dxa"/>
          <w:tblCellMar>
            <w:left w:w="0" w:type="dxa"/>
            <w:right w:w="0" w:type="dxa"/>
          </w:tblCellMar>
          <w:tblLook w:val="04A0"/>
        </w:tblPrEx>
        <w:trPr>
          <w:trHeight w:val="300"/>
        </w:trPr>
        <w:tc>
          <w:tcPr>
            <w:tcW w:w="1435" w:type="dxa"/>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2D606C1E" w14:textId="77777777">
            <w:pPr>
              <w:spacing w:after="0" w:line="240" w:lineRule="auto"/>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Reliability Standard</w:t>
            </w:r>
            <w:r w:rsidRPr="0092325F">
              <w:rPr>
                <w:rFonts w:ascii="Times New Roman" w:eastAsia="Times New Roman" w:hAnsi="Times New Roman" w:cs="Times New Roman"/>
                <w:sz w:val="26"/>
                <w:szCs w:val="26"/>
              </w:rPr>
              <w:t> </w:t>
            </w:r>
          </w:p>
        </w:tc>
        <w:tc>
          <w:tcPr>
            <w:tcW w:w="1290" w:type="dxa"/>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67208633" w14:textId="77777777">
            <w:pPr>
              <w:spacing w:after="0" w:line="240" w:lineRule="auto"/>
              <w:jc w:val="center"/>
              <w:textAlignment w:val="baseline"/>
              <w:rPr>
                <w:rFonts w:ascii="Times New Roman" w:eastAsia="Times New Roman" w:hAnsi="Times New Roman" w:cs="Times New Roman"/>
                <w:sz w:val="26"/>
              </w:rPr>
            </w:pPr>
            <w:r w:rsidRPr="4635B435">
              <w:rPr>
                <w:rFonts w:ascii="Times New Roman" w:eastAsia="Times New Roman" w:hAnsi="Times New Roman" w:cs="Times New Roman"/>
                <w:b/>
                <w:bCs/>
                <w:sz w:val="26"/>
                <w:szCs w:val="26"/>
              </w:rPr>
              <w:t>Type and Number of Entity</w:t>
            </w:r>
            <w:r>
              <w:rPr>
                <w:rFonts w:ascii="Times New Roman" w:eastAsia="Times New Roman" w:hAnsi="Times New Roman" w:cs="Times New Roman"/>
                <w:b/>
                <w:bCs/>
                <w:sz w:val="26"/>
                <w:szCs w:val="26"/>
                <w:vertAlign w:val="superscript"/>
              </w:rPr>
              <w:footnoteReference w:id="20"/>
            </w:r>
            <w:r w:rsidRPr="4635B435">
              <w:rPr>
                <w:rFonts w:ascii="Times New Roman" w:eastAsia="Times New Roman" w:hAnsi="Times New Roman" w:cs="Times New Roman"/>
                <w:b/>
                <w:bCs/>
                <w:sz w:val="26"/>
                <w:szCs w:val="26"/>
                <w:vertAlign w:val="superscript"/>
              </w:rPr>
              <w:t> </w:t>
            </w:r>
            <w:r w:rsidRPr="4635B435">
              <w:rPr>
                <w:rFonts w:ascii="Times New Roman" w:eastAsia="Times New Roman" w:hAnsi="Times New Roman" w:cs="Times New Roman"/>
                <w:sz w:val="26"/>
                <w:szCs w:val="26"/>
              </w:rPr>
              <w:t>(1) </w:t>
            </w:r>
          </w:p>
        </w:tc>
        <w:tc>
          <w:tcPr>
            <w:tcW w:w="1306" w:type="dxa"/>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65C9416B"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Number of Annual Responses Per Entity</w:t>
            </w:r>
            <w:r w:rsidRPr="0092325F">
              <w:rPr>
                <w:rFonts w:ascii="Times New Roman" w:eastAsia="Times New Roman" w:hAnsi="Times New Roman" w:cs="Times New Roman"/>
                <w:sz w:val="26"/>
                <w:szCs w:val="26"/>
              </w:rPr>
              <w:t> </w:t>
            </w:r>
            <w:r w:rsidRPr="0092325F">
              <w:rPr>
                <w:rFonts w:ascii="Times New Roman" w:eastAsia="Times New Roman" w:hAnsi="Times New Roman" w:cs="Times New Roman"/>
                <w:b/>
                <w:bCs/>
                <w:sz w:val="26"/>
                <w:szCs w:val="26"/>
              </w:rPr>
              <w:t>(</w:t>
            </w:r>
            <w:r w:rsidRPr="0092325F">
              <w:rPr>
                <w:rFonts w:ascii="Times New Roman" w:eastAsia="Times New Roman" w:hAnsi="Times New Roman" w:cs="Times New Roman"/>
                <w:sz w:val="26"/>
                <w:szCs w:val="26"/>
              </w:rPr>
              <w:t>2) </w:t>
            </w:r>
          </w:p>
        </w:tc>
        <w:tc>
          <w:tcPr>
            <w:tcW w:w="1552" w:type="dxa"/>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74DF9F7A"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Total Number of Responses</w:t>
            </w:r>
            <w:r w:rsidRPr="0092325F">
              <w:rPr>
                <w:rFonts w:ascii="Times New Roman" w:eastAsia="Times New Roman" w:hAnsi="Times New Roman" w:cs="Times New Roman"/>
                <w:sz w:val="26"/>
                <w:szCs w:val="26"/>
              </w:rPr>
              <w:t> </w:t>
            </w:r>
          </w:p>
          <w:p w:rsidR="0092325F" w:rsidRPr="0092325F" w:rsidP="0092325F" w14:paraId="41F603F5"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(1)*(2)=(3)</w:t>
            </w:r>
            <w:r w:rsidRPr="0092325F">
              <w:rPr>
                <w:rFonts w:ascii="Times New Roman" w:eastAsia="Times New Roman" w:hAnsi="Times New Roman" w:cs="Times New Roman"/>
                <w:sz w:val="26"/>
                <w:szCs w:val="26"/>
              </w:rPr>
              <w:t> </w:t>
            </w:r>
          </w:p>
        </w:tc>
        <w:tc>
          <w:tcPr>
            <w:tcW w:w="2115" w:type="dxa"/>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16029291" w14:textId="77777777">
            <w:pPr>
              <w:spacing w:after="0" w:line="240" w:lineRule="auto"/>
              <w:jc w:val="center"/>
              <w:textAlignment w:val="baseline"/>
              <w:rPr>
                <w:rFonts w:ascii="Times New Roman" w:eastAsia="Times New Roman" w:hAnsi="Times New Roman" w:cs="Times New Roman"/>
                <w:sz w:val="26"/>
              </w:rPr>
            </w:pPr>
            <w:r w:rsidRPr="4635B435">
              <w:rPr>
                <w:rFonts w:ascii="Times New Roman" w:eastAsia="Times New Roman" w:hAnsi="Times New Roman" w:cs="Times New Roman"/>
                <w:b/>
                <w:bCs/>
                <w:sz w:val="26"/>
                <w:szCs w:val="26"/>
              </w:rPr>
              <w:t>Average Number of Burden Hours per Response</w:t>
            </w:r>
            <w:r>
              <w:rPr>
                <w:rFonts w:ascii="Times New Roman" w:eastAsia="Times New Roman" w:hAnsi="Times New Roman" w:cs="Times New Roman"/>
                <w:b/>
                <w:bCs/>
                <w:sz w:val="26"/>
                <w:szCs w:val="26"/>
                <w:vertAlign w:val="superscript"/>
              </w:rPr>
              <w:footnoteReference w:id="21"/>
            </w:r>
            <w:r w:rsidRPr="4635B435">
              <w:rPr>
                <w:rFonts w:ascii="Times New Roman" w:eastAsia="Times New Roman" w:hAnsi="Times New Roman" w:cs="Times New Roman"/>
                <w:b/>
                <w:bCs/>
                <w:sz w:val="26"/>
                <w:szCs w:val="26"/>
                <w:vertAlign w:val="superscript"/>
              </w:rPr>
              <w:t> </w:t>
            </w:r>
          </w:p>
          <w:p w:rsidR="0092325F" w:rsidRPr="0092325F" w:rsidP="0092325F" w14:paraId="7BBD7FDE"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(4)</w:t>
            </w:r>
            <w:r w:rsidRPr="0092325F">
              <w:rPr>
                <w:rFonts w:ascii="Times New Roman" w:eastAsia="Times New Roman" w:hAnsi="Times New Roman" w:cs="Times New Roman"/>
                <w:sz w:val="26"/>
                <w:szCs w:val="26"/>
              </w:rPr>
              <w:t> </w:t>
            </w:r>
          </w:p>
        </w:tc>
        <w:tc>
          <w:tcPr>
            <w:tcW w:w="1654" w:type="dxa"/>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2FDF5485"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Total Burden Hours</w:t>
            </w:r>
            <w:r w:rsidRPr="0092325F">
              <w:rPr>
                <w:rFonts w:ascii="Times New Roman" w:eastAsia="Times New Roman" w:hAnsi="Times New Roman" w:cs="Times New Roman"/>
                <w:sz w:val="26"/>
                <w:szCs w:val="26"/>
              </w:rPr>
              <w:t> </w:t>
            </w:r>
          </w:p>
          <w:p w:rsidR="0092325F" w:rsidRPr="0092325F" w:rsidP="0092325F" w14:paraId="25BA494F" w14:textId="77777777">
            <w:pPr>
              <w:spacing w:after="0" w:line="240" w:lineRule="auto"/>
              <w:jc w:val="center"/>
              <w:textAlignment w:val="baseline"/>
              <w:rPr>
                <w:rFonts w:ascii="Times New Roman" w:eastAsia="Times New Roman" w:hAnsi="Times New Roman" w:cs="Times New Roman"/>
                <w:sz w:val="26"/>
              </w:rPr>
            </w:pPr>
            <w:r w:rsidRPr="0092325F">
              <w:rPr>
                <w:rFonts w:ascii="Times New Roman" w:eastAsia="Times New Roman" w:hAnsi="Times New Roman" w:cs="Times New Roman"/>
                <w:b/>
                <w:bCs/>
                <w:sz w:val="26"/>
              </w:rPr>
              <w:t>(3)*(4)=(5)</w:t>
            </w:r>
            <w:r w:rsidRPr="0092325F">
              <w:rPr>
                <w:rFonts w:ascii="Times New Roman" w:eastAsia="Times New Roman" w:hAnsi="Times New Roman" w:cs="Times New Roman"/>
                <w:sz w:val="26"/>
              </w:rPr>
              <w:t> </w:t>
            </w:r>
          </w:p>
        </w:tc>
      </w:tr>
      <w:tr w14:paraId="45F410C0" w14:textId="77777777" w:rsidTr="4635B435">
        <w:tblPrEx>
          <w:tblW w:w="9352" w:type="dxa"/>
          <w:tblCellMar>
            <w:left w:w="0" w:type="dxa"/>
            <w:right w:w="0" w:type="dxa"/>
          </w:tblCellMar>
          <w:tblLook w:val="04A0"/>
        </w:tblPrEx>
        <w:trPr>
          <w:trHeight w:val="300"/>
        </w:trPr>
        <w:tc>
          <w:tcPr>
            <w:tcW w:w="9352" w:type="dxa"/>
            <w:gridSpan w:val="6"/>
            <w:tcBorders>
              <w:top w:val="single" w:sz="6" w:space="0" w:color="auto"/>
              <w:left w:val="single" w:sz="6" w:space="0" w:color="auto"/>
              <w:bottom w:val="single" w:sz="6" w:space="0" w:color="auto"/>
              <w:right w:val="single" w:sz="6" w:space="0" w:color="auto"/>
            </w:tcBorders>
            <w:shd w:val="clear" w:color="auto" w:fill="D0CECE"/>
            <w:hideMark/>
          </w:tcPr>
          <w:p w:rsidR="0092325F" w:rsidRPr="0092325F" w:rsidP="0092325F" w14:paraId="3AB8286F"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Annual Collection MOD-026-2 FERC-725 L</w:t>
            </w:r>
          </w:p>
        </w:tc>
      </w:tr>
      <w:tr w14:paraId="78ADB29C" w14:textId="77777777" w:rsidTr="4635B435">
        <w:tblPrEx>
          <w:tblW w:w="9352" w:type="dxa"/>
          <w:tblCellMar>
            <w:left w:w="0" w:type="dxa"/>
            <w:right w:w="0" w:type="dxa"/>
          </w:tblCellMar>
          <w:tblLook w:val="04A0"/>
        </w:tblPrEx>
        <w:trPr>
          <w:trHeight w:val="300"/>
        </w:trPr>
        <w:tc>
          <w:tcPr>
            <w:tcW w:w="1435" w:type="dxa"/>
            <w:vMerge w:val="restart"/>
            <w:tcBorders>
              <w:top w:val="single" w:sz="6" w:space="0" w:color="auto"/>
              <w:left w:val="single" w:sz="6" w:space="0" w:color="auto"/>
              <w:right w:val="single" w:sz="6" w:space="0" w:color="auto"/>
            </w:tcBorders>
            <w:hideMark/>
          </w:tcPr>
          <w:p w:rsidR="0092325F" w:rsidRPr="0092325F" w:rsidP="0092325F" w14:paraId="3F337B34" w14:textId="77777777">
            <w:pPr>
              <w:spacing w:after="0" w:line="240" w:lineRule="auto"/>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Annual review and record retention</w:t>
            </w:r>
            <w:r w:rsidRPr="0092325F">
              <w:rPr>
                <w:rFonts w:ascii="Times New Roman" w:eastAsia="Times New Roman" w:hAnsi="Times New Roman" w:cs="Times New Roman"/>
                <w:sz w:val="26"/>
                <w:szCs w:val="26"/>
              </w:rPr>
              <w:t> </w:t>
            </w:r>
          </w:p>
          <w:p w:rsidR="0092325F" w:rsidRPr="0092325F" w:rsidP="0092325F" w14:paraId="350A517C" w14:textId="77777777">
            <w:pPr>
              <w:spacing w:after="0" w:line="240" w:lineRule="auto"/>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 </w:t>
            </w:r>
          </w:p>
          <w:p w:rsidR="0092325F" w:rsidRPr="0092325F" w:rsidP="0092325F" w14:paraId="67E4C27C" w14:textId="77777777">
            <w:pPr>
              <w:spacing w:after="0" w:line="240" w:lineRule="auto"/>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 </w:t>
            </w:r>
          </w:p>
        </w:tc>
        <w:tc>
          <w:tcPr>
            <w:tcW w:w="1290" w:type="dxa"/>
            <w:tcBorders>
              <w:top w:val="single" w:sz="6" w:space="0" w:color="auto"/>
              <w:left w:val="single" w:sz="6" w:space="0" w:color="auto"/>
              <w:bottom w:val="single" w:sz="6" w:space="0" w:color="auto"/>
              <w:right w:val="single" w:sz="6" w:space="0" w:color="auto"/>
            </w:tcBorders>
            <w:hideMark/>
          </w:tcPr>
          <w:p w:rsidR="0092325F" w:rsidRPr="0092325F" w:rsidP="0092325F" w14:paraId="4E05F0FA" w14:textId="77777777">
            <w:pPr>
              <w:spacing w:after="0" w:line="240" w:lineRule="auto"/>
              <w:jc w:val="center"/>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1,834 (GO)</w:t>
            </w:r>
          </w:p>
        </w:tc>
        <w:tc>
          <w:tcPr>
            <w:tcW w:w="1306" w:type="dxa"/>
            <w:tcBorders>
              <w:top w:val="single" w:sz="6" w:space="0" w:color="auto"/>
              <w:left w:val="single" w:sz="6" w:space="0" w:color="auto"/>
              <w:bottom w:val="single" w:sz="6" w:space="0" w:color="auto"/>
              <w:right w:val="single" w:sz="6" w:space="0" w:color="auto"/>
            </w:tcBorders>
            <w:hideMark/>
          </w:tcPr>
          <w:p w:rsidR="0092325F" w:rsidRPr="0092325F" w:rsidP="0092325F" w14:paraId="54FA902B"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1</w:t>
            </w:r>
          </w:p>
        </w:tc>
        <w:tc>
          <w:tcPr>
            <w:tcW w:w="1552" w:type="dxa"/>
            <w:tcBorders>
              <w:top w:val="single" w:sz="6" w:space="0" w:color="auto"/>
              <w:left w:val="single" w:sz="6" w:space="0" w:color="auto"/>
              <w:bottom w:val="single" w:sz="6" w:space="0" w:color="auto"/>
              <w:right w:val="single" w:sz="6" w:space="0" w:color="auto"/>
            </w:tcBorders>
            <w:hideMark/>
          </w:tcPr>
          <w:p w:rsidR="0092325F" w:rsidRPr="0092325F" w:rsidP="0092325F" w14:paraId="2B79AA4C" w14:textId="77777777">
            <w:pPr>
              <w:spacing w:after="0" w:line="240" w:lineRule="auto"/>
              <w:jc w:val="center"/>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1834</w:t>
            </w:r>
          </w:p>
        </w:tc>
        <w:tc>
          <w:tcPr>
            <w:tcW w:w="2115" w:type="dxa"/>
            <w:tcBorders>
              <w:top w:val="single" w:sz="6" w:space="0" w:color="auto"/>
              <w:left w:val="single" w:sz="6" w:space="0" w:color="auto"/>
              <w:bottom w:val="single" w:sz="6" w:space="0" w:color="auto"/>
              <w:right w:val="single" w:sz="6" w:space="0" w:color="auto"/>
            </w:tcBorders>
            <w:hideMark/>
          </w:tcPr>
          <w:p w:rsidR="0092325F" w:rsidRPr="0092325F" w:rsidP="0092325F" w14:paraId="7586F5EE"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92325F">
              <w:rPr>
                <w:rFonts w:ascii="Times New Roman" w:eastAsia="Calibri" w:hAnsi="Times New Roman" w:cs="Times New Roman"/>
                <w:sz w:val="26"/>
              </w:rPr>
              <w:t>12 hrs.</w:t>
            </w:r>
          </w:p>
          <w:p w:rsidR="0092325F" w:rsidRPr="0092325F" w:rsidP="0092325F" w14:paraId="5595A0DF" w14:textId="7929CF29">
            <w:pPr>
              <w:spacing w:after="0" w:line="240" w:lineRule="auto"/>
              <w:jc w:val="right"/>
              <w:textAlignment w:val="baseline"/>
              <w:rPr>
                <w:rFonts w:ascii="Times New Roman" w:eastAsia="Times New Roman" w:hAnsi="Times New Roman" w:cs="Times New Roman"/>
                <w:sz w:val="26"/>
              </w:rPr>
            </w:pPr>
            <w:r w:rsidRPr="0092325F">
              <w:rPr>
                <w:rFonts w:ascii="Times New Roman" w:eastAsia="Calibri" w:hAnsi="Times New Roman" w:cs="Times New Roman"/>
                <w:sz w:val="26"/>
              </w:rPr>
              <w:t>$762.24 </w:t>
            </w:r>
          </w:p>
        </w:tc>
        <w:tc>
          <w:tcPr>
            <w:tcW w:w="1654" w:type="dxa"/>
            <w:tcBorders>
              <w:top w:val="single" w:sz="6" w:space="0" w:color="auto"/>
              <w:left w:val="single" w:sz="6" w:space="0" w:color="auto"/>
              <w:bottom w:val="single" w:sz="6" w:space="0" w:color="auto"/>
              <w:right w:val="single" w:sz="6" w:space="0" w:color="auto"/>
            </w:tcBorders>
            <w:hideMark/>
          </w:tcPr>
          <w:p w:rsidR="0092325F" w:rsidRPr="0092325F" w:rsidP="0092325F" w14:paraId="68497D20"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 22,008 hrs.  </w:t>
            </w:r>
          </w:p>
          <w:p w:rsidR="0092325F" w:rsidRPr="0092325F" w:rsidP="0092325F" w14:paraId="665226F7"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 xml:space="preserve">$1,397,948.16 </w:t>
            </w:r>
          </w:p>
        </w:tc>
      </w:tr>
      <w:tr w14:paraId="7244DFA7" w14:textId="77777777" w:rsidTr="4635B435">
        <w:tblPrEx>
          <w:tblW w:w="9352" w:type="dxa"/>
          <w:tblCellMar>
            <w:left w:w="0" w:type="dxa"/>
            <w:right w:w="0" w:type="dxa"/>
          </w:tblCellMar>
          <w:tblLook w:val="04A0"/>
        </w:tblPrEx>
        <w:trPr>
          <w:trHeight w:val="300"/>
        </w:trPr>
        <w:tc>
          <w:tcPr>
            <w:tcW w:w="1435" w:type="dxa"/>
            <w:vMerge/>
            <w:vAlign w:val="center"/>
            <w:hideMark/>
          </w:tcPr>
          <w:p w:rsidR="0092325F" w:rsidRPr="0092325F" w:rsidP="0092325F" w14:paraId="3AAA058E" w14:textId="77777777">
            <w:pPr>
              <w:spacing w:after="0" w:line="240" w:lineRule="auto"/>
              <w:rPr>
                <w:rFonts w:ascii="Times New Roman" w:eastAsia="Times New Roman" w:hAnsi="Times New Roman" w:cs="Times New Roman"/>
                <w:sz w:val="26"/>
                <w:szCs w:val="26"/>
              </w:rPr>
            </w:pPr>
          </w:p>
        </w:tc>
        <w:tc>
          <w:tcPr>
            <w:tcW w:w="1290" w:type="dxa"/>
            <w:tcBorders>
              <w:top w:val="single" w:sz="6" w:space="0" w:color="auto"/>
              <w:left w:val="single" w:sz="6" w:space="0" w:color="auto"/>
              <w:bottom w:val="single" w:sz="6" w:space="0" w:color="auto"/>
              <w:right w:val="single" w:sz="6" w:space="0" w:color="auto"/>
            </w:tcBorders>
            <w:hideMark/>
          </w:tcPr>
          <w:p w:rsidR="0092325F" w:rsidRPr="0092325F" w:rsidP="0092325F" w14:paraId="27A3EE3B"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62 (PC)</w:t>
            </w:r>
          </w:p>
        </w:tc>
        <w:tc>
          <w:tcPr>
            <w:tcW w:w="1306" w:type="dxa"/>
            <w:tcBorders>
              <w:top w:val="single" w:sz="6" w:space="0" w:color="auto"/>
              <w:left w:val="single" w:sz="6" w:space="0" w:color="auto"/>
              <w:bottom w:val="single" w:sz="6" w:space="0" w:color="auto"/>
              <w:right w:val="single" w:sz="6" w:space="0" w:color="auto"/>
            </w:tcBorders>
            <w:hideMark/>
          </w:tcPr>
          <w:p w:rsidR="0092325F" w:rsidRPr="0092325F" w:rsidP="0092325F" w14:paraId="56F71883"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1</w:t>
            </w:r>
          </w:p>
        </w:tc>
        <w:tc>
          <w:tcPr>
            <w:tcW w:w="1552" w:type="dxa"/>
            <w:tcBorders>
              <w:top w:val="single" w:sz="6" w:space="0" w:color="auto"/>
              <w:left w:val="single" w:sz="6" w:space="0" w:color="auto"/>
              <w:bottom w:val="single" w:sz="6" w:space="0" w:color="auto"/>
              <w:right w:val="single" w:sz="6" w:space="0" w:color="auto"/>
            </w:tcBorders>
            <w:hideMark/>
          </w:tcPr>
          <w:p w:rsidR="0092325F" w:rsidRPr="0092325F" w:rsidP="0092325F" w14:paraId="60743394" w14:textId="77777777">
            <w:pPr>
              <w:spacing w:after="0" w:line="240" w:lineRule="auto"/>
              <w:jc w:val="center"/>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62</w:t>
            </w:r>
          </w:p>
        </w:tc>
        <w:tc>
          <w:tcPr>
            <w:tcW w:w="2115" w:type="dxa"/>
            <w:tcBorders>
              <w:top w:val="single" w:sz="6" w:space="0" w:color="auto"/>
              <w:left w:val="single" w:sz="6" w:space="0" w:color="auto"/>
              <w:bottom w:val="single" w:sz="6" w:space="0" w:color="auto"/>
              <w:right w:val="single" w:sz="6" w:space="0" w:color="auto"/>
            </w:tcBorders>
            <w:hideMark/>
          </w:tcPr>
          <w:p w:rsidR="0092325F" w:rsidRPr="0092325F" w:rsidP="0092325F" w14:paraId="64EB945F"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92325F">
              <w:rPr>
                <w:rFonts w:ascii="Times New Roman" w:eastAsia="Calibri" w:hAnsi="Times New Roman" w:cs="Times New Roman"/>
                <w:sz w:val="26"/>
              </w:rPr>
              <w:t>8 hrs.</w:t>
            </w:r>
          </w:p>
          <w:p w:rsidR="0092325F" w:rsidRPr="0092325F" w:rsidP="0092325F" w14:paraId="3CA7F806" w14:textId="58D3B49D">
            <w:pPr>
              <w:spacing w:after="0" w:line="240" w:lineRule="auto"/>
              <w:jc w:val="right"/>
              <w:textAlignment w:val="baseline"/>
              <w:rPr>
                <w:rFonts w:ascii="Times New Roman" w:eastAsia="Times New Roman" w:hAnsi="Times New Roman" w:cs="Times New Roman"/>
                <w:sz w:val="26"/>
              </w:rPr>
            </w:pPr>
            <w:r w:rsidRPr="0092325F">
              <w:rPr>
                <w:rFonts w:ascii="Times New Roman" w:eastAsia="Calibri" w:hAnsi="Times New Roman" w:cs="Times New Roman"/>
                <w:sz w:val="26"/>
              </w:rPr>
              <w:t>$508.16 </w:t>
            </w:r>
          </w:p>
        </w:tc>
        <w:tc>
          <w:tcPr>
            <w:tcW w:w="1654" w:type="dxa"/>
            <w:tcBorders>
              <w:top w:val="single" w:sz="6" w:space="0" w:color="auto"/>
              <w:left w:val="single" w:sz="6" w:space="0" w:color="auto"/>
              <w:bottom w:val="single" w:sz="6" w:space="0" w:color="auto"/>
              <w:right w:val="single" w:sz="6" w:space="0" w:color="auto"/>
            </w:tcBorders>
            <w:hideMark/>
          </w:tcPr>
          <w:p w:rsidR="0092325F" w:rsidRPr="0092325F" w:rsidP="0092325F" w14:paraId="12E2CD28"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496 hrs.  </w:t>
            </w:r>
          </w:p>
          <w:p w:rsidR="0092325F" w:rsidRPr="0092325F" w:rsidP="0092325F" w14:paraId="21E53C3E"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 xml:space="preserve">$31,505.92  </w:t>
            </w:r>
          </w:p>
        </w:tc>
      </w:tr>
      <w:tr w14:paraId="45D67911" w14:textId="77777777" w:rsidTr="4635B435">
        <w:tblPrEx>
          <w:tblW w:w="9352" w:type="dxa"/>
          <w:tblCellMar>
            <w:left w:w="0" w:type="dxa"/>
            <w:right w:w="0" w:type="dxa"/>
          </w:tblCellMar>
          <w:tblLook w:val="04A0"/>
        </w:tblPrEx>
        <w:trPr>
          <w:trHeight w:val="570"/>
        </w:trPr>
        <w:tc>
          <w:tcPr>
            <w:tcW w:w="1435" w:type="dxa"/>
            <w:vMerge/>
            <w:vAlign w:val="center"/>
            <w:hideMark/>
          </w:tcPr>
          <w:p w:rsidR="0092325F" w:rsidRPr="0092325F" w:rsidP="0092325F" w14:paraId="5744EE4C" w14:textId="77777777">
            <w:pPr>
              <w:spacing w:after="0" w:line="240" w:lineRule="auto"/>
              <w:rPr>
                <w:rFonts w:ascii="Times New Roman" w:eastAsia="Times New Roman" w:hAnsi="Times New Roman" w:cs="Times New Roman"/>
                <w:sz w:val="26"/>
                <w:szCs w:val="26"/>
              </w:rPr>
            </w:pPr>
          </w:p>
        </w:tc>
        <w:tc>
          <w:tcPr>
            <w:tcW w:w="1290" w:type="dxa"/>
            <w:tcBorders>
              <w:top w:val="single" w:sz="6" w:space="0" w:color="auto"/>
              <w:left w:val="single" w:sz="6" w:space="0" w:color="auto"/>
              <w:bottom w:val="single" w:sz="6" w:space="0" w:color="auto"/>
              <w:right w:val="single" w:sz="6" w:space="0" w:color="auto"/>
            </w:tcBorders>
            <w:hideMark/>
          </w:tcPr>
          <w:p w:rsidR="0092325F" w:rsidRPr="0092325F" w:rsidP="0092325F" w14:paraId="0A76B15B"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341 (TO)</w:t>
            </w:r>
          </w:p>
        </w:tc>
        <w:tc>
          <w:tcPr>
            <w:tcW w:w="1306" w:type="dxa"/>
            <w:tcBorders>
              <w:top w:val="single" w:sz="6" w:space="0" w:color="auto"/>
              <w:left w:val="single" w:sz="6" w:space="0" w:color="auto"/>
              <w:bottom w:val="single" w:sz="6" w:space="0" w:color="auto"/>
              <w:right w:val="single" w:sz="6" w:space="0" w:color="auto"/>
            </w:tcBorders>
            <w:hideMark/>
          </w:tcPr>
          <w:p w:rsidR="0092325F" w:rsidRPr="0092325F" w:rsidP="0092325F" w14:paraId="067E9813"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1</w:t>
            </w:r>
          </w:p>
        </w:tc>
        <w:tc>
          <w:tcPr>
            <w:tcW w:w="1552" w:type="dxa"/>
            <w:tcBorders>
              <w:top w:val="single" w:sz="6" w:space="0" w:color="auto"/>
              <w:left w:val="single" w:sz="6" w:space="0" w:color="auto"/>
              <w:bottom w:val="single" w:sz="6" w:space="0" w:color="auto"/>
              <w:right w:val="single" w:sz="6" w:space="0" w:color="auto"/>
            </w:tcBorders>
            <w:hideMark/>
          </w:tcPr>
          <w:p w:rsidR="0092325F" w:rsidRPr="0092325F" w:rsidP="0092325F" w14:paraId="419CC43A" w14:textId="77777777">
            <w:pPr>
              <w:spacing w:after="0" w:line="240" w:lineRule="auto"/>
              <w:jc w:val="center"/>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341</w:t>
            </w:r>
          </w:p>
        </w:tc>
        <w:tc>
          <w:tcPr>
            <w:tcW w:w="2115" w:type="dxa"/>
            <w:tcBorders>
              <w:top w:val="single" w:sz="6" w:space="0" w:color="auto"/>
              <w:left w:val="single" w:sz="6" w:space="0" w:color="auto"/>
              <w:bottom w:val="single" w:sz="6" w:space="0" w:color="auto"/>
              <w:right w:val="single" w:sz="6" w:space="0" w:color="auto"/>
            </w:tcBorders>
            <w:hideMark/>
          </w:tcPr>
          <w:p w:rsidR="0092325F" w:rsidRPr="0092325F" w:rsidP="0092325F" w14:paraId="3620CF2B" w14:textId="77777777">
            <w:pPr>
              <w:widowControl w:val="0"/>
              <w:tabs>
                <w:tab w:val="left" w:pos="720"/>
              </w:tabs>
              <w:autoSpaceDE w:val="0"/>
              <w:autoSpaceDN w:val="0"/>
              <w:adjustRightInd w:val="0"/>
              <w:spacing w:after="0" w:line="240" w:lineRule="auto"/>
              <w:jc w:val="right"/>
              <w:rPr>
                <w:rFonts w:ascii="Times New Roman" w:eastAsia="Calibri" w:hAnsi="Times New Roman" w:cs="Times New Roman"/>
                <w:sz w:val="26"/>
              </w:rPr>
            </w:pPr>
            <w:r w:rsidRPr="0092325F">
              <w:rPr>
                <w:rFonts w:ascii="Times New Roman" w:eastAsia="Calibri" w:hAnsi="Times New Roman" w:cs="Times New Roman"/>
                <w:sz w:val="26"/>
              </w:rPr>
              <w:t>8 hrs.</w:t>
            </w:r>
          </w:p>
          <w:p w:rsidR="0092325F" w:rsidRPr="0092325F" w:rsidP="0092325F" w14:paraId="23B88641" w14:textId="1B9AACFD">
            <w:pPr>
              <w:spacing w:after="0" w:line="240" w:lineRule="auto"/>
              <w:jc w:val="right"/>
              <w:textAlignment w:val="baseline"/>
              <w:rPr>
                <w:rFonts w:ascii="Times New Roman" w:eastAsia="Times New Roman" w:hAnsi="Times New Roman" w:cs="Times New Roman"/>
                <w:sz w:val="26"/>
              </w:rPr>
            </w:pPr>
            <w:r w:rsidRPr="0092325F">
              <w:rPr>
                <w:rFonts w:ascii="Times New Roman" w:eastAsia="Calibri" w:hAnsi="Times New Roman" w:cs="Times New Roman"/>
                <w:sz w:val="26"/>
              </w:rPr>
              <w:t>$508.16 </w:t>
            </w:r>
          </w:p>
        </w:tc>
        <w:tc>
          <w:tcPr>
            <w:tcW w:w="1654" w:type="dxa"/>
            <w:tcBorders>
              <w:top w:val="single" w:sz="6" w:space="0" w:color="auto"/>
              <w:left w:val="single" w:sz="6" w:space="0" w:color="auto"/>
              <w:bottom w:val="single" w:sz="6" w:space="0" w:color="auto"/>
              <w:right w:val="single" w:sz="6" w:space="0" w:color="auto"/>
            </w:tcBorders>
            <w:hideMark/>
          </w:tcPr>
          <w:p w:rsidR="0092325F" w:rsidRPr="0092325F" w:rsidP="0092325F" w14:paraId="79033916"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2,728 hrs.  </w:t>
            </w:r>
          </w:p>
          <w:p w:rsidR="0092325F" w:rsidRPr="0092325F" w:rsidP="0092325F" w14:paraId="0BB1FA28"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 xml:space="preserve">$173,282.56  </w:t>
            </w:r>
          </w:p>
        </w:tc>
      </w:tr>
      <w:tr w14:paraId="170F4B13" w14:textId="77777777" w:rsidTr="4635B435">
        <w:tblPrEx>
          <w:tblW w:w="9352" w:type="dxa"/>
          <w:tblCellMar>
            <w:left w:w="0" w:type="dxa"/>
            <w:right w:w="0" w:type="dxa"/>
          </w:tblCellMar>
          <w:tblLook w:val="04A0"/>
        </w:tblPrEx>
        <w:trPr>
          <w:trHeight w:val="300"/>
        </w:trPr>
        <w:tc>
          <w:tcPr>
            <w:tcW w:w="1435" w:type="dxa"/>
            <w:vMerge/>
            <w:vAlign w:val="center"/>
          </w:tcPr>
          <w:p w:rsidR="0092325F" w:rsidRPr="0092325F" w:rsidP="0092325F" w14:paraId="4FEF6548" w14:textId="77777777">
            <w:pPr>
              <w:spacing w:after="0" w:line="240" w:lineRule="auto"/>
              <w:rPr>
                <w:rFonts w:ascii="Times New Roman" w:eastAsia="Times New Roman" w:hAnsi="Times New Roman" w:cs="Times New Roman"/>
                <w:sz w:val="26"/>
                <w:szCs w:val="26"/>
              </w:rPr>
            </w:pPr>
          </w:p>
        </w:tc>
        <w:tc>
          <w:tcPr>
            <w:tcW w:w="1290" w:type="dxa"/>
            <w:tcBorders>
              <w:top w:val="single" w:sz="6" w:space="0" w:color="auto"/>
              <w:left w:val="single" w:sz="6" w:space="0" w:color="auto"/>
              <w:bottom w:val="single" w:sz="6" w:space="0" w:color="auto"/>
              <w:right w:val="single" w:sz="6" w:space="0" w:color="auto"/>
            </w:tcBorders>
          </w:tcPr>
          <w:p w:rsidR="0092325F" w:rsidRPr="0092325F" w:rsidP="0092325F" w14:paraId="2E0D4869"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208 (TP)</w:t>
            </w:r>
          </w:p>
        </w:tc>
        <w:tc>
          <w:tcPr>
            <w:tcW w:w="1306" w:type="dxa"/>
            <w:tcBorders>
              <w:top w:val="single" w:sz="6" w:space="0" w:color="auto"/>
              <w:left w:val="single" w:sz="6" w:space="0" w:color="auto"/>
              <w:bottom w:val="single" w:sz="6" w:space="0" w:color="auto"/>
              <w:right w:val="single" w:sz="6" w:space="0" w:color="auto"/>
            </w:tcBorders>
          </w:tcPr>
          <w:p w:rsidR="0092325F" w:rsidRPr="0092325F" w:rsidP="0092325F" w14:paraId="4E9FA209"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1</w:t>
            </w:r>
          </w:p>
        </w:tc>
        <w:tc>
          <w:tcPr>
            <w:tcW w:w="1552" w:type="dxa"/>
            <w:tcBorders>
              <w:top w:val="single" w:sz="6" w:space="0" w:color="auto"/>
              <w:left w:val="single" w:sz="6" w:space="0" w:color="auto"/>
              <w:bottom w:val="single" w:sz="6" w:space="0" w:color="auto"/>
              <w:right w:val="single" w:sz="6" w:space="0" w:color="auto"/>
            </w:tcBorders>
          </w:tcPr>
          <w:p w:rsidR="0092325F" w:rsidRPr="0092325F" w:rsidP="0092325F" w14:paraId="5D180E75" w14:textId="77777777">
            <w:pPr>
              <w:spacing w:after="0" w:line="240" w:lineRule="auto"/>
              <w:jc w:val="center"/>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208</w:t>
            </w:r>
          </w:p>
        </w:tc>
        <w:tc>
          <w:tcPr>
            <w:tcW w:w="2115" w:type="dxa"/>
            <w:tcBorders>
              <w:top w:val="single" w:sz="6" w:space="0" w:color="auto"/>
              <w:left w:val="single" w:sz="6" w:space="0" w:color="auto"/>
              <w:bottom w:val="single" w:sz="6" w:space="0" w:color="auto"/>
              <w:right w:val="single" w:sz="6" w:space="0" w:color="auto"/>
            </w:tcBorders>
          </w:tcPr>
          <w:p w:rsidR="0092325F" w:rsidRPr="0092325F" w:rsidP="0092325F" w14:paraId="7EEF7A83" w14:textId="2A59AE8A">
            <w:pPr>
              <w:spacing w:after="0" w:line="240" w:lineRule="auto"/>
              <w:jc w:val="right"/>
              <w:textAlignment w:val="baseline"/>
              <w:rPr>
                <w:rFonts w:ascii="Times New Roman" w:eastAsia="Times New Roman" w:hAnsi="Times New Roman" w:cs="Times New Roman"/>
                <w:sz w:val="26"/>
                <w:shd w:val="clear" w:color="auto" w:fill="FFFF00"/>
              </w:rPr>
            </w:pPr>
            <w:r w:rsidRPr="0092325F">
              <w:rPr>
                <w:rFonts w:ascii="Times New Roman" w:eastAsia="Calibri" w:hAnsi="Times New Roman" w:cs="Times New Roman"/>
                <w:sz w:val="26"/>
              </w:rPr>
              <w:t xml:space="preserve">10 hrs. </w:t>
            </w:r>
            <w:r w:rsidRPr="0092325F">
              <w:rPr>
                <w:rFonts w:ascii="Times New Roman" w:eastAsia="Calibri" w:hAnsi="Times New Roman" w:cs="Times New Roman"/>
                <w:sz w:val="26"/>
              </w:rPr>
              <w:br/>
              <w:t>$635.20 </w:t>
            </w:r>
          </w:p>
        </w:tc>
        <w:tc>
          <w:tcPr>
            <w:tcW w:w="1654" w:type="dxa"/>
            <w:tcBorders>
              <w:top w:val="single" w:sz="6" w:space="0" w:color="auto"/>
              <w:left w:val="single" w:sz="6" w:space="0" w:color="auto"/>
              <w:bottom w:val="single" w:sz="6" w:space="0" w:color="auto"/>
              <w:right w:val="single" w:sz="6" w:space="0" w:color="auto"/>
            </w:tcBorders>
          </w:tcPr>
          <w:p w:rsidR="0092325F" w:rsidRPr="0092325F" w:rsidP="0092325F" w14:paraId="443BF5E4"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92325F">
              <w:rPr>
                <w:rFonts w:ascii="Times New Roman" w:eastAsia="Calibri" w:hAnsi="Times New Roman" w:cs="Times New Roman"/>
                <w:sz w:val="26"/>
              </w:rPr>
              <w:t>2,080 hrs.</w:t>
            </w:r>
          </w:p>
          <w:p w:rsidR="0092325F" w:rsidRPr="0092325F" w:rsidP="0092325F" w14:paraId="4B5500DF" w14:textId="77777777">
            <w:pPr>
              <w:spacing w:after="0" w:line="240" w:lineRule="auto"/>
              <w:jc w:val="right"/>
              <w:textAlignment w:val="baseline"/>
              <w:rPr>
                <w:rFonts w:ascii="Times New Roman" w:eastAsia="Calibri" w:hAnsi="Times New Roman" w:cs="Times New Roman"/>
                <w:sz w:val="26"/>
              </w:rPr>
            </w:pPr>
            <w:r w:rsidRPr="0092325F">
              <w:rPr>
                <w:rFonts w:ascii="Times New Roman" w:eastAsia="Calibri" w:hAnsi="Times New Roman" w:cs="Times New Roman"/>
                <w:sz w:val="26"/>
              </w:rPr>
              <w:t>$132,121.60</w:t>
            </w:r>
          </w:p>
        </w:tc>
      </w:tr>
      <w:tr w14:paraId="0CA582C0" w14:textId="77777777" w:rsidTr="4635B435">
        <w:tblPrEx>
          <w:tblW w:w="9352" w:type="dxa"/>
          <w:tblCellMar>
            <w:left w:w="0" w:type="dxa"/>
            <w:right w:w="0" w:type="dxa"/>
          </w:tblCellMar>
          <w:tblLook w:val="04A0"/>
        </w:tblPrEx>
        <w:trPr>
          <w:trHeight w:val="300"/>
        </w:trPr>
        <w:tc>
          <w:tcPr>
            <w:tcW w:w="1435" w:type="dxa"/>
            <w:tcBorders>
              <w:top w:val="single" w:sz="6" w:space="0" w:color="auto"/>
              <w:left w:val="single" w:sz="6" w:space="0" w:color="auto"/>
              <w:bottom w:val="single" w:sz="6" w:space="0" w:color="auto"/>
              <w:right w:val="single" w:sz="6" w:space="0" w:color="auto"/>
            </w:tcBorders>
            <w:hideMark/>
          </w:tcPr>
          <w:p w:rsidR="0092325F" w:rsidRPr="0092325F" w:rsidP="0092325F" w14:paraId="40BFC622" w14:textId="77777777">
            <w:pPr>
              <w:spacing w:after="0" w:line="240" w:lineRule="auto"/>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b/>
                <w:bCs/>
                <w:sz w:val="26"/>
                <w:szCs w:val="26"/>
              </w:rPr>
              <w:t>Total for MOD-026-2</w:t>
            </w:r>
          </w:p>
        </w:tc>
        <w:tc>
          <w:tcPr>
            <w:tcW w:w="129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92325F" w:rsidRPr="0092325F" w:rsidP="0092325F" w14:paraId="1820E2F7"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 </w:t>
            </w:r>
          </w:p>
        </w:tc>
        <w:tc>
          <w:tcPr>
            <w:tcW w:w="130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92325F" w:rsidRPr="0092325F" w:rsidP="0092325F" w14:paraId="40AFE4B0" w14:textId="77777777">
            <w:pPr>
              <w:spacing w:after="0" w:line="240" w:lineRule="auto"/>
              <w:jc w:val="center"/>
              <w:textAlignment w:val="baseline"/>
              <w:rPr>
                <w:rFonts w:ascii="Times New Roman" w:eastAsia="Times New Roman" w:hAnsi="Times New Roman" w:cs="Times New Roman"/>
                <w:sz w:val="26"/>
                <w:szCs w:val="26"/>
              </w:rPr>
            </w:pPr>
            <w:r w:rsidRPr="0092325F">
              <w:rPr>
                <w:rFonts w:ascii="Times New Roman" w:eastAsia="Times New Roman" w:hAnsi="Times New Roman" w:cs="Times New Roman"/>
                <w:sz w:val="26"/>
                <w:szCs w:val="26"/>
              </w:rPr>
              <w:t> </w:t>
            </w:r>
          </w:p>
        </w:tc>
        <w:tc>
          <w:tcPr>
            <w:tcW w:w="1552" w:type="dxa"/>
            <w:tcBorders>
              <w:top w:val="single" w:sz="6" w:space="0" w:color="auto"/>
              <w:left w:val="single" w:sz="6" w:space="0" w:color="auto"/>
              <w:bottom w:val="single" w:sz="6" w:space="0" w:color="auto"/>
              <w:right w:val="single" w:sz="6" w:space="0" w:color="auto"/>
            </w:tcBorders>
            <w:hideMark/>
          </w:tcPr>
          <w:p w:rsidR="0092325F" w:rsidRPr="0092325F" w:rsidP="0092325F" w14:paraId="36E50E4D" w14:textId="77777777">
            <w:pPr>
              <w:spacing w:after="0" w:line="240" w:lineRule="auto"/>
              <w:jc w:val="center"/>
              <w:textAlignment w:val="baseline"/>
              <w:rPr>
                <w:rFonts w:ascii="Times New Roman" w:eastAsia="Times New Roman" w:hAnsi="Times New Roman" w:cs="Times New Roman"/>
                <w:bCs/>
                <w:sz w:val="26"/>
              </w:rPr>
            </w:pPr>
            <w:r w:rsidRPr="0092325F">
              <w:rPr>
                <w:rFonts w:ascii="Times New Roman" w:eastAsia="Times New Roman" w:hAnsi="Times New Roman" w:cs="Times New Roman"/>
                <w:bCs/>
                <w:sz w:val="26"/>
              </w:rPr>
              <w:t>2,445</w:t>
            </w:r>
          </w:p>
        </w:tc>
        <w:tc>
          <w:tcPr>
            <w:tcW w:w="21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92325F" w:rsidRPr="0092325F" w:rsidP="0092325F" w14:paraId="0C627C10"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 </w:t>
            </w:r>
          </w:p>
        </w:tc>
        <w:tc>
          <w:tcPr>
            <w:tcW w:w="1654" w:type="dxa"/>
            <w:tcBorders>
              <w:top w:val="single" w:sz="6" w:space="0" w:color="auto"/>
              <w:left w:val="single" w:sz="6" w:space="0" w:color="auto"/>
              <w:bottom w:val="single" w:sz="6" w:space="0" w:color="auto"/>
              <w:right w:val="single" w:sz="6" w:space="0" w:color="auto"/>
            </w:tcBorders>
            <w:hideMark/>
          </w:tcPr>
          <w:p w:rsidR="0092325F" w:rsidRPr="0092325F" w:rsidP="0092325F" w14:paraId="393E2E5B" w14:textId="77777777">
            <w:pPr>
              <w:spacing w:after="0" w:line="240" w:lineRule="auto"/>
              <w:jc w:val="right"/>
              <w:textAlignment w:val="baseline"/>
              <w:rPr>
                <w:rFonts w:ascii="Times New Roman" w:eastAsia="Times New Roman" w:hAnsi="Times New Roman" w:cs="Times New Roman"/>
                <w:sz w:val="26"/>
              </w:rPr>
            </w:pPr>
            <w:r w:rsidRPr="0092325F">
              <w:rPr>
                <w:rFonts w:ascii="Times New Roman" w:eastAsia="Times New Roman" w:hAnsi="Times New Roman" w:cs="Times New Roman"/>
                <w:sz w:val="26"/>
              </w:rPr>
              <w:t> 27,312 hrs.  </w:t>
            </w:r>
          </w:p>
          <w:p w:rsidR="0092325F" w:rsidRPr="0092325F" w:rsidP="0092325F" w14:paraId="218529E9" w14:textId="77777777">
            <w:pPr>
              <w:spacing w:after="0" w:line="240" w:lineRule="auto"/>
              <w:jc w:val="right"/>
              <w:textAlignment w:val="baseline"/>
              <w:rPr>
                <w:rFonts w:ascii="Times New Roman" w:eastAsia="Times New Roman" w:hAnsi="Times New Roman" w:cs="Times New Roman"/>
                <w:b/>
                <w:bCs/>
                <w:sz w:val="26"/>
              </w:rPr>
            </w:pPr>
            <w:r w:rsidRPr="0092325F">
              <w:rPr>
                <w:rFonts w:ascii="Times New Roman" w:eastAsia="Times New Roman" w:hAnsi="Times New Roman" w:cs="Times New Roman"/>
                <w:sz w:val="26"/>
              </w:rPr>
              <w:t xml:space="preserve">$1,734,858.24 </w:t>
            </w:r>
          </w:p>
        </w:tc>
      </w:tr>
    </w:tbl>
    <w:p w:rsidR="000C7E30" w:rsidP="008D310F" w14:paraId="36F6408D" w14:textId="77777777">
      <w:pPr>
        <w:spacing w:after="0"/>
        <w:rPr>
          <w:rFonts w:ascii="Times New Roman" w:hAnsi="Times New Roman" w:cs="Times New Roman"/>
          <w:sz w:val="24"/>
          <w:szCs w:val="24"/>
        </w:rPr>
      </w:pPr>
    </w:p>
    <w:p w:rsidR="00A55CDD" w:rsidRPr="00D80FBD" w:rsidP="008D310F" w14:paraId="036D1F1A" w14:textId="77777777">
      <w:pPr>
        <w:spacing w:after="0"/>
        <w:rPr>
          <w:rFonts w:ascii="Times New Roman" w:hAnsi="Times New Roman" w:cs="Times New Roman"/>
          <w:sz w:val="24"/>
          <w:szCs w:val="24"/>
        </w:rPr>
      </w:pPr>
    </w:p>
    <w:p w:rsidR="00D80FBD" w:rsidRPr="00A2084E" w:rsidP="00A72E7B" w14:paraId="6E56FBEA"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ESTIMATE OF THE TOTAL ANNUAL COST BURDEN TO RESPONDENTS</w:t>
      </w:r>
    </w:p>
    <w:p w:rsidR="00E636D7" w:rsidRPr="00A2084E" w:rsidP="00E636D7" w14:paraId="1A0B2949" w14:textId="77777777">
      <w:pPr>
        <w:spacing w:after="0"/>
        <w:rPr>
          <w:rFonts w:ascii="Times New Roman" w:hAnsi="Times New Roman" w:cs="Times New Roman"/>
          <w:sz w:val="26"/>
          <w:szCs w:val="26"/>
        </w:rPr>
      </w:pPr>
    </w:p>
    <w:p w:rsidR="0074195A" w:rsidRPr="00A2084E" w:rsidP="0074195A" w14:paraId="3D34229A" w14:textId="6643A5E2">
      <w:pPr>
        <w:spacing w:after="0"/>
        <w:rPr>
          <w:rFonts w:ascii="Times New Roman" w:hAnsi="Times New Roman" w:cs="Times New Roman"/>
          <w:sz w:val="26"/>
          <w:szCs w:val="26"/>
        </w:rPr>
      </w:pPr>
      <w:r w:rsidRPr="00A2084E">
        <w:rPr>
          <w:rFonts w:ascii="Times New Roman" w:hAnsi="Times New Roman" w:cs="Times New Roman"/>
          <w:sz w:val="26"/>
          <w:szCs w:val="26"/>
        </w:rPr>
        <w:t xml:space="preserve">There </w:t>
      </w:r>
      <w:r w:rsidRPr="00A2084E" w:rsidR="005D2BC4">
        <w:rPr>
          <w:rFonts w:ascii="Times New Roman" w:hAnsi="Times New Roman" w:cs="Times New Roman"/>
          <w:sz w:val="26"/>
          <w:szCs w:val="26"/>
        </w:rPr>
        <w:t>is</w:t>
      </w:r>
      <w:r w:rsidRPr="00A2084E">
        <w:rPr>
          <w:rFonts w:ascii="Times New Roman" w:hAnsi="Times New Roman" w:cs="Times New Roman"/>
          <w:sz w:val="26"/>
          <w:szCs w:val="26"/>
        </w:rPr>
        <w:t xml:space="preserve"> no non-labor costs currently associated with the</w:t>
      </w:r>
      <w:r w:rsidRPr="00A2084E" w:rsidR="00AD16A3">
        <w:rPr>
          <w:rFonts w:ascii="Times New Roman" w:hAnsi="Times New Roman" w:cs="Times New Roman"/>
          <w:sz w:val="26"/>
          <w:szCs w:val="26"/>
        </w:rPr>
        <w:t xml:space="preserve"> FERC-725L</w:t>
      </w:r>
      <w:r w:rsidRPr="00A2084E">
        <w:rPr>
          <w:rFonts w:ascii="Times New Roman" w:hAnsi="Times New Roman" w:cs="Times New Roman"/>
          <w:sz w:val="26"/>
          <w:szCs w:val="26"/>
        </w:rPr>
        <w:t>.</w:t>
      </w:r>
    </w:p>
    <w:p w:rsidR="00E636D7" w:rsidRPr="00A2084E" w:rsidP="0074195A" w14:paraId="14203881" w14:textId="084451FC">
      <w:pPr>
        <w:spacing w:after="0"/>
        <w:rPr>
          <w:rFonts w:ascii="Times New Roman" w:hAnsi="Times New Roman" w:cs="Times New Roman"/>
          <w:sz w:val="26"/>
          <w:szCs w:val="26"/>
        </w:rPr>
      </w:pPr>
      <w:r w:rsidRPr="00A2084E">
        <w:rPr>
          <w:rFonts w:ascii="Times New Roman" w:hAnsi="Times New Roman" w:cs="Times New Roman"/>
          <w:sz w:val="26"/>
          <w:szCs w:val="26"/>
        </w:rPr>
        <w:t xml:space="preserve">All of the costs are associated with </w:t>
      </w:r>
      <w:r w:rsidRPr="00A2084E" w:rsidR="00DB58D2">
        <w:rPr>
          <w:rFonts w:ascii="Times New Roman" w:hAnsi="Times New Roman" w:cs="Times New Roman"/>
          <w:sz w:val="26"/>
          <w:szCs w:val="26"/>
        </w:rPr>
        <w:t>burden hours (</w:t>
      </w:r>
      <w:r w:rsidRPr="00A2084E">
        <w:rPr>
          <w:rFonts w:ascii="Times New Roman" w:hAnsi="Times New Roman" w:cs="Times New Roman"/>
          <w:sz w:val="26"/>
          <w:szCs w:val="26"/>
        </w:rPr>
        <w:t>labor</w:t>
      </w:r>
      <w:r w:rsidRPr="00A2084E" w:rsidR="00DB58D2">
        <w:rPr>
          <w:rFonts w:ascii="Times New Roman" w:hAnsi="Times New Roman" w:cs="Times New Roman"/>
          <w:sz w:val="26"/>
          <w:szCs w:val="26"/>
        </w:rPr>
        <w:t>)</w:t>
      </w:r>
      <w:r w:rsidRPr="00A2084E">
        <w:rPr>
          <w:rFonts w:ascii="Times New Roman" w:hAnsi="Times New Roman" w:cs="Times New Roman"/>
          <w:sz w:val="26"/>
          <w:szCs w:val="26"/>
        </w:rPr>
        <w:t xml:space="preserve"> and </w:t>
      </w:r>
      <w:r w:rsidRPr="00A2084E" w:rsidR="00DB58D2">
        <w:rPr>
          <w:rFonts w:ascii="Times New Roman" w:hAnsi="Times New Roman" w:cs="Times New Roman"/>
          <w:sz w:val="26"/>
          <w:szCs w:val="26"/>
        </w:rPr>
        <w:t>described in #12 and 15.</w:t>
      </w:r>
    </w:p>
    <w:p w:rsidR="0074195A" w:rsidRPr="00E636D7" w:rsidP="0074195A" w14:paraId="33245613" w14:textId="77777777">
      <w:pPr>
        <w:spacing w:after="0"/>
        <w:rPr>
          <w:rFonts w:ascii="Times New Roman" w:hAnsi="Times New Roman" w:cs="Times New Roman"/>
          <w:sz w:val="24"/>
          <w:szCs w:val="24"/>
        </w:rPr>
      </w:pPr>
    </w:p>
    <w:p w:rsidR="00E636D7" w:rsidRPr="00A2084E" w:rsidP="00A72E7B" w14:paraId="1406ECFF"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ESTIMATED ANNUALIZED COST TO FEDERAL GOVERNMENT</w:t>
      </w:r>
    </w:p>
    <w:p w:rsidR="00A276F5" w:rsidRPr="00A2084E" w:rsidP="00A276F5" w14:paraId="68BEC129" w14:textId="77777777">
      <w:pPr>
        <w:spacing w:after="0"/>
        <w:rPr>
          <w:rFonts w:ascii="Times New Roman" w:hAnsi="Times New Roman" w:cs="Times New Roman"/>
          <w:sz w:val="26"/>
          <w:szCs w:val="26"/>
        </w:rPr>
      </w:pPr>
    </w:p>
    <w:p w:rsidR="00D85DBB" w:rsidP="00D85DBB" w14:paraId="37038A7A" w14:textId="36B1149C">
      <w:pPr>
        <w:spacing w:after="0"/>
        <w:rPr>
          <w:rFonts w:ascii="Times New Roman" w:hAnsi="Times New Roman" w:cs="Times New Roman"/>
          <w:sz w:val="26"/>
          <w:szCs w:val="26"/>
        </w:rPr>
      </w:pPr>
      <w:r w:rsidRPr="00A2084E">
        <w:rPr>
          <w:rFonts w:ascii="Times New Roman" w:hAnsi="Times New Roman" w:cs="Times New Roman"/>
          <w:sz w:val="26"/>
          <w:szCs w:val="26"/>
        </w:rPr>
        <w:t>The Regional Entities and NERC do most of the data processing, monitoring and compliance work for Reliability Standards</w:t>
      </w:r>
      <w:r w:rsidR="00E669F5">
        <w:rPr>
          <w:rFonts w:ascii="Times New Roman" w:hAnsi="Times New Roman" w:cs="Times New Roman"/>
          <w:sz w:val="26"/>
          <w:szCs w:val="26"/>
        </w:rPr>
        <w:t>.</w:t>
      </w:r>
      <w:r w:rsidRPr="00A2084E" w:rsidR="00E67CF3">
        <w:rPr>
          <w:rFonts w:ascii="Times New Roman" w:hAnsi="Times New Roman" w:cs="Times New Roman"/>
          <w:sz w:val="26"/>
          <w:szCs w:val="26"/>
        </w:rPr>
        <w:t xml:space="preserve"> </w:t>
      </w:r>
      <w:r w:rsidRPr="00A2084E">
        <w:rPr>
          <w:rFonts w:ascii="Times New Roman" w:hAnsi="Times New Roman" w:cs="Times New Roman"/>
          <w:sz w:val="26"/>
          <w:szCs w:val="26"/>
        </w:rPr>
        <w:t>Any involvement by the Commission is covered under the FERC-725 collection (OMB Control No. 1902-0225) and is not part of this request or package.</w:t>
      </w:r>
      <w:r w:rsidR="007A7337">
        <w:rPr>
          <w:rFonts w:ascii="Times New Roman" w:hAnsi="Times New Roman" w:cs="Times New Roman"/>
          <w:sz w:val="26"/>
          <w:szCs w:val="26"/>
        </w:rPr>
        <w:t xml:space="preserve"> The data for FERC-725-L</w:t>
      </w:r>
      <w:r w:rsidR="006C20D6">
        <w:rPr>
          <w:rFonts w:ascii="Times New Roman" w:hAnsi="Times New Roman" w:cs="Times New Roman"/>
          <w:sz w:val="26"/>
          <w:szCs w:val="26"/>
        </w:rPr>
        <w:t xml:space="preserve"> are not submitted to FERC</w:t>
      </w:r>
      <w:r w:rsidR="00340F80">
        <w:rPr>
          <w:rFonts w:ascii="Times New Roman" w:hAnsi="Times New Roman" w:cs="Times New Roman"/>
          <w:sz w:val="26"/>
          <w:szCs w:val="26"/>
        </w:rPr>
        <w:t>.</w:t>
      </w:r>
    </w:p>
    <w:p w:rsidR="00340F80" w:rsidP="00D85DBB" w14:paraId="503282C8" w14:textId="77777777">
      <w:pPr>
        <w:spacing w:after="0"/>
        <w:rPr>
          <w:rFonts w:ascii="Times New Roman" w:hAnsi="Times New Roman" w:cs="Times New Roman"/>
          <w:sz w:val="26"/>
          <w:szCs w:val="26"/>
        </w:rPr>
      </w:pPr>
    </w:p>
    <w:p w:rsidR="00701CA1" w:rsidRPr="00A2084E" w:rsidP="00A2084E" w14:paraId="2991BB21" w14:textId="2F44A87E">
      <w:pPr>
        <w:spacing w:after="0" w:line="240" w:lineRule="auto"/>
        <w:rPr>
          <w:rFonts w:ascii="Times New Roman" w:eastAsia="Calibri" w:hAnsi="Times New Roman" w:cs="Times New Roman"/>
          <w:sz w:val="26"/>
          <w:szCs w:val="26"/>
        </w:rPr>
      </w:pPr>
      <w:r w:rsidRPr="4635B435">
        <w:rPr>
          <w:rFonts w:ascii="Times New Roman" w:hAnsi="Times New Roman" w:cs="Times New Roman"/>
          <w:sz w:val="26"/>
          <w:szCs w:val="26"/>
        </w:rPr>
        <w:t>The Commission does incur the costs associated with obtaining OMB clearance for the collection under the Paperwork Reduction Act of 1995 (PRA). The estimate of the cost for ‘analysis and processing of filings’</w:t>
      </w:r>
      <w:r>
        <w:rPr>
          <w:rFonts w:ascii="Times New Roman" w:hAnsi="Times New Roman" w:cs="Times New Roman"/>
          <w:b/>
          <w:bCs/>
          <w:sz w:val="26"/>
          <w:szCs w:val="26"/>
          <w:vertAlign w:val="superscript"/>
        </w:rPr>
        <w:footnoteReference w:id="22"/>
      </w:r>
      <w:r w:rsidRPr="4635B435">
        <w:rPr>
          <w:rFonts w:ascii="Times New Roman" w:hAnsi="Times New Roman" w:cs="Times New Roman"/>
          <w:sz w:val="26"/>
          <w:szCs w:val="26"/>
          <w:vertAlign w:val="superscript"/>
        </w:rPr>
        <w:t xml:space="preserve"> </w:t>
      </w:r>
      <w:r w:rsidRPr="4635B435">
        <w:rPr>
          <w:rFonts w:ascii="Times New Roman" w:hAnsi="Times New Roman" w:cs="Times New Roman"/>
          <w:sz w:val="26"/>
          <w:szCs w:val="26"/>
        </w:rPr>
        <w:t xml:space="preserve">is based on salaries and benefits for professional and clerical support.  The PRA Administrative Cost is a Federal Cost associated with preparing, issuing, and submitting materials necessary to comply with the PRA for rulemakings, orders, or any other vehicle used to create, modify, extend, or discontinue an information collection.  This average annual cost includes requests for extensions, all associated rulemakings and orders, other changes to the collection, and associated publications in the Federal Register. </w:t>
      </w:r>
      <w:r w:rsidRPr="4635B435">
        <w:rPr>
          <w:rFonts w:ascii="Times New Roman" w:eastAsia="Calibri" w:hAnsi="Times New Roman" w:cs="Times New Roman"/>
          <w:sz w:val="26"/>
          <w:szCs w:val="26"/>
        </w:rPr>
        <w:t>It also includes the cost of publishing the necessary notices in the Federal Register.</w:t>
      </w:r>
    </w:p>
    <w:p w:rsidR="00D85DBB" w:rsidRPr="00A2084E" w:rsidP="00A276F5" w14:paraId="20A27179" w14:textId="77777777">
      <w:pPr>
        <w:spacing w:after="0"/>
        <w:rPr>
          <w:rFonts w:ascii="Times New Roman" w:hAnsi="Times New Roman" w:cs="Times New Roman"/>
          <w:sz w:val="26"/>
          <w:szCs w:val="26"/>
        </w:rPr>
      </w:pPr>
    </w:p>
    <w:p w:rsidR="00A276F5" w:rsidRPr="00A2084E" w:rsidP="00A276F5" w14:paraId="79052984" w14:textId="15A5E9FF">
      <w:pPr>
        <w:spacing w:after="0"/>
        <w:rPr>
          <w:rFonts w:ascii="Times New Roman" w:hAnsi="Times New Roman" w:cs="Times New Roman"/>
          <w:sz w:val="26"/>
          <w:szCs w:val="26"/>
        </w:rPr>
      </w:pPr>
      <w:r w:rsidRPr="00A2084E">
        <w:rPr>
          <w:rFonts w:ascii="Times New Roman" w:hAnsi="Times New Roman" w:cs="Times New Roman"/>
          <w:sz w:val="26"/>
          <w:szCs w:val="26"/>
        </w:rPr>
        <w:t>The estimated annualized cost to the Federal Govern</w:t>
      </w:r>
      <w:r w:rsidRPr="00A2084E" w:rsidR="00AD16A3">
        <w:rPr>
          <w:rFonts w:ascii="Times New Roman" w:hAnsi="Times New Roman" w:cs="Times New Roman"/>
          <w:sz w:val="26"/>
          <w:szCs w:val="26"/>
        </w:rPr>
        <w:t>ment for FERC-725L</w:t>
      </w:r>
      <w:r w:rsidRPr="00A2084E" w:rsidR="00BE7025">
        <w:rPr>
          <w:rFonts w:ascii="Times New Roman" w:hAnsi="Times New Roman" w:cs="Times New Roman"/>
          <w:sz w:val="26"/>
          <w:szCs w:val="26"/>
        </w:rPr>
        <w:t xml:space="preserve"> </w:t>
      </w:r>
      <w:r w:rsidRPr="00A2084E" w:rsidR="00A25302">
        <w:rPr>
          <w:rFonts w:ascii="Times New Roman" w:hAnsi="Times New Roman" w:cs="Times New Roman"/>
          <w:sz w:val="26"/>
          <w:szCs w:val="26"/>
        </w:rPr>
        <w:t>is as follows</w:t>
      </w:r>
      <w:r w:rsidRPr="00A2084E">
        <w:rPr>
          <w:rFonts w:ascii="Times New Roman" w:hAnsi="Times New Roman" w:cs="Times New Roman"/>
          <w:sz w:val="26"/>
          <w:szCs w:val="26"/>
        </w:rPr>
        <w:t>:</w:t>
      </w:r>
    </w:p>
    <w:p w:rsidR="00630A34" w:rsidRPr="00A2084E" w:rsidP="00A276F5" w14:paraId="5616B52C" w14:textId="77777777">
      <w:pPr>
        <w:spacing w:after="0"/>
        <w:rPr>
          <w:rFonts w:ascii="Times New Roman" w:hAnsi="Times New Roman" w:cs="Times New Roman"/>
          <w:sz w:val="26"/>
          <w:szCs w:val="26"/>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2995"/>
      </w:tblGrid>
      <w:tr w14:paraId="4D55693E" w14:textId="77777777" w:rsidTr="4635B435">
        <w:tblPrEx>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82" w:type="dxa"/>
            <w:tcBorders>
              <w:top w:val="single" w:sz="4" w:space="0" w:color="auto"/>
              <w:left w:val="single" w:sz="4" w:space="0" w:color="auto"/>
              <w:bottom w:val="single" w:sz="4" w:space="0" w:color="auto"/>
              <w:right w:val="single" w:sz="4" w:space="0" w:color="auto"/>
            </w:tcBorders>
            <w:shd w:val="clear" w:color="auto" w:fill="CCCCCC"/>
          </w:tcPr>
          <w:p w:rsidR="00630A34" w:rsidRPr="00A2084E" w:rsidP="00630A34" w14:paraId="40313B84" w14:textId="77777777">
            <w:pPr>
              <w:spacing w:after="0"/>
              <w:rPr>
                <w:rFonts w:ascii="Times New Roman" w:hAnsi="Times New Roman" w:cs="Times New Roman"/>
                <w:sz w:val="26"/>
                <w:szCs w:val="26"/>
              </w:rPr>
            </w:pPr>
          </w:p>
        </w:tc>
        <w:tc>
          <w:tcPr>
            <w:tcW w:w="3201" w:type="dxa"/>
            <w:tcBorders>
              <w:top w:val="single" w:sz="4" w:space="0" w:color="auto"/>
              <w:left w:val="single" w:sz="4" w:space="0" w:color="auto"/>
              <w:bottom w:val="single" w:sz="4" w:space="0" w:color="auto"/>
              <w:right w:val="single" w:sz="4" w:space="0" w:color="auto"/>
            </w:tcBorders>
            <w:shd w:val="clear" w:color="auto" w:fill="CCCCCC"/>
            <w:hideMark/>
          </w:tcPr>
          <w:p w:rsidR="00630A34" w:rsidRPr="00A2084E" w:rsidP="00630A34" w14:paraId="3BC50B53" w14:textId="77777777">
            <w:pPr>
              <w:spacing w:after="0"/>
              <w:rPr>
                <w:rFonts w:ascii="Times New Roman" w:hAnsi="Times New Roman" w:cs="Times New Roman"/>
                <w:b/>
                <w:sz w:val="26"/>
                <w:szCs w:val="26"/>
              </w:rPr>
            </w:pPr>
            <w:r w:rsidRPr="00A2084E">
              <w:rPr>
                <w:rFonts w:ascii="Times New Roman" w:hAnsi="Times New Roman" w:cs="Times New Roman"/>
                <w:b/>
                <w:sz w:val="26"/>
                <w:szCs w:val="26"/>
              </w:rPr>
              <w:t>Number of Employees (FTE)</w:t>
            </w:r>
          </w:p>
        </w:tc>
        <w:tc>
          <w:tcPr>
            <w:tcW w:w="2995" w:type="dxa"/>
            <w:tcBorders>
              <w:top w:val="single" w:sz="4" w:space="0" w:color="auto"/>
              <w:left w:val="single" w:sz="4" w:space="0" w:color="auto"/>
              <w:bottom w:val="single" w:sz="4" w:space="0" w:color="auto"/>
              <w:right w:val="single" w:sz="4" w:space="0" w:color="auto"/>
            </w:tcBorders>
            <w:shd w:val="clear" w:color="auto" w:fill="CCCCCC"/>
            <w:hideMark/>
          </w:tcPr>
          <w:p w:rsidR="00630A34" w:rsidRPr="00A2084E" w:rsidP="00630A34" w14:paraId="115036DD" w14:textId="77777777">
            <w:pPr>
              <w:spacing w:after="0"/>
              <w:rPr>
                <w:rFonts w:ascii="Times New Roman" w:hAnsi="Times New Roman" w:cs="Times New Roman"/>
                <w:b/>
                <w:sz w:val="26"/>
                <w:szCs w:val="26"/>
              </w:rPr>
            </w:pPr>
            <w:r w:rsidRPr="00A2084E">
              <w:rPr>
                <w:rFonts w:ascii="Times New Roman" w:hAnsi="Times New Roman" w:cs="Times New Roman"/>
                <w:b/>
                <w:sz w:val="26"/>
                <w:szCs w:val="26"/>
              </w:rPr>
              <w:t>Estimated Annual Federal Cost</w:t>
            </w:r>
          </w:p>
        </w:tc>
      </w:tr>
      <w:tr w14:paraId="0442D0CC" w14:textId="77777777" w:rsidTr="4635B435">
        <w:tblPrEx>
          <w:tblW w:w="9378" w:type="dxa"/>
          <w:tblLook w:val="01E0"/>
        </w:tblPrEx>
        <w:tc>
          <w:tcPr>
            <w:tcW w:w="3182" w:type="dxa"/>
            <w:tcBorders>
              <w:top w:val="single" w:sz="4" w:space="0" w:color="auto"/>
              <w:left w:val="single" w:sz="4" w:space="0" w:color="auto"/>
              <w:bottom w:val="single" w:sz="4" w:space="0" w:color="auto"/>
              <w:right w:val="single" w:sz="4" w:space="0" w:color="auto"/>
            </w:tcBorders>
            <w:hideMark/>
          </w:tcPr>
          <w:p w:rsidR="00630A34" w:rsidRPr="00A2084E" w:rsidP="00630A34" w14:paraId="60B348C3" w14:textId="72E96218">
            <w:pPr>
              <w:spacing w:after="0"/>
              <w:rPr>
                <w:rFonts w:ascii="Times New Roman" w:hAnsi="Times New Roman" w:cs="Times New Roman"/>
                <w:sz w:val="26"/>
                <w:szCs w:val="26"/>
              </w:rPr>
            </w:pPr>
            <w:r w:rsidRPr="00A2084E">
              <w:rPr>
                <w:rFonts w:ascii="Times New Roman" w:hAnsi="Times New Roman" w:cs="Times New Roman"/>
                <w:sz w:val="26"/>
                <w:szCs w:val="26"/>
              </w:rPr>
              <w:t>FERC-725L Analysis and Processing of filings</w:t>
            </w:r>
          </w:p>
        </w:tc>
        <w:tc>
          <w:tcPr>
            <w:tcW w:w="3201" w:type="dxa"/>
            <w:tcBorders>
              <w:top w:val="single" w:sz="4" w:space="0" w:color="auto"/>
              <w:left w:val="single" w:sz="4" w:space="0" w:color="auto"/>
              <w:bottom w:val="single" w:sz="4" w:space="0" w:color="auto"/>
              <w:right w:val="single" w:sz="4" w:space="0" w:color="auto"/>
            </w:tcBorders>
            <w:vAlign w:val="bottom"/>
            <w:hideMark/>
          </w:tcPr>
          <w:p w:rsidR="00630A34" w:rsidRPr="00A2084E" w:rsidP="00630A34" w14:paraId="58FB477E" w14:textId="77777777">
            <w:pPr>
              <w:spacing w:after="0"/>
              <w:rPr>
                <w:rFonts w:ascii="Times New Roman" w:hAnsi="Times New Roman" w:cs="Times New Roman"/>
                <w:sz w:val="26"/>
                <w:szCs w:val="26"/>
              </w:rPr>
            </w:pPr>
            <w:r w:rsidRPr="00A2084E">
              <w:rPr>
                <w:rFonts w:ascii="Times New Roman" w:hAnsi="Times New Roman" w:cs="Times New Roman"/>
                <w:sz w:val="26"/>
                <w:szCs w:val="26"/>
              </w:rPr>
              <w:t>0</w:t>
            </w:r>
          </w:p>
        </w:tc>
        <w:tc>
          <w:tcPr>
            <w:tcW w:w="2995" w:type="dxa"/>
            <w:tcBorders>
              <w:top w:val="single" w:sz="4" w:space="0" w:color="auto"/>
              <w:left w:val="single" w:sz="4" w:space="0" w:color="auto"/>
              <w:bottom w:val="single" w:sz="4" w:space="0" w:color="auto"/>
              <w:right w:val="single" w:sz="4" w:space="0" w:color="auto"/>
            </w:tcBorders>
            <w:vAlign w:val="bottom"/>
            <w:hideMark/>
          </w:tcPr>
          <w:p w:rsidR="00630A34" w:rsidRPr="00A2084E" w:rsidP="00630A34" w14:paraId="3AF280C5" w14:textId="38AC88F2">
            <w:pPr>
              <w:spacing w:after="0"/>
              <w:rPr>
                <w:rFonts w:ascii="Times New Roman" w:hAnsi="Times New Roman" w:cs="Times New Roman"/>
                <w:sz w:val="26"/>
                <w:szCs w:val="26"/>
              </w:rPr>
            </w:pPr>
            <w:r w:rsidRPr="00A2084E">
              <w:rPr>
                <w:rFonts w:ascii="Times New Roman" w:hAnsi="Times New Roman" w:cs="Times New Roman"/>
                <w:sz w:val="26"/>
                <w:szCs w:val="26"/>
              </w:rPr>
              <w:t>$</w:t>
            </w:r>
            <w:r w:rsidRPr="00A2084E" w:rsidR="00B141A2">
              <w:rPr>
                <w:rFonts w:ascii="Times New Roman" w:hAnsi="Times New Roman" w:cs="Times New Roman"/>
                <w:sz w:val="26"/>
                <w:szCs w:val="26"/>
              </w:rPr>
              <w:t>0</w:t>
            </w:r>
          </w:p>
        </w:tc>
      </w:tr>
      <w:tr w14:paraId="574B7DA6" w14:textId="77777777" w:rsidTr="4635B435">
        <w:tblPrEx>
          <w:tblW w:w="9378" w:type="dxa"/>
          <w:tblLook w:val="01E0"/>
        </w:tblPrEx>
        <w:tc>
          <w:tcPr>
            <w:tcW w:w="3182" w:type="dxa"/>
            <w:tcBorders>
              <w:top w:val="single" w:sz="4" w:space="0" w:color="auto"/>
              <w:left w:val="single" w:sz="4" w:space="0" w:color="auto"/>
              <w:bottom w:val="single" w:sz="4" w:space="0" w:color="auto"/>
              <w:right w:val="single" w:sz="4" w:space="0" w:color="auto"/>
            </w:tcBorders>
          </w:tcPr>
          <w:p w:rsidR="00AD16A3" w:rsidRPr="00A2084E" w:rsidP="00F82B8E" w14:paraId="1250E3AD" w14:textId="582555DF">
            <w:pPr>
              <w:spacing w:after="0"/>
              <w:rPr>
                <w:rFonts w:ascii="Times New Roman" w:hAnsi="Times New Roman" w:cs="Times New Roman"/>
                <w:sz w:val="26"/>
                <w:szCs w:val="26"/>
              </w:rPr>
            </w:pPr>
            <w:r w:rsidRPr="00A2084E">
              <w:rPr>
                <w:rFonts w:ascii="Times New Roman" w:hAnsi="Times New Roman" w:cs="Times New Roman"/>
                <w:sz w:val="26"/>
                <w:szCs w:val="26"/>
              </w:rPr>
              <w:t>PRA</w:t>
            </w:r>
            <w:r>
              <w:rPr>
                <w:rFonts w:ascii="Times New Roman" w:hAnsi="Times New Roman" w:cs="Times New Roman"/>
                <w:sz w:val="26"/>
                <w:szCs w:val="26"/>
                <w:vertAlign w:val="superscript"/>
              </w:rPr>
              <w:footnoteReference w:id="23"/>
            </w:r>
            <w:r w:rsidRPr="00A2084E">
              <w:rPr>
                <w:rFonts w:ascii="Times New Roman" w:hAnsi="Times New Roman" w:cs="Times New Roman"/>
                <w:sz w:val="26"/>
                <w:szCs w:val="26"/>
              </w:rPr>
              <w:t xml:space="preserve"> Administrative Cost</w:t>
            </w:r>
          </w:p>
        </w:tc>
        <w:tc>
          <w:tcPr>
            <w:tcW w:w="3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D16A3" w:rsidRPr="00A2084E" w:rsidP="00630A34" w14:paraId="443B14DA" w14:textId="77777777">
            <w:pPr>
              <w:spacing w:after="0"/>
              <w:rPr>
                <w:rFonts w:ascii="Times New Roman" w:hAnsi="Times New Roman" w:cs="Times New Roman"/>
                <w:sz w:val="26"/>
                <w:szCs w:val="26"/>
              </w:rPr>
            </w:pPr>
          </w:p>
        </w:tc>
        <w:tc>
          <w:tcPr>
            <w:tcW w:w="2995" w:type="dxa"/>
            <w:tcBorders>
              <w:top w:val="single" w:sz="4" w:space="0" w:color="auto"/>
              <w:left w:val="single" w:sz="4" w:space="0" w:color="auto"/>
              <w:bottom w:val="single" w:sz="4" w:space="0" w:color="auto"/>
              <w:right w:val="single" w:sz="4" w:space="0" w:color="auto"/>
            </w:tcBorders>
            <w:vAlign w:val="center"/>
          </w:tcPr>
          <w:p w:rsidR="00AD16A3" w:rsidRPr="00A2084E" w:rsidP="00630A34" w14:paraId="299BC118" w14:textId="72556B1C">
            <w:pPr>
              <w:spacing w:after="0"/>
              <w:rPr>
                <w:rFonts w:ascii="Times New Roman" w:hAnsi="Times New Roman" w:cs="Times New Roman"/>
                <w:sz w:val="26"/>
                <w:szCs w:val="26"/>
              </w:rPr>
            </w:pPr>
            <w:r w:rsidRPr="00A2084E">
              <w:rPr>
                <w:rFonts w:ascii="Times New Roman" w:hAnsi="Times New Roman" w:cs="Times New Roman"/>
                <w:sz w:val="26"/>
                <w:szCs w:val="26"/>
              </w:rPr>
              <w:t>$</w:t>
            </w:r>
            <w:r w:rsidRPr="00A2084E" w:rsidR="005D2BC4">
              <w:rPr>
                <w:rFonts w:ascii="Times New Roman" w:hAnsi="Times New Roman" w:cs="Times New Roman"/>
                <w:sz w:val="26"/>
                <w:szCs w:val="26"/>
              </w:rPr>
              <w:t>8,404</w:t>
            </w:r>
          </w:p>
        </w:tc>
      </w:tr>
      <w:tr w14:paraId="3CFDFA41" w14:textId="77777777" w:rsidTr="4635B435">
        <w:tblPrEx>
          <w:tblW w:w="9378" w:type="dxa"/>
          <w:tblLook w:val="01E0"/>
        </w:tblPrEx>
        <w:tc>
          <w:tcPr>
            <w:tcW w:w="3182" w:type="dxa"/>
            <w:tcBorders>
              <w:top w:val="single" w:sz="4" w:space="0" w:color="auto"/>
              <w:left w:val="single" w:sz="4" w:space="0" w:color="auto"/>
              <w:bottom w:val="single" w:sz="4" w:space="0" w:color="auto"/>
              <w:right w:val="single" w:sz="4" w:space="0" w:color="auto"/>
            </w:tcBorders>
            <w:hideMark/>
          </w:tcPr>
          <w:p w:rsidR="00AD16A3" w:rsidRPr="00A2084E" w:rsidP="00630A34" w14:paraId="06203189" w14:textId="77777777">
            <w:pPr>
              <w:spacing w:after="0"/>
              <w:rPr>
                <w:rFonts w:ascii="Times New Roman" w:hAnsi="Times New Roman" w:cs="Times New Roman"/>
                <w:sz w:val="26"/>
                <w:szCs w:val="26"/>
              </w:rPr>
            </w:pPr>
            <w:r w:rsidRPr="00A2084E">
              <w:rPr>
                <w:rFonts w:ascii="Times New Roman" w:hAnsi="Times New Roman" w:cs="Times New Roman"/>
                <w:b/>
                <w:sz w:val="26"/>
                <w:szCs w:val="26"/>
              </w:rPr>
              <w:t>FERC Total</w:t>
            </w:r>
          </w:p>
        </w:tc>
        <w:tc>
          <w:tcPr>
            <w:tcW w:w="3201" w:type="dxa"/>
            <w:tcBorders>
              <w:top w:val="single" w:sz="4" w:space="0" w:color="auto"/>
              <w:left w:val="single" w:sz="4" w:space="0" w:color="auto"/>
              <w:bottom w:val="single" w:sz="4" w:space="0" w:color="auto"/>
              <w:right w:val="single" w:sz="4" w:space="0" w:color="auto"/>
            </w:tcBorders>
            <w:vAlign w:val="center"/>
          </w:tcPr>
          <w:p w:rsidR="00AD16A3" w:rsidRPr="00A2084E" w:rsidP="00630A34" w14:paraId="1C18FB49" w14:textId="77777777">
            <w:pPr>
              <w:spacing w:after="0"/>
              <w:rPr>
                <w:rFonts w:ascii="Times New Roman" w:hAnsi="Times New Roman" w:cs="Times New Roman"/>
                <w:sz w:val="26"/>
                <w:szCs w:val="26"/>
              </w:rPr>
            </w:pPr>
          </w:p>
        </w:tc>
        <w:tc>
          <w:tcPr>
            <w:tcW w:w="2995" w:type="dxa"/>
            <w:tcBorders>
              <w:top w:val="single" w:sz="4" w:space="0" w:color="auto"/>
              <w:left w:val="single" w:sz="4" w:space="0" w:color="auto"/>
              <w:bottom w:val="single" w:sz="4" w:space="0" w:color="auto"/>
              <w:right w:val="single" w:sz="4" w:space="0" w:color="auto"/>
            </w:tcBorders>
            <w:vAlign w:val="center"/>
            <w:hideMark/>
          </w:tcPr>
          <w:p w:rsidR="00AD16A3" w:rsidRPr="00A2084E" w:rsidP="00E67CF3" w14:paraId="056CE0F0" w14:textId="0374F277">
            <w:pPr>
              <w:spacing w:after="0"/>
              <w:rPr>
                <w:rFonts w:ascii="Times New Roman" w:hAnsi="Times New Roman" w:cs="Times New Roman"/>
                <w:sz w:val="26"/>
                <w:szCs w:val="26"/>
              </w:rPr>
            </w:pPr>
            <w:r w:rsidRPr="00A2084E">
              <w:rPr>
                <w:rFonts w:ascii="Times New Roman" w:hAnsi="Times New Roman" w:cs="Times New Roman"/>
                <w:sz w:val="26"/>
                <w:szCs w:val="26"/>
              </w:rPr>
              <w:t>$</w:t>
            </w:r>
            <w:r w:rsidRPr="00A2084E" w:rsidR="00B141A2">
              <w:rPr>
                <w:rFonts w:ascii="Times New Roman" w:hAnsi="Times New Roman" w:cs="Times New Roman"/>
                <w:sz w:val="26"/>
                <w:szCs w:val="26"/>
              </w:rPr>
              <w:t>8,</w:t>
            </w:r>
            <w:r w:rsidRPr="00A2084E" w:rsidR="005D2BC4">
              <w:rPr>
                <w:rFonts w:ascii="Times New Roman" w:hAnsi="Times New Roman" w:cs="Times New Roman"/>
                <w:sz w:val="26"/>
                <w:szCs w:val="26"/>
              </w:rPr>
              <w:t>404</w:t>
            </w:r>
          </w:p>
        </w:tc>
      </w:tr>
    </w:tbl>
    <w:p w:rsidR="006B437C" w:rsidRPr="00A2084E" w:rsidP="006B437C" w14:paraId="767669C0" w14:textId="77777777">
      <w:pPr>
        <w:spacing w:after="0"/>
        <w:rPr>
          <w:rFonts w:ascii="Times New Roman" w:hAnsi="Times New Roman" w:cs="Times New Roman"/>
          <w:sz w:val="26"/>
          <w:szCs w:val="26"/>
        </w:rPr>
      </w:pPr>
    </w:p>
    <w:p w:rsidR="006B437C" w:rsidRPr="00A2084E" w:rsidP="006B437C" w14:paraId="6F4DA4A9" w14:textId="77777777">
      <w:pPr>
        <w:spacing w:after="0"/>
        <w:rPr>
          <w:rFonts w:ascii="Times New Roman" w:hAnsi="Times New Roman" w:cs="Times New Roman"/>
          <w:sz w:val="26"/>
          <w:szCs w:val="26"/>
        </w:rPr>
      </w:pPr>
    </w:p>
    <w:p w:rsidR="00A276F5" w:rsidRPr="00A2084E" w:rsidP="00A72E7B" w14:paraId="10B2EB6C"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REASONS FOR CHANGES IN BURDEN INCLUDING THE NEED FOR ANY INCREASE</w:t>
      </w:r>
    </w:p>
    <w:p w:rsidR="003316E0" w:rsidRPr="00A2084E" w:rsidP="003316E0" w14:paraId="3AFE43CF" w14:textId="77777777">
      <w:pPr>
        <w:spacing w:after="0"/>
        <w:rPr>
          <w:rFonts w:ascii="Times New Roman" w:hAnsi="Times New Roman" w:cs="Times New Roman"/>
          <w:sz w:val="26"/>
          <w:szCs w:val="26"/>
        </w:rPr>
      </w:pPr>
    </w:p>
    <w:p w:rsidR="003316E0" w:rsidRPr="00A2084E" w:rsidP="00A2084E" w14:paraId="310395DD" w14:textId="18C5A242">
      <w:pPr>
        <w:spacing w:after="0"/>
        <w:rPr>
          <w:rFonts w:ascii="Times New Roman" w:hAnsi="Times New Roman" w:cs="Times New Roman"/>
          <w:sz w:val="26"/>
          <w:szCs w:val="26"/>
        </w:rPr>
      </w:pPr>
      <w:r w:rsidRPr="00A2084E">
        <w:rPr>
          <w:rFonts w:ascii="Times New Roman" w:hAnsi="Times New Roman" w:cs="Times New Roman"/>
          <w:sz w:val="26"/>
          <w:szCs w:val="26"/>
        </w:rPr>
        <w:t>The burden for</w:t>
      </w:r>
      <w:r>
        <w:rPr>
          <w:rFonts w:ascii="Times New Roman" w:hAnsi="Times New Roman" w:cs="Times New Roman"/>
          <w:sz w:val="26"/>
          <w:szCs w:val="26"/>
        </w:rPr>
        <w:t xml:space="preserve"> </w:t>
      </w:r>
      <w:r w:rsidRPr="00257D06" w:rsidR="00FC3BC4">
        <w:rPr>
          <w:rFonts w:ascii="Times New Roman" w:hAnsi="Times New Roman" w:cs="Times New Roman"/>
          <w:sz w:val="26"/>
          <w:szCs w:val="26"/>
        </w:rPr>
        <w:t>Reliability</w:t>
      </w:r>
      <w:r w:rsidR="006A5FC2">
        <w:rPr>
          <w:rFonts w:ascii="Times New Roman" w:hAnsi="Times New Roman" w:cs="Times New Roman"/>
          <w:sz w:val="26"/>
          <w:szCs w:val="26"/>
        </w:rPr>
        <w:t xml:space="preserve"> Standards</w:t>
      </w:r>
      <w:r w:rsidR="006A5FC2">
        <w:t xml:space="preserve"> </w:t>
      </w:r>
      <w:r w:rsidRPr="00257D06" w:rsidR="00FC3BC4">
        <w:rPr>
          <w:rFonts w:ascii="Times New Roman" w:eastAsia="Times New Roman" w:hAnsi="Times New Roman" w:cs="Times New Roman"/>
          <w:sz w:val="26"/>
          <w:szCs w:val="26"/>
        </w:rPr>
        <w:t>MOD-032-2</w:t>
      </w:r>
      <w:r w:rsidR="00FC3BC4">
        <w:rPr>
          <w:rFonts w:ascii="Times New Roman" w:eastAsia="Times New Roman" w:hAnsi="Times New Roman" w:cs="Times New Roman"/>
          <w:sz w:val="26"/>
          <w:szCs w:val="26"/>
        </w:rPr>
        <w:t>, MOD-033-3, and MOD-026-2 (retiring Reliability Standards MOD-032-1, MOD-033-2, MOD-026-1, and MOD-027-1)</w:t>
      </w:r>
      <w:r w:rsidRPr="00A2084E">
        <w:rPr>
          <w:rFonts w:ascii="Times New Roman" w:hAnsi="Times New Roman" w:cs="Times New Roman"/>
          <w:sz w:val="26"/>
          <w:szCs w:val="26"/>
        </w:rPr>
        <w:t xml:space="preserve"> </w:t>
      </w:r>
      <w:r w:rsidRPr="00A2084E" w:rsidR="005D2BC4">
        <w:rPr>
          <w:rFonts w:ascii="Times New Roman" w:hAnsi="Times New Roman" w:cs="Times New Roman"/>
          <w:sz w:val="26"/>
          <w:szCs w:val="26"/>
        </w:rPr>
        <w:t xml:space="preserve"> </w:t>
      </w:r>
      <w:r w:rsidRPr="00A2084E" w:rsidR="00BE7025">
        <w:rPr>
          <w:rFonts w:ascii="Times New Roman" w:hAnsi="Times New Roman" w:cs="Times New Roman"/>
          <w:sz w:val="26"/>
          <w:szCs w:val="26"/>
        </w:rPr>
        <w:t xml:space="preserve">increase </w:t>
      </w:r>
      <w:r w:rsidRPr="00A2084E" w:rsidR="00C3610B">
        <w:rPr>
          <w:rFonts w:ascii="Times New Roman" w:hAnsi="Times New Roman" w:cs="Times New Roman"/>
          <w:sz w:val="26"/>
          <w:szCs w:val="26"/>
        </w:rPr>
        <w:t>due</w:t>
      </w:r>
      <w:r w:rsidRPr="00A2084E">
        <w:rPr>
          <w:rFonts w:ascii="Times New Roman" w:hAnsi="Times New Roman" w:cs="Times New Roman"/>
          <w:sz w:val="26"/>
          <w:szCs w:val="26"/>
        </w:rPr>
        <w:t xml:space="preserve"> to their respective annual burdens </w:t>
      </w:r>
      <w:r w:rsidRPr="00A2084E" w:rsidR="00CE0A63">
        <w:rPr>
          <w:rFonts w:ascii="Times New Roman" w:hAnsi="Times New Roman" w:cs="Times New Roman"/>
          <w:sz w:val="26"/>
          <w:szCs w:val="26"/>
        </w:rPr>
        <w:t>due to</w:t>
      </w:r>
      <w:r w:rsidRPr="00A2084E" w:rsidR="00126277">
        <w:rPr>
          <w:rFonts w:ascii="Times New Roman" w:hAnsi="Times New Roman" w:cs="Times New Roman"/>
          <w:sz w:val="26"/>
          <w:szCs w:val="26"/>
        </w:rPr>
        <w:t xml:space="preserve"> the creation of Generator Owners for the new </w:t>
      </w:r>
      <w:r w:rsidRPr="00A2084E" w:rsidR="00F07069">
        <w:rPr>
          <w:rFonts w:ascii="Times New Roman" w:hAnsi="Times New Roman" w:cs="Times New Roman"/>
          <w:sz w:val="26"/>
          <w:szCs w:val="26"/>
        </w:rPr>
        <w:t>Category</w:t>
      </w:r>
      <w:r w:rsidRPr="00A2084E" w:rsidR="00126277">
        <w:rPr>
          <w:rFonts w:ascii="Times New Roman" w:hAnsi="Times New Roman" w:cs="Times New Roman"/>
          <w:sz w:val="26"/>
          <w:szCs w:val="26"/>
        </w:rPr>
        <w:t xml:space="preserve"> 1 and Category 2 </w:t>
      </w:r>
      <w:r w:rsidRPr="00A2084E" w:rsidR="00F07069">
        <w:rPr>
          <w:rFonts w:ascii="Times New Roman" w:hAnsi="Times New Roman" w:cs="Times New Roman"/>
          <w:sz w:val="26"/>
          <w:szCs w:val="26"/>
        </w:rPr>
        <w:t>implementation for RD2</w:t>
      </w:r>
      <w:r w:rsidRPr="00A2084E" w:rsidR="00A25302">
        <w:rPr>
          <w:rFonts w:ascii="Times New Roman" w:hAnsi="Times New Roman" w:cs="Times New Roman"/>
          <w:sz w:val="26"/>
          <w:szCs w:val="26"/>
        </w:rPr>
        <w:t>6-</w:t>
      </w:r>
      <w:r w:rsidRPr="00A2084E" w:rsidR="00DF0461">
        <w:rPr>
          <w:rFonts w:ascii="Times New Roman" w:hAnsi="Times New Roman" w:cs="Times New Roman"/>
          <w:sz w:val="26"/>
          <w:szCs w:val="26"/>
        </w:rPr>
        <w:t>1, RD26-2, RD26-3</w:t>
      </w:r>
      <w:r w:rsidRPr="00A2084E" w:rsidR="00F07069">
        <w:rPr>
          <w:rFonts w:ascii="Times New Roman" w:hAnsi="Times New Roman" w:cs="Times New Roman"/>
          <w:sz w:val="26"/>
          <w:szCs w:val="26"/>
        </w:rPr>
        <w:t>.</w:t>
      </w:r>
      <w:r w:rsidRPr="00A2084E">
        <w:rPr>
          <w:rFonts w:ascii="Times New Roman" w:hAnsi="Times New Roman" w:cs="Times New Roman"/>
          <w:sz w:val="26"/>
          <w:szCs w:val="26"/>
        </w:rPr>
        <w:tab/>
      </w:r>
    </w:p>
    <w:p w:rsidR="007D55FE" w:rsidRPr="00A2084E" w:rsidP="00126277" w14:paraId="5BF8BB61" w14:textId="70EE8B4D">
      <w:pPr>
        <w:pStyle w:val="ListParagraph"/>
        <w:numPr>
          <w:ilvl w:val="0"/>
          <w:numId w:val="14"/>
        </w:numPr>
        <w:spacing w:after="0"/>
        <w:rPr>
          <w:rFonts w:ascii="Times New Roman" w:hAnsi="Times New Roman" w:cs="Times New Roman"/>
          <w:sz w:val="26"/>
          <w:szCs w:val="26"/>
        </w:rPr>
      </w:pPr>
    </w:p>
    <w:tbl>
      <w:tblPr>
        <w:tblW w:w="9367" w:type="dxa"/>
        <w:tblInd w:w="108" w:type="dxa"/>
        <w:tblCellMar>
          <w:left w:w="0" w:type="dxa"/>
          <w:right w:w="0" w:type="dxa"/>
        </w:tblCellMar>
        <w:tblLook w:val="04A0"/>
      </w:tblPr>
      <w:tblGrid>
        <w:gridCol w:w="2589"/>
        <w:gridCol w:w="1779"/>
        <w:gridCol w:w="1959"/>
        <w:gridCol w:w="1683"/>
        <w:gridCol w:w="1357"/>
      </w:tblGrid>
      <w:tr w14:paraId="5CB7046E" w14:textId="77777777" w:rsidTr="001D58EC">
        <w:tblPrEx>
          <w:tblW w:w="9367" w:type="dxa"/>
          <w:tblInd w:w="108" w:type="dxa"/>
          <w:tblCellMar>
            <w:left w:w="0" w:type="dxa"/>
            <w:right w:w="0" w:type="dxa"/>
          </w:tblCellMar>
          <w:tblLook w:val="04A0"/>
        </w:tblPrEx>
        <w:trPr>
          <w:trHeight w:val="870"/>
        </w:trPr>
        <w:tc>
          <w:tcPr>
            <w:tcW w:w="2589" w:type="dxa"/>
            <w:tcBorders>
              <w:top w:val="single" w:sz="8" w:space="0" w:color="auto"/>
              <w:left w:val="single" w:sz="8" w:space="0" w:color="auto"/>
              <w:bottom w:val="single" w:sz="4" w:space="0" w:color="auto"/>
              <w:right w:val="single" w:sz="8" w:space="0" w:color="auto"/>
            </w:tcBorders>
            <w:shd w:val="clear" w:color="auto" w:fill="D9D9D9"/>
            <w:tcMar>
              <w:top w:w="0" w:type="dxa"/>
              <w:left w:w="108" w:type="dxa"/>
              <w:bottom w:w="0" w:type="dxa"/>
              <w:right w:w="108" w:type="dxa"/>
            </w:tcMar>
            <w:vAlign w:val="bottom"/>
            <w:hideMark/>
          </w:tcPr>
          <w:p w:rsidR="000A5E8E" w:rsidRPr="00A2084E" w:rsidP="000A5E8E" w14:paraId="21152766" w14:textId="77777777">
            <w:pPr>
              <w:spacing w:after="0" w:line="240" w:lineRule="auto"/>
              <w:rPr>
                <w:rFonts w:ascii="Times New Roman" w:eastAsia="Calibri" w:hAnsi="Times New Roman" w:cs="Times New Roman"/>
                <w:b/>
                <w:bCs/>
                <w:sz w:val="26"/>
                <w:szCs w:val="26"/>
              </w:rPr>
            </w:pPr>
            <w:r w:rsidRPr="00A2084E">
              <w:rPr>
                <w:rFonts w:ascii="Times New Roman" w:eastAsia="Calibri" w:hAnsi="Times New Roman" w:cs="Times New Roman"/>
                <w:b/>
                <w:bCs/>
                <w:sz w:val="26"/>
                <w:szCs w:val="26"/>
              </w:rPr>
              <w:t>FERC-725L</w:t>
            </w:r>
          </w:p>
        </w:tc>
        <w:tc>
          <w:tcPr>
            <w:tcW w:w="1779" w:type="dxa"/>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vAlign w:val="bottom"/>
            <w:hideMark/>
          </w:tcPr>
          <w:p w:rsidR="000A5E8E" w:rsidRPr="00A2084E" w:rsidP="000A5E8E" w14:paraId="439537B7" w14:textId="77777777">
            <w:pPr>
              <w:spacing w:after="0" w:line="240" w:lineRule="auto"/>
              <w:rPr>
                <w:rFonts w:ascii="Times New Roman" w:eastAsia="Calibri" w:hAnsi="Times New Roman" w:cs="Times New Roman"/>
                <w:b/>
                <w:bCs/>
                <w:sz w:val="26"/>
                <w:szCs w:val="26"/>
              </w:rPr>
            </w:pPr>
            <w:r w:rsidRPr="00A2084E">
              <w:rPr>
                <w:rFonts w:ascii="Times New Roman" w:eastAsia="Calibri" w:hAnsi="Times New Roman" w:cs="Times New Roman"/>
                <w:b/>
                <w:bCs/>
                <w:sz w:val="26"/>
                <w:szCs w:val="26"/>
              </w:rPr>
              <w:t>Total Request</w:t>
            </w:r>
          </w:p>
        </w:tc>
        <w:tc>
          <w:tcPr>
            <w:tcW w:w="1959" w:type="dxa"/>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vAlign w:val="bottom"/>
            <w:hideMark/>
          </w:tcPr>
          <w:p w:rsidR="000A5E8E" w:rsidRPr="00A2084E" w:rsidP="000A5E8E" w14:paraId="4E874225" w14:textId="77777777">
            <w:pPr>
              <w:spacing w:after="0" w:line="240" w:lineRule="auto"/>
              <w:rPr>
                <w:rFonts w:ascii="Times New Roman" w:eastAsia="Calibri" w:hAnsi="Times New Roman" w:cs="Times New Roman"/>
                <w:b/>
                <w:bCs/>
                <w:sz w:val="26"/>
                <w:szCs w:val="26"/>
              </w:rPr>
            </w:pPr>
            <w:r w:rsidRPr="00A2084E">
              <w:rPr>
                <w:rFonts w:ascii="Times New Roman" w:eastAsia="Calibri" w:hAnsi="Times New Roman" w:cs="Times New Roman"/>
                <w:b/>
                <w:bCs/>
                <w:sz w:val="26"/>
                <w:szCs w:val="26"/>
              </w:rPr>
              <w:t>Previously Approved</w:t>
            </w:r>
          </w:p>
        </w:tc>
        <w:tc>
          <w:tcPr>
            <w:tcW w:w="1683" w:type="dxa"/>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vAlign w:val="bottom"/>
            <w:hideMark/>
          </w:tcPr>
          <w:p w:rsidR="000A5E8E" w:rsidRPr="00A2084E" w:rsidP="000A5E8E" w14:paraId="3601570A" w14:textId="14CD9C8F">
            <w:pPr>
              <w:spacing w:after="0" w:line="240" w:lineRule="auto"/>
              <w:rPr>
                <w:rFonts w:ascii="Times New Roman" w:eastAsia="Calibri" w:hAnsi="Times New Roman" w:cs="Times New Roman"/>
                <w:b/>
                <w:bCs/>
                <w:sz w:val="26"/>
                <w:szCs w:val="26"/>
              </w:rPr>
            </w:pPr>
            <w:r w:rsidRPr="00A2084E">
              <w:rPr>
                <w:rFonts w:ascii="Times New Roman" w:eastAsia="Calibri" w:hAnsi="Times New Roman" w:cs="Times New Roman"/>
                <w:b/>
                <w:bCs/>
                <w:sz w:val="26"/>
                <w:szCs w:val="26"/>
              </w:rPr>
              <w:t>Change due to Adjustment in Estimate</w:t>
            </w:r>
          </w:p>
        </w:tc>
        <w:tc>
          <w:tcPr>
            <w:tcW w:w="1357" w:type="dxa"/>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vAlign w:val="bottom"/>
            <w:hideMark/>
          </w:tcPr>
          <w:p w:rsidR="000A5E8E" w:rsidRPr="00A2084E" w:rsidP="000A5E8E" w14:paraId="6C74ED0D" w14:textId="446A02E0">
            <w:pPr>
              <w:spacing w:after="0" w:line="240" w:lineRule="auto"/>
              <w:rPr>
                <w:rFonts w:ascii="Times New Roman" w:eastAsia="Calibri" w:hAnsi="Times New Roman" w:cs="Times New Roman"/>
                <w:b/>
                <w:bCs/>
                <w:sz w:val="26"/>
                <w:szCs w:val="26"/>
              </w:rPr>
            </w:pPr>
            <w:r>
              <w:rPr>
                <w:rFonts w:ascii="Times New Roman" w:eastAsia="Calibri" w:hAnsi="Times New Roman" w:cs="Times New Roman"/>
                <w:b/>
                <w:bCs/>
                <w:sz w:val="26"/>
                <w:szCs w:val="26"/>
              </w:rPr>
              <w:t xml:space="preserve">Program </w:t>
            </w:r>
            <w:r w:rsidRPr="00A2084E" w:rsidR="00441339">
              <w:rPr>
                <w:rFonts w:ascii="Times New Roman" w:eastAsia="Calibri" w:hAnsi="Times New Roman" w:cs="Times New Roman"/>
                <w:b/>
                <w:bCs/>
                <w:sz w:val="26"/>
                <w:szCs w:val="26"/>
              </w:rPr>
              <w:t>Change Due to Agency Discretion</w:t>
            </w:r>
          </w:p>
        </w:tc>
      </w:tr>
      <w:tr w14:paraId="3C689642" w14:textId="77777777" w:rsidTr="001D58EC">
        <w:tblPrEx>
          <w:tblW w:w="9367" w:type="dxa"/>
          <w:tblInd w:w="108" w:type="dxa"/>
          <w:tblCellMar>
            <w:left w:w="0" w:type="dxa"/>
            <w:right w:w="0" w:type="dxa"/>
          </w:tblCellMar>
          <w:tblLook w:val="04A0"/>
        </w:tblPrEx>
        <w:trPr>
          <w:trHeight w:val="591"/>
        </w:trPr>
        <w:tc>
          <w:tcPr>
            <w:tcW w:w="2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A5E8E" w:rsidRPr="00A2084E" w:rsidP="000A5E8E" w14:paraId="7431E1C6" w14:textId="77777777">
            <w:pPr>
              <w:spacing w:after="0" w:line="240" w:lineRule="auto"/>
              <w:rPr>
                <w:rFonts w:ascii="Times New Roman" w:eastAsia="Calibri" w:hAnsi="Times New Roman" w:cs="Times New Roman"/>
                <w:sz w:val="26"/>
                <w:szCs w:val="26"/>
              </w:rPr>
            </w:pPr>
            <w:r w:rsidRPr="00A2084E">
              <w:rPr>
                <w:rFonts w:ascii="Times New Roman" w:eastAsia="Calibri" w:hAnsi="Times New Roman" w:cs="Times New Roman"/>
                <w:sz w:val="26"/>
                <w:szCs w:val="26"/>
              </w:rPr>
              <w:t>Annual Number of Responses</w:t>
            </w:r>
          </w:p>
        </w:tc>
        <w:tc>
          <w:tcPr>
            <w:tcW w:w="17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38AF65C3" w14:textId="0E1605B4">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7,574</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3BDFB4FE" w14:textId="57ECFA0F">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6,227</w:t>
            </w:r>
          </w:p>
        </w:tc>
        <w:tc>
          <w:tcPr>
            <w:tcW w:w="16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102F553C" w14:textId="4BA09E7C">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0</w:t>
            </w:r>
          </w:p>
        </w:tc>
        <w:tc>
          <w:tcPr>
            <w:tcW w:w="13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02E593ED" w14:textId="20089B9F">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1,347</w:t>
            </w:r>
          </w:p>
        </w:tc>
      </w:tr>
      <w:tr w14:paraId="2E26C99C" w14:textId="77777777" w:rsidTr="001D58EC">
        <w:tblPrEx>
          <w:tblW w:w="9367" w:type="dxa"/>
          <w:tblInd w:w="108" w:type="dxa"/>
          <w:tblCellMar>
            <w:left w:w="0" w:type="dxa"/>
            <w:right w:w="0" w:type="dxa"/>
          </w:tblCellMar>
          <w:tblLook w:val="04A0"/>
        </w:tblPrEx>
        <w:trPr>
          <w:trHeight w:val="575"/>
        </w:trPr>
        <w:tc>
          <w:tcPr>
            <w:tcW w:w="2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A5E8E" w:rsidRPr="00A2084E" w:rsidP="000A5E8E" w14:paraId="13592D6F" w14:textId="77777777">
            <w:pPr>
              <w:spacing w:after="0" w:line="240" w:lineRule="auto"/>
              <w:rPr>
                <w:rFonts w:ascii="Times New Roman" w:eastAsia="Calibri" w:hAnsi="Times New Roman" w:cs="Times New Roman"/>
                <w:sz w:val="26"/>
                <w:szCs w:val="26"/>
              </w:rPr>
            </w:pPr>
            <w:r w:rsidRPr="00A2084E">
              <w:rPr>
                <w:rFonts w:ascii="Times New Roman" w:eastAsia="Calibri" w:hAnsi="Times New Roman" w:cs="Times New Roman"/>
                <w:sz w:val="26"/>
                <w:szCs w:val="26"/>
              </w:rPr>
              <w:t>Annual Time Burden (Hr.)</w:t>
            </w:r>
          </w:p>
        </w:tc>
        <w:tc>
          <w:tcPr>
            <w:tcW w:w="17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5F30C26E" w14:textId="07F5BA46">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69,294</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6C9FDE42" w14:textId="0BF0BCAC">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58,479</w:t>
            </w:r>
          </w:p>
        </w:tc>
        <w:tc>
          <w:tcPr>
            <w:tcW w:w="16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4C1E842F" w14:textId="10B0CE82">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0</w:t>
            </w:r>
          </w:p>
        </w:tc>
        <w:tc>
          <w:tcPr>
            <w:tcW w:w="13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49C1E2CE" w14:textId="2DB1B946">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10,815</w:t>
            </w:r>
          </w:p>
        </w:tc>
      </w:tr>
      <w:tr w14:paraId="5BDC5873" w14:textId="77777777" w:rsidTr="001D58EC">
        <w:tblPrEx>
          <w:tblW w:w="9367" w:type="dxa"/>
          <w:tblInd w:w="108" w:type="dxa"/>
          <w:tblCellMar>
            <w:left w:w="0" w:type="dxa"/>
            <w:right w:w="0" w:type="dxa"/>
          </w:tblCellMar>
          <w:tblLook w:val="04A0"/>
        </w:tblPrEx>
        <w:trPr>
          <w:trHeight w:val="295"/>
        </w:trPr>
        <w:tc>
          <w:tcPr>
            <w:tcW w:w="2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A5E8E" w:rsidRPr="00A2084E" w:rsidP="000A5E8E" w14:paraId="2111382C" w14:textId="77777777">
            <w:pPr>
              <w:spacing w:after="0" w:line="240" w:lineRule="auto"/>
              <w:rPr>
                <w:rFonts w:ascii="Times New Roman" w:eastAsia="Calibri" w:hAnsi="Times New Roman" w:cs="Times New Roman"/>
                <w:sz w:val="26"/>
                <w:szCs w:val="26"/>
              </w:rPr>
            </w:pPr>
            <w:r w:rsidRPr="00A2084E">
              <w:rPr>
                <w:rFonts w:ascii="Times New Roman" w:eastAsia="Calibri" w:hAnsi="Times New Roman" w:cs="Times New Roman"/>
                <w:sz w:val="26"/>
                <w:szCs w:val="26"/>
              </w:rPr>
              <w:t>Annual Cost Burden ($)</w:t>
            </w:r>
          </w:p>
        </w:tc>
        <w:tc>
          <w:tcPr>
            <w:tcW w:w="17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2CA4A2F0" w14:textId="77777777">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0</w:t>
            </w:r>
          </w:p>
        </w:tc>
        <w:tc>
          <w:tcPr>
            <w:tcW w:w="1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430B9872" w14:textId="77777777">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0</w:t>
            </w:r>
          </w:p>
        </w:tc>
        <w:tc>
          <w:tcPr>
            <w:tcW w:w="16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2EE41D4A" w14:textId="77777777">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0</w:t>
            </w:r>
          </w:p>
        </w:tc>
        <w:tc>
          <w:tcPr>
            <w:tcW w:w="13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0A5E8E" w:rsidRPr="00A2084E" w:rsidP="000A5E8E" w14:paraId="00446B7D" w14:textId="77777777">
            <w:pPr>
              <w:spacing w:after="0" w:line="240" w:lineRule="auto"/>
              <w:jc w:val="right"/>
              <w:rPr>
                <w:rFonts w:ascii="Times New Roman" w:eastAsia="Calibri" w:hAnsi="Times New Roman" w:cs="Times New Roman"/>
                <w:sz w:val="26"/>
                <w:szCs w:val="26"/>
              </w:rPr>
            </w:pPr>
            <w:r w:rsidRPr="00A2084E">
              <w:rPr>
                <w:rFonts w:ascii="Times New Roman" w:eastAsia="Calibri" w:hAnsi="Times New Roman" w:cs="Times New Roman"/>
                <w:sz w:val="26"/>
                <w:szCs w:val="26"/>
              </w:rPr>
              <w:t>0</w:t>
            </w:r>
          </w:p>
        </w:tc>
      </w:tr>
    </w:tbl>
    <w:p w:rsidR="000A5E8E" w:rsidRPr="00A2084E" w:rsidP="00E4624E" w14:paraId="689825E9" w14:textId="77777777">
      <w:pPr>
        <w:tabs>
          <w:tab w:val="left" w:pos="1620"/>
        </w:tabs>
        <w:spacing w:after="0"/>
        <w:rPr>
          <w:rFonts w:ascii="Times New Roman" w:hAnsi="Times New Roman" w:cs="Times New Roman"/>
          <w:sz w:val="26"/>
          <w:szCs w:val="26"/>
        </w:rPr>
      </w:pPr>
    </w:p>
    <w:p w:rsidR="003316E0" w:rsidRPr="00A2084E" w:rsidP="003316E0" w14:paraId="7198FAED" w14:textId="77777777">
      <w:pPr>
        <w:spacing w:after="0"/>
        <w:rPr>
          <w:rFonts w:ascii="Times New Roman" w:hAnsi="Times New Roman" w:cs="Times New Roman"/>
          <w:sz w:val="26"/>
          <w:szCs w:val="26"/>
        </w:rPr>
      </w:pPr>
    </w:p>
    <w:p w:rsidR="00A276F5" w:rsidRPr="00A2084E" w:rsidP="00A72E7B" w14:paraId="14DF466B"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TIME SCHEDULE FOR PUBLICATION OF DATA</w:t>
      </w:r>
    </w:p>
    <w:p w:rsidR="00414F32" w:rsidRPr="00A2084E" w:rsidP="00414F32" w14:paraId="549D3523" w14:textId="77777777">
      <w:pPr>
        <w:spacing w:after="0"/>
        <w:rPr>
          <w:rFonts w:ascii="Times New Roman" w:hAnsi="Times New Roman" w:cs="Times New Roman"/>
          <w:sz w:val="26"/>
          <w:szCs w:val="26"/>
        </w:rPr>
      </w:pPr>
    </w:p>
    <w:p w:rsidR="00DC3290" w:rsidRPr="00D0606B" w:rsidP="00DC3290" w14:paraId="0E83C1BD" w14:textId="433BEBBF">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 xml:space="preserve">There is no publication of data associated with </w:t>
      </w:r>
      <w:r>
        <w:rPr>
          <w:rFonts w:ascii="Times New Roman" w:hAnsi="Times New Roman" w:cs="Times New Roman"/>
          <w:sz w:val="26"/>
          <w:szCs w:val="26"/>
        </w:rPr>
        <w:t xml:space="preserve">the </w:t>
      </w:r>
      <w:r w:rsidRPr="00D0606B">
        <w:rPr>
          <w:rFonts w:ascii="Times New Roman" w:hAnsi="Times New Roman" w:cs="Times New Roman"/>
          <w:sz w:val="26"/>
          <w:szCs w:val="26"/>
        </w:rPr>
        <w:t>FERC-725</w:t>
      </w:r>
      <w:r>
        <w:rPr>
          <w:rFonts w:ascii="Times New Roman" w:hAnsi="Times New Roman" w:cs="Times New Roman"/>
          <w:sz w:val="26"/>
          <w:szCs w:val="26"/>
        </w:rPr>
        <w:t>L</w:t>
      </w:r>
      <w:r w:rsidRPr="00D0606B">
        <w:rPr>
          <w:rFonts w:ascii="Times New Roman" w:hAnsi="Times New Roman" w:cs="Times New Roman"/>
          <w:sz w:val="26"/>
          <w:szCs w:val="26"/>
        </w:rPr>
        <w:t>.</w:t>
      </w:r>
    </w:p>
    <w:p w:rsidR="00197A36" w:rsidRPr="00A2084E" w:rsidP="00414F32" w14:paraId="2A811203" w14:textId="77777777">
      <w:pPr>
        <w:spacing w:after="0"/>
        <w:rPr>
          <w:rFonts w:ascii="Times New Roman" w:hAnsi="Times New Roman" w:cs="Times New Roman"/>
          <w:sz w:val="26"/>
          <w:szCs w:val="26"/>
        </w:rPr>
      </w:pPr>
    </w:p>
    <w:p w:rsidR="00414F32" w:rsidRPr="00A2084E" w:rsidP="00A72E7B" w14:paraId="349CB48A"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DISPLAY OF EXPIRATION DATE</w:t>
      </w:r>
    </w:p>
    <w:p w:rsidR="00414F32" w:rsidRPr="00A2084E" w:rsidP="00414F32" w14:paraId="7AC6D57D" w14:textId="77777777">
      <w:pPr>
        <w:spacing w:after="0"/>
        <w:rPr>
          <w:rFonts w:ascii="Times New Roman" w:hAnsi="Times New Roman" w:cs="Times New Roman"/>
          <w:sz w:val="26"/>
          <w:szCs w:val="26"/>
        </w:rPr>
      </w:pPr>
    </w:p>
    <w:p w:rsidR="00C27D56" w:rsidRPr="00A2084E" w:rsidP="001D58EC" w14:paraId="713D225F" w14:textId="71546EC8">
      <w:pPr>
        <w:spacing w:after="0" w:line="240" w:lineRule="auto"/>
        <w:rPr>
          <w:rFonts w:ascii="Times New Roman" w:eastAsia="Calibri" w:hAnsi="Times New Roman" w:cs="Times New Roman"/>
          <w:sz w:val="26"/>
          <w:szCs w:val="26"/>
        </w:rPr>
      </w:pPr>
      <w:r w:rsidRPr="00572C67">
        <w:rPr>
          <w:rFonts w:ascii="Times New Roman" w:hAnsi="Times New Roman" w:cs="Times New Roman"/>
          <w:sz w:val="26"/>
          <w:szCs w:val="24"/>
        </w:rPr>
        <w:t>The expiration date for FERC-</w:t>
      </w:r>
      <w:r>
        <w:rPr>
          <w:rFonts w:ascii="Times New Roman" w:hAnsi="Times New Roman" w:cs="Times New Roman"/>
          <w:sz w:val="26"/>
          <w:szCs w:val="24"/>
        </w:rPr>
        <w:t>725A</w:t>
      </w:r>
      <w:r w:rsidRPr="00572C67">
        <w:rPr>
          <w:rFonts w:ascii="Times New Roman" w:hAnsi="Times New Roman" w:cs="Times New Roman"/>
          <w:sz w:val="26"/>
          <w:szCs w:val="24"/>
        </w:rPr>
        <w:t xml:space="preserve"> will not change as a result of the </w:t>
      </w:r>
      <w:r>
        <w:rPr>
          <w:rFonts w:ascii="Times New Roman" w:hAnsi="Times New Roman" w:cs="Times New Roman"/>
          <w:sz w:val="26"/>
          <w:szCs w:val="24"/>
        </w:rPr>
        <w:t>revision</w:t>
      </w:r>
      <w:r w:rsidRPr="00572C67">
        <w:rPr>
          <w:rFonts w:ascii="Times New Roman" w:hAnsi="Times New Roman" w:cs="Times New Roman"/>
          <w:sz w:val="26"/>
          <w:szCs w:val="24"/>
        </w:rPr>
        <w:t xml:space="preserve">. </w:t>
      </w:r>
      <w:r w:rsidRPr="00A2084E" w:rsidR="00441339">
        <w:rPr>
          <w:rFonts w:ascii="Times New Roman" w:eastAsia="Calibri" w:hAnsi="Times New Roman" w:cs="Times New Roman"/>
          <w:sz w:val="26"/>
          <w:szCs w:val="26"/>
        </w:rPr>
        <w:t>Th</w:t>
      </w:r>
      <w:r w:rsidR="00ED2E60">
        <w:rPr>
          <w:rFonts w:ascii="Times New Roman" w:eastAsia="Calibri" w:hAnsi="Times New Roman" w:cs="Times New Roman"/>
          <w:sz w:val="26"/>
          <w:szCs w:val="26"/>
        </w:rPr>
        <w:t xml:space="preserve">at expiration date </w:t>
      </w:r>
      <w:r w:rsidRPr="00A2084E" w:rsidR="00441339">
        <w:rPr>
          <w:rFonts w:ascii="Times New Roman" w:eastAsia="Calibri" w:hAnsi="Times New Roman" w:cs="Times New Roman"/>
          <w:sz w:val="26"/>
          <w:szCs w:val="26"/>
        </w:rPr>
        <w:t xml:space="preserve"> is posted at </w:t>
      </w:r>
      <w:hyperlink r:id="rId9" w:history="1">
        <w:r w:rsidRPr="00A2084E" w:rsidR="001D58EC">
          <w:rPr>
            <w:rStyle w:val="Hyperlink"/>
            <w:rFonts w:ascii="Times New Roman" w:eastAsia="Calibri" w:hAnsi="Times New Roman" w:cs="Times New Roman"/>
            <w:sz w:val="26"/>
            <w:szCs w:val="26"/>
          </w:rPr>
          <w:t>Information Collections | Federal Energy Regulatory Commission</w:t>
        </w:r>
      </w:hyperlink>
      <w:r w:rsidRPr="00A2084E" w:rsidR="001D58EC">
        <w:rPr>
          <w:rFonts w:ascii="Times New Roman" w:eastAsia="Calibri" w:hAnsi="Times New Roman" w:cs="Times New Roman"/>
          <w:sz w:val="26"/>
          <w:szCs w:val="26"/>
        </w:rPr>
        <w:t>.</w:t>
      </w:r>
    </w:p>
    <w:p w:rsidR="00197A36" w:rsidRPr="00A2084E" w:rsidP="00414F32" w14:paraId="515C9511" w14:textId="77777777">
      <w:pPr>
        <w:spacing w:after="0"/>
        <w:rPr>
          <w:rFonts w:ascii="Times New Roman" w:hAnsi="Times New Roman" w:cs="Times New Roman"/>
          <w:sz w:val="26"/>
          <w:szCs w:val="26"/>
        </w:rPr>
      </w:pPr>
    </w:p>
    <w:p w:rsidR="00414F32" w:rsidRPr="00A2084E" w:rsidP="00A72E7B" w14:paraId="67CF7F12" w14:textId="77777777">
      <w:pPr>
        <w:pStyle w:val="ListParagraph"/>
        <w:numPr>
          <w:ilvl w:val="0"/>
          <w:numId w:val="1"/>
        </w:numPr>
        <w:spacing w:after="0"/>
        <w:ind w:left="360"/>
        <w:rPr>
          <w:rFonts w:ascii="Times New Roman" w:hAnsi="Times New Roman" w:cs="Times New Roman"/>
          <w:b/>
          <w:sz w:val="26"/>
          <w:szCs w:val="26"/>
        </w:rPr>
      </w:pPr>
      <w:r w:rsidRPr="00A2084E">
        <w:rPr>
          <w:rFonts w:ascii="Times New Roman" w:hAnsi="Times New Roman" w:cs="Times New Roman"/>
          <w:b/>
          <w:sz w:val="26"/>
          <w:szCs w:val="26"/>
        </w:rPr>
        <w:t>EXCEPTIONS TO THE CERTIFICATION STATEMENT</w:t>
      </w:r>
    </w:p>
    <w:p w:rsidR="00970FE4" w:rsidRPr="00A2084E" w:rsidP="0057700F" w14:paraId="1E4AC3D6" w14:textId="77777777">
      <w:pPr>
        <w:spacing w:after="0"/>
        <w:rPr>
          <w:rFonts w:ascii="Times New Roman" w:hAnsi="Times New Roman" w:cs="Times New Roman"/>
          <w:sz w:val="26"/>
          <w:szCs w:val="26"/>
        </w:rPr>
      </w:pPr>
    </w:p>
    <w:p w:rsidR="00414F32" w:rsidRPr="00A2084E" w:rsidP="007A2F92" w14:paraId="3547AA9B" w14:textId="2627D09E">
      <w:pPr>
        <w:spacing w:after="0"/>
        <w:rPr>
          <w:rFonts w:ascii="Times New Roman" w:hAnsi="Times New Roman" w:cs="Times New Roman"/>
          <w:sz w:val="26"/>
          <w:szCs w:val="26"/>
        </w:rPr>
      </w:pPr>
      <w:r w:rsidRPr="00A2084E">
        <w:rPr>
          <w:rFonts w:ascii="Times New Roman" w:hAnsi="Times New Roman" w:cs="Times New Roman"/>
          <w:sz w:val="26"/>
          <w:szCs w:val="26"/>
        </w:rPr>
        <w:t>There are no exceptions.</w:t>
      </w:r>
    </w:p>
    <w:p w:rsidR="001968F8" w:rsidRPr="00A2084E" w:rsidP="002C5784" w14:paraId="71D2FDBE" w14:textId="0B90ED0D">
      <w:pPr>
        <w:rPr>
          <w:rFonts w:ascii="Times New Roman" w:hAnsi="Times New Roman" w:cs="Times New Roman"/>
          <w:sz w:val="26"/>
          <w:szCs w:val="26"/>
        </w:rPr>
      </w:pPr>
    </w:p>
    <w:sectPr w:rsidSect="0078612A">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411206"/>
      <w:docPartObj>
        <w:docPartGallery w:val="Page Numbers (Bottom of Page)"/>
        <w:docPartUnique/>
      </w:docPartObj>
    </w:sdtPr>
    <w:sdtEndPr>
      <w:rPr>
        <w:rFonts w:ascii="Times New Roman" w:hAnsi="Times New Roman" w:cs="Times New Roman"/>
        <w:noProof/>
      </w:rPr>
    </w:sdtEndPr>
    <w:sdtContent>
      <w:p w:rsidR="004F6D92" w:rsidRPr="00DD79FB" w14:paraId="4A025BA2" w14:textId="77777777">
        <w:pPr>
          <w:pStyle w:val="Footer"/>
          <w:jc w:val="right"/>
          <w:rPr>
            <w:rFonts w:ascii="Times New Roman" w:hAnsi="Times New Roman" w:cs="Times New Roman"/>
          </w:rPr>
        </w:pPr>
        <w:r w:rsidRPr="00DD79FB">
          <w:rPr>
            <w:rFonts w:ascii="Times New Roman" w:hAnsi="Times New Roman" w:cs="Times New Roman"/>
          </w:rPr>
          <w:fldChar w:fldCharType="begin"/>
        </w:r>
        <w:r w:rsidRPr="00DD79FB">
          <w:rPr>
            <w:rFonts w:ascii="Times New Roman" w:hAnsi="Times New Roman" w:cs="Times New Roman"/>
          </w:rPr>
          <w:instrText xml:space="preserve"> PAGE   \* MERGEFORMAT </w:instrText>
        </w:r>
        <w:r w:rsidRPr="00DD79FB">
          <w:rPr>
            <w:rFonts w:ascii="Times New Roman" w:hAnsi="Times New Roman" w:cs="Times New Roman"/>
          </w:rPr>
          <w:fldChar w:fldCharType="separate"/>
        </w:r>
        <w:r>
          <w:rPr>
            <w:rFonts w:ascii="Times New Roman" w:hAnsi="Times New Roman" w:cs="Times New Roman"/>
            <w:noProof/>
          </w:rPr>
          <w:t>1</w:t>
        </w:r>
        <w:r w:rsidRPr="00DD79FB">
          <w:rPr>
            <w:rFonts w:ascii="Times New Roman" w:hAnsi="Times New Roman" w:cs="Times New Roman"/>
            <w:noProof/>
          </w:rPr>
          <w:fldChar w:fldCharType="end"/>
        </w:r>
      </w:p>
    </w:sdtContent>
  </w:sdt>
  <w:p w:rsidR="004F6D92" w14:paraId="57822B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A23FE" w:rsidP="00FD66F1" w14:paraId="0AD58B3B" w14:textId="77777777">
      <w:pPr>
        <w:spacing w:after="0" w:line="240" w:lineRule="auto"/>
      </w:pPr>
      <w:r>
        <w:separator/>
      </w:r>
    </w:p>
  </w:footnote>
  <w:footnote w:type="continuationSeparator" w:id="1">
    <w:p w:rsidR="007A23FE" w:rsidP="00FD66F1" w14:paraId="00721C38" w14:textId="77777777">
      <w:pPr>
        <w:spacing w:after="0" w:line="240" w:lineRule="auto"/>
      </w:pPr>
      <w:r>
        <w:continuationSeparator/>
      </w:r>
    </w:p>
  </w:footnote>
  <w:footnote w:id="2">
    <w:p w:rsidR="00A2774E" w:rsidRPr="0025459C" w:rsidP="00A2774E" w14:paraId="6B97E8D0" w14:textId="77777777">
      <w:pPr>
        <w:contextualSpacing/>
        <w:rPr>
          <w:rFonts w:ascii="Times New Roman" w:hAnsi="Times New Roman" w:cs="Times New Roman"/>
          <w:sz w:val="26"/>
          <w:szCs w:val="26"/>
        </w:rPr>
      </w:pPr>
      <w:r w:rsidRPr="00A2084E">
        <w:rPr>
          <w:rStyle w:val="FootnoteReference"/>
          <w:rFonts w:ascii="Times New Roman" w:hAnsi="Times New Roman" w:cs="Times New Roman"/>
          <w:sz w:val="26"/>
          <w:szCs w:val="26"/>
          <w:vertAlign w:val="superscript"/>
        </w:rPr>
        <w:footnoteRef/>
      </w:r>
      <w:r w:rsidRPr="0025459C">
        <w:rPr>
          <w:rFonts w:ascii="Times New Roman" w:hAnsi="Times New Roman" w:cs="Times New Roman"/>
          <w:sz w:val="26"/>
          <w:szCs w:val="26"/>
        </w:rPr>
        <w:t xml:space="preserve"> </w:t>
      </w:r>
      <w:r w:rsidRPr="0025459C">
        <w:rPr>
          <w:rFonts w:ascii="Times New Roman" w:eastAsia="Times New Roman" w:hAnsi="Times New Roman" w:cs="Times New Roman"/>
          <w:sz w:val="26"/>
          <w:szCs w:val="26"/>
        </w:rPr>
        <w:t>The Energy Policy Act of 2005, Pub. L. No 109-58, Title XII, Subtitle A, 119 Stat. 594, 941 (2005), codified at 16 U.S.C. 824o (2006).</w:t>
      </w:r>
    </w:p>
  </w:footnote>
  <w:footnote w:id="3">
    <w:p w:rsidR="00A2774E" w:rsidRPr="0025459C" w:rsidP="00A2774E" w14:paraId="3DCB5C8A" w14:textId="77777777">
      <w:pPr>
        <w:contextualSpacing/>
        <w:rPr>
          <w:rFonts w:ascii="Times New Roman" w:hAnsi="Times New Roman" w:cs="Times New Roman"/>
          <w:sz w:val="26"/>
          <w:szCs w:val="26"/>
        </w:rPr>
      </w:pPr>
      <w:r w:rsidRPr="00A2084E">
        <w:rPr>
          <w:rStyle w:val="FootnoteReference"/>
          <w:rFonts w:ascii="Times New Roman" w:hAnsi="Times New Roman" w:cs="Times New Roman"/>
          <w:sz w:val="26"/>
          <w:szCs w:val="26"/>
          <w:vertAlign w:val="superscript"/>
        </w:rPr>
        <w:footnoteRef/>
      </w:r>
      <w:r w:rsidRPr="0025459C">
        <w:rPr>
          <w:rFonts w:ascii="Times New Roman" w:hAnsi="Times New Roman" w:cs="Times New Roman"/>
          <w:sz w:val="26"/>
          <w:szCs w:val="26"/>
        </w:rPr>
        <w:t xml:space="preserve"> </w:t>
      </w:r>
      <w:r w:rsidRPr="0025459C">
        <w:rPr>
          <w:rFonts w:ascii="Times New Roman" w:eastAsia="Times New Roman" w:hAnsi="Times New Roman" w:cs="Times New Roman"/>
          <w:sz w:val="26"/>
          <w:szCs w:val="26"/>
        </w:rPr>
        <w:t xml:space="preserve">Rules Concerning Certification of the Electric Reliability Organization; and Procedures for the Establishment, Approval, and Enforcement of Electric Reliability Standards, Order No. 672, FERC Stats. &amp; Regs. ¶ 31,204, order on reh’g, Order No. 672-A, FERC Stats. &amp; Regs. ¶ 31,212 (2006).  </w:t>
      </w:r>
    </w:p>
  </w:footnote>
  <w:footnote w:id="4">
    <w:p w:rsidR="00095A55" w:rsidRPr="00257D06" w:rsidP="00095A55" w14:paraId="32680FCE" w14:textId="67B1870D">
      <w:pPr>
        <w:pStyle w:val="FootnoteText"/>
        <w:rPr>
          <w:sz w:val="26"/>
          <w:szCs w:val="26"/>
        </w:rPr>
      </w:pPr>
      <w:r w:rsidRPr="00257D06">
        <w:rPr>
          <w:rStyle w:val="FootnoteReference"/>
          <w:sz w:val="26"/>
          <w:szCs w:val="26"/>
          <w:vertAlign w:val="superscript"/>
        </w:rPr>
        <w:footnoteRef/>
      </w:r>
      <w:r w:rsidRPr="00257D06">
        <w:rPr>
          <w:sz w:val="26"/>
          <w:szCs w:val="26"/>
        </w:rPr>
        <w:t xml:space="preserve"> The reporting requirements for PRC-0</w:t>
      </w:r>
      <w:r>
        <w:rPr>
          <w:sz w:val="26"/>
          <w:szCs w:val="26"/>
        </w:rPr>
        <w:t>2</w:t>
      </w:r>
      <w:r w:rsidRPr="00257D06">
        <w:rPr>
          <w:sz w:val="26"/>
          <w:szCs w:val="26"/>
        </w:rPr>
        <w:t>9-1 and PRC-024-1 Reliability Standards are contained in the FERC-725G information collection (OMB Control No. 1902-0252).</w:t>
      </w:r>
    </w:p>
  </w:footnote>
  <w:footnote w:id="5">
    <w:p w:rsidR="004720F9" w:rsidRPr="00A2084E" w:rsidP="004720F9" w14:paraId="35DEC44F" w14:textId="77777777">
      <w:pPr>
        <w:pStyle w:val="FootnoteText"/>
        <w:rPr>
          <w:sz w:val="26"/>
          <w:szCs w:val="26"/>
        </w:rPr>
      </w:pPr>
      <w:r w:rsidRPr="00A2084E">
        <w:rPr>
          <w:rStyle w:val="FootnoteReference"/>
          <w:sz w:val="26"/>
          <w:szCs w:val="26"/>
          <w:vertAlign w:val="superscript"/>
        </w:rPr>
        <w:footnoteRef/>
      </w:r>
      <w:r w:rsidRPr="00A2084E">
        <w:rPr>
          <w:sz w:val="26"/>
          <w:szCs w:val="26"/>
        </w:rPr>
        <w:t xml:space="preserve"> NERC Petition, Docket No. RD26-2-000 (filed Nov. 4, 2025) (NERC MOD-033-3 Petition).</w:t>
      </w:r>
    </w:p>
  </w:footnote>
  <w:footnote w:id="6">
    <w:p w:rsidR="004720F9" w:rsidP="004720F9" w14:paraId="3E1DDB3F" w14:textId="77777777">
      <w:pPr>
        <w:pStyle w:val="FootnoteText"/>
      </w:pPr>
      <w:r w:rsidRPr="674E42CB">
        <w:rPr>
          <w:rStyle w:val="FootnoteReference"/>
          <w:sz w:val="26"/>
          <w:szCs w:val="26"/>
          <w:vertAlign w:val="superscript"/>
        </w:rPr>
        <w:footnoteRef/>
      </w:r>
      <w:r w:rsidRPr="00A2084E">
        <w:rPr>
          <w:sz w:val="26"/>
          <w:szCs w:val="26"/>
        </w:rPr>
        <w:t xml:space="preserve"> NERC Petition, Docket No. RD26-3-000 (filed Nov. 4, 2025) (NERC MOD-026-2 Petition).</w:t>
      </w:r>
      <w:r>
        <w:t xml:space="preserve"> </w:t>
      </w:r>
    </w:p>
  </w:footnote>
  <w:footnote w:id="7">
    <w:p w:rsidR="004F6D92" w:rsidRPr="00A2084E" w:rsidP="0020384F" w14:paraId="7A217B38" w14:textId="57D40571">
      <w:pPr>
        <w:pStyle w:val="FootnoteText"/>
        <w:rPr>
          <w:sz w:val="26"/>
          <w:szCs w:val="26"/>
        </w:rPr>
      </w:pPr>
      <w:r w:rsidRPr="00A2084E">
        <w:rPr>
          <w:rStyle w:val="FootnoteReference"/>
          <w:sz w:val="26"/>
          <w:szCs w:val="26"/>
          <w:vertAlign w:val="superscript"/>
        </w:rPr>
        <w:footnoteRef/>
      </w:r>
      <w:r w:rsidRPr="00A2084E">
        <w:rPr>
          <w:sz w:val="26"/>
          <w:szCs w:val="26"/>
          <w:vertAlign w:val="superscript"/>
        </w:rPr>
        <w:t xml:space="preserve"> </w:t>
      </w:r>
      <w:r w:rsidRPr="00A2084E">
        <w:rPr>
          <w:sz w:val="26"/>
          <w:szCs w:val="26"/>
        </w:rPr>
        <w:t>Approved by the Commission in the Order in Docket No. RD14-5-000 (issued 5/1/2014).</w:t>
      </w:r>
    </w:p>
  </w:footnote>
  <w:footnote w:id="8">
    <w:p w:rsidR="004F6D92" w:rsidRPr="00C02614" w:rsidP="0020384F" w14:paraId="7FC9FE48" w14:textId="4FE1215A">
      <w:pPr>
        <w:pStyle w:val="FootnoteText"/>
        <w:rPr>
          <w:sz w:val="24"/>
          <w:szCs w:val="24"/>
        </w:rPr>
      </w:pPr>
      <w:r w:rsidRPr="00A2084E">
        <w:rPr>
          <w:rStyle w:val="FootnoteReference"/>
          <w:sz w:val="26"/>
          <w:szCs w:val="26"/>
          <w:vertAlign w:val="superscript"/>
        </w:rPr>
        <w:footnoteRef/>
      </w:r>
      <w:r w:rsidRPr="00A2084E">
        <w:rPr>
          <w:sz w:val="26"/>
          <w:szCs w:val="26"/>
          <w:vertAlign w:val="superscript"/>
        </w:rPr>
        <w:t xml:space="preserve"> </w:t>
      </w:r>
      <w:r w:rsidRPr="00A2084E">
        <w:rPr>
          <w:sz w:val="26"/>
          <w:szCs w:val="26"/>
        </w:rPr>
        <w:t>NERC Petition for MOD-032-1 at paragraph 2.</w:t>
      </w:r>
    </w:p>
  </w:footnote>
  <w:footnote w:id="9">
    <w:p w:rsidR="004F6D92" w:rsidRPr="00A2084E" w:rsidP="0020384F" w14:paraId="69D7D514" w14:textId="07F41431">
      <w:pPr>
        <w:pStyle w:val="FootnoteText"/>
        <w:rPr>
          <w:sz w:val="26"/>
          <w:szCs w:val="26"/>
        </w:rPr>
      </w:pPr>
      <w:r w:rsidRPr="00A2084E">
        <w:rPr>
          <w:rStyle w:val="FootnoteReference"/>
          <w:sz w:val="26"/>
          <w:szCs w:val="26"/>
          <w:vertAlign w:val="superscript"/>
        </w:rPr>
        <w:footnoteRef/>
      </w:r>
      <w:r w:rsidRPr="00A2084E">
        <w:rPr>
          <w:sz w:val="26"/>
          <w:szCs w:val="26"/>
          <w:vertAlign w:val="superscript"/>
        </w:rPr>
        <w:t xml:space="preserve"> </w:t>
      </w:r>
      <w:r w:rsidRPr="00A2084E" w:rsidR="004239C3">
        <w:rPr>
          <w:sz w:val="26"/>
          <w:szCs w:val="26"/>
        </w:rPr>
        <w:t xml:space="preserve">NERC’s Rule of Procedure </w:t>
      </w:r>
      <w:hyperlink r:id="rId1" w:history="1">
        <w:r w:rsidRPr="00A2084E">
          <w:rPr>
            <w:rStyle w:val="Hyperlink"/>
            <w:sz w:val="26"/>
            <w:szCs w:val="26"/>
          </w:rPr>
          <w:t>http://www.nerc.com/FilingsOrders/us/RuleOfProcedureDL/NERC_ROP_Effective_20161031.pdf</w:t>
        </w:r>
      </w:hyperlink>
      <w:r w:rsidR="005D7036">
        <w:rPr>
          <w:sz w:val="26"/>
          <w:szCs w:val="26"/>
        </w:rPr>
        <w:t>.</w:t>
      </w:r>
      <w:r w:rsidRPr="00A2084E">
        <w:rPr>
          <w:sz w:val="26"/>
          <w:szCs w:val="26"/>
        </w:rPr>
        <w:t xml:space="preserve"> </w:t>
      </w:r>
    </w:p>
  </w:footnote>
  <w:footnote w:id="10">
    <w:p w:rsidR="004F6D92" w:rsidRPr="00A2084E" w:rsidP="0020384F" w14:paraId="3BD27AEA" w14:textId="27541CE9">
      <w:pPr>
        <w:pStyle w:val="FootnoteText"/>
        <w:rPr>
          <w:sz w:val="26"/>
          <w:szCs w:val="26"/>
        </w:rPr>
      </w:pPr>
      <w:r w:rsidRPr="00A2084E">
        <w:rPr>
          <w:rStyle w:val="FootnoteReference"/>
          <w:sz w:val="26"/>
          <w:szCs w:val="26"/>
          <w:vertAlign w:val="superscript"/>
        </w:rPr>
        <w:footnoteRef/>
      </w:r>
      <w:r w:rsidRPr="00A2084E">
        <w:rPr>
          <w:sz w:val="26"/>
          <w:szCs w:val="26"/>
          <w:vertAlign w:val="superscript"/>
        </w:rPr>
        <w:t xml:space="preserve"> </w:t>
      </w:r>
      <w:r w:rsidRPr="00A2084E">
        <w:rPr>
          <w:sz w:val="26"/>
          <w:szCs w:val="26"/>
        </w:rPr>
        <w:t xml:space="preserve">Details of the ERO standards development process are available on the NERC website at </w:t>
      </w:r>
      <w:hyperlink r:id="rId2" w:history="1">
        <w:r w:rsidRPr="00A2084E">
          <w:rPr>
            <w:rStyle w:val="Hyperlink"/>
            <w:sz w:val="26"/>
            <w:szCs w:val="26"/>
          </w:rPr>
          <w:t>http://www.nerc.com/pa/Stand/Documents/Appendix_3A_StandardsProcessesManual.pdf</w:t>
        </w:r>
      </w:hyperlink>
      <w:r w:rsidRPr="00A2084E">
        <w:rPr>
          <w:sz w:val="26"/>
          <w:szCs w:val="26"/>
        </w:rPr>
        <w:t>.</w:t>
      </w:r>
    </w:p>
  </w:footnote>
  <w:footnote w:id="11">
    <w:p w:rsidR="004F6D92" w:rsidRPr="00A2084E" w:rsidP="0020384F" w14:paraId="14C24072" w14:textId="6D3C2491">
      <w:pPr>
        <w:pStyle w:val="FootnoteText"/>
        <w:rPr>
          <w:sz w:val="26"/>
          <w:szCs w:val="26"/>
          <w:highlight w:val="yellow"/>
        </w:rPr>
      </w:pPr>
      <w:r w:rsidRPr="00A2084E">
        <w:rPr>
          <w:rStyle w:val="FootnoteReference"/>
          <w:sz w:val="26"/>
          <w:szCs w:val="26"/>
          <w:vertAlign w:val="superscript"/>
        </w:rPr>
        <w:footnoteRef/>
      </w:r>
      <w:r w:rsidRPr="00A2084E">
        <w:rPr>
          <w:sz w:val="26"/>
          <w:szCs w:val="26"/>
        </w:rPr>
        <w:t xml:space="preserve"> </w:t>
      </w:r>
      <w:r w:rsidR="00351D56">
        <w:rPr>
          <w:sz w:val="26"/>
          <w:szCs w:val="26"/>
        </w:rPr>
        <w:t>91 FR 8864</w:t>
      </w:r>
      <w:r w:rsidRPr="00A2084E" w:rsidR="005D7036">
        <w:rPr>
          <w:sz w:val="26"/>
          <w:szCs w:val="26"/>
        </w:rPr>
        <w:t>.</w:t>
      </w:r>
    </w:p>
  </w:footnote>
  <w:footnote w:id="12">
    <w:p w:rsidR="004F6D92" w:rsidRPr="00C02614" w:rsidP="0020384F" w14:paraId="7B2F1C4B" w14:textId="415DF93E">
      <w:pPr>
        <w:pStyle w:val="FootnoteText"/>
        <w:rPr>
          <w:sz w:val="24"/>
          <w:szCs w:val="24"/>
        </w:rPr>
      </w:pPr>
      <w:r w:rsidRPr="00A2084E">
        <w:rPr>
          <w:rStyle w:val="FootnoteReference"/>
          <w:sz w:val="26"/>
          <w:szCs w:val="26"/>
          <w:vertAlign w:val="superscript"/>
        </w:rPr>
        <w:footnoteRef/>
      </w:r>
      <w:r w:rsidRPr="00A2084E">
        <w:rPr>
          <w:sz w:val="26"/>
          <w:szCs w:val="26"/>
        </w:rPr>
        <w:t xml:space="preserve"> </w:t>
      </w:r>
      <w:r w:rsidR="001D7BAD">
        <w:rPr>
          <w:sz w:val="26"/>
          <w:szCs w:val="26"/>
        </w:rPr>
        <w:t>91</w:t>
      </w:r>
      <w:r w:rsidRPr="003E4DCF" w:rsidR="001D7BAD">
        <w:rPr>
          <w:sz w:val="26"/>
          <w:szCs w:val="26"/>
        </w:rPr>
        <w:t xml:space="preserve"> FR</w:t>
      </w:r>
      <w:r w:rsidR="001D7BAD">
        <w:rPr>
          <w:sz w:val="26"/>
          <w:szCs w:val="26"/>
        </w:rPr>
        <w:t xml:space="preserve"> 65538</w:t>
      </w:r>
      <w:r w:rsidRPr="00A2084E" w:rsidR="005D7036">
        <w:rPr>
          <w:sz w:val="26"/>
          <w:szCs w:val="26"/>
        </w:rPr>
        <w:t>.</w:t>
      </w:r>
      <w:r w:rsidR="008B14CD">
        <w:rPr>
          <w:sz w:val="26"/>
          <w:szCs w:val="26"/>
        </w:rPr>
        <w:t xml:space="preserve"> </w:t>
      </w:r>
    </w:p>
  </w:footnote>
  <w:footnote w:id="13">
    <w:p w:rsidR="00606C01" w:rsidRPr="00C02614" w:rsidP="00606C01" w14:paraId="5517209F" w14:textId="77777777">
      <w:pPr>
        <w:pStyle w:val="FootnoteText"/>
        <w:rPr>
          <w:sz w:val="24"/>
          <w:szCs w:val="24"/>
        </w:rPr>
      </w:pPr>
      <w:r w:rsidRPr="004239C3">
        <w:rPr>
          <w:rStyle w:val="FootnoteReference"/>
          <w:sz w:val="24"/>
          <w:szCs w:val="24"/>
          <w:vertAlign w:val="superscript"/>
        </w:rPr>
        <w:footnoteRef/>
      </w:r>
      <w:r w:rsidRPr="004239C3">
        <w:rPr>
          <w:sz w:val="24"/>
          <w:szCs w:val="24"/>
          <w:vertAlign w:val="superscript"/>
        </w:rPr>
        <w:t xml:space="preserve"> </w:t>
      </w:r>
      <w:r w:rsidRPr="00257D06">
        <w:rPr>
          <w:sz w:val="26"/>
          <w:szCs w:val="26"/>
        </w:rPr>
        <w:t xml:space="preserve">NERC’s Rule of Procedure </w:t>
      </w:r>
      <w:r>
        <w:rPr>
          <w:sz w:val="24"/>
          <w:szCs w:val="24"/>
        </w:rPr>
        <w:t>S</w:t>
      </w:r>
      <w:r w:rsidRPr="00C02614">
        <w:rPr>
          <w:sz w:val="24"/>
          <w:szCs w:val="24"/>
        </w:rPr>
        <w:t>ection 1502, Paragraph 2.</w:t>
      </w:r>
    </w:p>
  </w:footnote>
  <w:footnote w:id="14">
    <w:p w:rsidR="00B42560" w:rsidRPr="00B8704A" w:rsidP="00A2084E" w14:paraId="3417E7B4" w14:textId="6836E535">
      <w:pPr>
        <w:pStyle w:val="FootnoteText"/>
        <w:rPr>
          <w:sz w:val="26"/>
          <w:szCs w:val="26"/>
        </w:rPr>
      </w:pPr>
      <w:r w:rsidRPr="00B8704A">
        <w:rPr>
          <w:rStyle w:val="FootnoteReference"/>
          <w:sz w:val="26"/>
          <w:szCs w:val="26"/>
          <w:vertAlign w:val="superscript"/>
        </w:rPr>
        <w:footnoteRef/>
      </w:r>
      <w:r w:rsidRPr="00B8704A">
        <w:rPr>
          <w:sz w:val="26"/>
          <w:szCs w:val="26"/>
          <w:vertAlign w:val="superscript"/>
        </w:rPr>
        <w:t xml:space="preserve"> </w:t>
      </w:r>
      <w:r w:rsidRPr="00B8704A">
        <w:rPr>
          <w:sz w:val="26"/>
          <w:szCs w:val="26"/>
        </w:rPr>
        <w:t>“Burden” is defined as the total time, effort, or financial resources expended by persons to generate, maintain, retain, or disclose or provide information to or for a Federal agency. For further explanation of what is included in the information collection burden, reference 5 Code of Federal Regulations 1320.3.</w:t>
      </w:r>
    </w:p>
  </w:footnote>
  <w:footnote w:id="15">
    <w:p w:rsidR="00CE5C88" w:rsidRPr="00B8704A" w:rsidP="00CE5C88" w14:paraId="17FC7166" w14:textId="77777777">
      <w:pPr>
        <w:pStyle w:val="FootnoteText"/>
        <w:rPr>
          <w:sz w:val="26"/>
          <w:szCs w:val="26"/>
        </w:rPr>
      </w:pPr>
      <w:r w:rsidRPr="00B8704A">
        <w:rPr>
          <w:rStyle w:val="FootnoteReference"/>
          <w:sz w:val="26"/>
          <w:szCs w:val="26"/>
          <w:vertAlign w:val="superscript"/>
        </w:rPr>
        <w:footnoteRef/>
      </w:r>
      <w:r w:rsidRPr="00B8704A">
        <w:rPr>
          <w:sz w:val="26"/>
          <w:szCs w:val="26"/>
        </w:rPr>
        <w:t xml:space="preserve"> The “Number of Entity” data is compiled from the December 3, 2025, edition of the NERC Compliance Registry.  “BA” means balancing authority; “DP” means distribution provider; “GO” means generator owner; “PC” means planning coordinator; “RP” means resource planner; “TO” means transmission owner; “TP” means transmission planner; “TSP” means transmission service provider; “GOP” means generator operator; “RC” means reliability coordinator; and “TOP” means transmission operator.”</w:t>
      </w:r>
    </w:p>
  </w:footnote>
  <w:footnote w:id="16">
    <w:p w:rsidR="00CE5C88" w:rsidRPr="00B8704A" w:rsidP="00CE5C88" w14:paraId="4A97039C" w14:textId="77777777">
      <w:pPr>
        <w:pStyle w:val="FootnoteText"/>
        <w:rPr>
          <w:sz w:val="26"/>
          <w:szCs w:val="26"/>
        </w:rPr>
      </w:pPr>
      <w:r w:rsidRPr="00A2084E">
        <w:rPr>
          <w:rStyle w:val="FootnoteReference"/>
          <w:sz w:val="26"/>
          <w:szCs w:val="26"/>
          <w:vertAlign w:val="superscript"/>
        </w:rPr>
        <w:footnoteRef/>
      </w:r>
      <w:r w:rsidRPr="00B8704A">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$63.52/hour). </w:t>
      </w:r>
    </w:p>
  </w:footnote>
  <w:footnote w:id="17">
    <w:p w:rsidR="00CE5C88" w:rsidRPr="00B8704A" w:rsidP="00CE5C88" w14:paraId="1E72624C" w14:textId="55FBBF57">
      <w:pPr>
        <w:pStyle w:val="FootnoteText"/>
        <w:rPr>
          <w:sz w:val="26"/>
          <w:szCs w:val="26"/>
        </w:rPr>
      </w:pPr>
      <w:r w:rsidRPr="00A2084E">
        <w:rPr>
          <w:rStyle w:val="FootnoteReference"/>
          <w:sz w:val="26"/>
          <w:szCs w:val="26"/>
          <w:vertAlign w:val="superscript"/>
        </w:rPr>
        <w:footnoteRef/>
      </w:r>
      <w:r w:rsidRPr="00B8704A">
        <w:rPr>
          <w:sz w:val="26"/>
          <w:szCs w:val="26"/>
        </w:rPr>
        <w:t xml:space="preserve"> For this collection the GO will include category 1 entities (1,343 entities)  from the December 3, 2025, NERC Compliance Registry; and NERC’s estimate to Commission staff in August 2025 of category 2 generator owners registered entities in the United States (491 entities) for a total of (1,343 + 491) = 1,834.  The estimate for category 2 generator owner entities is subject to change according to NERC due to:   (1) facility cancellations or facilities with an expected commercial operation date delayed past May 15, 2026; (2) identification of type 1 and type 2 wind facilities that do not qualify as category 2 resources; (3) identification of facilities as category 1 resources; and (4) facilities can be inaccurately reported and subsequently removed from the list.  NERC, Inverter-Based Resources Work Plan Progress Update, Docket No. RD22-4-001, at 2 n.7 (filed Oct. 31, 2025) (NERC October 2025 Work Plan Update). </w:t>
      </w:r>
    </w:p>
  </w:footnote>
  <w:footnote w:id="18">
    <w:p w:rsidR="000C7E30" w:rsidRPr="00B8704A" w:rsidP="000C7E30" w14:paraId="1369DA66" w14:textId="77777777">
      <w:pPr>
        <w:pStyle w:val="FootnoteText"/>
        <w:rPr>
          <w:sz w:val="26"/>
          <w:szCs w:val="26"/>
        </w:rPr>
      </w:pPr>
      <w:r w:rsidRPr="00A2084E">
        <w:rPr>
          <w:rStyle w:val="FootnoteReference"/>
          <w:sz w:val="26"/>
          <w:szCs w:val="26"/>
          <w:vertAlign w:val="superscript"/>
        </w:rPr>
        <w:footnoteRef/>
      </w:r>
      <w:r w:rsidRPr="00B8704A">
        <w:rPr>
          <w:sz w:val="26"/>
          <w:szCs w:val="26"/>
        </w:rPr>
        <w:t xml:space="preserve"> The “Number of Entity” data is compiled from the December 3, 2025, edition of the NERC Compliance Registry.  </w:t>
      </w:r>
    </w:p>
  </w:footnote>
  <w:footnote w:id="19">
    <w:p w:rsidR="000C7E30" w:rsidRPr="00A2084E" w:rsidP="000C7E30" w14:paraId="5EEC4169" w14:textId="35E8597A">
      <w:pPr>
        <w:pStyle w:val="FootnoteText"/>
        <w:rPr>
          <w:sz w:val="26"/>
          <w:szCs w:val="26"/>
        </w:rPr>
      </w:pPr>
      <w:r w:rsidRPr="00A2084E">
        <w:rPr>
          <w:rStyle w:val="FootnoteReference"/>
          <w:sz w:val="26"/>
          <w:szCs w:val="26"/>
          <w:vertAlign w:val="superscript"/>
        </w:rPr>
        <w:footnoteRef/>
      </w:r>
      <w:r w:rsidRPr="00B8704A">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B8704A">
        <w:rPr>
          <w:bCs/>
          <w:sz w:val="26"/>
          <w:szCs w:val="26"/>
        </w:rPr>
        <w:t>$63.52/hour</w:t>
      </w:r>
      <w:r w:rsidRPr="00B8704A">
        <w:rPr>
          <w:sz w:val="26"/>
          <w:szCs w:val="26"/>
        </w:rPr>
        <w:t xml:space="preserve">).  </w:t>
      </w:r>
    </w:p>
  </w:footnote>
  <w:footnote w:id="20">
    <w:p w:rsidR="0092325F" w:rsidRPr="00A2084E" w:rsidP="0092325F" w14:paraId="4495AE95" w14:textId="77777777">
      <w:pPr>
        <w:pStyle w:val="FootnoteText"/>
        <w:rPr>
          <w:sz w:val="26"/>
          <w:szCs w:val="26"/>
        </w:rPr>
      </w:pPr>
      <w:r w:rsidRPr="00A2084E">
        <w:rPr>
          <w:rStyle w:val="FootnoteReference"/>
          <w:sz w:val="26"/>
          <w:szCs w:val="26"/>
          <w:vertAlign w:val="superscript"/>
        </w:rPr>
        <w:footnoteRef/>
      </w:r>
      <w:r w:rsidRPr="00A2084E">
        <w:rPr>
          <w:sz w:val="26"/>
          <w:szCs w:val="26"/>
        </w:rPr>
        <w:t xml:space="preserve"> The “Number of Entity” data is compiled from the December 3, 2025, edition of the NERC Compliance Registry.</w:t>
      </w:r>
    </w:p>
  </w:footnote>
  <w:footnote w:id="21">
    <w:p w:rsidR="0092325F" w:rsidP="0092325F" w14:paraId="3D5751C3" w14:textId="77777777">
      <w:pPr>
        <w:pStyle w:val="FootnoteText"/>
      </w:pPr>
      <w:r w:rsidRPr="00A2084E">
        <w:rPr>
          <w:rStyle w:val="FootnoteReference"/>
          <w:sz w:val="26"/>
          <w:szCs w:val="26"/>
          <w:vertAlign w:val="superscript"/>
        </w:rPr>
        <w:footnoteRef/>
      </w:r>
      <w:r w:rsidRPr="00A2084E">
        <w:rPr>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$63.52/hour).</w:t>
      </w:r>
    </w:p>
  </w:footnote>
  <w:footnote w:id="22">
    <w:p w:rsidR="00340F80" w:rsidRPr="00FB48E9" w:rsidP="00340F80" w14:paraId="7B27A746" w14:textId="77777777">
      <w:pPr>
        <w:pStyle w:val="FootnoteText"/>
        <w:rPr>
          <w:sz w:val="26"/>
          <w:szCs w:val="26"/>
        </w:rPr>
      </w:pPr>
      <w:r w:rsidRPr="00FB48E9">
        <w:rPr>
          <w:sz w:val="26"/>
          <w:szCs w:val="26"/>
          <w:vertAlign w:val="superscript"/>
        </w:rPr>
        <w:footnoteRef/>
      </w:r>
      <w:r w:rsidRPr="00FB48E9">
        <w:rPr>
          <w:sz w:val="26"/>
          <w:szCs w:val="26"/>
          <w:vertAlign w:val="superscript"/>
        </w:rPr>
        <w:t xml:space="preserve"> </w:t>
      </w:r>
      <w:r w:rsidRPr="00FB48E9">
        <w:rPr>
          <w:sz w:val="26"/>
          <w:szCs w:val="26"/>
        </w:rPr>
        <w:t>The estimate uses the FERC’s FY 202</w:t>
      </w:r>
      <w:r>
        <w:rPr>
          <w:sz w:val="26"/>
          <w:szCs w:val="26"/>
        </w:rPr>
        <w:t>6</w:t>
      </w:r>
      <w:r w:rsidRPr="00FB48E9">
        <w:rPr>
          <w:sz w:val="26"/>
          <w:szCs w:val="26"/>
        </w:rPr>
        <w:t xml:space="preserve"> average annual salary plus benefits of one FERC FTE (full-time equivalent [$2</w:t>
      </w:r>
      <w:r>
        <w:rPr>
          <w:sz w:val="26"/>
          <w:szCs w:val="26"/>
        </w:rPr>
        <w:t>13</w:t>
      </w:r>
      <w:r w:rsidRPr="00FB48E9">
        <w:rPr>
          <w:sz w:val="26"/>
          <w:szCs w:val="26"/>
        </w:rPr>
        <w:t>,</w:t>
      </w:r>
      <w:r>
        <w:rPr>
          <w:sz w:val="26"/>
          <w:szCs w:val="26"/>
        </w:rPr>
        <w:t>003</w:t>
      </w:r>
      <w:r w:rsidRPr="00FB48E9">
        <w:rPr>
          <w:sz w:val="26"/>
          <w:szCs w:val="26"/>
        </w:rPr>
        <w:t xml:space="preserve"> per year or $10</w:t>
      </w:r>
      <w:r>
        <w:rPr>
          <w:sz w:val="26"/>
          <w:szCs w:val="26"/>
        </w:rPr>
        <w:t>2</w:t>
      </w:r>
      <w:r w:rsidRPr="00FB48E9">
        <w:rPr>
          <w:sz w:val="26"/>
          <w:szCs w:val="26"/>
        </w:rPr>
        <w:t xml:space="preserve">.00 per hour]).  </w:t>
      </w:r>
    </w:p>
  </w:footnote>
  <w:footnote w:id="23">
    <w:p w:rsidR="004F6D92" w:rsidRPr="00C02614" w:rsidP="0020384F" w14:paraId="2C5047DF" w14:textId="4DB7AB6A">
      <w:pPr>
        <w:pStyle w:val="FootnoteText"/>
        <w:rPr>
          <w:sz w:val="24"/>
          <w:szCs w:val="24"/>
        </w:rPr>
      </w:pPr>
      <w:r w:rsidRPr="00C02614">
        <w:rPr>
          <w:rStyle w:val="FootnoteReference"/>
          <w:sz w:val="24"/>
          <w:szCs w:val="24"/>
          <w:vertAlign w:val="superscript"/>
        </w:rPr>
        <w:footnoteRef/>
      </w:r>
      <w:r w:rsidRPr="00C02614">
        <w:rPr>
          <w:sz w:val="24"/>
          <w:szCs w:val="24"/>
          <w:vertAlign w:val="superscript"/>
        </w:rPr>
        <w:t xml:space="preserve"> </w:t>
      </w:r>
      <w:r w:rsidRPr="00A2084E">
        <w:rPr>
          <w:sz w:val="26"/>
          <w:szCs w:val="26"/>
        </w:rPr>
        <w:t>Paperwork Reduction Act of 1995 (PRA)</w:t>
      </w:r>
      <w:r w:rsidRPr="00A2084E" w:rsidR="00C02614">
        <w:rPr>
          <w:sz w:val="26"/>
          <w:szCs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681F" w14:paraId="6F071FB9" w14:textId="3C3975C4">
    <w:pPr>
      <w:pStyle w:val="Header"/>
      <w:rPr>
        <w:rFonts w:ascii="Times New Roman" w:hAnsi="Times New Roman" w:cs="Times New Roman"/>
        <w:sz w:val="24"/>
        <w:szCs w:val="24"/>
      </w:rPr>
    </w:pPr>
    <w:r>
      <w:rPr>
        <w:rFonts w:ascii="Times New Roman" w:hAnsi="Times New Roman" w:cs="Times New Roman"/>
        <w:sz w:val="24"/>
        <w:szCs w:val="24"/>
      </w:rPr>
      <w:t>FERC-725L (OMB Control No. 1902-0261)</w:t>
    </w:r>
    <w:r w:rsidR="00F51542">
      <w:rPr>
        <w:rFonts w:ascii="Times New Roman" w:hAnsi="Times New Roman" w:cs="Times New Roman"/>
        <w:sz w:val="24"/>
        <w:szCs w:val="24"/>
      </w:rPr>
      <w:t xml:space="preserve"> Docket Nos. RD26-1-000, RD26-2-000, RD26-3-000</w:t>
    </w:r>
  </w:p>
  <w:p w:rsidR="003E14EF" w:rsidRPr="0069681F" w14:paraId="1EC88BDB" w14:textId="1D9909D9">
    <w:pPr>
      <w:pStyle w:val="Header"/>
      <w:rPr>
        <w:rFonts w:ascii="Times New Roman" w:hAnsi="Times New Roman" w:cs="Times New Roman"/>
        <w:sz w:val="24"/>
        <w:szCs w:val="24"/>
      </w:rPr>
    </w:pPr>
    <w:r>
      <w:rPr>
        <w:rFonts w:ascii="Times New Roman" w:hAnsi="Times New Roman" w:cs="Times New Roman"/>
        <w:sz w:val="24"/>
        <w:szCs w:val="24"/>
      </w:rPr>
      <w:t>Order in</w:t>
    </w:r>
    <w:r w:rsidR="00714AC1">
      <w:rPr>
        <w:rFonts w:ascii="Times New Roman" w:hAnsi="Times New Roman" w:cs="Times New Roman"/>
        <w:sz w:val="24"/>
        <w:szCs w:val="24"/>
      </w:rPr>
      <w:t xml:space="preserve"> </w:t>
    </w:r>
    <w:r w:rsidR="00F51542">
      <w:rPr>
        <w:rFonts w:ascii="Times New Roman" w:hAnsi="Times New Roman"/>
        <w:sz w:val="24"/>
        <w:szCs w:val="24"/>
      </w:rPr>
      <w:t xml:space="preserve">Approving IBRs and Generators Modeling Reliability Standards </w:t>
    </w:r>
    <w:r w:rsidR="00ED33DF">
      <w:rPr>
        <w:rFonts w:ascii="Times New Roman" w:hAnsi="Times New Roman" w:cs="Times New Roman"/>
        <w:sz w:val="24"/>
        <w:szCs w:val="24"/>
      </w:rPr>
      <w:t>published on February 24,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8B06B9"/>
    <w:multiLevelType w:val="hybridMultilevel"/>
    <w:tmpl w:val="9AFC4C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CC7705"/>
    <w:multiLevelType w:val="hybridMultilevel"/>
    <w:tmpl w:val="98CEB89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6F065A9"/>
    <w:multiLevelType w:val="hybridMultilevel"/>
    <w:tmpl w:val="A934A4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610EB8"/>
    <w:multiLevelType w:val="hybridMultilevel"/>
    <w:tmpl w:val="92902B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9A95C54"/>
    <w:multiLevelType w:val="hybridMultilevel"/>
    <w:tmpl w:val="62BE76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373959"/>
    <w:multiLevelType w:val="hybridMultilevel"/>
    <w:tmpl w:val="8670DB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DA91A3C"/>
    <w:multiLevelType w:val="hybridMultilevel"/>
    <w:tmpl w:val="42B2FA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2BC04FF"/>
    <w:multiLevelType w:val="hybridMultilevel"/>
    <w:tmpl w:val="CAC218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3156D43"/>
    <w:multiLevelType w:val="multilevel"/>
    <w:tmpl w:val="B140707E"/>
    <w:lvl w:ilvl="0">
      <w:start w:val="1"/>
      <w:numFmt w:val="decimal"/>
      <w:pStyle w:val="ListContinue"/>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9">
    <w:nsid w:val="37881752"/>
    <w:multiLevelType w:val="hybridMultilevel"/>
    <w:tmpl w:val="75083DB8"/>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0">
    <w:nsid w:val="37CD6D00"/>
    <w:multiLevelType w:val="hybridMultilevel"/>
    <w:tmpl w:val="E8127E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53C6417"/>
    <w:multiLevelType w:val="hybridMultilevel"/>
    <w:tmpl w:val="53A8CA2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560307F"/>
    <w:multiLevelType w:val="hybridMultilevel"/>
    <w:tmpl w:val="A4386E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ACA7611"/>
    <w:multiLevelType w:val="hybridMultilevel"/>
    <w:tmpl w:val="FEC677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FCC1895"/>
    <w:multiLevelType w:val="hybridMultilevel"/>
    <w:tmpl w:val="632C2E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138255B"/>
    <w:multiLevelType w:val="hybridMultilevel"/>
    <w:tmpl w:val="AA26E8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96F428C"/>
    <w:multiLevelType w:val="hybridMultilevel"/>
    <w:tmpl w:val="7BDE7B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B260868"/>
    <w:multiLevelType w:val="hybridMultilevel"/>
    <w:tmpl w:val="FF0638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ED977DE"/>
    <w:multiLevelType w:val="hybridMultilevel"/>
    <w:tmpl w:val="3FE0F4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9">
    <w:nsid w:val="65C57BA6"/>
    <w:multiLevelType w:val="hybridMultilevel"/>
    <w:tmpl w:val="76424C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5FB1210"/>
    <w:multiLevelType w:val="hybridMultilevel"/>
    <w:tmpl w:val="6CA686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72835CA"/>
    <w:multiLevelType w:val="hybridMultilevel"/>
    <w:tmpl w:val="633420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DBC0FBB"/>
    <w:multiLevelType w:val="hybridMultilevel"/>
    <w:tmpl w:val="672465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1ED716F"/>
    <w:multiLevelType w:val="hybridMultilevel"/>
    <w:tmpl w:val="1C2A00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70F5C45"/>
    <w:multiLevelType w:val="hybridMultilevel"/>
    <w:tmpl w:val="34F634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BCF05D8"/>
    <w:multiLevelType w:val="hybridMultilevel"/>
    <w:tmpl w:val="D5B058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ED9248C"/>
    <w:multiLevelType w:val="hybridMultilevel"/>
    <w:tmpl w:val="98D245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044135013">
    <w:abstractNumId w:val="14"/>
  </w:num>
  <w:num w:numId="2" w16cid:durableId="1263879912">
    <w:abstractNumId w:val="8"/>
  </w:num>
  <w:num w:numId="3" w16cid:durableId="186481345">
    <w:abstractNumId w:val="17"/>
  </w:num>
  <w:num w:numId="4" w16cid:durableId="225799468">
    <w:abstractNumId w:val="21"/>
  </w:num>
  <w:num w:numId="5" w16cid:durableId="251551459">
    <w:abstractNumId w:val="15"/>
  </w:num>
  <w:num w:numId="6" w16cid:durableId="928125632">
    <w:abstractNumId w:val="1"/>
  </w:num>
  <w:num w:numId="7" w16cid:durableId="54016674">
    <w:abstractNumId w:val="7"/>
  </w:num>
  <w:num w:numId="8" w16cid:durableId="1761295966">
    <w:abstractNumId w:val="11"/>
  </w:num>
  <w:num w:numId="9" w16cid:durableId="265040667">
    <w:abstractNumId w:val="25"/>
  </w:num>
  <w:num w:numId="10" w16cid:durableId="2047949315">
    <w:abstractNumId w:val="16"/>
  </w:num>
  <w:num w:numId="11" w16cid:durableId="1899514419">
    <w:abstractNumId w:val="3"/>
  </w:num>
  <w:num w:numId="12" w16cid:durableId="497384800">
    <w:abstractNumId w:val="5"/>
  </w:num>
  <w:num w:numId="13" w16cid:durableId="1337420060">
    <w:abstractNumId w:val="2"/>
  </w:num>
  <w:num w:numId="14" w16cid:durableId="1354302462">
    <w:abstractNumId w:val="6"/>
  </w:num>
  <w:num w:numId="15" w16cid:durableId="955596344">
    <w:abstractNumId w:val="18"/>
  </w:num>
  <w:num w:numId="16" w16cid:durableId="1125006324">
    <w:abstractNumId w:val="19"/>
  </w:num>
  <w:num w:numId="17" w16cid:durableId="139542112">
    <w:abstractNumId w:val="13"/>
  </w:num>
  <w:num w:numId="18" w16cid:durableId="856239359">
    <w:abstractNumId w:val="23"/>
  </w:num>
  <w:num w:numId="19" w16cid:durableId="450587794">
    <w:abstractNumId w:val="12"/>
  </w:num>
  <w:num w:numId="20" w16cid:durableId="140927893">
    <w:abstractNumId w:val="0"/>
  </w:num>
  <w:num w:numId="21" w16cid:durableId="838228034">
    <w:abstractNumId w:val="9"/>
  </w:num>
  <w:num w:numId="22" w16cid:durableId="1092510107">
    <w:abstractNumId w:val="26"/>
  </w:num>
  <w:num w:numId="23" w16cid:durableId="1228227931">
    <w:abstractNumId w:val="20"/>
  </w:num>
  <w:num w:numId="24" w16cid:durableId="1019502253">
    <w:abstractNumId w:val="24"/>
  </w:num>
  <w:num w:numId="25" w16cid:durableId="1733313266">
    <w:abstractNumId w:val="4"/>
  </w:num>
  <w:num w:numId="26" w16cid:durableId="1943101875">
    <w:abstractNumId w:val="22"/>
  </w:num>
  <w:num w:numId="27" w16cid:durableId="1728378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F1"/>
    <w:rsid w:val="00001EB7"/>
    <w:rsid w:val="00004742"/>
    <w:rsid w:val="00005508"/>
    <w:rsid w:val="00007001"/>
    <w:rsid w:val="0000761B"/>
    <w:rsid w:val="00007B68"/>
    <w:rsid w:val="00011035"/>
    <w:rsid w:val="000158B8"/>
    <w:rsid w:val="0002242D"/>
    <w:rsid w:val="00022C97"/>
    <w:rsid w:val="0002567F"/>
    <w:rsid w:val="000267CE"/>
    <w:rsid w:val="000311CD"/>
    <w:rsid w:val="00035845"/>
    <w:rsid w:val="00037EBC"/>
    <w:rsid w:val="000412E1"/>
    <w:rsid w:val="00044798"/>
    <w:rsid w:val="00047866"/>
    <w:rsid w:val="000517E2"/>
    <w:rsid w:val="000600A8"/>
    <w:rsid w:val="00074DC8"/>
    <w:rsid w:val="0007636B"/>
    <w:rsid w:val="00093189"/>
    <w:rsid w:val="0009488D"/>
    <w:rsid w:val="00095368"/>
    <w:rsid w:val="00095A55"/>
    <w:rsid w:val="000964ED"/>
    <w:rsid w:val="00096BF0"/>
    <w:rsid w:val="00097E6C"/>
    <w:rsid w:val="000A0AC2"/>
    <w:rsid w:val="000A18A4"/>
    <w:rsid w:val="000A3ADC"/>
    <w:rsid w:val="000A5E8E"/>
    <w:rsid w:val="000B0C37"/>
    <w:rsid w:val="000B45EB"/>
    <w:rsid w:val="000C145B"/>
    <w:rsid w:val="000C1DFB"/>
    <w:rsid w:val="000C5CD7"/>
    <w:rsid w:val="000C7E30"/>
    <w:rsid w:val="000D1476"/>
    <w:rsid w:val="000D58F6"/>
    <w:rsid w:val="000D6FBE"/>
    <w:rsid w:val="000E12E5"/>
    <w:rsid w:val="000E15B3"/>
    <w:rsid w:val="000E5772"/>
    <w:rsid w:val="000E5F31"/>
    <w:rsid w:val="000F1DBC"/>
    <w:rsid w:val="000F34E5"/>
    <w:rsid w:val="000F41C9"/>
    <w:rsid w:val="000F469B"/>
    <w:rsid w:val="00110F23"/>
    <w:rsid w:val="001115C7"/>
    <w:rsid w:val="001119AF"/>
    <w:rsid w:val="00113520"/>
    <w:rsid w:val="0012296A"/>
    <w:rsid w:val="00126277"/>
    <w:rsid w:val="001302AD"/>
    <w:rsid w:val="0013448A"/>
    <w:rsid w:val="001348AC"/>
    <w:rsid w:val="00143103"/>
    <w:rsid w:val="00144325"/>
    <w:rsid w:val="001459CE"/>
    <w:rsid w:val="00147F3A"/>
    <w:rsid w:val="00150D8F"/>
    <w:rsid w:val="0015113C"/>
    <w:rsid w:val="00151168"/>
    <w:rsid w:val="0015271F"/>
    <w:rsid w:val="00152BA3"/>
    <w:rsid w:val="00156DAF"/>
    <w:rsid w:val="00162B26"/>
    <w:rsid w:val="001657B3"/>
    <w:rsid w:val="00166CB8"/>
    <w:rsid w:val="00167877"/>
    <w:rsid w:val="0017533A"/>
    <w:rsid w:val="00175AD1"/>
    <w:rsid w:val="00181727"/>
    <w:rsid w:val="0018313C"/>
    <w:rsid w:val="00185730"/>
    <w:rsid w:val="00191030"/>
    <w:rsid w:val="001968F8"/>
    <w:rsid w:val="00197A36"/>
    <w:rsid w:val="001A05A0"/>
    <w:rsid w:val="001A1CAD"/>
    <w:rsid w:val="001B1661"/>
    <w:rsid w:val="001B1801"/>
    <w:rsid w:val="001C1170"/>
    <w:rsid w:val="001C1E50"/>
    <w:rsid w:val="001C1E51"/>
    <w:rsid w:val="001C2970"/>
    <w:rsid w:val="001C2DAF"/>
    <w:rsid w:val="001D21B0"/>
    <w:rsid w:val="001D2429"/>
    <w:rsid w:val="001D3302"/>
    <w:rsid w:val="001D58EC"/>
    <w:rsid w:val="001D7BAD"/>
    <w:rsid w:val="001E1029"/>
    <w:rsid w:val="001E1596"/>
    <w:rsid w:val="001E21E5"/>
    <w:rsid w:val="001E2551"/>
    <w:rsid w:val="001E3CDC"/>
    <w:rsid w:val="001E6AC0"/>
    <w:rsid w:val="001F0E78"/>
    <w:rsid w:val="001F7C67"/>
    <w:rsid w:val="00200481"/>
    <w:rsid w:val="0020384F"/>
    <w:rsid w:val="0021033C"/>
    <w:rsid w:val="00212171"/>
    <w:rsid w:val="00212A83"/>
    <w:rsid w:val="0021332D"/>
    <w:rsid w:val="00215E0D"/>
    <w:rsid w:val="00217BBA"/>
    <w:rsid w:val="00221871"/>
    <w:rsid w:val="00226FC2"/>
    <w:rsid w:val="002277CE"/>
    <w:rsid w:val="0023163E"/>
    <w:rsid w:val="0023170D"/>
    <w:rsid w:val="00232221"/>
    <w:rsid w:val="00236674"/>
    <w:rsid w:val="00245180"/>
    <w:rsid w:val="00247B75"/>
    <w:rsid w:val="00250632"/>
    <w:rsid w:val="002534AC"/>
    <w:rsid w:val="00254375"/>
    <w:rsid w:val="0025459C"/>
    <w:rsid w:val="00254EE7"/>
    <w:rsid w:val="00255031"/>
    <w:rsid w:val="00255132"/>
    <w:rsid w:val="00257D06"/>
    <w:rsid w:val="00262475"/>
    <w:rsid w:val="0026674D"/>
    <w:rsid w:val="002705B2"/>
    <w:rsid w:val="00272108"/>
    <w:rsid w:val="002779D9"/>
    <w:rsid w:val="00281EA5"/>
    <w:rsid w:val="002961E5"/>
    <w:rsid w:val="00297631"/>
    <w:rsid w:val="00297755"/>
    <w:rsid w:val="002A08FE"/>
    <w:rsid w:val="002A0D26"/>
    <w:rsid w:val="002A1294"/>
    <w:rsid w:val="002A3DAB"/>
    <w:rsid w:val="002A40A7"/>
    <w:rsid w:val="002A6C17"/>
    <w:rsid w:val="002B07FF"/>
    <w:rsid w:val="002B13E2"/>
    <w:rsid w:val="002B4DD2"/>
    <w:rsid w:val="002B5629"/>
    <w:rsid w:val="002B6B0B"/>
    <w:rsid w:val="002C1BFB"/>
    <w:rsid w:val="002C283D"/>
    <w:rsid w:val="002C5784"/>
    <w:rsid w:val="002C63E1"/>
    <w:rsid w:val="002C67B4"/>
    <w:rsid w:val="002C74F7"/>
    <w:rsid w:val="002D2C3C"/>
    <w:rsid w:val="002F04B4"/>
    <w:rsid w:val="002F07F7"/>
    <w:rsid w:val="002F09AD"/>
    <w:rsid w:val="002F410F"/>
    <w:rsid w:val="002F6632"/>
    <w:rsid w:val="002F6EF7"/>
    <w:rsid w:val="00304952"/>
    <w:rsid w:val="00312076"/>
    <w:rsid w:val="00313D4E"/>
    <w:rsid w:val="00316E38"/>
    <w:rsid w:val="00317728"/>
    <w:rsid w:val="00317F02"/>
    <w:rsid w:val="00322DF8"/>
    <w:rsid w:val="00326D82"/>
    <w:rsid w:val="003316E0"/>
    <w:rsid w:val="00340F80"/>
    <w:rsid w:val="00350DD8"/>
    <w:rsid w:val="003514B9"/>
    <w:rsid w:val="00351986"/>
    <w:rsid w:val="00351D56"/>
    <w:rsid w:val="003528CC"/>
    <w:rsid w:val="00353801"/>
    <w:rsid w:val="00362292"/>
    <w:rsid w:val="00362710"/>
    <w:rsid w:val="00362A6A"/>
    <w:rsid w:val="00363B01"/>
    <w:rsid w:val="00367318"/>
    <w:rsid w:val="00370534"/>
    <w:rsid w:val="003714D5"/>
    <w:rsid w:val="00375885"/>
    <w:rsid w:val="003800E6"/>
    <w:rsid w:val="00390F02"/>
    <w:rsid w:val="003967A4"/>
    <w:rsid w:val="003A440E"/>
    <w:rsid w:val="003B0249"/>
    <w:rsid w:val="003B2BAD"/>
    <w:rsid w:val="003B3B61"/>
    <w:rsid w:val="003B4103"/>
    <w:rsid w:val="003D5A4D"/>
    <w:rsid w:val="003D5BDA"/>
    <w:rsid w:val="003E14EF"/>
    <w:rsid w:val="003E295A"/>
    <w:rsid w:val="003E2BEB"/>
    <w:rsid w:val="003E4DCF"/>
    <w:rsid w:val="003E6C01"/>
    <w:rsid w:val="003F0029"/>
    <w:rsid w:val="003F3754"/>
    <w:rsid w:val="003F4E26"/>
    <w:rsid w:val="003F6148"/>
    <w:rsid w:val="003F7B4E"/>
    <w:rsid w:val="0040192F"/>
    <w:rsid w:val="004050B5"/>
    <w:rsid w:val="004052FC"/>
    <w:rsid w:val="00406B1F"/>
    <w:rsid w:val="00407CA1"/>
    <w:rsid w:val="00414F32"/>
    <w:rsid w:val="004239C3"/>
    <w:rsid w:val="00425FD4"/>
    <w:rsid w:val="00426CF5"/>
    <w:rsid w:val="004272D3"/>
    <w:rsid w:val="004276A5"/>
    <w:rsid w:val="0043092F"/>
    <w:rsid w:val="00431D39"/>
    <w:rsid w:val="00441339"/>
    <w:rsid w:val="00443588"/>
    <w:rsid w:val="00443E4D"/>
    <w:rsid w:val="0045480C"/>
    <w:rsid w:val="0045680D"/>
    <w:rsid w:val="00461020"/>
    <w:rsid w:val="00461909"/>
    <w:rsid w:val="00466C57"/>
    <w:rsid w:val="0047153F"/>
    <w:rsid w:val="004720F9"/>
    <w:rsid w:val="00472B0F"/>
    <w:rsid w:val="00481E6C"/>
    <w:rsid w:val="004A4018"/>
    <w:rsid w:val="004A47D3"/>
    <w:rsid w:val="004B3FFA"/>
    <w:rsid w:val="004B5DF3"/>
    <w:rsid w:val="004C02F0"/>
    <w:rsid w:val="004C4C89"/>
    <w:rsid w:val="004C5E0E"/>
    <w:rsid w:val="004C7377"/>
    <w:rsid w:val="004D29AB"/>
    <w:rsid w:val="004E21BE"/>
    <w:rsid w:val="004E651C"/>
    <w:rsid w:val="004F6977"/>
    <w:rsid w:val="004F6D92"/>
    <w:rsid w:val="00500ACE"/>
    <w:rsid w:val="005019E5"/>
    <w:rsid w:val="005071B2"/>
    <w:rsid w:val="00507511"/>
    <w:rsid w:val="005121A2"/>
    <w:rsid w:val="00522B7D"/>
    <w:rsid w:val="00522F69"/>
    <w:rsid w:val="0053085F"/>
    <w:rsid w:val="0053287C"/>
    <w:rsid w:val="00533E0B"/>
    <w:rsid w:val="00535CEA"/>
    <w:rsid w:val="00540572"/>
    <w:rsid w:val="00541B4E"/>
    <w:rsid w:val="00541FBD"/>
    <w:rsid w:val="005462B6"/>
    <w:rsid w:val="00546870"/>
    <w:rsid w:val="00547FA1"/>
    <w:rsid w:val="00550017"/>
    <w:rsid w:val="00557FD6"/>
    <w:rsid w:val="00570861"/>
    <w:rsid w:val="00571C5E"/>
    <w:rsid w:val="00572C67"/>
    <w:rsid w:val="00576FDE"/>
    <w:rsid w:val="0057700F"/>
    <w:rsid w:val="0057734E"/>
    <w:rsid w:val="00582E7E"/>
    <w:rsid w:val="00587353"/>
    <w:rsid w:val="00591570"/>
    <w:rsid w:val="00591BAD"/>
    <w:rsid w:val="00594E2D"/>
    <w:rsid w:val="00596BFD"/>
    <w:rsid w:val="005A2792"/>
    <w:rsid w:val="005A29F9"/>
    <w:rsid w:val="005A6BE4"/>
    <w:rsid w:val="005A6F2A"/>
    <w:rsid w:val="005B64E8"/>
    <w:rsid w:val="005B77CE"/>
    <w:rsid w:val="005C1CDC"/>
    <w:rsid w:val="005C3F88"/>
    <w:rsid w:val="005C507A"/>
    <w:rsid w:val="005D09D0"/>
    <w:rsid w:val="005D2BC4"/>
    <w:rsid w:val="005D7036"/>
    <w:rsid w:val="005E2146"/>
    <w:rsid w:val="005E318B"/>
    <w:rsid w:val="005F1C3C"/>
    <w:rsid w:val="005F1F29"/>
    <w:rsid w:val="005F44CB"/>
    <w:rsid w:val="005F4C3A"/>
    <w:rsid w:val="005F4EA5"/>
    <w:rsid w:val="00601A05"/>
    <w:rsid w:val="0060223A"/>
    <w:rsid w:val="00606C01"/>
    <w:rsid w:val="006100AC"/>
    <w:rsid w:val="006166FA"/>
    <w:rsid w:val="00621C29"/>
    <w:rsid w:val="00624AFC"/>
    <w:rsid w:val="00630A34"/>
    <w:rsid w:val="00637CE1"/>
    <w:rsid w:val="006437A2"/>
    <w:rsid w:val="00656FFC"/>
    <w:rsid w:val="00657A47"/>
    <w:rsid w:val="00660684"/>
    <w:rsid w:val="006612B1"/>
    <w:rsid w:val="00664BC0"/>
    <w:rsid w:val="006666B0"/>
    <w:rsid w:val="00667709"/>
    <w:rsid w:val="00670D0F"/>
    <w:rsid w:val="00672094"/>
    <w:rsid w:val="00674FD8"/>
    <w:rsid w:val="00682634"/>
    <w:rsid w:val="00690136"/>
    <w:rsid w:val="0069237F"/>
    <w:rsid w:val="0069681F"/>
    <w:rsid w:val="00697657"/>
    <w:rsid w:val="006A533C"/>
    <w:rsid w:val="006A5FC2"/>
    <w:rsid w:val="006B437C"/>
    <w:rsid w:val="006B4D0A"/>
    <w:rsid w:val="006B52D9"/>
    <w:rsid w:val="006B6D60"/>
    <w:rsid w:val="006C20D6"/>
    <w:rsid w:val="006C53D1"/>
    <w:rsid w:val="006C554F"/>
    <w:rsid w:val="006C5A02"/>
    <w:rsid w:val="006D50B5"/>
    <w:rsid w:val="006D5F25"/>
    <w:rsid w:val="006E3CFD"/>
    <w:rsid w:val="006E527B"/>
    <w:rsid w:val="006E7D90"/>
    <w:rsid w:val="00701CA1"/>
    <w:rsid w:val="00711903"/>
    <w:rsid w:val="00714AC1"/>
    <w:rsid w:val="00716469"/>
    <w:rsid w:val="007233C0"/>
    <w:rsid w:val="00731C22"/>
    <w:rsid w:val="00736047"/>
    <w:rsid w:val="0074195A"/>
    <w:rsid w:val="00744A3C"/>
    <w:rsid w:val="00745C7E"/>
    <w:rsid w:val="00751871"/>
    <w:rsid w:val="00761A02"/>
    <w:rsid w:val="00764008"/>
    <w:rsid w:val="00764660"/>
    <w:rsid w:val="00765DE0"/>
    <w:rsid w:val="00771FCE"/>
    <w:rsid w:val="00773AEB"/>
    <w:rsid w:val="007750FF"/>
    <w:rsid w:val="0078612A"/>
    <w:rsid w:val="00787670"/>
    <w:rsid w:val="00794CB5"/>
    <w:rsid w:val="00795478"/>
    <w:rsid w:val="007A23FE"/>
    <w:rsid w:val="007A2F92"/>
    <w:rsid w:val="007A6142"/>
    <w:rsid w:val="007A7337"/>
    <w:rsid w:val="007B06B3"/>
    <w:rsid w:val="007B193F"/>
    <w:rsid w:val="007B5049"/>
    <w:rsid w:val="007B7E0C"/>
    <w:rsid w:val="007C1FB6"/>
    <w:rsid w:val="007C35DA"/>
    <w:rsid w:val="007C37A0"/>
    <w:rsid w:val="007C3F81"/>
    <w:rsid w:val="007C6DFF"/>
    <w:rsid w:val="007D55FE"/>
    <w:rsid w:val="007D6BDD"/>
    <w:rsid w:val="007D6EA2"/>
    <w:rsid w:val="007D719C"/>
    <w:rsid w:val="007E2C0C"/>
    <w:rsid w:val="007E3C37"/>
    <w:rsid w:val="007E7C0F"/>
    <w:rsid w:val="008028E2"/>
    <w:rsid w:val="00814ED6"/>
    <w:rsid w:val="0081561C"/>
    <w:rsid w:val="00832E50"/>
    <w:rsid w:val="00833BA5"/>
    <w:rsid w:val="00834C7F"/>
    <w:rsid w:val="0083507C"/>
    <w:rsid w:val="0083620C"/>
    <w:rsid w:val="00847871"/>
    <w:rsid w:val="008524C6"/>
    <w:rsid w:val="00855EC8"/>
    <w:rsid w:val="00855EFC"/>
    <w:rsid w:val="008619E1"/>
    <w:rsid w:val="00865DBA"/>
    <w:rsid w:val="008679A2"/>
    <w:rsid w:val="008734D3"/>
    <w:rsid w:val="00876F75"/>
    <w:rsid w:val="00884CEF"/>
    <w:rsid w:val="0088545F"/>
    <w:rsid w:val="00892135"/>
    <w:rsid w:val="00895C2F"/>
    <w:rsid w:val="00896C01"/>
    <w:rsid w:val="008A21A4"/>
    <w:rsid w:val="008A3746"/>
    <w:rsid w:val="008A52E9"/>
    <w:rsid w:val="008A79A2"/>
    <w:rsid w:val="008B14CD"/>
    <w:rsid w:val="008B1CEB"/>
    <w:rsid w:val="008B4981"/>
    <w:rsid w:val="008B6818"/>
    <w:rsid w:val="008B703B"/>
    <w:rsid w:val="008C18C8"/>
    <w:rsid w:val="008C2059"/>
    <w:rsid w:val="008C238C"/>
    <w:rsid w:val="008C25E0"/>
    <w:rsid w:val="008C288D"/>
    <w:rsid w:val="008C2F02"/>
    <w:rsid w:val="008C4426"/>
    <w:rsid w:val="008C5A8B"/>
    <w:rsid w:val="008C666B"/>
    <w:rsid w:val="008C76E2"/>
    <w:rsid w:val="008D1464"/>
    <w:rsid w:val="008D310F"/>
    <w:rsid w:val="008D461D"/>
    <w:rsid w:val="008D6FEB"/>
    <w:rsid w:val="008E58B7"/>
    <w:rsid w:val="008E70CD"/>
    <w:rsid w:val="008E72E6"/>
    <w:rsid w:val="008E7788"/>
    <w:rsid w:val="009108D5"/>
    <w:rsid w:val="009114D1"/>
    <w:rsid w:val="00911FF4"/>
    <w:rsid w:val="00913A8B"/>
    <w:rsid w:val="009150E0"/>
    <w:rsid w:val="009159F8"/>
    <w:rsid w:val="009201D7"/>
    <w:rsid w:val="00920AD5"/>
    <w:rsid w:val="0092325F"/>
    <w:rsid w:val="0093102B"/>
    <w:rsid w:val="0093357F"/>
    <w:rsid w:val="009344DE"/>
    <w:rsid w:val="00940EEC"/>
    <w:rsid w:val="009430EF"/>
    <w:rsid w:val="00950ECA"/>
    <w:rsid w:val="00952D21"/>
    <w:rsid w:val="00957EDB"/>
    <w:rsid w:val="009602A3"/>
    <w:rsid w:val="009616B4"/>
    <w:rsid w:val="00963609"/>
    <w:rsid w:val="009677E4"/>
    <w:rsid w:val="00970C75"/>
    <w:rsid w:val="00970FE4"/>
    <w:rsid w:val="00971AB3"/>
    <w:rsid w:val="00977929"/>
    <w:rsid w:val="00982694"/>
    <w:rsid w:val="0098431D"/>
    <w:rsid w:val="0099336E"/>
    <w:rsid w:val="00995C86"/>
    <w:rsid w:val="009A01BC"/>
    <w:rsid w:val="009A5447"/>
    <w:rsid w:val="009C45B8"/>
    <w:rsid w:val="009C5849"/>
    <w:rsid w:val="009C5D52"/>
    <w:rsid w:val="009C6975"/>
    <w:rsid w:val="009D7B78"/>
    <w:rsid w:val="009E1190"/>
    <w:rsid w:val="009F0349"/>
    <w:rsid w:val="009F1CF5"/>
    <w:rsid w:val="00A02B31"/>
    <w:rsid w:val="00A03474"/>
    <w:rsid w:val="00A07EDC"/>
    <w:rsid w:val="00A10176"/>
    <w:rsid w:val="00A142AE"/>
    <w:rsid w:val="00A204A7"/>
    <w:rsid w:val="00A2084E"/>
    <w:rsid w:val="00A23775"/>
    <w:rsid w:val="00A25302"/>
    <w:rsid w:val="00A276F5"/>
    <w:rsid w:val="00A2774E"/>
    <w:rsid w:val="00A35B18"/>
    <w:rsid w:val="00A44AE9"/>
    <w:rsid w:val="00A51E47"/>
    <w:rsid w:val="00A53BD8"/>
    <w:rsid w:val="00A55CDD"/>
    <w:rsid w:val="00A5648B"/>
    <w:rsid w:val="00A615A6"/>
    <w:rsid w:val="00A61802"/>
    <w:rsid w:val="00A61A4D"/>
    <w:rsid w:val="00A62953"/>
    <w:rsid w:val="00A63686"/>
    <w:rsid w:val="00A6522B"/>
    <w:rsid w:val="00A65471"/>
    <w:rsid w:val="00A66F65"/>
    <w:rsid w:val="00A67154"/>
    <w:rsid w:val="00A72E7B"/>
    <w:rsid w:val="00A73CCF"/>
    <w:rsid w:val="00A741BA"/>
    <w:rsid w:val="00A74F23"/>
    <w:rsid w:val="00A81C16"/>
    <w:rsid w:val="00A82B09"/>
    <w:rsid w:val="00A84355"/>
    <w:rsid w:val="00A9186C"/>
    <w:rsid w:val="00A938F5"/>
    <w:rsid w:val="00A93F1B"/>
    <w:rsid w:val="00A96B65"/>
    <w:rsid w:val="00AA401B"/>
    <w:rsid w:val="00AA5970"/>
    <w:rsid w:val="00AA64C9"/>
    <w:rsid w:val="00AC01A1"/>
    <w:rsid w:val="00AC39D0"/>
    <w:rsid w:val="00AC5D45"/>
    <w:rsid w:val="00AC7B22"/>
    <w:rsid w:val="00AD16A3"/>
    <w:rsid w:val="00AD3DE5"/>
    <w:rsid w:val="00AD50EA"/>
    <w:rsid w:val="00AD6602"/>
    <w:rsid w:val="00AE298A"/>
    <w:rsid w:val="00AE7003"/>
    <w:rsid w:val="00AF2217"/>
    <w:rsid w:val="00AF2396"/>
    <w:rsid w:val="00AF5D3D"/>
    <w:rsid w:val="00B015EC"/>
    <w:rsid w:val="00B01AC9"/>
    <w:rsid w:val="00B03DB1"/>
    <w:rsid w:val="00B072C3"/>
    <w:rsid w:val="00B115C0"/>
    <w:rsid w:val="00B1253E"/>
    <w:rsid w:val="00B126FA"/>
    <w:rsid w:val="00B141A2"/>
    <w:rsid w:val="00B158C2"/>
    <w:rsid w:val="00B27783"/>
    <w:rsid w:val="00B30244"/>
    <w:rsid w:val="00B30770"/>
    <w:rsid w:val="00B33B5F"/>
    <w:rsid w:val="00B42560"/>
    <w:rsid w:val="00B5484D"/>
    <w:rsid w:val="00B57039"/>
    <w:rsid w:val="00B6741D"/>
    <w:rsid w:val="00B70259"/>
    <w:rsid w:val="00B706FB"/>
    <w:rsid w:val="00B72662"/>
    <w:rsid w:val="00B81A0F"/>
    <w:rsid w:val="00B82299"/>
    <w:rsid w:val="00B837BA"/>
    <w:rsid w:val="00B85235"/>
    <w:rsid w:val="00B8704A"/>
    <w:rsid w:val="00B8706D"/>
    <w:rsid w:val="00B9413E"/>
    <w:rsid w:val="00B9483D"/>
    <w:rsid w:val="00BA13F8"/>
    <w:rsid w:val="00BA1C7D"/>
    <w:rsid w:val="00BA7C56"/>
    <w:rsid w:val="00BB3603"/>
    <w:rsid w:val="00BB3B2C"/>
    <w:rsid w:val="00BC06ED"/>
    <w:rsid w:val="00BC27F0"/>
    <w:rsid w:val="00BC3060"/>
    <w:rsid w:val="00BD38BB"/>
    <w:rsid w:val="00BD4CE0"/>
    <w:rsid w:val="00BD59AE"/>
    <w:rsid w:val="00BE3D4E"/>
    <w:rsid w:val="00BE466F"/>
    <w:rsid w:val="00BE526B"/>
    <w:rsid w:val="00BE7025"/>
    <w:rsid w:val="00BF2268"/>
    <w:rsid w:val="00BF2816"/>
    <w:rsid w:val="00BF3F67"/>
    <w:rsid w:val="00C01698"/>
    <w:rsid w:val="00C02614"/>
    <w:rsid w:val="00C03F29"/>
    <w:rsid w:val="00C05F12"/>
    <w:rsid w:val="00C06932"/>
    <w:rsid w:val="00C06DA5"/>
    <w:rsid w:val="00C15A8E"/>
    <w:rsid w:val="00C21A91"/>
    <w:rsid w:val="00C2425D"/>
    <w:rsid w:val="00C249D4"/>
    <w:rsid w:val="00C27D56"/>
    <w:rsid w:val="00C35DFC"/>
    <w:rsid w:val="00C3610B"/>
    <w:rsid w:val="00C37208"/>
    <w:rsid w:val="00C47527"/>
    <w:rsid w:val="00C50EC4"/>
    <w:rsid w:val="00C510DD"/>
    <w:rsid w:val="00C54644"/>
    <w:rsid w:val="00C60048"/>
    <w:rsid w:val="00C61E8F"/>
    <w:rsid w:val="00C6263B"/>
    <w:rsid w:val="00C676C1"/>
    <w:rsid w:val="00C74462"/>
    <w:rsid w:val="00C77A60"/>
    <w:rsid w:val="00C8052F"/>
    <w:rsid w:val="00C81676"/>
    <w:rsid w:val="00C81813"/>
    <w:rsid w:val="00C86319"/>
    <w:rsid w:val="00C90385"/>
    <w:rsid w:val="00C9181D"/>
    <w:rsid w:val="00C9431F"/>
    <w:rsid w:val="00C96C91"/>
    <w:rsid w:val="00CA495F"/>
    <w:rsid w:val="00CA59C3"/>
    <w:rsid w:val="00CA704C"/>
    <w:rsid w:val="00CA77FF"/>
    <w:rsid w:val="00CB032A"/>
    <w:rsid w:val="00CB26E8"/>
    <w:rsid w:val="00CB2C16"/>
    <w:rsid w:val="00CB63B2"/>
    <w:rsid w:val="00CB6D65"/>
    <w:rsid w:val="00CD5624"/>
    <w:rsid w:val="00CE0343"/>
    <w:rsid w:val="00CE0A63"/>
    <w:rsid w:val="00CE15BC"/>
    <w:rsid w:val="00CE23D3"/>
    <w:rsid w:val="00CE2CDA"/>
    <w:rsid w:val="00CE535C"/>
    <w:rsid w:val="00CE5C88"/>
    <w:rsid w:val="00CE68CF"/>
    <w:rsid w:val="00CF4086"/>
    <w:rsid w:val="00CF759C"/>
    <w:rsid w:val="00D0606B"/>
    <w:rsid w:val="00D075A0"/>
    <w:rsid w:val="00D20155"/>
    <w:rsid w:val="00D20C54"/>
    <w:rsid w:val="00D21D86"/>
    <w:rsid w:val="00D23212"/>
    <w:rsid w:val="00D2490E"/>
    <w:rsid w:val="00D276B0"/>
    <w:rsid w:val="00D407F7"/>
    <w:rsid w:val="00D4396D"/>
    <w:rsid w:val="00D43F0E"/>
    <w:rsid w:val="00D44DA2"/>
    <w:rsid w:val="00D47528"/>
    <w:rsid w:val="00D528E3"/>
    <w:rsid w:val="00D5320A"/>
    <w:rsid w:val="00D53CA0"/>
    <w:rsid w:val="00D54E6D"/>
    <w:rsid w:val="00D55896"/>
    <w:rsid w:val="00D55DBB"/>
    <w:rsid w:val="00D63739"/>
    <w:rsid w:val="00D63F75"/>
    <w:rsid w:val="00D65E1C"/>
    <w:rsid w:val="00D7018F"/>
    <w:rsid w:val="00D70208"/>
    <w:rsid w:val="00D76508"/>
    <w:rsid w:val="00D80FBD"/>
    <w:rsid w:val="00D83445"/>
    <w:rsid w:val="00D840AC"/>
    <w:rsid w:val="00D853FF"/>
    <w:rsid w:val="00D85DBB"/>
    <w:rsid w:val="00D87A76"/>
    <w:rsid w:val="00D9209B"/>
    <w:rsid w:val="00D93C55"/>
    <w:rsid w:val="00D9654A"/>
    <w:rsid w:val="00D9712F"/>
    <w:rsid w:val="00DA06F4"/>
    <w:rsid w:val="00DA5493"/>
    <w:rsid w:val="00DB55F4"/>
    <w:rsid w:val="00DB58D2"/>
    <w:rsid w:val="00DB6DC8"/>
    <w:rsid w:val="00DC015E"/>
    <w:rsid w:val="00DC3290"/>
    <w:rsid w:val="00DC35ED"/>
    <w:rsid w:val="00DC4E36"/>
    <w:rsid w:val="00DC739E"/>
    <w:rsid w:val="00DD3B35"/>
    <w:rsid w:val="00DD4FD9"/>
    <w:rsid w:val="00DD79FB"/>
    <w:rsid w:val="00DE18D9"/>
    <w:rsid w:val="00DE2EAB"/>
    <w:rsid w:val="00DF0461"/>
    <w:rsid w:val="00DF556A"/>
    <w:rsid w:val="00DF55A8"/>
    <w:rsid w:val="00DF6FD2"/>
    <w:rsid w:val="00E0535D"/>
    <w:rsid w:val="00E06351"/>
    <w:rsid w:val="00E0690B"/>
    <w:rsid w:val="00E11CA6"/>
    <w:rsid w:val="00E12A4B"/>
    <w:rsid w:val="00E13722"/>
    <w:rsid w:val="00E14565"/>
    <w:rsid w:val="00E161E3"/>
    <w:rsid w:val="00E20612"/>
    <w:rsid w:val="00E23E64"/>
    <w:rsid w:val="00E25223"/>
    <w:rsid w:val="00E25683"/>
    <w:rsid w:val="00E3501D"/>
    <w:rsid w:val="00E36A45"/>
    <w:rsid w:val="00E424F6"/>
    <w:rsid w:val="00E4624E"/>
    <w:rsid w:val="00E4628C"/>
    <w:rsid w:val="00E50DF3"/>
    <w:rsid w:val="00E52D63"/>
    <w:rsid w:val="00E5339A"/>
    <w:rsid w:val="00E57CCE"/>
    <w:rsid w:val="00E607E1"/>
    <w:rsid w:val="00E636D7"/>
    <w:rsid w:val="00E669F5"/>
    <w:rsid w:val="00E67CF3"/>
    <w:rsid w:val="00E75E04"/>
    <w:rsid w:val="00E760F8"/>
    <w:rsid w:val="00E80DE8"/>
    <w:rsid w:val="00E87A4F"/>
    <w:rsid w:val="00E949DC"/>
    <w:rsid w:val="00EA0F68"/>
    <w:rsid w:val="00EA2AB3"/>
    <w:rsid w:val="00EA5C58"/>
    <w:rsid w:val="00EB3E6F"/>
    <w:rsid w:val="00EB4F59"/>
    <w:rsid w:val="00EB554A"/>
    <w:rsid w:val="00EB7209"/>
    <w:rsid w:val="00EC3A64"/>
    <w:rsid w:val="00EC5E46"/>
    <w:rsid w:val="00EC68EF"/>
    <w:rsid w:val="00ED2E60"/>
    <w:rsid w:val="00ED2EC7"/>
    <w:rsid w:val="00ED33DF"/>
    <w:rsid w:val="00ED5560"/>
    <w:rsid w:val="00EE29F1"/>
    <w:rsid w:val="00EE2D8A"/>
    <w:rsid w:val="00EE3BB2"/>
    <w:rsid w:val="00EE411E"/>
    <w:rsid w:val="00EF7774"/>
    <w:rsid w:val="00F044CF"/>
    <w:rsid w:val="00F07069"/>
    <w:rsid w:val="00F101BF"/>
    <w:rsid w:val="00F109D2"/>
    <w:rsid w:val="00F12DC2"/>
    <w:rsid w:val="00F13D87"/>
    <w:rsid w:val="00F14038"/>
    <w:rsid w:val="00F152DF"/>
    <w:rsid w:val="00F26E86"/>
    <w:rsid w:val="00F2705B"/>
    <w:rsid w:val="00F27CB1"/>
    <w:rsid w:val="00F41092"/>
    <w:rsid w:val="00F47C46"/>
    <w:rsid w:val="00F50384"/>
    <w:rsid w:val="00F51542"/>
    <w:rsid w:val="00F527A3"/>
    <w:rsid w:val="00F60092"/>
    <w:rsid w:val="00F61B24"/>
    <w:rsid w:val="00F62674"/>
    <w:rsid w:val="00F707CA"/>
    <w:rsid w:val="00F7567B"/>
    <w:rsid w:val="00F77257"/>
    <w:rsid w:val="00F775A8"/>
    <w:rsid w:val="00F81142"/>
    <w:rsid w:val="00F82B8E"/>
    <w:rsid w:val="00F8440A"/>
    <w:rsid w:val="00F8737C"/>
    <w:rsid w:val="00F9012F"/>
    <w:rsid w:val="00F90797"/>
    <w:rsid w:val="00F918F6"/>
    <w:rsid w:val="00F91A19"/>
    <w:rsid w:val="00F9222A"/>
    <w:rsid w:val="00FB48E9"/>
    <w:rsid w:val="00FC037A"/>
    <w:rsid w:val="00FC3BC4"/>
    <w:rsid w:val="00FD66F1"/>
    <w:rsid w:val="00FE3245"/>
    <w:rsid w:val="00FE73E2"/>
    <w:rsid w:val="00FF69D6"/>
    <w:rsid w:val="00FF7F12"/>
    <w:rsid w:val="19802ACB"/>
    <w:rsid w:val="2A2D9407"/>
    <w:rsid w:val="2B99B575"/>
    <w:rsid w:val="393EAE43"/>
    <w:rsid w:val="4090D464"/>
    <w:rsid w:val="4635B435"/>
    <w:rsid w:val="47073EDB"/>
    <w:rsid w:val="674E42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C912A1"/>
  <w15:docId w15:val="{C9B6A216-FFAD-4408-8517-B944F8D2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6F1"/>
  </w:style>
  <w:style w:type="paragraph" w:styleId="Footer">
    <w:name w:val="footer"/>
    <w:basedOn w:val="Normal"/>
    <w:link w:val="FooterChar"/>
    <w:uiPriority w:val="99"/>
    <w:unhideWhenUsed/>
    <w:rsid w:val="00FD6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6F1"/>
  </w:style>
  <w:style w:type="paragraph" w:styleId="BalloonText">
    <w:name w:val="Balloon Text"/>
    <w:basedOn w:val="Normal"/>
    <w:link w:val="BalloonTextChar"/>
    <w:uiPriority w:val="99"/>
    <w:semiHidden/>
    <w:unhideWhenUsed/>
    <w:rsid w:val="00FD6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66F1"/>
    <w:rPr>
      <w:rFonts w:ascii="Tahoma" w:hAnsi="Tahoma" w:cs="Tahoma"/>
      <w:sz w:val="16"/>
      <w:szCs w:val="16"/>
    </w:rPr>
  </w:style>
  <w:style w:type="paragraph" w:styleId="ListParagraph">
    <w:name w:val="List Paragraph"/>
    <w:basedOn w:val="Normal"/>
    <w:uiPriority w:val="34"/>
    <w:qFormat/>
    <w:rsid w:val="00A72E7B"/>
    <w:pPr>
      <w:ind w:left="720"/>
      <w:contextualSpacing/>
    </w:pPr>
  </w:style>
  <w:style w:type="paragraph" w:styleId="ListContinue">
    <w:name w:val="List Continue"/>
    <w:basedOn w:val="Normal"/>
    <w:rsid w:val="00D80FBD"/>
    <w:pPr>
      <w:numPr>
        <w:numId w:val="2"/>
      </w:numPr>
      <w:spacing w:after="120" w:line="480" w:lineRule="auto"/>
    </w:pPr>
    <w:rPr>
      <w:rFonts w:ascii="Times New Roman" w:eastAsia="Times New Roman" w:hAnsi="Times New Roman" w:cs="Times New Roman"/>
      <w:sz w:val="26"/>
      <w:szCs w:val="24"/>
    </w:rPr>
  </w:style>
  <w:style w:type="paragraph" w:customStyle="1" w:styleId="LegalFormat">
    <w:name w:val="Legal Format"/>
    <w:basedOn w:val="ListContinue"/>
    <w:rsid w:val="00D80FBD"/>
    <w:pPr>
      <w:spacing w:after="0"/>
      <w:ind w:left="0"/>
    </w:pPr>
    <w:rPr>
      <w:u w:val="single"/>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uiPriority w:val="99"/>
    <w:qFormat/>
    <w:rsid w:val="00E636D7"/>
  </w:style>
  <w:style w:type="paragraph" w:styleId="FootnoteText">
    <w:name w:val="footnote text"/>
    <w:aliases w:val=" Char,Char,Footnote Text Char Char Char Char Char,Footnote Text Char Char1 Char,Footnote Text Char1 Char Char Char,Footnote Text Char1 Char Char Char Char Char Char Char,Footnote Text Char1 Char1 Char,Footnote Text Char2 Char,fn,fn1,fn3,ft"/>
    <w:basedOn w:val="Normal"/>
    <w:link w:val="FootnoteTextChar1"/>
    <w:qFormat/>
    <w:rsid w:val="00E636D7"/>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Footnote Text Char Char Char Char Char Char1,Footnote Text Char Char Char1,Footnote Text Char Char1 Char Char1,Footnote Text Char1 Char Char1,Footnote Text Char1 Char2,Footnote Text MRP Char,fn1 Char"/>
    <w:basedOn w:val="DefaultParagraphFont"/>
    <w:uiPriority w:val="99"/>
    <w:rsid w:val="00E636D7"/>
    <w:rPr>
      <w:sz w:val="20"/>
      <w:szCs w:val="20"/>
    </w:rPr>
  </w:style>
  <w:style w:type="character" w:customStyle="1" w:styleId="FootnoteTextChar1">
    <w:name w:val="Footnote Text Char1"/>
    <w:aliases w:val=" Char Char,Char Char,Footnote Text Char Char Char Char Char Char,Footnote Text Char Char1 Char Char,Footnote Text Char1 Char Char Char Char,Footnote Text Char1 Char Char Char Char Char Char Char Char,Footnote Text Char2 Char Char"/>
    <w:link w:val="FootnoteText"/>
    <w:rsid w:val="00E636D7"/>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57700F"/>
    <w:rPr>
      <w:sz w:val="16"/>
      <w:szCs w:val="16"/>
    </w:rPr>
  </w:style>
  <w:style w:type="paragraph" w:styleId="CommentText">
    <w:name w:val="annotation text"/>
    <w:basedOn w:val="Normal"/>
    <w:link w:val="CommentTextChar"/>
    <w:uiPriority w:val="99"/>
    <w:unhideWhenUsed/>
    <w:rsid w:val="0057700F"/>
    <w:pPr>
      <w:spacing w:line="240" w:lineRule="auto"/>
    </w:pPr>
    <w:rPr>
      <w:sz w:val="20"/>
      <w:szCs w:val="20"/>
    </w:rPr>
  </w:style>
  <w:style w:type="character" w:customStyle="1" w:styleId="CommentTextChar">
    <w:name w:val="Comment Text Char"/>
    <w:basedOn w:val="DefaultParagraphFont"/>
    <w:link w:val="CommentText"/>
    <w:uiPriority w:val="99"/>
    <w:rsid w:val="0057700F"/>
    <w:rPr>
      <w:sz w:val="20"/>
      <w:szCs w:val="20"/>
    </w:rPr>
  </w:style>
  <w:style w:type="paragraph" w:styleId="CommentSubject">
    <w:name w:val="annotation subject"/>
    <w:basedOn w:val="CommentText"/>
    <w:next w:val="CommentText"/>
    <w:link w:val="CommentSubjectChar"/>
    <w:uiPriority w:val="99"/>
    <w:semiHidden/>
    <w:unhideWhenUsed/>
    <w:rsid w:val="0057700F"/>
    <w:rPr>
      <w:b/>
      <w:bCs/>
    </w:rPr>
  </w:style>
  <w:style w:type="character" w:customStyle="1" w:styleId="CommentSubjectChar">
    <w:name w:val="Comment Subject Char"/>
    <w:basedOn w:val="CommentTextChar"/>
    <w:link w:val="CommentSubject"/>
    <w:uiPriority w:val="99"/>
    <w:semiHidden/>
    <w:rsid w:val="0057700F"/>
    <w:rPr>
      <w:b/>
      <w:bCs/>
      <w:sz w:val="20"/>
      <w:szCs w:val="20"/>
    </w:rPr>
  </w:style>
  <w:style w:type="character" w:styleId="Hyperlink">
    <w:name w:val="Hyperlink"/>
    <w:basedOn w:val="DefaultParagraphFont"/>
    <w:rsid w:val="00761A02"/>
    <w:rPr>
      <w:color w:val="0000FF"/>
      <w:u w:val="single"/>
    </w:rPr>
  </w:style>
  <w:style w:type="character" w:styleId="FollowedHyperlink">
    <w:name w:val="FollowedHyperlink"/>
    <w:basedOn w:val="DefaultParagraphFont"/>
    <w:uiPriority w:val="99"/>
    <w:semiHidden/>
    <w:unhideWhenUsed/>
    <w:rsid w:val="006B6D60"/>
    <w:rPr>
      <w:color w:val="800080" w:themeColor="followedHyperlink"/>
      <w:u w:val="single"/>
    </w:rPr>
  </w:style>
  <w:style w:type="paragraph" w:styleId="EndnoteText">
    <w:name w:val="endnote text"/>
    <w:basedOn w:val="Normal"/>
    <w:link w:val="EndnoteTextChar"/>
    <w:uiPriority w:val="99"/>
    <w:semiHidden/>
    <w:unhideWhenUsed/>
    <w:rsid w:val="006C5A02"/>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C5A02"/>
    <w:rPr>
      <w:rFonts w:ascii="Times New Roman" w:eastAsia="Times New Roman" w:hAnsi="Times New Roman" w:cs="Times New Roman"/>
      <w:sz w:val="20"/>
      <w:szCs w:val="20"/>
    </w:rPr>
  </w:style>
  <w:style w:type="paragraph" w:styleId="Revision">
    <w:name w:val="Revision"/>
    <w:hidden/>
    <w:uiPriority w:val="99"/>
    <w:semiHidden/>
    <w:rsid w:val="00764008"/>
    <w:pPr>
      <w:spacing w:after="0" w:line="240" w:lineRule="auto"/>
    </w:pPr>
  </w:style>
  <w:style w:type="character" w:styleId="UnresolvedMention">
    <w:name w:val="Unresolved Mention"/>
    <w:basedOn w:val="DefaultParagraphFont"/>
    <w:uiPriority w:val="99"/>
    <w:semiHidden/>
    <w:unhideWhenUsed/>
    <w:rsid w:val="001D58EC"/>
    <w:rPr>
      <w:color w:val="605E5C"/>
      <w:shd w:val="clear" w:color="auto" w:fill="E1DFDD"/>
    </w:rPr>
  </w:style>
  <w:style w:type="character" w:styleId="Mention">
    <w:name w:val="Mention"/>
    <w:basedOn w:val="DefaultParagraphFont"/>
    <w:uiPriority w:val="99"/>
    <w:unhideWhenUsed/>
    <w:rsid w:val="006666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rc.gov/information-collections"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www.nerc.com/FilingsOrders/us/RuleOfProcedureDL/NERC_ROP_Effective_20161031.pdf" TargetMode="External" /><Relationship Id="rId2" Type="http://schemas.openxmlformats.org/officeDocument/2006/relationships/hyperlink" Target="http://www.nerc.com/pa/Stand/Documents/Appendix_3A_StandardsProcessesManua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Updates xmlns="82e40cf6-c09f-421d-a298-827f536a5023">N/A</Updates>
    <_ip_UnifiedCompliancePolicyUIAction xmlns="http://schemas.microsoft.com/sharepoint/v3" xsi:nil="true"/>
    <IconOverlay xmlns="http://schemas.microsoft.com/sharepoint/v4" xsi:nil="true"/>
    <_ip_UnifiedCompliancePolicyProperties xmlns="http://schemas.microsoft.com/sharepoint/v3" xsi:nil="true"/>
    <kwizcomcontrollerfield xmlns="82e40cf6-c09f-421d-a298-827f536a50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4A98CE0B408D41A9CE8FC72BBBB8EE" ma:contentTypeVersion="27" ma:contentTypeDescription="Create a new document." ma:contentTypeScope="" ma:versionID="a7cef3435b449a7a441d1852b207f1df">
  <xsd:schema xmlns:xsd="http://www.w3.org/2001/XMLSchema" xmlns:xs="http://www.w3.org/2001/XMLSchema" xmlns:p="http://schemas.microsoft.com/office/2006/metadata/properties" xmlns:ns1="http://schemas.microsoft.com/sharepoint/v3" xmlns:ns2="http://schemas.microsoft.com/sharepoint/v4" xmlns:ns3="9efd1f78-2452-40eb-b641-aaad3c0a6650" xmlns:ns4="82e40cf6-c09f-421d-a298-827f536a5023" targetNamespace="http://schemas.microsoft.com/office/2006/metadata/properties" ma:root="true" ma:fieldsID="3484e85d3de3007e2ab14115e68b8786" ns1:_="" ns2:_="" ns3:_="" ns4:_="">
    <xsd:import namespace="http://schemas.microsoft.com/sharepoint/v3"/>
    <xsd:import namespace="http://schemas.microsoft.com/sharepoint/v4"/>
    <xsd:import namespace="9efd1f78-2452-40eb-b641-aaad3c0a6650"/>
    <xsd:import namespace="82e40cf6-c09f-421d-a298-827f536a5023"/>
    <xsd:element name="properties">
      <xsd:complexType>
        <xsd:sequence>
          <xsd:element name="documentManagement">
            <xsd:complexType>
              <xsd:all>
                <xsd:element ref="ns2:IconOverlay" minOccurs="0"/>
                <xsd:element ref="ns3:SharedWithUsers" minOccurs="0"/>
                <xsd:element ref="ns3:SharedWithDetails" minOccurs="0"/>
                <xsd:element ref="ns4:MediaServiceDateTaken" minOccurs="0"/>
                <xsd:element ref="ns4:MediaLengthInSeconds" minOccurs="0"/>
                <xsd:element ref="ns4:MediaServiceObjectDetectorVersions" minOccurs="0"/>
                <xsd:element ref="ns4:MediaServiceLocation" minOccurs="0"/>
                <xsd:element ref="ns4:MediaServiceSearchProperties" minOccurs="0"/>
                <xsd:element ref="ns4:Updates" minOccurs="0"/>
                <xsd:element ref="ns1:_ip_UnifiedCompliancePolicyProperties" minOccurs="0"/>
                <xsd:element ref="ns1:_ip_UnifiedCompliancePolicyUIAction" minOccurs="0"/>
                <xsd:element ref="ns4:kwizcomcontroller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d1f78-2452-40eb-b641-aaad3c0a665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e40cf6-c09f-421d-a298-827f536a5023" elementFormDefault="qualified">
    <xsd:import namespace="http://schemas.microsoft.com/office/2006/documentManagement/types"/>
    <xsd:import namespace="http://schemas.microsoft.com/office/infopath/2007/PartnerControls"/>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Updates" ma:index="16" nillable="true" ma:displayName="Updates" ma:default="N/A" ma:format="Dropdown" ma:internalName="Updates">
      <xsd:simpleType>
        <xsd:restriction base="dms:Text">
          <xsd:maxLength value="255"/>
        </xsd:restriction>
      </xsd:simpleType>
    </xsd:element>
    <xsd:element name="kwizcomcontrollerfield" ma:index="19" nillable="true" ma:displayName="kwizcomcontrollerfield" ma:internalName="kwizcomcontrollerfiel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A93E32-1253-4A9D-8C39-B7F81676EE0A}">
  <ds:schemaRefs>
    <ds:schemaRef ds:uri="http://schemas.openxmlformats.org/officeDocument/2006/bibliography"/>
  </ds:schemaRefs>
</ds:datastoreItem>
</file>

<file path=customXml/itemProps2.xml><?xml version="1.0" encoding="utf-8"?>
<ds:datastoreItem xmlns:ds="http://schemas.openxmlformats.org/officeDocument/2006/customXml" ds:itemID="{DC3A4479-0543-455B-A152-110FB41B2830}">
  <ds:schemaRefs>
    <ds:schemaRef ds:uri="http://schemas.microsoft.com/office/2006/metadata/properties"/>
    <ds:schemaRef ds:uri="82e40cf6-c09f-421d-a298-827f536a5023"/>
    <ds:schemaRef ds:uri="http://schemas.microsoft.com/sharepoint/v3"/>
    <ds:schemaRef ds:uri="http://schemas.microsoft.com/sharepoint/v4"/>
  </ds:schemaRefs>
</ds:datastoreItem>
</file>

<file path=customXml/itemProps3.xml><?xml version="1.0" encoding="utf-8"?>
<ds:datastoreItem xmlns:ds="http://schemas.openxmlformats.org/officeDocument/2006/customXml" ds:itemID="{D9C6C5CF-3CE0-47E8-B44B-CB4D7C85D04F}">
  <ds:schemaRefs>
    <ds:schemaRef ds:uri="http://schemas.microsoft.com/sharepoint/v3/contenttype/forms"/>
  </ds:schemaRefs>
</ds:datastoreItem>
</file>

<file path=customXml/itemProps4.xml><?xml version="1.0" encoding="utf-8"?>
<ds:datastoreItem xmlns:ds="http://schemas.openxmlformats.org/officeDocument/2006/customXml" ds:itemID="{A47BEBA6-A0CE-494A-AFFB-2077F314BE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9efd1f78-2452-40eb-b641-aaad3c0a6650"/>
    <ds:schemaRef ds:uri="82e40cf6-c09f-421d-a298-827f536a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5817</Words>
  <Characters>33276</Characters>
  <Application>Microsoft Office Word</Application>
  <DocSecurity>0</DocSecurity>
  <Lines>875</Lines>
  <Paragraphs>411</Paragraphs>
  <ScaleCrop>false</ScaleCrop>
  <Company>FERC</Company>
  <LinksUpToDate>false</LinksUpToDate>
  <CharactersWithSpaces>38682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FERC-725L supporting statement</dc:title>
  <dc:creator>ferc</dc:creator>
  <cp:lastModifiedBy>Kayla Williams</cp:lastModifiedBy>
  <cp:revision>5</cp:revision>
  <dcterms:created xsi:type="dcterms:W3CDTF">2026-10-21T10:21:00Z</dcterms:created>
  <dcterms:modified xsi:type="dcterms:W3CDTF">2026-10-22T21:09:00Z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0x0101006D4A98CE0B408D41A9CE8FC72BBBB8EE</vt:lpwstr>
  </property>
  <property fmtid="{D5CDD505-2E9C-101B-9397-08002B2CF9AE}" pid="3" name="docLang">
    <vt:lpwstr>en</vt:lpwstr>
  </property>
  <property fmtid="{D5CDD505-2E9C-101B-9397-08002B2CF9AE}" pid="4" name="MSIP_Label_bd24d06a-0e85-4d57-b1e0-ba34b1abc708_ActionId">
    <vt:lpwstr>a22546ab-b904-4082-a216-def3764d0cac</vt:lpwstr>
  </property>
  <property fmtid="{D5CDD505-2E9C-101B-9397-08002B2CF9AE}" pid="5" name="MSIP_Label_bd24d06a-0e85-4d57-b1e0-ba34b1abc708_ContentBits">
    <vt:lpwstr>0</vt:lpwstr>
  </property>
  <property fmtid="{D5CDD505-2E9C-101B-9397-08002B2CF9AE}" pid="6" name="MSIP_Label_bd24d06a-0e85-4d57-b1e0-ba34b1abc708_Enabled">
    <vt:lpwstr>true</vt:lpwstr>
  </property>
  <property fmtid="{D5CDD505-2E9C-101B-9397-08002B2CF9AE}" pid="7" name="MSIP_Label_bd24d06a-0e85-4d57-b1e0-ba34b1abc708_Method">
    <vt:lpwstr>Privileged</vt:lpwstr>
  </property>
  <property fmtid="{D5CDD505-2E9C-101B-9397-08002B2CF9AE}" pid="8" name="MSIP_Label_bd24d06a-0e85-4d57-b1e0-ba34b1abc708_Name">
    <vt:lpwstr>bd24d06a-0e85-4d57-b1e0-ba34b1abc708</vt:lpwstr>
  </property>
  <property fmtid="{D5CDD505-2E9C-101B-9397-08002B2CF9AE}" pid="9" name="MSIP_Label_bd24d06a-0e85-4d57-b1e0-ba34b1abc708_SetDate">
    <vt:lpwstr>2024-09-25T12:30:54Z</vt:lpwstr>
  </property>
  <property fmtid="{D5CDD505-2E9C-101B-9397-08002B2CF9AE}" pid="10" name="MSIP_Label_bd24d06a-0e85-4d57-b1e0-ba34b1abc708_SiteId">
    <vt:lpwstr>19caa9e9-04ff-43fa-885f-d77fac387903</vt:lpwstr>
  </property>
</Properties>
</file>