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95052" w:rsidRPr="00D0606B" w:rsidP="00512461" w14:paraId="28AE1326" w14:textId="577525A9">
      <w:pPr>
        <w:spacing w:after="0" w:line="240" w:lineRule="auto"/>
        <w:jc w:val="center"/>
        <w:rPr>
          <w:rFonts w:ascii="Times New Roman" w:hAnsi="Times New Roman" w:cs="Times New Roman"/>
          <w:sz w:val="26"/>
          <w:szCs w:val="26"/>
        </w:rPr>
      </w:pPr>
      <w:r w:rsidRPr="00D0606B">
        <w:rPr>
          <w:rFonts w:ascii="Times New Roman" w:hAnsi="Times New Roman" w:cs="Times New Roman"/>
          <w:sz w:val="26"/>
          <w:szCs w:val="26"/>
        </w:rPr>
        <w:t>Supporting Statement</w:t>
      </w:r>
      <w:r w:rsidR="00166DF1">
        <w:rPr>
          <w:rFonts w:ascii="Times New Roman" w:hAnsi="Times New Roman" w:cs="Times New Roman"/>
          <w:sz w:val="26"/>
          <w:szCs w:val="26"/>
        </w:rPr>
        <w:t xml:space="preserve"> for</w:t>
      </w:r>
    </w:p>
    <w:p w:rsidR="00AC7CFF" w:rsidRPr="00D0606B" w:rsidP="00512461" w14:paraId="39216994" w14:textId="1D530821">
      <w:pPr>
        <w:spacing w:after="0" w:line="240" w:lineRule="auto"/>
        <w:jc w:val="center"/>
        <w:rPr>
          <w:rFonts w:ascii="Times New Roman" w:hAnsi="Times New Roman" w:cs="Times New Roman"/>
          <w:sz w:val="26"/>
          <w:szCs w:val="26"/>
        </w:rPr>
      </w:pPr>
      <w:r w:rsidRPr="00D0606B">
        <w:rPr>
          <w:rFonts w:ascii="Times New Roman" w:hAnsi="Times New Roman" w:cs="Times New Roman"/>
          <w:b/>
          <w:sz w:val="26"/>
          <w:szCs w:val="26"/>
        </w:rPr>
        <w:t xml:space="preserve">FERC-725Z </w:t>
      </w:r>
      <w:r w:rsidRPr="00D0606B" w:rsidR="00FD7387">
        <w:rPr>
          <w:rFonts w:ascii="Times New Roman" w:hAnsi="Times New Roman" w:cs="Times New Roman"/>
          <w:b/>
          <w:sz w:val="26"/>
          <w:szCs w:val="26"/>
        </w:rPr>
        <w:t>(</w:t>
      </w:r>
      <w:r w:rsidRPr="00D0606B">
        <w:rPr>
          <w:rFonts w:ascii="Times New Roman" w:hAnsi="Times New Roman" w:cs="Times New Roman"/>
          <w:b/>
          <w:sz w:val="26"/>
          <w:szCs w:val="26"/>
        </w:rPr>
        <w:t>Mandatory Reliability Standards:  IRO Reliability Standards</w:t>
      </w:r>
    </w:p>
    <w:p w:rsidR="00480B05" w:rsidRPr="00D0606B" w:rsidP="00512461" w14:paraId="51DC2543" w14:textId="77777777">
      <w:pPr>
        <w:spacing w:after="0" w:line="240" w:lineRule="auto"/>
        <w:jc w:val="center"/>
        <w:rPr>
          <w:rFonts w:ascii="Times New Roman" w:hAnsi="Times New Roman" w:cs="Times New Roman"/>
          <w:sz w:val="26"/>
          <w:szCs w:val="26"/>
        </w:rPr>
      </w:pPr>
    </w:p>
    <w:p w:rsidR="00B238F7" w:rsidP="00131F7E" w14:paraId="2278A1B8" w14:textId="58465947">
      <w:pPr>
        <w:spacing w:after="0" w:line="240" w:lineRule="auto"/>
        <w:rPr>
          <w:rFonts w:ascii="Times New Roman" w:hAnsi="Times New Roman" w:cs="Times New Roman"/>
          <w:sz w:val="26"/>
          <w:szCs w:val="26"/>
        </w:rPr>
      </w:pPr>
      <w:r w:rsidRPr="2A2D9407">
        <w:rPr>
          <w:rFonts w:ascii="Times New Roman" w:hAnsi="Times New Roman" w:cs="Times New Roman"/>
          <w:sz w:val="26"/>
          <w:szCs w:val="26"/>
        </w:rPr>
        <w:t>The Federal Energy Regulatory Commission (Commission or FERC) request</w:t>
      </w:r>
      <w:r w:rsidRPr="2A2D9407" w:rsidR="18401508">
        <w:rPr>
          <w:rFonts w:ascii="Times New Roman" w:hAnsi="Times New Roman" w:cs="Times New Roman"/>
          <w:sz w:val="26"/>
          <w:szCs w:val="26"/>
        </w:rPr>
        <w:t>s</w:t>
      </w:r>
      <w:r w:rsidRPr="2A2D9407">
        <w:rPr>
          <w:rFonts w:ascii="Times New Roman" w:hAnsi="Times New Roman" w:cs="Times New Roman"/>
          <w:sz w:val="26"/>
          <w:szCs w:val="26"/>
        </w:rPr>
        <w:t xml:space="preserve"> the Office of Management and Budget (OMB) review and approve the </w:t>
      </w:r>
      <w:r w:rsidRPr="2A2D9407" w:rsidR="0ABBDB79">
        <w:rPr>
          <w:rFonts w:ascii="Times New Roman" w:hAnsi="Times New Roman" w:cs="Times New Roman"/>
          <w:sz w:val="26"/>
          <w:szCs w:val="26"/>
        </w:rPr>
        <w:t>mandatory reliability standards associated with</w:t>
      </w:r>
      <w:r w:rsidRPr="2A2D9407" w:rsidR="1450849B">
        <w:rPr>
          <w:rFonts w:ascii="Times New Roman" w:hAnsi="Times New Roman" w:cs="Times New Roman"/>
          <w:sz w:val="26"/>
          <w:szCs w:val="26"/>
        </w:rPr>
        <w:t xml:space="preserve"> FERC-725Z</w:t>
      </w:r>
      <w:r w:rsidRPr="2A2D9407" w:rsidR="0ABBDB79">
        <w:rPr>
          <w:rFonts w:ascii="Times New Roman" w:hAnsi="Times New Roman" w:cs="Times New Roman"/>
          <w:sz w:val="26"/>
          <w:szCs w:val="26"/>
        </w:rPr>
        <w:t xml:space="preserve"> for three years</w:t>
      </w:r>
      <w:r w:rsidRPr="2A2D9407" w:rsidR="71F20AAA">
        <w:rPr>
          <w:rFonts w:ascii="Times New Roman" w:hAnsi="Times New Roman" w:cs="Times New Roman"/>
          <w:sz w:val="26"/>
          <w:szCs w:val="26"/>
        </w:rPr>
        <w:t xml:space="preserve">.  </w:t>
      </w:r>
      <w:r w:rsidRPr="2A2D9407" w:rsidR="6A4AB400">
        <w:rPr>
          <w:rFonts w:ascii="Times New Roman" w:hAnsi="Times New Roman" w:cs="Times New Roman"/>
          <w:sz w:val="26"/>
          <w:szCs w:val="26"/>
        </w:rPr>
        <w:t xml:space="preserve">This request </w:t>
      </w:r>
      <w:r w:rsidR="0023089B">
        <w:rPr>
          <w:rFonts w:ascii="Times New Roman" w:hAnsi="Times New Roman" w:cs="Times New Roman"/>
          <w:sz w:val="26"/>
          <w:szCs w:val="26"/>
        </w:rPr>
        <w:t>includes the retirement of the current effective standard IRO-010-</w:t>
      </w:r>
      <w:r w:rsidR="006E411F">
        <w:rPr>
          <w:rFonts w:ascii="Times New Roman" w:hAnsi="Times New Roman" w:cs="Times New Roman"/>
          <w:sz w:val="26"/>
          <w:szCs w:val="26"/>
        </w:rPr>
        <w:t>5</w:t>
      </w:r>
      <w:r w:rsidR="0023089B">
        <w:rPr>
          <w:rFonts w:ascii="Times New Roman" w:hAnsi="Times New Roman" w:cs="Times New Roman"/>
          <w:sz w:val="26"/>
          <w:szCs w:val="26"/>
        </w:rPr>
        <w:t xml:space="preserve"> and updating to the reliability standard IRO-010-</w:t>
      </w:r>
      <w:r w:rsidR="006E411F">
        <w:rPr>
          <w:rFonts w:ascii="Times New Roman" w:hAnsi="Times New Roman" w:cs="Times New Roman"/>
          <w:sz w:val="26"/>
          <w:szCs w:val="26"/>
        </w:rPr>
        <w:t>6</w:t>
      </w:r>
      <w:r w:rsidR="0023089B">
        <w:rPr>
          <w:rFonts w:ascii="Times New Roman" w:hAnsi="Times New Roman" w:cs="Times New Roman"/>
          <w:sz w:val="26"/>
          <w:szCs w:val="26"/>
        </w:rPr>
        <w:t>.</w:t>
      </w:r>
    </w:p>
    <w:p w:rsidR="00480B05" w:rsidRPr="00D0606B" w:rsidP="2A2D9407" w14:paraId="0D9F41E5" w14:textId="64D7FFE2">
      <w:pPr>
        <w:spacing w:after="0" w:line="240" w:lineRule="auto"/>
        <w:rPr>
          <w:rFonts w:ascii="Times New Roman" w:hAnsi="Times New Roman" w:cs="Times New Roman"/>
          <w:b/>
          <w:bCs/>
          <w:sz w:val="26"/>
          <w:szCs w:val="26"/>
          <w:u w:val="single"/>
        </w:rPr>
      </w:pPr>
    </w:p>
    <w:p w:rsidR="00480B05" w:rsidRPr="00D0606B" w:rsidP="00480B05" w14:paraId="31AFB1C7" w14:textId="77777777">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CIRCUMSTANCES THAT MAKE THE COLLECTION OF INFORMATION NECESSARY</w:t>
      </w:r>
    </w:p>
    <w:p w:rsidR="2A2D9407" w:rsidP="2A2D9407" w14:paraId="01DF999B" w14:textId="1C15FAD7">
      <w:pPr>
        <w:spacing w:after="0"/>
        <w:rPr>
          <w:rFonts w:ascii="Times New Roman" w:hAnsi="Times New Roman" w:cs="Times New Roman"/>
          <w:sz w:val="26"/>
          <w:szCs w:val="26"/>
        </w:rPr>
      </w:pPr>
    </w:p>
    <w:p w:rsidR="12CC1DFD" w:rsidP="2A2D9407" w14:paraId="28F6628B" w14:textId="4AF20A19">
      <w:pPr>
        <w:rPr>
          <w:rFonts w:ascii="Times New Roman" w:eastAsia="Times New Roman" w:hAnsi="Times New Roman" w:cs="Times New Roman"/>
          <w:sz w:val="26"/>
          <w:szCs w:val="26"/>
        </w:rPr>
      </w:pPr>
      <w:r w:rsidRPr="2A2D9407">
        <w:rPr>
          <w:rFonts w:ascii="Times New Roman" w:eastAsia="Times New Roman" w:hAnsi="Times New Roman" w:cs="Times New Roman"/>
          <w:sz w:val="26"/>
          <w:szCs w:val="26"/>
        </w:rPr>
        <w:t>On August 8, 2005, The Electricity Modernization Act of 2005, Title XII of the Energy Policy Act of 2005 (EPAct of 2005), was enacted into law.</w:t>
      </w:r>
      <w:r>
        <w:rPr>
          <w:rStyle w:val="FootnoteReference"/>
          <w:rFonts w:ascii="Times New Roman" w:eastAsia="Times New Roman" w:hAnsi="Times New Roman" w:cs="Times New Roman"/>
          <w:b/>
          <w:bCs/>
          <w:sz w:val="26"/>
          <w:szCs w:val="26"/>
        </w:rPr>
        <w:footnoteReference w:id="3"/>
      </w:r>
      <w:r w:rsidRPr="2A2D9407">
        <w:rPr>
          <w:rFonts w:ascii="Times New Roman" w:eastAsia="Times New Roman" w:hAnsi="Times New Roman" w:cs="Times New Roman"/>
          <w:sz w:val="26"/>
          <w:szCs w:val="26"/>
        </w:rPr>
        <w:t xml:space="preserve"> </w:t>
      </w:r>
      <w:r w:rsidR="00A51E47">
        <w:rPr>
          <w:rFonts w:ascii="Times New Roman" w:eastAsia="Times New Roman" w:hAnsi="Times New Roman" w:cs="Times New Roman"/>
          <w:sz w:val="26"/>
          <w:szCs w:val="26"/>
        </w:rPr>
        <w:t xml:space="preserve"> </w:t>
      </w:r>
      <w:r w:rsidRPr="2A2D9407">
        <w:rPr>
          <w:rFonts w:ascii="Times New Roman" w:eastAsia="Times New Roman" w:hAnsi="Times New Roman" w:cs="Times New Roman"/>
          <w:sz w:val="26"/>
          <w:szCs w:val="26"/>
        </w:rPr>
        <w:t>EPAct of 2005 added a new section 215 to the Federal Power Act (FPA), which requires a Commission-certified Electric Reliability Organization (ERO) to develop mandatory and enforceable Reliability Standards, subject to Commission review and approval.</w:t>
      </w:r>
    </w:p>
    <w:p w:rsidR="00C703C7" w:rsidP="0025459C" w14:paraId="36225017" w14:textId="77777777">
      <w:pPr>
        <w:rPr>
          <w:rFonts w:ascii="Times New Roman" w:eastAsia="Times New Roman" w:hAnsi="Times New Roman" w:cs="Times New Roman"/>
          <w:sz w:val="26"/>
          <w:szCs w:val="26"/>
        </w:rPr>
      </w:pPr>
      <w:r w:rsidRPr="2A2D9407">
        <w:rPr>
          <w:rFonts w:ascii="Times New Roman" w:eastAsia="Times New Roman" w:hAnsi="Times New Roman" w:cs="Times New Roman"/>
          <w:sz w:val="26"/>
          <w:szCs w:val="26"/>
        </w:rPr>
        <w:t xml:space="preserve">Section 215 of the FPA requires the Commission-certified ERO to develop mandatory and enforceable Reliability Standards, subject to Commission review and approval.  Once approved, the Reliability Standards may be enforced in the United States by the ERO subject to Commission oversight, or by the Commission independently.  </w:t>
      </w:r>
    </w:p>
    <w:p w:rsidR="00B9793A" w:rsidP="0025459C" w14:paraId="499EA213" w14:textId="7FF21E46">
      <w:pPr>
        <w:rPr>
          <w:rFonts w:ascii="Times New Roman" w:eastAsia="Times New Roman" w:hAnsi="Times New Roman" w:cs="Times New Roman"/>
          <w:sz w:val="26"/>
          <w:szCs w:val="26"/>
        </w:rPr>
      </w:pPr>
      <w:r w:rsidRPr="2A2D9407">
        <w:rPr>
          <w:rFonts w:ascii="Times New Roman" w:eastAsia="Times New Roman" w:hAnsi="Times New Roman" w:cs="Times New Roman"/>
          <w:sz w:val="26"/>
          <w:szCs w:val="26"/>
        </w:rPr>
        <w:t>Pursuant to the requirements of FPA section 215, the Commission established a process to select and certify an ERO</w:t>
      </w:r>
      <w:r>
        <w:rPr>
          <w:rStyle w:val="FootnoteReference"/>
          <w:rFonts w:ascii="Times New Roman" w:eastAsia="Times New Roman" w:hAnsi="Times New Roman" w:cs="Times New Roman"/>
          <w:b/>
          <w:bCs/>
          <w:sz w:val="26"/>
          <w:szCs w:val="26"/>
        </w:rPr>
        <w:footnoteReference w:id="4"/>
      </w:r>
      <w:r w:rsidRPr="2A2D9407">
        <w:rPr>
          <w:rFonts w:ascii="Times New Roman" w:eastAsia="Times New Roman" w:hAnsi="Times New Roman" w:cs="Times New Roman"/>
          <w:sz w:val="26"/>
          <w:szCs w:val="26"/>
        </w:rPr>
        <w:t xml:space="preserve"> and, subsequently, certified the North American Electric Reliability Corporation (NERC)</w:t>
      </w:r>
      <w:r w:rsidRPr="2A2D9407" w:rsidR="0025459C">
        <w:rPr>
          <w:rFonts w:ascii="Times New Roman" w:eastAsia="Times New Roman" w:hAnsi="Times New Roman" w:cs="Times New Roman"/>
          <w:sz w:val="26"/>
          <w:szCs w:val="26"/>
        </w:rPr>
        <w:t xml:space="preserve"> </w:t>
      </w:r>
      <w:r w:rsidRPr="2A2D9407">
        <w:rPr>
          <w:rFonts w:ascii="Times New Roman" w:eastAsia="Times New Roman" w:hAnsi="Times New Roman" w:cs="Times New Roman"/>
          <w:sz w:val="26"/>
          <w:szCs w:val="26"/>
        </w:rPr>
        <w:t xml:space="preserve">as the ERO. </w:t>
      </w:r>
      <w:r w:rsidR="00C5506E">
        <w:rPr>
          <w:rFonts w:ascii="Times New Roman" w:eastAsia="Times New Roman" w:hAnsi="Times New Roman" w:cs="Times New Roman"/>
          <w:sz w:val="26"/>
          <w:szCs w:val="26"/>
        </w:rPr>
        <w:t xml:space="preserve"> </w:t>
      </w:r>
      <w:r w:rsidRPr="2A2D9407">
        <w:rPr>
          <w:rFonts w:ascii="Times New Roman" w:eastAsia="Times New Roman" w:hAnsi="Times New Roman" w:cs="Times New Roman"/>
          <w:sz w:val="26"/>
          <w:szCs w:val="26"/>
        </w:rPr>
        <w:t>Pursuant to Section 215(d)(1) of the FPA and 18 CFR 39.5, the NERC is authorized to submit for Commission approval proposed Reliability Standards, and to propose revision or retirement of such standards.</w:t>
      </w:r>
    </w:p>
    <w:p w:rsidR="00454AA3" w:rsidRPr="0025459C" w:rsidP="0025459C" w14:paraId="54B78BD8" w14:textId="6A1DF733">
      <w:r>
        <w:rPr>
          <w:rFonts w:ascii="Times New Roman" w:eastAsia="Times New Roman" w:hAnsi="Times New Roman" w:cs="Times New Roman"/>
          <w:sz w:val="26"/>
          <w:szCs w:val="26"/>
        </w:rPr>
        <w:t xml:space="preserve">On February </w:t>
      </w:r>
      <w:r w:rsidR="00F67126">
        <w:rPr>
          <w:rFonts w:ascii="Times New Roman" w:eastAsia="Times New Roman" w:hAnsi="Times New Roman" w:cs="Times New Roman"/>
          <w:sz w:val="26"/>
          <w:szCs w:val="26"/>
        </w:rPr>
        <w:t>19</w:t>
      </w:r>
      <w:r>
        <w:rPr>
          <w:rFonts w:ascii="Times New Roman" w:eastAsia="Times New Roman" w:hAnsi="Times New Roman" w:cs="Times New Roman"/>
          <w:sz w:val="26"/>
          <w:szCs w:val="26"/>
        </w:rPr>
        <w:t xml:space="preserve">, 2026, the Commission issued an </w:t>
      </w:r>
      <w:r w:rsidRPr="47073EDB">
        <w:rPr>
          <w:rFonts w:ascii="Times New Roman" w:eastAsia="Times New Roman" w:hAnsi="Times New Roman" w:cs="Times New Roman"/>
          <w:sz w:val="26"/>
          <w:szCs w:val="26"/>
        </w:rPr>
        <w:t>order</w:t>
      </w:r>
      <w:r>
        <w:rPr>
          <w:rFonts w:ascii="Times New Roman" w:eastAsia="Times New Roman" w:hAnsi="Times New Roman" w:cs="Times New Roman"/>
          <w:sz w:val="26"/>
          <w:szCs w:val="26"/>
        </w:rPr>
        <w:t xml:space="preserve"> in Docket No.</w:t>
      </w:r>
      <w:r w:rsidRPr="47073EDB">
        <w:rPr>
          <w:rFonts w:ascii="Times New Roman" w:eastAsia="Times New Roman" w:hAnsi="Times New Roman" w:cs="Times New Roman"/>
          <w:sz w:val="26"/>
          <w:szCs w:val="26"/>
        </w:rPr>
        <w:t xml:space="preserve"> RD2</w:t>
      </w:r>
      <w:r>
        <w:rPr>
          <w:rFonts w:ascii="Times New Roman" w:eastAsia="Times New Roman" w:hAnsi="Times New Roman" w:cs="Times New Roman"/>
          <w:sz w:val="26"/>
          <w:szCs w:val="26"/>
        </w:rPr>
        <w:t>6</w:t>
      </w:r>
      <w:r w:rsidRPr="47073EDB">
        <w:rPr>
          <w:rFonts w:ascii="Times New Roman" w:eastAsia="Times New Roman" w:hAnsi="Times New Roman" w:cs="Times New Roman"/>
          <w:sz w:val="26"/>
          <w:szCs w:val="26"/>
        </w:rPr>
        <w:t>-</w:t>
      </w:r>
      <w:r>
        <w:rPr>
          <w:rFonts w:ascii="Times New Roman" w:eastAsia="Times New Roman" w:hAnsi="Times New Roman" w:cs="Times New Roman"/>
          <w:sz w:val="26"/>
          <w:szCs w:val="26"/>
        </w:rPr>
        <w:t>1</w:t>
      </w:r>
      <w:r w:rsidRPr="47073EDB">
        <w:rPr>
          <w:rFonts w:ascii="Times New Roman" w:eastAsia="Times New Roman" w:hAnsi="Times New Roman" w:cs="Times New Roman"/>
          <w:sz w:val="26"/>
          <w:szCs w:val="26"/>
        </w:rPr>
        <w:t xml:space="preserve">-000, </w:t>
      </w:r>
      <w:r w:rsidRPr="2618ED96">
        <w:rPr>
          <w:rFonts w:ascii="Times New Roman" w:eastAsia="Times New Roman" w:hAnsi="Times New Roman" w:cs="Times New Roman"/>
          <w:sz w:val="26"/>
          <w:szCs w:val="26"/>
        </w:rPr>
        <w:t>approv</w:t>
      </w:r>
      <w:r>
        <w:rPr>
          <w:rFonts w:ascii="Times New Roman" w:eastAsia="Times New Roman" w:hAnsi="Times New Roman" w:cs="Times New Roman"/>
          <w:sz w:val="26"/>
          <w:szCs w:val="26"/>
        </w:rPr>
        <w:t>ing Reliability Standard IRO-010-6</w:t>
      </w:r>
      <w:r w:rsidR="006C73EC">
        <w:rPr>
          <w:rFonts w:ascii="Times New Roman" w:eastAsia="Times New Roman" w:hAnsi="Times New Roman" w:cs="Times New Roman"/>
          <w:sz w:val="26"/>
          <w:szCs w:val="26"/>
        </w:rPr>
        <w:t xml:space="preserve"> (</w:t>
      </w:r>
      <w:r w:rsidRPr="006C73EC" w:rsidR="006C73EC">
        <w:rPr>
          <w:rFonts w:ascii="Times New Roman" w:eastAsia="Times New Roman" w:hAnsi="Times New Roman" w:cs="Times New Roman"/>
          <w:sz w:val="26"/>
          <w:szCs w:val="26"/>
        </w:rPr>
        <w:t xml:space="preserve">Reliability Coordinator Data and Information </w:t>
      </w:r>
      <w:r w:rsidRPr="006C73EC" w:rsidR="006C73EC">
        <w:rPr>
          <w:rFonts w:ascii="Times New Roman" w:eastAsia="Times New Roman" w:hAnsi="Times New Roman" w:cs="Times New Roman"/>
          <w:sz w:val="26"/>
          <w:szCs w:val="26"/>
        </w:rPr>
        <w:t>Specification and Collection</w:t>
      </w:r>
      <w:r w:rsidR="006C73EC">
        <w:rPr>
          <w:rFonts w:ascii="Times New Roman" w:eastAsia="Times New Roman" w:hAnsi="Times New Roman" w:cs="Times New Roman"/>
          <w:sz w:val="26"/>
          <w:szCs w:val="26"/>
        </w:rPr>
        <w:t>) to require reliability coordinators to maintain inverter-based resources (IBR) specific data</w:t>
      </w:r>
      <w:r>
        <w:rPr>
          <w:rFonts w:ascii="Times New Roman" w:eastAsia="Times New Roman" w:hAnsi="Times New Roman" w:cs="Times New Roman"/>
          <w:sz w:val="26"/>
          <w:szCs w:val="26"/>
        </w:rPr>
        <w:t>.</w:t>
      </w:r>
    </w:p>
    <w:p w:rsidR="00480B05" w:rsidRPr="00D0606B" w:rsidP="0091117A" w14:paraId="2BA90143" w14:textId="77777777">
      <w:pPr>
        <w:pStyle w:val="ListParagraph"/>
        <w:numPr>
          <w:ilvl w:val="0"/>
          <w:numId w:val="2"/>
        </w:numPr>
        <w:spacing w:after="0"/>
        <w:rPr>
          <w:rFonts w:ascii="Times New Roman" w:hAnsi="Times New Roman" w:cs="Times New Roman"/>
          <w:b/>
          <w:sz w:val="26"/>
          <w:szCs w:val="26"/>
        </w:rPr>
      </w:pPr>
      <w:r w:rsidRPr="00D0606B">
        <w:rPr>
          <w:rFonts w:ascii="Times New Roman" w:hAnsi="Times New Roman" w:cs="Times New Roman"/>
          <w:b/>
          <w:sz w:val="26"/>
          <w:szCs w:val="26"/>
        </w:rPr>
        <w:t>HOW, BY WHOM, AND FOR WHAT PURPOSE THE INFORMATION IS TO BE USED AND THE CONSEQUENCES OF NOT COLLECTING THE INFORMATION</w:t>
      </w:r>
    </w:p>
    <w:p w:rsidR="00667366" w:rsidP="0091117A" w14:paraId="4661DC51" w14:textId="77777777">
      <w:pPr>
        <w:spacing w:after="0" w:line="240" w:lineRule="auto"/>
        <w:rPr>
          <w:rFonts w:ascii="Times New Roman" w:hAnsi="Times New Roman" w:cs="Times New Roman"/>
          <w:sz w:val="26"/>
          <w:szCs w:val="26"/>
        </w:rPr>
      </w:pPr>
    </w:p>
    <w:p w:rsidR="00F3604E" w:rsidRPr="00E55C04" w:rsidP="0091117A" w14:paraId="0DA2417B" w14:textId="7DFD0B3B">
      <w:pPr>
        <w:spacing w:after="0" w:line="240" w:lineRule="auto"/>
        <w:rPr>
          <w:rFonts w:ascii="Times New Roman" w:hAnsi="Times New Roman" w:cs="Times New Roman"/>
          <w:b/>
          <w:bCs/>
          <w:sz w:val="26"/>
          <w:szCs w:val="26"/>
        </w:rPr>
      </w:pPr>
      <w:r w:rsidRPr="00E55C04">
        <w:rPr>
          <w:rFonts w:ascii="Times New Roman" w:hAnsi="Times New Roman" w:cs="Times New Roman"/>
          <w:b/>
          <w:bCs/>
          <w:sz w:val="26"/>
          <w:szCs w:val="26"/>
        </w:rPr>
        <w:t>RD2</w:t>
      </w:r>
      <w:r w:rsidRPr="00E55C04" w:rsidR="006E411F">
        <w:rPr>
          <w:rFonts w:ascii="Times New Roman" w:hAnsi="Times New Roman" w:cs="Times New Roman"/>
          <w:b/>
          <w:bCs/>
          <w:sz w:val="26"/>
          <w:szCs w:val="26"/>
        </w:rPr>
        <w:t>6-1-000</w:t>
      </w:r>
      <w:r w:rsidRPr="00E55C04">
        <w:rPr>
          <w:rFonts w:ascii="Times New Roman" w:hAnsi="Times New Roman" w:cs="Times New Roman"/>
          <w:b/>
          <w:bCs/>
          <w:sz w:val="26"/>
          <w:szCs w:val="26"/>
        </w:rPr>
        <w:t xml:space="preserve"> for IRO-010-</w:t>
      </w:r>
      <w:r w:rsidRPr="00E55C04" w:rsidR="006E411F">
        <w:rPr>
          <w:rFonts w:ascii="Times New Roman" w:hAnsi="Times New Roman" w:cs="Times New Roman"/>
          <w:b/>
          <w:bCs/>
          <w:sz w:val="26"/>
          <w:szCs w:val="26"/>
        </w:rPr>
        <w:t>6</w:t>
      </w:r>
    </w:p>
    <w:p w:rsidR="00667366" w:rsidRPr="00D0606B" w:rsidP="0091117A" w14:paraId="344AF907" w14:textId="77777777">
      <w:pPr>
        <w:spacing w:after="0" w:line="240" w:lineRule="auto"/>
        <w:rPr>
          <w:rFonts w:ascii="Times New Roman" w:hAnsi="Times New Roman" w:cs="Times New Roman"/>
          <w:sz w:val="26"/>
          <w:szCs w:val="26"/>
        </w:rPr>
      </w:pPr>
    </w:p>
    <w:p w:rsidR="0091117A" w:rsidRPr="00D0606B" w:rsidP="0091117A" w14:paraId="24B6D2DE" w14:textId="5A643293">
      <w:pPr>
        <w:spacing w:after="0" w:line="240" w:lineRule="auto"/>
        <w:rPr>
          <w:rFonts w:ascii="Times New Roman" w:hAnsi="Times New Roman" w:cs="Times New Roman"/>
          <w:sz w:val="26"/>
          <w:szCs w:val="26"/>
        </w:rPr>
      </w:pPr>
      <w:r w:rsidRPr="2A2D9407">
        <w:rPr>
          <w:rFonts w:ascii="Times New Roman" w:hAnsi="Times New Roman" w:cs="Times New Roman"/>
          <w:sz w:val="26"/>
          <w:szCs w:val="26"/>
        </w:rPr>
        <w:t>In general, information collection and record retention requirements related to Reliability Standards are not submitted to</w:t>
      </w:r>
      <w:r w:rsidRPr="2A2D9407" w:rsidR="3DC2084D">
        <w:rPr>
          <w:rFonts w:ascii="Times New Roman" w:hAnsi="Times New Roman" w:cs="Times New Roman"/>
          <w:sz w:val="26"/>
          <w:szCs w:val="26"/>
        </w:rPr>
        <w:t xml:space="preserve"> </w:t>
      </w:r>
      <w:r w:rsidRPr="2A2D9407">
        <w:rPr>
          <w:rFonts w:ascii="Times New Roman" w:hAnsi="Times New Roman" w:cs="Times New Roman"/>
          <w:sz w:val="26"/>
          <w:szCs w:val="26"/>
        </w:rPr>
        <w:t xml:space="preserve">or retained for audit by </w:t>
      </w:r>
      <w:r w:rsidRPr="2A2D9407" w:rsidR="022A71CE">
        <w:rPr>
          <w:rFonts w:ascii="Times New Roman" w:hAnsi="Times New Roman" w:cs="Times New Roman"/>
          <w:sz w:val="26"/>
          <w:szCs w:val="26"/>
        </w:rPr>
        <w:t>the Commission</w:t>
      </w:r>
      <w:r w:rsidRPr="2A2D9407">
        <w:rPr>
          <w:rFonts w:ascii="Times New Roman" w:hAnsi="Times New Roman" w:cs="Times New Roman"/>
          <w:sz w:val="26"/>
          <w:szCs w:val="26"/>
        </w:rPr>
        <w:t>.  Rather they are submitted to or retained for audit by</w:t>
      </w:r>
      <w:r w:rsidRPr="2A2D9407" w:rsidR="3DC2084D">
        <w:rPr>
          <w:rFonts w:ascii="Times New Roman" w:hAnsi="Times New Roman" w:cs="Times New Roman"/>
          <w:sz w:val="26"/>
          <w:szCs w:val="26"/>
        </w:rPr>
        <w:t xml:space="preserve"> </w:t>
      </w:r>
      <w:r w:rsidRPr="2A2D9407">
        <w:rPr>
          <w:rFonts w:ascii="Times New Roman" w:hAnsi="Times New Roman" w:cs="Times New Roman"/>
          <w:sz w:val="26"/>
          <w:szCs w:val="26"/>
        </w:rPr>
        <w:t xml:space="preserve">NERC </w:t>
      </w:r>
      <w:r w:rsidRPr="2A2D9407" w:rsidR="022A71CE">
        <w:rPr>
          <w:rFonts w:ascii="Times New Roman" w:hAnsi="Times New Roman" w:cs="Times New Roman"/>
          <w:sz w:val="26"/>
          <w:szCs w:val="26"/>
        </w:rPr>
        <w:t xml:space="preserve">(the Commission-approved ERO) </w:t>
      </w:r>
      <w:r w:rsidRPr="2A2D9407">
        <w:rPr>
          <w:rFonts w:ascii="Times New Roman" w:hAnsi="Times New Roman" w:cs="Times New Roman"/>
          <w:sz w:val="26"/>
          <w:szCs w:val="26"/>
        </w:rPr>
        <w:t>or the Compliance Enforcement Authority, as specified in each individual Reliability Standard.</w:t>
      </w:r>
    </w:p>
    <w:p w:rsidR="0091117A" w:rsidP="0091117A" w14:paraId="14C4578E" w14:textId="4AF9D501">
      <w:pPr>
        <w:spacing w:after="0"/>
        <w:rPr>
          <w:rFonts w:ascii="Times New Roman" w:hAnsi="Times New Roman" w:cs="Times New Roman"/>
          <w:b/>
          <w:sz w:val="26"/>
          <w:szCs w:val="26"/>
        </w:rPr>
      </w:pPr>
    </w:p>
    <w:p w:rsidR="006E411F" w:rsidRPr="008442A0" w:rsidP="00125AD0" w14:paraId="58965B2B"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Calibri" w:hAnsi="Times New Roman" w:cs="Times New Roman"/>
          <w:color w:val="000000"/>
          <w:sz w:val="26"/>
          <w:szCs w:val="26"/>
        </w:rPr>
      </w:pPr>
    </w:p>
    <w:p w:rsidR="002972AD" w:rsidRPr="002972AD" w:rsidP="002972AD" w14:paraId="4FC77E52" w14:textId="1C40526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Calibri" w:hAnsi="Times New Roman" w:cs="Times New Roman"/>
          <w:color w:val="000000"/>
          <w:sz w:val="26"/>
          <w:szCs w:val="26"/>
        </w:rPr>
      </w:pPr>
      <w:r w:rsidRPr="002972AD">
        <w:rPr>
          <w:rFonts w:ascii="Times New Roman" w:eastAsia="Calibri" w:hAnsi="Times New Roman" w:cs="Times New Roman"/>
          <w:color w:val="000000"/>
          <w:sz w:val="26"/>
          <w:szCs w:val="26"/>
        </w:rPr>
        <w:t>NERC states that the purpose of proposed Reliability Standard IRO-010-6 is “to prevent instability, uncontrolled separation, or [c]ascading outages that adversely impact reliability, by ensuring each [r]eliability [c]oordinator has the data and information it needs to plan, monitor and assess the operation of its [r]eliability [c]oordinator [a]rea.”</w:t>
      </w:r>
      <w:r>
        <w:rPr>
          <w:rFonts w:ascii="Times New Roman" w:eastAsia="Calibri" w:hAnsi="Times New Roman" w:cs="Times New Roman"/>
          <w:b/>
          <w:color w:val="000000"/>
          <w:sz w:val="26"/>
          <w:szCs w:val="26"/>
          <w:vertAlign w:val="superscript"/>
        </w:rPr>
        <w:footnoteReference w:id="5"/>
      </w:r>
      <w:r w:rsidRPr="002972AD">
        <w:rPr>
          <w:rFonts w:ascii="Times New Roman" w:eastAsia="Calibri" w:hAnsi="Times New Roman" w:cs="Times New Roman"/>
          <w:color w:val="000000"/>
          <w:sz w:val="26"/>
          <w:szCs w:val="26"/>
        </w:rPr>
        <w:t xml:space="preserve">  NERC states that the purpose of proposed Reliability Standard TOP-003-8 is “to ensure that each [t]ransmission [o]perator and [b]alancing [a]uthority has the data and information it needs to plan, monitor, and assess the operation of its [t]ransmission [o]perator [a]rea or [b]alancing [a]uthority [a]rea.”</w:t>
      </w:r>
      <w:r>
        <w:rPr>
          <w:rFonts w:ascii="Times New Roman" w:eastAsia="Calibri" w:hAnsi="Times New Roman" w:cs="Times New Roman"/>
          <w:b/>
          <w:color w:val="000000"/>
          <w:sz w:val="26"/>
          <w:szCs w:val="26"/>
          <w:vertAlign w:val="superscript"/>
        </w:rPr>
        <w:footnoteReference w:id="6"/>
      </w:r>
      <w:r w:rsidRPr="002972AD">
        <w:rPr>
          <w:rFonts w:ascii="Times New Roman" w:eastAsia="Calibri" w:hAnsi="Times New Roman" w:cs="Times New Roman"/>
          <w:color w:val="000000"/>
          <w:sz w:val="26"/>
          <w:szCs w:val="26"/>
        </w:rPr>
        <w:t xml:space="preserve"> </w:t>
      </w:r>
    </w:p>
    <w:p w:rsidR="0023089B" w:rsidP="0023089B" w14:paraId="40A54F5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Calibri" w:hAnsi="Times New Roman" w:cs="Times New Roman"/>
          <w:color w:val="000000"/>
          <w:sz w:val="26"/>
          <w:szCs w:val="26"/>
        </w:rPr>
      </w:pPr>
    </w:p>
    <w:p w:rsidR="00F0510F" w:rsidRPr="00E55C04" w:rsidP="00E55C04" w14:paraId="3AA71D8E" w14:textId="64D4A8D5">
      <w:pPr>
        <w:pStyle w:val="FERCparanumber"/>
        <w:numPr>
          <w:ilvl w:val="0"/>
          <w:numId w:val="0"/>
        </w:numPr>
      </w:pPr>
      <w:r>
        <w:t xml:space="preserve">The Commission approved </w:t>
      </w:r>
      <w:r>
        <w:t>NERC</w:t>
      </w:r>
      <w:r>
        <w:t>’s</w:t>
      </w:r>
      <w:r>
        <w:t xml:space="preserve"> minor modifications to proposed Reliability Standards IRO-010-6 and TOP-003-8 to </w:t>
      </w:r>
      <w:r w:rsidRPr="004F5910">
        <w:t xml:space="preserve">add “Inverter-based Resource (IBR)-specific data and parameters” to the list of information </w:t>
      </w:r>
      <w:r>
        <w:t xml:space="preserve">reliability coordinators, transmission operators, and balancing authorities </w:t>
      </w:r>
      <w:r w:rsidRPr="004F5910">
        <w:t xml:space="preserve">must address in </w:t>
      </w:r>
      <w:r>
        <w:t>their</w:t>
      </w:r>
      <w:r w:rsidRPr="004F5910">
        <w:t xml:space="preserve"> documented data specifications</w:t>
      </w:r>
      <w:r>
        <w:t>.</w:t>
      </w:r>
      <w:r>
        <w:rPr>
          <w:rStyle w:val="FootnoteReference"/>
          <w:b/>
          <w:bCs/>
        </w:rPr>
        <w:footnoteReference w:id="7"/>
      </w:r>
      <w:r>
        <w:t xml:space="preserve">  Additionally, both Reliability Standards</w:t>
      </w:r>
      <w:r>
        <w:t xml:space="preserve"> now</w:t>
      </w:r>
      <w:r>
        <w:t xml:space="preserve"> include a new proposed Requirement that specifies that requirements for model submission for reliability coordinators, transmission operators, and balancing authorities are to be consistent with “the model submitted for planning purposes, subject to modifications for operations purposes, as applicable.”</w:t>
      </w:r>
      <w:r>
        <w:rPr>
          <w:rStyle w:val="FootnoteReference"/>
          <w:b/>
          <w:bCs/>
        </w:rPr>
        <w:footnoteReference w:id="8"/>
      </w:r>
      <w:r>
        <w:t xml:space="preserve">  </w:t>
      </w:r>
    </w:p>
    <w:p w:rsidR="00A778BA" w:rsidP="00A778BA" w14:paraId="635EFB2E" w14:textId="05AEBE02">
      <w:pPr>
        <w:spacing w:after="0"/>
        <w:rPr>
          <w:rFonts w:ascii="Times New Roman" w:hAnsi="Times New Roman" w:cs="Times New Roman"/>
          <w:sz w:val="26"/>
          <w:szCs w:val="26"/>
        </w:rPr>
      </w:pPr>
      <w:r>
        <w:rPr>
          <w:rFonts w:ascii="Times New Roman" w:hAnsi="Times New Roman" w:cs="Times New Roman"/>
          <w:sz w:val="26"/>
          <w:szCs w:val="26"/>
        </w:rPr>
        <w:t xml:space="preserve">The Commission also approved </w:t>
      </w:r>
      <w:r w:rsidRPr="00FF76D3" w:rsidR="00FF76D3">
        <w:rPr>
          <w:rFonts w:ascii="Times New Roman" w:hAnsi="Times New Roman" w:cs="Times New Roman"/>
          <w:sz w:val="26"/>
          <w:szCs w:val="26"/>
        </w:rPr>
        <w:t>NERC</w:t>
      </w:r>
      <w:r>
        <w:rPr>
          <w:rFonts w:ascii="Times New Roman" w:hAnsi="Times New Roman" w:cs="Times New Roman"/>
          <w:sz w:val="26"/>
          <w:szCs w:val="26"/>
        </w:rPr>
        <w:t>’s</w:t>
      </w:r>
      <w:r w:rsidRPr="00FF76D3" w:rsidR="00FF76D3">
        <w:rPr>
          <w:rFonts w:ascii="Times New Roman" w:hAnsi="Times New Roman" w:cs="Times New Roman"/>
          <w:sz w:val="26"/>
          <w:szCs w:val="26"/>
        </w:rPr>
        <w:t xml:space="preserve"> associated implementation plans, violation risk factors, and violation severity levels for Reliability Standard</w:t>
      </w:r>
      <w:r w:rsidR="00FF76D3">
        <w:rPr>
          <w:rFonts w:ascii="Times New Roman" w:hAnsi="Times New Roman" w:cs="Times New Roman"/>
          <w:sz w:val="26"/>
          <w:szCs w:val="26"/>
        </w:rPr>
        <w:t xml:space="preserve"> </w:t>
      </w:r>
      <w:r w:rsidRPr="00FF76D3" w:rsidR="00FF76D3">
        <w:rPr>
          <w:rFonts w:ascii="Times New Roman" w:hAnsi="Times New Roman" w:cs="Times New Roman"/>
          <w:sz w:val="26"/>
          <w:szCs w:val="26"/>
        </w:rPr>
        <w:t xml:space="preserve">IRO-010-6.  In addition, the </w:t>
      </w:r>
      <w:r w:rsidR="00BD2AA0">
        <w:rPr>
          <w:rFonts w:ascii="Times New Roman" w:hAnsi="Times New Roman" w:cs="Times New Roman"/>
          <w:sz w:val="26"/>
          <w:szCs w:val="26"/>
        </w:rPr>
        <w:t>Commission approved</w:t>
      </w:r>
      <w:r w:rsidR="0036753C">
        <w:rPr>
          <w:rFonts w:ascii="Times New Roman" w:hAnsi="Times New Roman" w:cs="Times New Roman"/>
          <w:sz w:val="26"/>
          <w:szCs w:val="26"/>
        </w:rPr>
        <w:t xml:space="preserve"> </w:t>
      </w:r>
      <w:r w:rsidRPr="00FF76D3" w:rsidR="00FF76D3">
        <w:rPr>
          <w:rFonts w:ascii="Times New Roman" w:hAnsi="Times New Roman" w:cs="Times New Roman"/>
          <w:sz w:val="26"/>
          <w:szCs w:val="26"/>
        </w:rPr>
        <w:t>the retirement of currently effective Reliability Standard</w:t>
      </w:r>
      <w:r w:rsidR="00FF76D3">
        <w:rPr>
          <w:rFonts w:ascii="Times New Roman" w:hAnsi="Times New Roman" w:cs="Times New Roman"/>
          <w:sz w:val="26"/>
          <w:szCs w:val="26"/>
        </w:rPr>
        <w:t xml:space="preserve"> </w:t>
      </w:r>
      <w:r w:rsidRPr="00FF76D3" w:rsidR="00FF76D3">
        <w:rPr>
          <w:rFonts w:ascii="Times New Roman" w:hAnsi="Times New Roman" w:cs="Times New Roman"/>
          <w:sz w:val="26"/>
          <w:szCs w:val="26"/>
        </w:rPr>
        <w:t>IRO-010-5</w:t>
      </w:r>
      <w:r w:rsidR="00FF76D3">
        <w:rPr>
          <w:rFonts w:ascii="Times New Roman" w:hAnsi="Times New Roman" w:cs="Times New Roman"/>
          <w:sz w:val="26"/>
          <w:szCs w:val="26"/>
        </w:rPr>
        <w:t>.</w:t>
      </w:r>
    </w:p>
    <w:p w:rsidR="00FF76D3" w:rsidRPr="000859F1" w:rsidP="00A778BA" w14:paraId="0CCF6D63" w14:textId="77777777">
      <w:pPr>
        <w:spacing w:after="0"/>
        <w:rPr>
          <w:rFonts w:ascii="Times New Roman" w:hAnsi="Times New Roman" w:cs="Times New Roman"/>
          <w:sz w:val="26"/>
          <w:szCs w:val="26"/>
        </w:rPr>
      </w:pPr>
    </w:p>
    <w:p w:rsidR="0091117A" w:rsidRPr="00D0606B" w:rsidP="0091117A" w14:paraId="414D2037" w14:textId="77777777">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DESCRIBE ANY CONSIDERATION OF THE USE OF IMPROVED INFORMATION TECHNOLOGY TO REDUCE THE BURDEN AND TECHNICAL OR LEGAL OBSTACLES TO REDUCING BURDEN</w:t>
      </w:r>
    </w:p>
    <w:p w:rsidR="0091117A" w:rsidRPr="00D0606B" w:rsidP="0091117A" w14:paraId="46D9C65B" w14:textId="393A4712">
      <w:pPr>
        <w:spacing w:after="0" w:line="240" w:lineRule="auto"/>
        <w:rPr>
          <w:rFonts w:ascii="Times New Roman" w:hAnsi="Times New Roman" w:cs="Times New Roman"/>
          <w:b/>
          <w:sz w:val="26"/>
          <w:szCs w:val="26"/>
        </w:rPr>
      </w:pPr>
    </w:p>
    <w:p w:rsidR="00E52A6D" w:rsidRPr="00D0606B" w:rsidP="0091117A" w14:paraId="78240E44" w14:textId="2775D47F">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The use of current or improved technology and the medium are not covered in Reliability Standards</w:t>
      </w:r>
      <w:r w:rsidRPr="00D0606B" w:rsidR="00D0606B">
        <w:rPr>
          <w:rFonts w:ascii="Times New Roman" w:hAnsi="Times New Roman" w:cs="Times New Roman"/>
          <w:sz w:val="26"/>
          <w:szCs w:val="26"/>
        </w:rPr>
        <w:t>.</w:t>
      </w:r>
      <w:r w:rsidRPr="00D0606B">
        <w:rPr>
          <w:rFonts w:ascii="Times New Roman" w:hAnsi="Times New Roman" w:cs="Times New Roman"/>
          <w:sz w:val="26"/>
          <w:szCs w:val="26"/>
        </w:rPr>
        <w:t xml:space="preserve"> </w:t>
      </w:r>
      <w:r w:rsidR="0094687B">
        <w:rPr>
          <w:rFonts w:ascii="Times New Roman" w:hAnsi="Times New Roman" w:cs="Times New Roman"/>
          <w:sz w:val="26"/>
          <w:szCs w:val="26"/>
        </w:rPr>
        <w:t xml:space="preserve"> </w:t>
      </w:r>
      <w:r w:rsidRPr="2A2D9407">
        <w:rPr>
          <w:rFonts w:ascii="Times New Roman" w:hAnsi="Times New Roman" w:cs="Times New Roman"/>
          <w:sz w:val="26"/>
          <w:szCs w:val="26"/>
        </w:rPr>
        <w:t xml:space="preserve">We think that nearly </w:t>
      </w:r>
      <w:r w:rsidRPr="2A2D9407" w:rsidR="00520139">
        <w:rPr>
          <w:rFonts w:ascii="Times New Roman" w:hAnsi="Times New Roman" w:cs="Times New Roman"/>
          <w:sz w:val="26"/>
          <w:szCs w:val="26"/>
        </w:rPr>
        <w:t>all</w:t>
      </w:r>
      <w:r w:rsidRPr="2A2D9407">
        <w:rPr>
          <w:rFonts w:ascii="Times New Roman" w:hAnsi="Times New Roman" w:cs="Times New Roman"/>
          <w:sz w:val="26"/>
          <w:szCs w:val="26"/>
        </w:rPr>
        <w:t xml:space="preserve"> the respondents are likely to make and keep related records in an electronic format.  Each of the </w:t>
      </w:r>
      <w:r w:rsidR="00E27B91">
        <w:rPr>
          <w:rFonts w:ascii="Times New Roman" w:hAnsi="Times New Roman" w:cs="Times New Roman"/>
          <w:sz w:val="26"/>
          <w:szCs w:val="26"/>
        </w:rPr>
        <w:t>six</w:t>
      </w:r>
      <w:r w:rsidRPr="2A2D9407" w:rsidR="3E665DC3">
        <w:rPr>
          <w:rFonts w:ascii="Times New Roman" w:hAnsi="Times New Roman" w:cs="Times New Roman"/>
          <w:sz w:val="26"/>
          <w:szCs w:val="26"/>
        </w:rPr>
        <w:t xml:space="preserve"> </w:t>
      </w:r>
      <w:r w:rsidRPr="2A2D9407">
        <w:rPr>
          <w:rFonts w:ascii="Times New Roman" w:hAnsi="Times New Roman" w:cs="Times New Roman"/>
          <w:sz w:val="26"/>
          <w:szCs w:val="26"/>
        </w:rPr>
        <w:t xml:space="preserve">Regional Entities </w:t>
      </w:r>
      <w:r w:rsidRPr="2A2D9407" w:rsidR="2C78341D">
        <w:rPr>
          <w:rFonts w:ascii="Times New Roman" w:hAnsi="Times New Roman" w:cs="Times New Roman"/>
          <w:sz w:val="26"/>
          <w:szCs w:val="26"/>
        </w:rPr>
        <w:t>possesses</w:t>
      </w:r>
      <w:r w:rsidRPr="2A2D9407" w:rsidR="430CB0F6">
        <w:rPr>
          <w:rFonts w:ascii="Times New Roman" w:hAnsi="Times New Roman" w:cs="Times New Roman"/>
          <w:sz w:val="26"/>
          <w:szCs w:val="26"/>
        </w:rPr>
        <w:t xml:space="preserve"> </w:t>
      </w:r>
      <w:r w:rsidRPr="2A2D9407">
        <w:rPr>
          <w:rFonts w:ascii="Times New Roman" w:hAnsi="Times New Roman" w:cs="Times New Roman"/>
          <w:sz w:val="26"/>
          <w:szCs w:val="26"/>
        </w:rPr>
        <w:t>a well-established compliance portal for registered entities to electronically submit compliance information and reports.  The compliance portals allow documents developed by the registered entities to be attached and uploaded to the Regional Entity’s portal.  Compliance data can also be submitted by filling out data forms on the portals.  These portals are accessible through an internet browser password-protected user interface.</w:t>
      </w:r>
      <w:r w:rsidR="00FB45C9">
        <w:rPr>
          <w:rFonts w:ascii="Times New Roman" w:hAnsi="Times New Roman" w:cs="Times New Roman"/>
          <w:sz w:val="26"/>
          <w:szCs w:val="26"/>
        </w:rPr>
        <w:t xml:space="preserve"> </w:t>
      </w:r>
      <w:r w:rsidRPr="00D0606B">
        <w:rPr>
          <w:rFonts w:ascii="Times New Roman" w:hAnsi="Times New Roman" w:cs="Times New Roman"/>
          <w:sz w:val="26"/>
          <w:szCs w:val="26"/>
        </w:rPr>
        <w:t>In general, the Commission supports the use of information technology to reduce burden.</w:t>
      </w:r>
    </w:p>
    <w:p w:rsidR="008A35C5" w:rsidRPr="00D0606B" w:rsidP="0091117A" w14:paraId="1A4439B8" w14:textId="77777777">
      <w:pPr>
        <w:spacing w:after="0" w:line="240" w:lineRule="auto"/>
        <w:rPr>
          <w:rFonts w:ascii="Times New Roman" w:hAnsi="Times New Roman" w:cs="Times New Roman"/>
          <w:sz w:val="26"/>
          <w:szCs w:val="26"/>
        </w:rPr>
      </w:pPr>
    </w:p>
    <w:p w:rsidR="0091117A" w:rsidRPr="00D0606B" w:rsidP="0091117A" w14:paraId="46671ACA" w14:textId="77777777">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DESCRIBE EFFORTS TO IDENTIFY DUPLICATION AND SHOW SPECIFICALLY WHY ANY SIMILAR INFORMATION ALREADY AVAILABLE CANNOT BE USED OR MODIFIED FOR USE FOR THE PURPOSE(S) DESCRIBED IN INSTRUCTION NO. 2</w:t>
      </w:r>
    </w:p>
    <w:p w:rsidR="0091117A" w:rsidRPr="00D0606B" w:rsidP="0091117A" w14:paraId="7C7B9424" w14:textId="77777777">
      <w:pPr>
        <w:spacing w:after="0" w:line="240" w:lineRule="auto"/>
        <w:rPr>
          <w:rFonts w:ascii="Times New Roman" w:hAnsi="Times New Roman" w:cs="Times New Roman"/>
          <w:sz w:val="26"/>
          <w:szCs w:val="26"/>
        </w:rPr>
      </w:pPr>
    </w:p>
    <w:p w:rsidR="00F07703" w:rsidRPr="00D0606B" w:rsidP="008A35C5" w14:paraId="4CC1F58A" w14:textId="21521587">
      <w:pPr>
        <w:spacing w:after="0" w:line="240" w:lineRule="auto"/>
        <w:rPr>
          <w:rFonts w:ascii="Times New Roman" w:hAnsi="Times New Roman" w:cs="Times New Roman"/>
          <w:sz w:val="26"/>
          <w:szCs w:val="26"/>
        </w:rPr>
      </w:pPr>
      <w:r w:rsidRPr="002705B2">
        <w:rPr>
          <w:rFonts w:ascii="Times New Roman" w:hAnsi="Times New Roman" w:cs="Times New Roman"/>
          <w:sz w:val="26"/>
          <w:szCs w:val="24"/>
        </w:rPr>
        <w:t>The Commission periodically reviews requirements concurrent with OMB review or as the Commission deems necessary to eliminate duplicati</w:t>
      </w:r>
      <w:r w:rsidR="00407855">
        <w:rPr>
          <w:rFonts w:ascii="Times New Roman" w:hAnsi="Times New Roman" w:cs="Times New Roman"/>
          <w:sz w:val="26"/>
          <w:szCs w:val="24"/>
        </w:rPr>
        <w:t>on</w:t>
      </w:r>
      <w:r w:rsidRPr="002705B2">
        <w:rPr>
          <w:rFonts w:ascii="Times New Roman" w:hAnsi="Times New Roman" w:cs="Times New Roman"/>
          <w:sz w:val="26"/>
          <w:szCs w:val="24"/>
        </w:rPr>
        <w:t xml:space="preserve"> and to minimize the burden.</w:t>
      </w:r>
      <w:r>
        <w:rPr>
          <w:rFonts w:ascii="Times New Roman" w:hAnsi="Times New Roman" w:cs="Times New Roman"/>
          <w:sz w:val="26"/>
          <w:szCs w:val="24"/>
        </w:rPr>
        <w:t xml:space="preserve">  </w:t>
      </w:r>
      <w:r w:rsidRPr="002705B2">
        <w:rPr>
          <w:rFonts w:ascii="Times New Roman" w:hAnsi="Times New Roman" w:cs="Times New Roman"/>
          <w:sz w:val="26"/>
          <w:szCs w:val="24"/>
        </w:rPr>
        <w:t>Reliability Standards are developed by a collaborative process which requires industry participation.  The Commission is unaware of any other source of information similar to the requirements</w:t>
      </w:r>
      <w:r>
        <w:rPr>
          <w:rFonts w:ascii="Times New Roman" w:hAnsi="Times New Roman" w:cs="Times New Roman"/>
          <w:sz w:val="26"/>
          <w:szCs w:val="24"/>
        </w:rPr>
        <w:t xml:space="preserve"> in the Reliability Standard.  </w:t>
      </w:r>
    </w:p>
    <w:p w:rsidR="008A35C5" w:rsidRPr="00D0606B" w:rsidP="0091117A" w14:paraId="1051C971" w14:textId="77777777">
      <w:pPr>
        <w:spacing w:after="0" w:line="240" w:lineRule="auto"/>
        <w:rPr>
          <w:rFonts w:ascii="Times New Roman" w:hAnsi="Times New Roman" w:cs="Times New Roman"/>
          <w:sz w:val="26"/>
          <w:szCs w:val="26"/>
        </w:rPr>
      </w:pPr>
    </w:p>
    <w:p w:rsidR="00D05969" w:rsidRPr="00D0606B" w:rsidP="00D05969" w14:paraId="2CA9B17E" w14:textId="77777777">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METHODS USED TO MINIMIZE THE BURDEN IN COLLECTION OF INFORMATION INVOLVING SMALL ENTITIES</w:t>
      </w:r>
    </w:p>
    <w:p w:rsidR="0091117A" w:rsidP="0091117A" w14:paraId="050B0685" w14:textId="77777777">
      <w:pPr>
        <w:spacing w:after="0" w:line="240" w:lineRule="auto"/>
        <w:rPr>
          <w:rFonts w:ascii="Times New Roman" w:hAnsi="Times New Roman" w:cs="Times New Roman"/>
          <w:sz w:val="26"/>
          <w:szCs w:val="26"/>
        </w:rPr>
      </w:pPr>
    </w:p>
    <w:p w:rsidR="00275A35" w:rsidP="00A97DBB" w14:paraId="272D48FE" w14:textId="7E0B0B2C">
      <w:pPr>
        <w:spacing w:after="0" w:line="240" w:lineRule="auto"/>
        <w:rPr>
          <w:rFonts w:ascii="Times New Roman" w:hAnsi="Times New Roman" w:cs="Times New Roman"/>
          <w:sz w:val="26"/>
          <w:szCs w:val="26"/>
        </w:rPr>
      </w:pPr>
      <w:r w:rsidRPr="00F00E11">
        <w:rPr>
          <w:rFonts w:ascii="Times New Roman" w:hAnsi="Times New Roman" w:cs="Times New Roman"/>
          <w:sz w:val="26"/>
          <w:szCs w:val="26"/>
        </w:rPr>
        <w:t xml:space="preserve">In general, small entities may reduce their burden by taking part in a joint registration organization or a coordinated functional registration.  These options allow a small entity to share the compliance burden with other entities and, thus, to minimize their own compliance burden. </w:t>
      </w:r>
      <w:r w:rsidR="56E334D9">
        <w:rPr>
          <w:rFonts w:ascii="Times New Roman" w:hAnsi="Times New Roman" w:cs="Times New Roman"/>
          <w:sz w:val="26"/>
          <w:szCs w:val="26"/>
        </w:rPr>
        <w:t xml:space="preserve"> </w:t>
      </w:r>
      <w:r w:rsidRPr="00F00E11">
        <w:rPr>
          <w:rFonts w:ascii="Times New Roman" w:hAnsi="Times New Roman" w:cs="Times New Roman"/>
          <w:sz w:val="26"/>
          <w:szCs w:val="26"/>
        </w:rPr>
        <w:t>Detailed information regarding these options is available in NERC’s Rule of Procedure at Sections 507 and 508.</w:t>
      </w:r>
      <w:r>
        <w:rPr>
          <w:rStyle w:val="FootnoteReference"/>
          <w:rFonts w:ascii="Times New Roman" w:hAnsi="Times New Roman" w:cs="Times New Roman"/>
          <w:b/>
          <w:bCs/>
          <w:sz w:val="26"/>
          <w:szCs w:val="26"/>
        </w:rPr>
        <w:footnoteReference w:id="9"/>
      </w:r>
    </w:p>
    <w:p w:rsidR="00FB6F2F" w:rsidP="00A97DBB" w14:paraId="08B89B63" w14:textId="77777777">
      <w:pPr>
        <w:spacing w:after="0" w:line="240" w:lineRule="auto"/>
        <w:rPr>
          <w:rFonts w:ascii="Times New Roman" w:hAnsi="Times New Roman" w:cs="Times New Roman"/>
          <w:sz w:val="26"/>
          <w:szCs w:val="26"/>
        </w:rPr>
      </w:pPr>
    </w:p>
    <w:p w:rsidR="00D05969" w:rsidRPr="00D0606B" w:rsidP="005E3384" w14:paraId="69496B83" w14:textId="067FCE7B">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CONSEQUENCE TO FEDERAL PROGRAM IF COLLECTION WERE CONDUCTED LESS FREQUENTLY</w:t>
      </w:r>
    </w:p>
    <w:p w:rsidR="00E47937" w:rsidP="00DD6E0E" w14:paraId="43EF89DB" w14:textId="578873D8">
      <w:pPr>
        <w:tabs>
          <w:tab w:val="num" w:pos="720"/>
        </w:tabs>
        <w:autoSpaceDE w:val="0"/>
        <w:autoSpaceDN w:val="0"/>
        <w:adjustRightInd w:val="0"/>
        <w:spacing w:after="0" w:line="240" w:lineRule="auto"/>
        <w:contextualSpacing/>
        <w:rPr>
          <w:rFonts w:ascii="Times New Roman" w:eastAsia="Times New Roman" w:hAnsi="Times New Roman" w:cs="Times New Roman"/>
          <w:sz w:val="26"/>
          <w:szCs w:val="26"/>
        </w:rPr>
      </w:pPr>
    </w:p>
    <w:p w:rsidR="00B1651D" w:rsidRPr="00B1651D" w:rsidP="00B1651D" w14:paraId="0CDED869" w14:textId="3A08CB08">
      <w:pPr>
        <w:tabs>
          <w:tab w:val="num" w:pos="720"/>
        </w:tabs>
        <w:autoSpaceDE w:val="0"/>
        <w:autoSpaceDN w:val="0"/>
        <w:adjustRightInd w:val="0"/>
        <w:spacing w:after="0" w:line="240" w:lineRule="auto"/>
        <w:contextualSpacing/>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Pr="19802ACB">
        <w:rPr>
          <w:rFonts w:ascii="Times New Roman" w:eastAsia="Times New Roman" w:hAnsi="Times New Roman" w:cs="Times New Roman"/>
          <w:sz w:val="26"/>
          <w:szCs w:val="26"/>
        </w:rPr>
        <w:t xml:space="preserve">In general, information collection requirements in Reliability Standards and requirements help maintain Bulk-Power System reliability. </w:t>
      </w:r>
      <w:r w:rsidRPr="2A2D9407" w:rsidR="5647D9E7">
        <w:rPr>
          <w:rFonts w:ascii="Times New Roman" w:eastAsia="Times New Roman" w:hAnsi="Times New Roman" w:cs="Times New Roman"/>
          <w:sz w:val="26"/>
          <w:szCs w:val="26"/>
        </w:rPr>
        <w:t xml:space="preserve">If this standard and the associated information collection requirements did not exist or were performed less frequently, it would not be possible to ensure that applicable entities </w:t>
      </w:r>
      <w:r w:rsidRPr="2A2D9407" w:rsidR="14834374">
        <w:rPr>
          <w:rFonts w:ascii="Times New Roman" w:eastAsia="Times New Roman" w:hAnsi="Times New Roman" w:cs="Times New Roman"/>
          <w:sz w:val="26"/>
          <w:szCs w:val="26"/>
        </w:rPr>
        <w:t>have the access to</w:t>
      </w:r>
      <w:r w:rsidR="00170E7A">
        <w:rPr>
          <w:rFonts w:ascii="Times New Roman" w:eastAsia="Times New Roman" w:hAnsi="Times New Roman" w:cs="Times New Roman"/>
          <w:sz w:val="26"/>
          <w:szCs w:val="26"/>
        </w:rPr>
        <w:t xml:space="preserve"> IBR-specific</w:t>
      </w:r>
      <w:r w:rsidRPr="2A2D9407" w:rsidR="14834374">
        <w:rPr>
          <w:rFonts w:ascii="Times New Roman" w:eastAsia="Times New Roman" w:hAnsi="Times New Roman" w:cs="Times New Roman"/>
          <w:sz w:val="26"/>
          <w:szCs w:val="26"/>
        </w:rPr>
        <w:t xml:space="preserve"> data needed from other entities to ensure</w:t>
      </w:r>
      <w:r w:rsidRPr="2A2D9407" w:rsidR="5647D9E7">
        <w:rPr>
          <w:rFonts w:ascii="Times New Roman" w:eastAsia="Times New Roman" w:hAnsi="Times New Roman" w:cs="Times New Roman"/>
          <w:sz w:val="26"/>
          <w:szCs w:val="26"/>
        </w:rPr>
        <w:t xml:space="preserve"> reliability of the Bulk-Power System.  This would likely lead to lower system reliability and higher vulnerability and risk</w:t>
      </w:r>
      <w:r w:rsidRPr="2A2D9407" w:rsidR="14834374">
        <w:rPr>
          <w:rFonts w:ascii="Times New Roman" w:eastAsia="Times New Roman" w:hAnsi="Times New Roman" w:cs="Times New Roman"/>
          <w:sz w:val="26"/>
          <w:szCs w:val="26"/>
        </w:rPr>
        <w:t xml:space="preserve"> by operating in an unknown state.</w:t>
      </w:r>
      <w:r w:rsidRPr="2A2D9407" w:rsidR="5647D9E7">
        <w:rPr>
          <w:rFonts w:ascii="Times New Roman" w:eastAsia="Times New Roman" w:hAnsi="Times New Roman" w:cs="Times New Roman"/>
          <w:sz w:val="26"/>
          <w:szCs w:val="26"/>
        </w:rPr>
        <w:t xml:space="preserve">  </w:t>
      </w:r>
    </w:p>
    <w:p w:rsidR="005E3384" w:rsidRPr="00D0606B" w:rsidP="000859F1" w14:paraId="5DCC4D26" w14:textId="77777777">
      <w:pPr>
        <w:tabs>
          <w:tab w:val="num" w:pos="720"/>
        </w:tabs>
        <w:autoSpaceDE w:val="0"/>
        <w:autoSpaceDN w:val="0"/>
        <w:adjustRightInd w:val="0"/>
        <w:spacing w:after="0" w:line="240" w:lineRule="auto"/>
        <w:contextualSpacing/>
        <w:rPr>
          <w:rFonts w:ascii="Times New Roman" w:eastAsia="Times New Roman" w:hAnsi="Times New Roman" w:cs="Times New Roman"/>
          <w:bCs/>
          <w:sz w:val="26"/>
          <w:szCs w:val="26"/>
        </w:rPr>
      </w:pPr>
    </w:p>
    <w:p w:rsidR="004F0011" w:rsidP="004F0011" w14:paraId="7D59CDE9" w14:textId="77777777">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EXPLAIN ANY SPECIAL CIRCUMSTANCES RELATING TO THE INFORMATION COLLECTION</w:t>
      </w:r>
    </w:p>
    <w:p w:rsidR="00FA7855" w:rsidP="00FA7855" w14:paraId="0728B450" w14:textId="77777777">
      <w:pPr>
        <w:pStyle w:val="ListParagraph"/>
        <w:spacing w:after="0" w:line="240" w:lineRule="auto"/>
        <w:ind w:left="360"/>
        <w:rPr>
          <w:rFonts w:ascii="Times New Roman" w:hAnsi="Times New Roman" w:cs="Times New Roman"/>
          <w:b/>
          <w:sz w:val="26"/>
          <w:szCs w:val="26"/>
        </w:rPr>
      </w:pPr>
    </w:p>
    <w:p w:rsidR="00C1747B" w:rsidP="00C1747B" w14:paraId="3F716394" w14:textId="174E3514">
      <w:pPr>
        <w:spacing w:after="0"/>
        <w:rPr>
          <w:rFonts w:ascii="Times New Roman" w:hAnsi="Times New Roman" w:cs="Times New Roman"/>
          <w:sz w:val="26"/>
          <w:szCs w:val="26"/>
        </w:rPr>
      </w:pPr>
      <w:r w:rsidRPr="00FA7855">
        <w:rPr>
          <w:rFonts w:ascii="Times New Roman" w:hAnsi="Times New Roman" w:cs="Times New Roman"/>
          <w:sz w:val="26"/>
          <w:szCs w:val="26"/>
        </w:rPr>
        <w:t>There are no special circumstances</w:t>
      </w:r>
      <w:r w:rsidR="00A51665">
        <w:rPr>
          <w:rFonts w:ascii="Times New Roman" w:hAnsi="Times New Roman" w:cs="Times New Roman"/>
          <w:sz w:val="26"/>
          <w:szCs w:val="26"/>
        </w:rPr>
        <w:t xml:space="preserve"> related to the FERC</w:t>
      </w:r>
      <w:r w:rsidR="00CE207C">
        <w:rPr>
          <w:rFonts w:ascii="Times New Roman" w:hAnsi="Times New Roman" w:cs="Times New Roman"/>
          <w:sz w:val="26"/>
          <w:szCs w:val="26"/>
        </w:rPr>
        <w:t>-725Z information collection</w:t>
      </w:r>
      <w:r w:rsidR="00BF2C1A">
        <w:rPr>
          <w:rFonts w:ascii="Times New Roman" w:hAnsi="Times New Roman" w:cs="Times New Roman"/>
          <w:sz w:val="26"/>
          <w:szCs w:val="26"/>
        </w:rPr>
        <w:t>.</w:t>
      </w:r>
      <w:r w:rsidRPr="00FA7855">
        <w:rPr>
          <w:rFonts w:ascii="Times New Roman" w:hAnsi="Times New Roman" w:cs="Times New Roman"/>
          <w:sz w:val="26"/>
          <w:szCs w:val="26"/>
        </w:rPr>
        <w:t xml:space="preserve"> </w:t>
      </w:r>
    </w:p>
    <w:p w:rsidR="0033778C" w:rsidP="00C1747B" w14:paraId="57859DF1" w14:textId="77777777">
      <w:pPr>
        <w:spacing w:after="0"/>
        <w:rPr>
          <w:rFonts w:ascii="Times New Roman" w:hAnsi="Times New Roman" w:cs="Times New Roman"/>
          <w:b/>
          <w:sz w:val="26"/>
          <w:szCs w:val="26"/>
        </w:rPr>
      </w:pPr>
    </w:p>
    <w:p w:rsidR="007D6F51" w:rsidRPr="008D3803" w:rsidP="0033778C" w14:paraId="071CD395" w14:textId="77777777">
      <w:pPr>
        <w:pStyle w:val="ListParagraph"/>
        <w:numPr>
          <w:ilvl w:val="0"/>
          <w:numId w:val="2"/>
        </w:numPr>
        <w:spacing w:after="0" w:line="240" w:lineRule="auto"/>
        <w:rPr>
          <w:rFonts w:ascii="Times New Roman" w:hAnsi="Times New Roman" w:cs="Times New Roman"/>
          <w:sz w:val="26"/>
          <w:szCs w:val="26"/>
        </w:rPr>
      </w:pPr>
      <w:r w:rsidRPr="00D0606B">
        <w:rPr>
          <w:rFonts w:ascii="Times New Roman" w:eastAsia="Calibri" w:hAnsi="Times New Roman" w:cs="Times New Roman"/>
          <w:b/>
          <w:sz w:val="26"/>
          <w:szCs w:val="26"/>
        </w:rPr>
        <w:t>DESCRIBE EFFORTS TO CONSULT OUTSIDE THE AGENCY: SUMMARIZE PUBLIC COMMENTS AND THE AGENCY’S RESPONSE</w:t>
      </w:r>
    </w:p>
    <w:p w:rsidR="002E66B1" w:rsidP="008D3803" w14:paraId="4D2CFD7E" w14:textId="485B3193">
      <w:pPr>
        <w:pStyle w:val="ListParagraph"/>
        <w:spacing w:after="0" w:line="240" w:lineRule="auto"/>
        <w:ind w:left="360"/>
        <w:rPr>
          <w:rFonts w:ascii="Times New Roman" w:hAnsi="Times New Roman" w:cs="Times New Roman"/>
          <w:sz w:val="26"/>
          <w:szCs w:val="26"/>
        </w:rPr>
      </w:pPr>
    </w:p>
    <w:p w:rsidR="00BF28EE" w:rsidRPr="00257D06" w:rsidP="00BF28EE" w14:paraId="10C21BEF" w14:textId="77777777">
      <w:pPr>
        <w:spacing w:after="0"/>
        <w:rPr>
          <w:rFonts w:ascii="Times New Roman" w:hAnsi="Times New Roman" w:cs="Times New Roman"/>
          <w:sz w:val="26"/>
          <w:szCs w:val="26"/>
        </w:rPr>
      </w:pPr>
      <w:r w:rsidRPr="00257D06">
        <w:rPr>
          <w:rFonts w:ascii="Times New Roman" w:hAnsi="Times New Roman" w:cs="Times New Roman"/>
          <w:sz w:val="26"/>
          <w:szCs w:val="26"/>
        </w:rPr>
        <w:t>The ERO process to establish Reliability Standards is a collaborative process with the ERO, Regional Entities, and other stakeholders developing and reviewing drafts and providing comments.</w:t>
      </w:r>
      <w:r>
        <w:rPr>
          <w:rStyle w:val="FootnoteReference"/>
          <w:rFonts w:ascii="Times New Roman" w:hAnsi="Times New Roman" w:cs="Times New Roman"/>
          <w:b/>
          <w:bCs/>
          <w:sz w:val="26"/>
          <w:szCs w:val="26"/>
        </w:rPr>
        <w:footnoteReference w:id="10"/>
      </w:r>
      <w:r w:rsidRPr="00257D06">
        <w:rPr>
          <w:rFonts w:ascii="Times New Roman" w:hAnsi="Times New Roman" w:cs="Times New Roman"/>
          <w:sz w:val="26"/>
          <w:szCs w:val="26"/>
        </w:rPr>
        <w:t xml:space="preserve">  The NERC-approved Reliability Standards were then submitted by NERC to the FERC for review and approval.</w:t>
      </w:r>
    </w:p>
    <w:p w:rsidR="00BF28EE" w:rsidP="2A2D9407" w14:paraId="253A3211" w14:textId="01B65268">
      <w:pPr>
        <w:pStyle w:val="ListParagraph"/>
        <w:spacing w:after="0" w:line="240" w:lineRule="auto"/>
        <w:ind w:left="0"/>
        <w:rPr>
          <w:rFonts w:ascii="Times New Roman" w:eastAsia="Calibri" w:hAnsi="Times New Roman" w:cs="Times New Roman"/>
          <w:sz w:val="26"/>
          <w:szCs w:val="26"/>
        </w:rPr>
      </w:pPr>
    </w:p>
    <w:p w:rsidR="00667366" w:rsidP="2A2D9407" w14:paraId="160FE28A" w14:textId="650A432C">
      <w:pPr>
        <w:pStyle w:val="ListParagraph"/>
        <w:spacing w:after="0" w:line="240" w:lineRule="auto"/>
        <w:ind w:left="0"/>
        <w:rPr>
          <w:rFonts w:ascii="Times New Roman" w:hAnsi="Times New Roman" w:cs="Times New Roman"/>
          <w:sz w:val="26"/>
          <w:szCs w:val="26"/>
        </w:rPr>
      </w:pPr>
      <w:r w:rsidRPr="005322D2">
        <w:rPr>
          <w:rFonts w:ascii="Times New Roman" w:eastAsia="Calibri" w:hAnsi="Times New Roman" w:cs="Times New Roman"/>
          <w:sz w:val="26"/>
          <w:szCs w:val="26"/>
        </w:rPr>
        <w:t xml:space="preserve">The Commission issued an order approving, among other things, the retirement of Reliability Standard </w:t>
      </w:r>
      <w:r>
        <w:rPr>
          <w:rFonts w:ascii="Times New Roman" w:eastAsia="Calibri" w:hAnsi="Times New Roman" w:cs="Times New Roman"/>
          <w:sz w:val="26"/>
          <w:szCs w:val="26"/>
        </w:rPr>
        <w:t>IRO</w:t>
      </w:r>
      <w:r w:rsidRPr="005322D2">
        <w:rPr>
          <w:rFonts w:ascii="Times New Roman" w:eastAsia="Calibri" w:hAnsi="Times New Roman" w:cs="Times New Roman"/>
          <w:sz w:val="26"/>
          <w:szCs w:val="26"/>
        </w:rPr>
        <w:t>-0</w:t>
      </w:r>
      <w:r>
        <w:rPr>
          <w:rFonts w:ascii="Times New Roman" w:eastAsia="Calibri" w:hAnsi="Times New Roman" w:cs="Times New Roman"/>
          <w:sz w:val="26"/>
          <w:szCs w:val="26"/>
        </w:rPr>
        <w:t>10</w:t>
      </w:r>
      <w:r w:rsidRPr="005322D2">
        <w:rPr>
          <w:rFonts w:ascii="Times New Roman" w:eastAsia="Calibri" w:hAnsi="Times New Roman" w:cs="Times New Roman"/>
          <w:sz w:val="26"/>
          <w:szCs w:val="26"/>
        </w:rPr>
        <w:t>-</w:t>
      </w:r>
      <w:r>
        <w:rPr>
          <w:rFonts w:ascii="Times New Roman" w:eastAsia="Calibri" w:hAnsi="Times New Roman" w:cs="Times New Roman"/>
          <w:sz w:val="26"/>
          <w:szCs w:val="26"/>
        </w:rPr>
        <w:t>5</w:t>
      </w:r>
      <w:r w:rsidRPr="005322D2">
        <w:rPr>
          <w:rFonts w:ascii="Times New Roman" w:eastAsia="Calibri" w:hAnsi="Times New Roman" w:cs="Times New Roman"/>
          <w:sz w:val="26"/>
          <w:szCs w:val="26"/>
        </w:rPr>
        <w:t xml:space="preserve"> (Docket No. RD26-</w:t>
      </w:r>
      <w:r>
        <w:rPr>
          <w:rFonts w:ascii="Times New Roman" w:eastAsia="Calibri" w:hAnsi="Times New Roman" w:cs="Times New Roman"/>
          <w:sz w:val="26"/>
          <w:szCs w:val="26"/>
        </w:rPr>
        <w:t>3</w:t>
      </w:r>
      <w:r w:rsidRPr="005322D2">
        <w:rPr>
          <w:rFonts w:ascii="Times New Roman" w:eastAsia="Calibri" w:hAnsi="Times New Roman" w:cs="Times New Roman"/>
          <w:sz w:val="26"/>
          <w:szCs w:val="26"/>
        </w:rPr>
        <w:t xml:space="preserve">-000) and approval of new </w:t>
      </w:r>
      <w:r>
        <w:rPr>
          <w:rFonts w:ascii="Times New Roman" w:eastAsia="Calibri" w:hAnsi="Times New Roman" w:cs="Times New Roman"/>
          <w:sz w:val="26"/>
          <w:szCs w:val="26"/>
        </w:rPr>
        <w:t>IRO</w:t>
      </w:r>
      <w:r w:rsidRPr="005322D2">
        <w:rPr>
          <w:rFonts w:ascii="Times New Roman" w:eastAsia="Calibri" w:hAnsi="Times New Roman" w:cs="Times New Roman"/>
          <w:sz w:val="26"/>
          <w:szCs w:val="26"/>
        </w:rPr>
        <w:t>-0</w:t>
      </w:r>
      <w:r>
        <w:rPr>
          <w:rFonts w:ascii="Times New Roman" w:eastAsia="Calibri" w:hAnsi="Times New Roman" w:cs="Times New Roman"/>
          <w:sz w:val="26"/>
          <w:szCs w:val="26"/>
        </w:rPr>
        <w:t>10</w:t>
      </w:r>
      <w:r w:rsidRPr="005322D2">
        <w:rPr>
          <w:rFonts w:ascii="Times New Roman" w:eastAsia="Calibri" w:hAnsi="Times New Roman" w:cs="Times New Roman"/>
          <w:sz w:val="26"/>
          <w:szCs w:val="26"/>
        </w:rPr>
        <w:t>-</w:t>
      </w:r>
      <w:r>
        <w:rPr>
          <w:rFonts w:ascii="Times New Roman" w:eastAsia="Calibri" w:hAnsi="Times New Roman" w:cs="Times New Roman"/>
          <w:sz w:val="26"/>
          <w:szCs w:val="26"/>
        </w:rPr>
        <w:t>6</w:t>
      </w:r>
      <w:r w:rsidRPr="005322D2">
        <w:rPr>
          <w:rFonts w:ascii="Times New Roman" w:eastAsia="Calibri" w:hAnsi="Times New Roman" w:cs="Times New Roman"/>
          <w:sz w:val="26"/>
          <w:szCs w:val="26"/>
        </w:rPr>
        <w:t>, which included a 60-day public notice</w:t>
      </w:r>
      <w:r w:rsidR="002F5299">
        <w:rPr>
          <w:rFonts w:ascii="Times New Roman" w:eastAsia="Calibri" w:hAnsi="Times New Roman" w:cs="Times New Roman"/>
          <w:sz w:val="26"/>
          <w:szCs w:val="26"/>
        </w:rPr>
        <w:t>, on</w:t>
      </w:r>
      <w:r w:rsidRPr="005322D2">
        <w:rPr>
          <w:rFonts w:ascii="Times New Roman" w:eastAsia="Calibri" w:hAnsi="Times New Roman" w:cs="Times New Roman"/>
          <w:sz w:val="26"/>
          <w:szCs w:val="26"/>
        </w:rPr>
        <w:t xml:space="preserve"> February 24, 2025</w:t>
      </w:r>
      <w:r w:rsidR="00E27B5C">
        <w:rPr>
          <w:rFonts w:ascii="Times New Roman" w:eastAsia="Calibri" w:hAnsi="Times New Roman" w:cs="Times New Roman"/>
          <w:sz w:val="26"/>
          <w:szCs w:val="26"/>
        </w:rPr>
        <w:t>,</w:t>
      </w:r>
      <w:r>
        <w:rPr>
          <w:rStyle w:val="FootnoteReference"/>
          <w:rFonts w:ascii="Times New Roman" w:hAnsi="Times New Roman" w:cs="Times New Roman"/>
          <w:b/>
          <w:bCs/>
          <w:sz w:val="26"/>
          <w:szCs w:val="26"/>
        </w:rPr>
        <w:footnoteReference w:id="11"/>
      </w:r>
      <w:r w:rsidRPr="2A2D9407" w:rsidR="00A9209D">
        <w:rPr>
          <w:rFonts w:ascii="Times New Roman" w:hAnsi="Times New Roman" w:cs="Times New Roman"/>
          <w:sz w:val="26"/>
          <w:szCs w:val="26"/>
        </w:rPr>
        <w:t xml:space="preserve"> </w:t>
      </w:r>
      <w:r w:rsidR="0041356B">
        <w:rPr>
          <w:rFonts w:ascii="Times New Roman" w:hAnsi="Times New Roman" w:cs="Times New Roman"/>
          <w:sz w:val="26"/>
          <w:szCs w:val="26"/>
        </w:rPr>
        <w:t>no comments were received</w:t>
      </w:r>
      <w:r w:rsidRPr="2A2D9407" w:rsidR="00A9209D">
        <w:rPr>
          <w:rFonts w:ascii="Times New Roman" w:hAnsi="Times New Roman" w:cs="Times New Roman"/>
          <w:sz w:val="26"/>
          <w:szCs w:val="26"/>
        </w:rPr>
        <w:t>.</w:t>
      </w:r>
      <w:r w:rsidR="00E92D7D">
        <w:rPr>
          <w:rFonts w:ascii="Times New Roman" w:hAnsi="Times New Roman" w:cs="Times New Roman"/>
          <w:sz w:val="26"/>
          <w:szCs w:val="26"/>
        </w:rPr>
        <w:t xml:space="preserve"> </w:t>
      </w:r>
      <w:r w:rsidRPr="2A2D9407" w:rsidR="00A9209D">
        <w:rPr>
          <w:rFonts w:ascii="Times New Roman" w:hAnsi="Times New Roman" w:cs="Times New Roman"/>
          <w:sz w:val="26"/>
          <w:szCs w:val="26"/>
        </w:rPr>
        <w:t xml:space="preserve">The 30-day notice was published on </w:t>
      </w:r>
      <w:r w:rsidR="00AE77E9">
        <w:rPr>
          <w:rFonts w:ascii="Times New Roman" w:hAnsi="Times New Roman" w:cs="Times New Roman"/>
          <w:sz w:val="26"/>
          <w:szCs w:val="26"/>
        </w:rPr>
        <w:t>October</w:t>
      </w:r>
      <w:r w:rsidR="001D5B22">
        <w:rPr>
          <w:rFonts w:ascii="Times New Roman" w:hAnsi="Times New Roman" w:cs="Times New Roman"/>
          <w:sz w:val="26"/>
          <w:szCs w:val="26"/>
        </w:rPr>
        <w:t xml:space="preserve"> </w:t>
      </w:r>
      <w:r w:rsidR="006403AE">
        <w:rPr>
          <w:rFonts w:ascii="Times New Roman" w:hAnsi="Times New Roman" w:cs="Times New Roman"/>
          <w:sz w:val="26"/>
          <w:szCs w:val="26"/>
        </w:rPr>
        <w:t>15</w:t>
      </w:r>
      <w:r w:rsidRPr="0003751F" w:rsidR="00A9209D">
        <w:rPr>
          <w:rFonts w:ascii="Times New Roman" w:hAnsi="Times New Roman" w:cs="Times New Roman"/>
          <w:sz w:val="26"/>
          <w:szCs w:val="26"/>
        </w:rPr>
        <w:t>, 202</w:t>
      </w:r>
      <w:r w:rsidR="00AE77E9">
        <w:rPr>
          <w:rFonts w:ascii="Times New Roman" w:hAnsi="Times New Roman" w:cs="Times New Roman"/>
          <w:sz w:val="26"/>
          <w:szCs w:val="26"/>
        </w:rPr>
        <w:t>6</w:t>
      </w:r>
      <w:r w:rsidR="00E27B5C">
        <w:rPr>
          <w:rFonts w:ascii="Times New Roman" w:hAnsi="Times New Roman" w:cs="Times New Roman"/>
          <w:sz w:val="26"/>
          <w:szCs w:val="26"/>
        </w:rPr>
        <w:t>.</w:t>
      </w:r>
      <w:r>
        <w:rPr>
          <w:rStyle w:val="FootnoteReference"/>
          <w:rFonts w:ascii="Times New Roman" w:hAnsi="Times New Roman" w:cs="Times New Roman"/>
          <w:b/>
          <w:bCs/>
          <w:sz w:val="26"/>
          <w:szCs w:val="26"/>
        </w:rPr>
        <w:footnoteReference w:id="12"/>
      </w:r>
    </w:p>
    <w:p w:rsidR="004B2BA6" w:rsidP="00BF2C1A" w14:paraId="77ED9EDE" w14:textId="77777777">
      <w:pPr>
        <w:spacing w:after="0" w:line="240" w:lineRule="auto"/>
        <w:rPr>
          <w:rFonts w:ascii="Times New Roman" w:eastAsia="Times New Roman" w:hAnsi="Times New Roman" w:cs="Times New Roman"/>
          <w:strike/>
          <w:sz w:val="26"/>
          <w:szCs w:val="26"/>
        </w:rPr>
      </w:pPr>
    </w:p>
    <w:p w:rsidR="00AD069C" w:rsidRPr="00D0606B" w:rsidP="00AD069C" w14:paraId="503D3688" w14:textId="77777777">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EXPLAIN ANY PAYMENT OR GIFTS TO RESPONDENTS</w:t>
      </w:r>
    </w:p>
    <w:p w:rsidR="00AD069C" w:rsidRPr="00D0606B" w:rsidP="00AD069C" w14:paraId="5761F21F" w14:textId="77777777">
      <w:pPr>
        <w:spacing w:after="0" w:line="240" w:lineRule="auto"/>
        <w:rPr>
          <w:rFonts w:ascii="Times New Roman" w:hAnsi="Times New Roman" w:cs="Times New Roman"/>
          <w:sz w:val="26"/>
          <w:szCs w:val="26"/>
        </w:rPr>
      </w:pPr>
    </w:p>
    <w:p w:rsidR="00AD069C" w:rsidRPr="00D0606B" w:rsidP="00AD069C" w14:paraId="63926C9F" w14:textId="3A2F3B69">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The Commission does not make payments or provide gifts</w:t>
      </w:r>
      <w:r w:rsidR="00CD1555">
        <w:rPr>
          <w:rFonts w:ascii="Times New Roman" w:hAnsi="Times New Roman" w:cs="Times New Roman"/>
          <w:sz w:val="26"/>
          <w:szCs w:val="26"/>
        </w:rPr>
        <w:t xml:space="preserve"> to respondents</w:t>
      </w:r>
      <w:r w:rsidRPr="00D0606B" w:rsidR="00DB396E">
        <w:rPr>
          <w:rFonts w:ascii="Times New Roman" w:hAnsi="Times New Roman" w:cs="Times New Roman"/>
          <w:sz w:val="26"/>
          <w:szCs w:val="26"/>
        </w:rPr>
        <w:t>.</w:t>
      </w:r>
    </w:p>
    <w:p w:rsidR="007D4839" w:rsidRPr="00D0606B" w:rsidP="00AD069C" w14:paraId="035DF60B" w14:textId="77777777">
      <w:pPr>
        <w:spacing w:after="0" w:line="240" w:lineRule="auto"/>
        <w:rPr>
          <w:rFonts w:ascii="Times New Roman" w:hAnsi="Times New Roman" w:cs="Times New Roman"/>
          <w:sz w:val="26"/>
          <w:szCs w:val="26"/>
        </w:rPr>
      </w:pPr>
    </w:p>
    <w:p w:rsidR="00AD069C" w:rsidRPr="00D0606B" w:rsidP="00AD069C" w14:paraId="46B4B526" w14:textId="77777777">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DESCRIBE ANY ASSURANCE OF CONFIDENTIALITY PROVIDED TO RESPONDENTS</w:t>
      </w:r>
    </w:p>
    <w:p w:rsidR="00CC26F4" w:rsidP="00DB396E" w14:paraId="1D9652A4" w14:textId="77777777">
      <w:pPr>
        <w:spacing w:after="0" w:line="240" w:lineRule="auto"/>
        <w:rPr>
          <w:rFonts w:ascii="Times New Roman" w:hAnsi="Times New Roman" w:cs="Times New Roman"/>
          <w:sz w:val="26"/>
          <w:szCs w:val="26"/>
        </w:rPr>
      </w:pPr>
    </w:p>
    <w:p w:rsidR="00DB396E" w:rsidRPr="00D0606B" w:rsidP="00DB396E" w14:paraId="2AED1D45" w14:textId="3125DF4B">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Responding entities do not submit the information</w:t>
      </w:r>
      <w:r w:rsidR="008D3FC8">
        <w:rPr>
          <w:rFonts w:ascii="Times New Roman" w:hAnsi="Times New Roman" w:cs="Times New Roman"/>
          <w:sz w:val="26"/>
          <w:szCs w:val="26"/>
        </w:rPr>
        <w:t xml:space="preserve"> collected under th</w:t>
      </w:r>
      <w:r w:rsidR="000B5CCF">
        <w:rPr>
          <w:rFonts w:ascii="Times New Roman" w:hAnsi="Times New Roman" w:cs="Times New Roman"/>
          <w:sz w:val="26"/>
          <w:szCs w:val="26"/>
        </w:rPr>
        <w:t>is</w:t>
      </w:r>
      <w:r w:rsidR="008D3FC8">
        <w:rPr>
          <w:rFonts w:ascii="Times New Roman" w:hAnsi="Times New Roman" w:cs="Times New Roman"/>
          <w:sz w:val="26"/>
          <w:szCs w:val="26"/>
        </w:rPr>
        <w:t xml:space="preserve"> Reliability Standard</w:t>
      </w:r>
      <w:r w:rsidRPr="00D0606B">
        <w:rPr>
          <w:rFonts w:ascii="Times New Roman" w:hAnsi="Times New Roman" w:cs="Times New Roman"/>
          <w:sz w:val="26"/>
          <w:szCs w:val="26"/>
        </w:rPr>
        <w:t xml:space="preserve"> to FERC.  Rather, they submit the information to NERC, the regions, or maintain it internally.  Since there are no </w:t>
      </w:r>
      <w:r w:rsidRPr="00D0606B" w:rsidR="009D3F62">
        <w:rPr>
          <w:rFonts w:ascii="Times New Roman" w:hAnsi="Times New Roman" w:cs="Times New Roman"/>
          <w:sz w:val="26"/>
          <w:szCs w:val="26"/>
        </w:rPr>
        <w:t>submi</w:t>
      </w:r>
      <w:r w:rsidR="009D3F62">
        <w:rPr>
          <w:rFonts w:ascii="Times New Roman" w:hAnsi="Times New Roman" w:cs="Times New Roman"/>
          <w:sz w:val="26"/>
          <w:szCs w:val="26"/>
        </w:rPr>
        <w:t>ttals</w:t>
      </w:r>
      <w:r w:rsidRPr="00D0606B" w:rsidR="009D3F62">
        <w:rPr>
          <w:rFonts w:ascii="Times New Roman" w:hAnsi="Times New Roman" w:cs="Times New Roman"/>
          <w:sz w:val="26"/>
          <w:szCs w:val="26"/>
        </w:rPr>
        <w:t xml:space="preserve"> </w:t>
      </w:r>
      <w:r w:rsidRPr="00D0606B">
        <w:rPr>
          <w:rFonts w:ascii="Times New Roman" w:hAnsi="Times New Roman" w:cs="Times New Roman"/>
          <w:sz w:val="26"/>
          <w:szCs w:val="26"/>
        </w:rPr>
        <w:t xml:space="preserve">made to FERC, FERC provides no specific provisions </w:t>
      </w:r>
      <w:r w:rsidRPr="00D0606B" w:rsidR="00CD1555">
        <w:rPr>
          <w:rFonts w:ascii="Times New Roman" w:hAnsi="Times New Roman" w:cs="Times New Roman"/>
          <w:sz w:val="26"/>
          <w:szCs w:val="26"/>
        </w:rPr>
        <w:t>to</w:t>
      </w:r>
      <w:r w:rsidRPr="00D0606B">
        <w:rPr>
          <w:rFonts w:ascii="Times New Roman" w:hAnsi="Times New Roman" w:cs="Times New Roman"/>
          <w:sz w:val="26"/>
          <w:szCs w:val="26"/>
        </w:rPr>
        <w:t xml:space="preserve"> protect confidentiality.  </w:t>
      </w:r>
    </w:p>
    <w:p w:rsidR="00DB396E" w:rsidRPr="00D0606B" w:rsidP="00DB396E" w14:paraId="6588A2AD" w14:textId="77777777">
      <w:pPr>
        <w:spacing w:after="0" w:line="240" w:lineRule="auto"/>
        <w:rPr>
          <w:rFonts w:ascii="Times New Roman" w:hAnsi="Times New Roman" w:cs="Times New Roman"/>
          <w:sz w:val="26"/>
          <w:szCs w:val="26"/>
        </w:rPr>
      </w:pPr>
    </w:p>
    <w:p w:rsidR="00AD069C" w:rsidRPr="00D0606B" w:rsidP="00AD069C" w14:paraId="45D5B30B" w14:textId="55BFEA04">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According to the NERC Rule</w:t>
      </w:r>
      <w:r w:rsidR="004B5777">
        <w:rPr>
          <w:rFonts w:ascii="Times New Roman" w:hAnsi="Times New Roman" w:cs="Times New Roman"/>
          <w:sz w:val="26"/>
          <w:szCs w:val="26"/>
        </w:rPr>
        <w:t>s</w:t>
      </w:r>
      <w:r w:rsidRPr="00D0606B">
        <w:rPr>
          <w:rFonts w:ascii="Times New Roman" w:hAnsi="Times New Roman" w:cs="Times New Roman"/>
          <w:sz w:val="26"/>
          <w:szCs w:val="26"/>
        </w:rPr>
        <w:t xml:space="preserve"> of Procedure section 1502, “a Receiving Entity shall keep in confidence and not copy, disclose, or distribute any Confidential Information or any part thereof without the permission of the Submitting Entity, except as otherwise legally required.”</w:t>
      </w:r>
      <w:r>
        <w:rPr>
          <w:rStyle w:val="FootnoteReference"/>
          <w:rFonts w:ascii="Times New Roman" w:hAnsi="Times New Roman" w:cs="Times New Roman"/>
          <w:sz w:val="26"/>
          <w:szCs w:val="26"/>
        </w:rPr>
        <w:footnoteReference w:id="13"/>
      </w:r>
      <w:r w:rsidRPr="00D0606B">
        <w:rPr>
          <w:rFonts w:ascii="Times New Roman" w:hAnsi="Times New Roman" w:cs="Times New Roman"/>
          <w:sz w:val="26"/>
          <w:szCs w:val="26"/>
        </w:rPr>
        <w:t xml:space="preserve">  This serves to protect confidential information submitted to or retained for NERC or Regional Entities.</w:t>
      </w:r>
    </w:p>
    <w:p w:rsidR="00F839D0" w:rsidRPr="00D0606B" w:rsidP="00AD069C" w14:paraId="324291ED" w14:textId="77777777">
      <w:pPr>
        <w:spacing w:after="0" w:line="240" w:lineRule="auto"/>
        <w:rPr>
          <w:rFonts w:ascii="Times New Roman" w:hAnsi="Times New Roman" w:cs="Times New Roman"/>
          <w:sz w:val="26"/>
          <w:szCs w:val="26"/>
        </w:rPr>
      </w:pPr>
    </w:p>
    <w:p w:rsidR="00AD069C" w:rsidRPr="00D0606B" w:rsidP="00AD069C" w14:paraId="3EE4FE46" w14:textId="1B458960">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PROVIDE ADDITIONAL JUSTIFICATION FOR ANY QUESTIONS OF A SENSITIVE NATURE</w:t>
      </w:r>
      <w:r w:rsidR="00084B0E">
        <w:rPr>
          <w:rFonts w:ascii="Times New Roman" w:hAnsi="Times New Roman" w:cs="Times New Roman"/>
          <w:b/>
          <w:sz w:val="26"/>
          <w:szCs w:val="26"/>
        </w:rPr>
        <w:t>, SUCH AS SEXUAL BEHAVIOR AND ATTITUDES, RELIGIOUS BELIEFS, AND OTHER MATTERS THAT ARE COMMONLY CONSIDERED PRIVATE</w:t>
      </w:r>
      <w:r w:rsidR="00F33450">
        <w:rPr>
          <w:rFonts w:ascii="Times New Roman" w:hAnsi="Times New Roman" w:cs="Times New Roman"/>
          <w:b/>
          <w:sz w:val="26"/>
          <w:szCs w:val="26"/>
        </w:rPr>
        <w:t xml:space="preserve"> </w:t>
      </w:r>
    </w:p>
    <w:p w:rsidR="00AD069C" w:rsidRPr="00D0606B" w:rsidP="00AD069C" w14:paraId="71FBA0B6" w14:textId="77777777">
      <w:pPr>
        <w:spacing w:after="0" w:line="240" w:lineRule="auto"/>
        <w:rPr>
          <w:rFonts w:ascii="Times New Roman" w:hAnsi="Times New Roman" w:cs="Times New Roman"/>
          <w:sz w:val="26"/>
          <w:szCs w:val="26"/>
        </w:rPr>
      </w:pPr>
    </w:p>
    <w:p w:rsidR="00DE2D6A" w:rsidRPr="00D0606B" w:rsidP="00AD069C" w14:paraId="525C9677" w14:textId="06D1D496">
      <w:pPr>
        <w:spacing w:after="0" w:line="240" w:lineRule="auto"/>
        <w:rPr>
          <w:rFonts w:ascii="Times New Roman" w:hAnsi="Times New Roman" w:cs="Times New Roman"/>
          <w:sz w:val="26"/>
          <w:szCs w:val="26"/>
        </w:rPr>
      </w:pPr>
      <w:r w:rsidRPr="00257D06">
        <w:rPr>
          <w:rFonts w:ascii="Times New Roman" w:hAnsi="Times New Roman" w:cs="Times New Roman"/>
          <w:sz w:val="26"/>
          <w:szCs w:val="26"/>
        </w:rPr>
        <w:t>There are no questions of a sensitive nature in the reporting requirements.</w:t>
      </w:r>
    </w:p>
    <w:p w:rsidR="00F839D0" w:rsidRPr="00D0606B" w:rsidP="00AD069C" w14:paraId="17A10006" w14:textId="77777777">
      <w:pPr>
        <w:spacing w:after="0" w:line="240" w:lineRule="auto"/>
        <w:rPr>
          <w:rFonts w:ascii="Times New Roman" w:hAnsi="Times New Roman" w:cs="Times New Roman"/>
          <w:sz w:val="26"/>
          <w:szCs w:val="26"/>
        </w:rPr>
      </w:pPr>
    </w:p>
    <w:p w:rsidR="00AD069C" w:rsidP="00AD069C" w14:paraId="168A9F47" w14:textId="730548B9">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ESTIMATED BURDEN OF COLLECTION OF INFORMATION</w:t>
      </w:r>
    </w:p>
    <w:p w:rsidR="00AD069C" w:rsidP="00AD069C" w14:paraId="5F0D2A01" w14:textId="77777777">
      <w:pPr>
        <w:spacing w:after="0" w:line="240" w:lineRule="auto"/>
        <w:rPr>
          <w:rFonts w:ascii="Times New Roman" w:hAnsi="Times New Roman" w:cs="Times New Roman"/>
          <w:sz w:val="26"/>
          <w:szCs w:val="26"/>
        </w:rPr>
      </w:pPr>
    </w:p>
    <w:p w:rsidR="00C2582E" w:rsidRPr="00C2582E" w:rsidP="00E55C04" w14:paraId="171CE877" w14:textId="0C2DB4D8">
      <w:pPr>
        <w:pStyle w:val="FERCparanumber"/>
        <w:numPr>
          <w:ilvl w:val="0"/>
          <w:numId w:val="0"/>
        </w:numPr>
      </w:pPr>
      <w:r w:rsidRPr="00A067D7">
        <w:t>The number of respondents</w:t>
      </w:r>
      <w:r>
        <w:t xml:space="preserve"> that are subject to mandatory compliance with Reliability Standard IRO-010-6,</w:t>
      </w:r>
      <w:r w:rsidRPr="00A067D7">
        <w:t xml:space="preserve"> in the table below, are based on </w:t>
      </w:r>
      <w:r>
        <w:t xml:space="preserve">the </w:t>
      </w:r>
      <w:r w:rsidRPr="00A067D7">
        <w:t xml:space="preserve">NERC </w:t>
      </w:r>
      <w:r>
        <w:t>C</w:t>
      </w:r>
      <w:r w:rsidRPr="00A067D7">
        <w:t xml:space="preserve">ompliance </w:t>
      </w:r>
      <w:r>
        <w:t>R</w:t>
      </w:r>
      <w:r w:rsidRPr="00A067D7">
        <w:t>egistr</w:t>
      </w:r>
      <w:r>
        <w:t>y</w:t>
      </w:r>
      <w:r w:rsidRPr="00A067D7">
        <w:t xml:space="preserve"> as of Decembe</w:t>
      </w:r>
      <w:r>
        <w:t>r</w:t>
      </w:r>
      <w:r w:rsidRPr="00A067D7">
        <w:t xml:space="preserve"> 3, 2025</w:t>
      </w:r>
      <w:r>
        <w:t>,</w:t>
      </w:r>
      <w:r w:rsidRPr="00A067D7">
        <w:t xml:space="preserve"> and good faith estimates provided by NERC</w:t>
      </w:r>
      <w:r>
        <w:t xml:space="preserve"> to Commission staff</w:t>
      </w:r>
      <w:r w:rsidRPr="00A067D7">
        <w:t xml:space="preserve">, in August 2025.  </w:t>
      </w:r>
      <w:r>
        <w:t xml:space="preserve">NERC </w:t>
      </w:r>
      <w:r w:rsidRPr="00A067D7">
        <w:t xml:space="preserve">estimates </w:t>
      </w:r>
      <w:r>
        <w:t>that there are</w:t>
      </w:r>
      <w:r w:rsidRPr="00A067D7">
        <w:t xml:space="preserve"> </w:t>
      </w:r>
      <w:r>
        <w:t>491</w:t>
      </w:r>
      <w:r w:rsidRPr="00A067D7">
        <w:t xml:space="preserve"> </w:t>
      </w:r>
      <w:r>
        <w:t xml:space="preserve">category </w:t>
      </w:r>
      <w:r w:rsidRPr="00A067D7">
        <w:t>2 generator owners and</w:t>
      </w:r>
      <w:r>
        <w:t xml:space="preserve"> 310</w:t>
      </w:r>
      <w:r w:rsidRPr="00A067D7">
        <w:t xml:space="preserve"> </w:t>
      </w:r>
      <w:r>
        <w:t xml:space="preserve">category </w:t>
      </w:r>
      <w:r w:rsidRPr="00A067D7">
        <w:t>2 generator operators</w:t>
      </w:r>
      <w:r>
        <w:t>, which</w:t>
      </w:r>
      <w:r w:rsidRPr="00A067D7">
        <w:t xml:space="preserve"> will be added</w:t>
      </w:r>
      <w:r>
        <w:t xml:space="preserve"> to</w:t>
      </w:r>
      <w:r w:rsidRPr="00A067D7">
        <w:t xml:space="preserve"> </w:t>
      </w:r>
      <w:r>
        <w:t xml:space="preserve">the </w:t>
      </w:r>
      <w:r w:rsidRPr="00A067D7">
        <w:t xml:space="preserve">respective </w:t>
      </w:r>
      <w:r>
        <w:t xml:space="preserve">category </w:t>
      </w:r>
      <w:r w:rsidRPr="00A067D7">
        <w:t>1 generator owners and generator operators</w:t>
      </w:r>
      <w:r>
        <w:t xml:space="preserve"> in the NERC Compliance Registry to reach an estimate of the total number of generator owners and generator operators</w:t>
      </w:r>
      <w:r w:rsidRPr="00A067D7">
        <w:t xml:space="preserve">.  </w:t>
      </w:r>
    </w:p>
    <w:p w:rsidR="00186E3E" w:rsidP="2A2D9407" w14:paraId="5610D52D" w14:textId="6121395C">
      <w:pPr>
        <w:widowControl w:val="0"/>
        <w:autoSpaceDE w:val="0"/>
        <w:autoSpaceDN w:val="0"/>
        <w:adjustRightInd w:val="0"/>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w:t>
      </w:r>
      <w:r w:rsidRPr="00D0606B" w:rsidR="38AA4B5A">
        <w:rPr>
          <w:rFonts w:ascii="Times New Roman" w:eastAsia="Times New Roman" w:hAnsi="Times New Roman" w:cs="Times New Roman"/>
          <w:sz w:val="26"/>
          <w:szCs w:val="26"/>
        </w:rPr>
        <w:t xml:space="preserve">estimated </w:t>
      </w:r>
      <w:r w:rsidR="4D27B64B">
        <w:rPr>
          <w:rFonts w:ascii="Times New Roman" w:eastAsia="Times New Roman" w:hAnsi="Times New Roman" w:cs="Times New Roman"/>
          <w:sz w:val="26"/>
          <w:szCs w:val="26"/>
        </w:rPr>
        <w:t xml:space="preserve">annual </w:t>
      </w:r>
      <w:r w:rsidRPr="00D0606B" w:rsidR="38AA4B5A">
        <w:rPr>
          <w:rFonts w:ascii="Times New Roman" w:eastAsia="Times New Roman" w:hAnsi="Times New Roman" w:cs="Times New Roman"/>
          <w:sz w:val="26"/>
          <w:szCs w:val="26"/>
        </w:rPr>
        <w:t xml:space="preserve">burden and cost related to the </w:t>
      </w:r>
      <w:r w:rsidR="4D27B64B">
        <w:rPr>
          <w:rFonts w:ascii="Times New Roman" w:eastAsia="Times New Roman" w:hAnsi="Times New Roman" w:cs="Times New Roman"/>
          <w:sz w:val="26"/>
          <w:szCs w:val="26"/>
        </w:rPr>
        <w:t>reporting and recordkeeping requirements for</w:t>
      </w:r>
      <w:r w:rsidRPr="00D0606B" w:rsidR="38AA4B5A">
        <w:rPr>
          <w:rFonts w:ascii="Times New Roman" w:eastAsia="Times New Roman" w:hAnsi="Times New Roman" w:cs="Times New Roman"/>
          <w:sz w:val="26"/>
          <w:szCs w:val="26"/>
        </w:rPr>
        <w:t xml:space="preserve"> </w:t>
      </w:r>
      <w:r w:rsidR="488787EE">
        <w:rPr>
          <w:rFonts w:ascii="Times New Roman" w:eastAsia="Times New Roman" w:hAnsi="Times New Roman" w:cs="Times New Roman"/>
          <w:sz w:val="26"/>
          <w:szCs w:val="26"/>
        </w:rPr>
        <w:t>FERC-725Z</w:t>
      </w:r>
      <w:r w:rsidR="4D27B64B">
        <w:rPr>
          <w:rFonts w:ascii="Times New Roman" w:eastAsia="Times New Roman" w:hAnsi="Times New Roman" w:cs="Times New Roman"/>
          <w:sz w:val="26"/>
          <w:szCs w:val="26"/>
        </w:rPr>
        <w:t xml:space="preserve"> are as follows</w:t>
      </w:r>
      <w:r w:rsidR="488787EE">
        <w:rPr>
          <w:rFonts w:ascii="Times New Roman" w:eastAsia="Times New Roman" w:hAnsi="Times New Roman" w:cs="Times New Roman"/>
          <w:sz w:val="26"/>
          <w:szCs w:val="26"/>
        </w:rPr>
        <w:t>.</w:t>
      </w:r>
    </w:p>
    <w:p w:rsidR="00D46A44" w:rsidP="2A2D9407" w14:paraId="78ABD51A" w14:textId="77777777">
      <w:pPr>
        <w:widowControl w:val="0"/>
        <w:autoSpaceDE w:val="0"/>
        <w:autoSpaceDN w:val="0"/>
        <w:adjustRightInd w:val="0"/>
        <w:spacing w:after="0" w:line="240" w:lineRule="auto"/>
        <w:rPr>
          <w:rFonts w:ascii="Times New Roman" w:eastAsia="Times New Roman" w:hAnsi="Times New Roman" w:cs="Times New Roman"/>
          <w:sz w:val="26"/>
          <w:szCs w:val="26"/>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2"/>
        <w:gridCol w:w="1867"/>
        <w:gridCol w:w="1427"/>
        <w:gridCol w:w="1434"/>
        <w:gridCol w:w="1428"/>
        <w:gridCol w:w="1776"/>
      </w:tblGrid>
      <w:tr w14:paraId="57A8D8B2" w14:textId="77777777">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D46A44" w:rsidRPr="00D46A44" w:rsidP="00D46A44" w14:paraId="6402BA10"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Proposed Changes in Burden IRO-010-6 Docket No. RD26-1</w:t>
            </w:r>
          </w:p>
        </w:tc>
      </w:tr>
      <w:tr w14:paraId="46FBB757"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D46A44" w:rsidRPr="00D46A44" w:rsidP="00D46A44" w14:paraId="038DF930"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Reliability Standard</w:t>
            </w:r>
          </w:p>
        </w:tc>
        <w:tc>
          <w:tcPr>
            <w:tcW w:w="1867"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D46A44" w:rsidRPr="00D46A44" w:rsidP="00D46A44" w14:paraId="789D55B7"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Type and Number of Entity</w:t>
            </w:r>
            <w:r>
              <w:rPr>
                <w:rFonts w:ascii="Times New Roman" w:eastAsia="Calibri" w:hAnsi="Times New Roman" w:cs="Times New Roman"/>
                <w:b/>
                <w:sz w:val="26"/>
                <w:szCs w:val="26"/>
                <w:vertAlign w:val="superscript"/>
              </w:rPr>
              <w:footnoteReference w:id="14"/>
            </w:r>
            <w:r w:rsidRPr="00D46A44">
              <w:rPr>
                <w:rFonts w:ascii="Times New Roman" w:eastAsia="Calibri" w:hAnsi="Times New Roman" w:cs="Times New Roman"/>
                <w:sz w:val="26"/>
                <w:szCs w:val="26"/>
              </w:rPr>
              <w:t> </w:t>
            </w:r>
          </w:p>
          <w:p w:rsidR="00D46A44" w:rsidRPr="00D46A44" w:rsidP="00D46A44" w14:paraId="46EE3EEC"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b/>
                <w:sz w:val="26"/>
                <w:szCs w:val="26"/>
              </w:rPr>
              <w:t>(1)</w:t>
            </w:r>
          </w:p>
        </w:tc>
        <w:tc>
          <w:tcPr>
            <w:tcW w:w="1427"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D46A44" w:rsidRPr="00D46A44" w:rsidP="00D46A44" w14:paraId="3CF0BDE0"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 xml:space="preserve">Number of Annual </w:t>
            </w:r>
            <w:r w:rsidRPr="00D46A44">
              <w:rPr>
                <w:rFonts w:ascii="Times New Roman" w:eastAsia="Calibri" w:hAnsi="Times New Roman" w:cs="Times New Roman"/>
                <w:b/>
                <w:bCs/>
                <w:sz w:val="26"/>
                <w:szCs w:val="26"/>
              </w:rPr>
              <w:t>Responses Per Entity</w:t>
            </w:r>
          </w:p>
          <w:p w:rsidR="00D46A44" w:rsidRPr="00D46A44" w:rsidP="00D46A44" w14:paraId="7AB1018E"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w:t>
            </w:r>
            <w:r w:rsidRPr="00D46A44">
              <w:rPr>
                <w:rFonts w:ascii="Times New Roman" w:eastAsia="Calibri" w:hAnsi="Times New Roman" w:cs="Times New Roman"/>
                <w:b/>
                <w:sz w:val="26"/>
                <w:szCs w:val="26"/>
              </w:rPr>
              <w:t>2)</w:t>
            </w:r>
          </w:p>
        </w:tc>
        <w:tc>
          <w:tcPr>
            <w:tcW w:w="1434"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D46A44" w:rsidRPr="00D46A44" w:rsidP="00D46A44" w14:paraId="739593DA"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Total Number of Responses</w:t>
            </w:r>
          </w:p>
          <w:p w:rsidR="00D46A44" w:rsidRPr="00D46A44" w:rsidP="00D46A44" w14:paraId="4C56085B"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(1)*(2)=(3)</w:t>
            </w:r>
          </w:p>
        </w:tc>
        <w:tc>
          <w:tcPr>
            <w:tcW w:w="1428"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D46A44" w:rsidRPr="00D46A44" w:rsidP="00D46A44" w14:paraId="1B8B7622" w14:textId="77777777">
            <w:pPr>
              <w:tabs>
                <w:tab w:val="left" w:pos="720"/>
              </w:tabs>
              <w:autoSpaceDE w:val="0"/>
              <w:autoSpaceDN w:val="0"/>
              <w:adjustRightInd w:val="0"/>
              <w:spacing w:after="0" w:line="240" w:lineRule="auto"/>
              <w:jc w:val="center"/>
              <w:rPr>
                <w:rFonts w:ascii="Times New Roman" w:eastAsia="Calibri" w:hAnsi="Times New Roman" w:cs="Times New Roman"/>
                <w:b/>
                <w:sz w:val="26"/>
                <w:vertAlign w:val="superscript"/>
              </w:rPr>
            </w:pPr>
            <w:r w:rsidRPr="00D46A44">
              <w:rPr>
                <w:rFonts w:ascii="Times New Roman" w:eastAsia="Calibri" w:hAnsi="Times New Roman" w:cs="Times New Roman"/>
                <w:b/>
                <w:sz w:val="26"/>
              </w:rPr>
              <w:t xml:space="preserve">Average Number of Burden </w:t>
            </w:r>
            <w:r w:rsidRPr="00D46A44">
              <w:rPr>
                <w:rFonts w:ascii="Times New Roman" w:eastAsia="Calibri" w:hAnsi="Times New Roman" w:cs="Times New Roman"/>
                <w:b/>
                <w:sz w:val="26"/>
              </w:rPr>
              <w:t>Hours per Response</w:t>
            </w:r>
            <w:r>
              <w:rPr>
                <w:rFonts w:ascii="Times New Roman" w:eastAsia="Calibri" w:hAnsi="Times New Roman" w:cs="Times New Roman"/>
                <w:b/>
                <w:sz w:val="26"/>
                <w:vertAlign w:val="superscript"/>
              </w:rPr>
              <w:footnoteReference w:id="15"/>
            </w:r>
          </w:p>
          <w:p w:rsidR="00D46A44" w:rsidRPr="00D46A44" w:rsidP="00D46A44" w14:paraId="503FBF7B"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(4)</w:t>
            </w:r>
          </w:p>
        </w:tc>
        <w:tc>
          <w:tcPr>
            <w:tcW w:w="1776" w:type="dxa"/>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D46A44" w:rsidRPr="00D46A44" w:rsidP="00D46A44" w14:paraId="38A1B650"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Total Burden Hours</w:t>
            </w:r>
          </w:p>
          <w:p w:rsidR="00D46A44" w:rsidRPr="00D46A44" w:rsidP="00D46A44" w14:paraId="2EDBF2BB"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(3)*(4)=(5)</w:t>
            </w:r>
          </w:p>
        </w:tc>
      </w:tr>
      <w:tr w14:paraId="668D663B" w14:textId="77777777">
        <w:tblPrEx>
          <w:tblW w:w="9344" w:type="dxa"/>
          <w:tblCellMar>
            <w:left w:w="0" w:type="dxa"/>
            <w:right w:w="0" w:type="dxa"/>
          </w:tblCellMar>
          <w:tblLook w:val="04A0"/>
        </w:tblPrEx>
        <w:trPr>
          <w:trHeight w:val="300"/>
        </w:trPr>
        <w:tc>
          <w:tcPr>
            <w:tcW w:w="9344"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hideMark/>
          </w:tcPr>
          <w:p w:rsidR="00D46A44" w:rsidRPr="00D46A44" w:rsidP="00D46A44" w14:paraId="41B5626A"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Annual Collection IRO-010-6 FERC-725 Z</w:t>
            </w:r>
          </w:p>
        </w:tc>
      </w:tr>
      <w:tr w14:paraId="325954C7" w14:textId="77777777">
        <w:tblPrEx>
          <w:tblW w:w="9344" w:type="dxa"/>
          <w:tblCellMar>
            <w:left w:w="0" w:type="dxa"/>
            <w:right w:w="0" w:type="dxa"/>
          </w:tblCellMar>
          <w:tblLook w:val="04A0"/>
        </w:tblPrEx>
        <w:trPr>
          <w:trHeight w:val="300"/>
        </w:trPr>
        <w:tc>
          <w:tcPr>
            <w:tcW w:w="1412" w:type="dxa"/>
            <w:vMerge w:val="restart"/>
            <w:tcBorders>
              <w:top w:val="single" w:sz="6" w:space="0" w:color="auto"/>
              <w:left w:val="single" w:sz="6" w:space="0" w:color="auto"/>
              <w:right w:val="single" w:sz="6" w:space="0" w:color="auto"/>
            </w:tcBorders>
            <w:hideMark/>
          </w:tcPr>
          <w:p w:rsidR="00D46A44" w:rsidRPr="00D46A44" w:rsidP="00D46A44" w14:paraId="5997CA96"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Annual review and record retention</w:t>
            </w:r>
          </w:p>
          <w:p w:rsidR="00D46A44" w:rsidRPr="00D46A44" w:rsidP="00D46A44" w14:paraId="2F43BE93"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p w:rsidR="00D46A44" w:rsidRPr="00D46A44" w:rsidP="00D46A44" w14:paraId="54F2DE53"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p w:rsidR="00D46A44" w:rsidRPr="00D46A44" w:rsidP="00D46A44" w14:paraId="0447F697"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p w:rsidR="00D46A44" w:rsidRPr="00D46A44" w:rsidP="00D46A44" w14:paraId="57CBA990"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hideMark/>
          </w:tcPr>
          <w:p w:rsidR="00D46A44" w:rsidRPr="00D46A44" w:rsidP="00D46A44" w14:paraId="3B34E7AF"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 xml:space="preserve">12 (RC) </w:t>
            </w:r>
          </w:p>
        </w:tc>
        <w:tc>
          <w:tcPr>
            <w:tcW w:w="1427" w:type="dxa"/>
            <w:tcBorders>
              <w:top w:val="single" w:sz="6" w:space="0" w:color="auto"/>
              <w:left w:val="single" w:sz="6" w:space="0" w:color="auto"/>
              <w:bottom w:val="single" w:sz="6" w:space="0" w:color="auto"/>
              <w:right w:val="single" w:sz="6" w:space="0" w:color="auto"/>
            </w:tcBorders>
            <w:hideMark/>
          </w:tcPr>
          <w:p w:rsidR="00D46A44" w:rsidRPr="00D46A44" w:rsidP="00D46A44" w14:paraId="77A8ED67"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D46A44" w:rsidRPr="00D46A44" w:rsidP="00D46A44" w14:paraId="26A8778A"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D46A44">
              <w:rPr>
                <w:rFonts w:ascii="Times New Roman" w:eastAsia="Calibri" w:hAnsi="Times New Roman" w:cs="Times New Roman"/>
                <w:sz w:val="26"/>
              </w:rPr>
              <w:t>12</w:t>
            </w:r>
          </w:p>
        </w:tc>
        <w:tc>
          <w:tcPr>
            <w:tcW w:w="1428" w:type="dxa"/>
            <w:tcBorders>
              <w:top w:val="single" w:sz="6" w:space="0" w:color="auto"/>
              <w:left w:val="single" w:sz="6" w:space="0" w:color="auto"/>
              <w:bottom w:val="single" w:sz="6" w:space="0" w:color="auto"/>
              <w:right w:val="single" w:sz="6" w:space="0" w:color="auto"/>
            </w:tcBorders>
            <w:hideMark/>
          </w:tcPr>
          <w:p w:rsidR="00D46A44" w:rsidRPr="00D46A44" w:rsidP="00D46A44" w14:paraId="27FEAAFF"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8 hrs.</w:t>
            </w:r>
          </w:p>
          <w:p w:rsidR="00D46A44" w:rsidRPr="00D46A44" w:rsidP="00D46A44" w14:paraId="6FF2C583" w14:textId="387A9235">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hideMark/>
          </w:tcPr>
          <w:p w:rsidR="00D46A44" w:rsidRPr="00D46A44" w:rsidP="00D46A44" w14:paraId="4F901A5D"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96 hrs. </w:t>
            </w:r>
          </w:p>
          <w:p w:rsidR="00D46A44" w:rsidRPr="00D46A44" w:rsidP="00D46A44" w14:paraId="665051A7"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 xml:space="preserve">$6,097.92 </w:t>
            </w:r>
          </w:p>
        </w:tc>
      </w:tr>
      <w:tr w14:paraId="10831A2D" w14:textId="77777777">
        <w:tblPrEx>
          <w:tblW w:w="9344" w:type="dxa"/>
          <w:tblCellMar>
            <w:left w:w="0" w:type="dxa"/>
            <w:right w:w="0" w:type="dxa"/>
          </w:tblCellMar>
          <w:tblLook w:val="04A0"/>
        </w:tblPrEx>
        <w:trPr>
          <w:trHeight w:val="300"/>
        </w:trPr>
        <w:tc>
          <w:tcPr>
            <w:tcW w:w="0" w:type="auto"/>
            <w:vMerge/>
            <w:vAlign w:val="center"/>
            <w:hideMark/>
          </w:tcPr>
          <w:p w:rsidR="00D46A44" w:rsidRPr="00D46A44" w:rsidP="00D46A44" w14:paraId="2816195B"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hideMark/>
          </w:tcPr>
          <w:p w:rsidR="00D46A44" w:rsidRPr="00D46A44" w:rsidP="00D46A44" w14:paraId="72D78156"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 xml:space="preserve">97 (BA) </w:t>
            </w:r>
          </w:p>
        </w:tc>
        <w:tc>
          <w:tcPr>
            <w:tcW w:w="1427" w:type="dxa"/>
            <w:tcBorders>
              <w:top w:val="single" w:sz="6" w:space="0" w:color="auto"/>
              <w:left w:val="single" w:sz="6" w:space="0" w:color="auto"/>
              <w:bottom w:val="single" w:sz="6" w:space="0" w:color="auto"/>
              <w:right w:val="single" w:sz="6" w:space="0" w:color="auto"/>
            </w:tcBorders>
            <w:hideMark/>
          </w:tcPr>
          <w:p w:rsidR="00D46A44" w:rsidRPr="00D46A44" w:rsidP="00D46A44" w14:paraId="5089B2CF"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D46A44" w:rsidRPr="00D46A44" w:rsidP="00D46A44" w14:paraId="4D9D7EB3"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D46A44">
              <w:rPr>
                <w:rFonts w:ascii="Times New Roman" w:eastAsia="Calibri" w:hAnsi="Times New Roman" w:cs="Times New Roman"/>
                <w:sz w:val="26"/>
              </w:rPr>
              <w:t>97</w:t>
            </w:r>
          </w:p>
        </w:tc>
        <w:tc>
          <w:tcPr>
            <w:tcW w:w="1428" w:type="dxa"/>
            <w:tcBorders>
              <w:top w:val="single" w:sz="6" w:space="0" w:color="auto"/>
              <w:left w:val="single" w:sz="6" w:space="0" w:color="auto"/>
              <w:bottom w:val="single" w:sz="6" w:space="0" w:color="auto"/>
              <w:right w:val="single" w:sz="6" w:space="0" w:color="auto"/>
            </w:tcBorders>
            <w:hideMark/>
          </w:tcPr>
          <w:p w:rsidR="00D46A44" w:rsidRPr="00D46A44" w:rsidP="00D46A44" w14:paraId="2E126827"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8 hrs.</w:t>
            </w:r>
          </w:p>
          <w:p w:rsidR="00D46A44" w:rsidRPr="00D46A44" w:rsidP="00D46A44" w14:paraId="133272D1" w14:textId="1AEC06BC">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hideMark/>
          </w:tcPr>
          <w:p w:rsidR="00D46A44" w:rsidRPr="00D46A44" w:rsidP="00D46A44" w14:paraId="116B7CD1"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776 hrs.  </w:t>
            </w:r>
          </w:p>
          <w:p w:rsidR="00D46A44" w:rsidRPr="00D46A44" w:rsidP="00D46A44" w14:paraId="63A01CF0"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$49,291.52</w:t>
            </w:r>
          </w:p>
        </w:tc>
      </w:tr>
      <w:tr w14:paraId="7D4100EE" w14:textId="77777777">
        <w:tblPrEx>
          <w:tblW w:w="9344" w:type="dxa"/>
          <w:tblCellMar>
            <w:left w:w="0" w:type="dxa"/>
            <w:right w:w="0" w:type="dxa"/>
          </w:tblCellMar>
          <w:tblLook w:val="04A0"/>
        </w:tblPrEx>
        <w:trPr>
          <w:trHeight w:val="300"/>
        </w:trPr>
        <w:tc>
          <w:tcPr>
            <w:tcW w:w="0" w:type="auto"/>
            <w:vMerge/>
            <w:vAlign w:val="center"/>
            <w:hideMark/>
          </w:tcPr>
          <w:p w:rsidR="00D46A44" w:rsidRPr="00D46A44" w:rsidP="00D46A44" w14:paraId="108FF4E9"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hideMark/>
          </w:tcPr>
          <w:p w:rsidR="00D46A44" w:rsidRPr="00D46A44" w:rsidP="00D46A44" w14:paraId="7DB349D6"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D46A44">
              <w:rPr>
                <w:rFonts w:ascii="Times New Roman" w:eastAsia="Calibri" w:hAnsi="Times New Roman" w:cs="Times New Roman"/>
                <w:sz w:val="26"/>
              </w:rPr>
              <w:t>1,834 (GO)</w:t>
            </w:r>
          </w:p>
        </w:tc>
        <w:tc>
          <w:tcPr>
            <w:tcW w:w="1427" w:type="dxa"/>
            <w:tcBorders>
              <w:top w:val="single" w:sz="6" w:space="0" w:color="auto"/>
              <w:left w:val="single" w:sz="6" w:space="0" w:color="auto"/>
              <w:bottom w:val="single" w:sz="6" w:space="0" w:color="auto"/>
              <w:right w:val="single" w:sz="6" w:space="0" w:color="auto"/>
            </w:tcBorders>
            <w:hideMark/>
          </w:tcPr>
          <w:p w:rsidR="00D46A44" w:rsidRPr="00D46A44" w:rsidP="00D46A44" w14:paraId="6224839C"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hideMark/>
          </w:tcPr>
          <w:p w:rsidR="00D46A44" w:rsidRPr="00D46A44" w:rsidP="00D46A44" w14:paraId="2DD9F507"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D46A44">
              <w:rPr>
                <w:rFonts w:ascii="Times New Roman" w:eastAsia="Calibri" w:hAnsi="Times New Roman" w:cs="Times New Roman"/>
                <w:sz w:val="26"/>
              </w:rPr>
              <w:t>1834</w:t>
            </w:r>
          </w:p>
        </w:tc>
        <w:tc>
          <w:tcPr>
            <w:tcW w:w="1428" w:type="dxa"/>
            <w:tcBorders>
              <w:top w:val="single" w:sz="6" w:space="0" w:color="auto"/>
              <w:left w:val="single" w:sz="6" w:space="0" w:color="auto"/>
              <w:bottom w:val="single" w:sz="6" w:space="0" w:color="auto"/>
              <w:right w:val="single" w:sz="6" w:space="0" w:color="auto"/>
            </w:tcBorders>
            <w:hideMark/>
          </w:tcPr>
          <w:p w:rsidR="00D46A44" w:rsidRPr="00D46A44" w:rsidP="00D46A44" w14:paraId="1D99E2F7"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8 hrs. </w:t>
            </w:r>
          </w:p>
          <w:p w:rsidR="00D46A44" w:rsidRPr="00D46A44" w:rsidP="00D46A44" w14:paraId="33A4D3E8" w14:textId="26F9390F">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hideMark/>
          </w:tcPr>
          <w:p w:rsidR="00D46A44" w:rsidRPr="00D46A44" w:rsidP="00D46A44" w14:paraId="55622B45"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14,672 hrs. </w:t>
            </w:r>
          </w:p>
          <w:p w:rsidR="00D46A44" w:rsidRPr="00D46A44" w:rsidP="00D46A44" w14:paraId="3222D48D"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$931,965.44</w:t>
            </w:r>
          </w:p>
        </w:tc>
      </w:tr>
      <w:tr w14:paraId="0B83044D" w14:textId="77777777">
        <w:tblPrEx>
          <w:tblW w:w="9344" w:type="dxa"/>
          <w:tblCellMar>
            <w:left w:w="0" w:type="dxa"/>
            <w:right w:w="0" w:type="dxa"/>
          </w:tblCellMar>
          <w:tblLook w:val="04A0"/>
        </w:tblPrEx>
        <w:trPr>
          <w:trHeight w:val="300"/>
        </w:trPr>
        <w:tc>
          <w:tcPr>
            <w:tcW w:w="0" w:type="auto"/>
            <w:vMerge/>
            <w:vAlign w:val="center"/>
          </w:tcPr>
          <w:p w:rsidR="00D46A44" w:rsidRPr="00D46A44" w:rsidP="00D46A44" w14:paraId="41CDB740"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tcPr>
          <w:p w:rsidR="00D46A44" w:rsidRPr="00D46A44" w:rsidP="00D46A44" w14:paraId="0BFBF7C8"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D46A44">
              <w:rPr>
                <w:rFonts w:ascii="Times New Roman" w:eastAsia="Calibri" w:hAnsi="Times New Roman" w:cs="Times New Roman"/>
                <w:sz w:val="26"/>
              </w:rPr>
              <w:t>1,333 (GOP)</w:t>
            </w:r>
            <w:r>
              <w:rPr>
                <w:rFonts w:ascii="Times New Roman" w:eastAsia="Calibri" w:hAnsi="Times New Roman" w:cs="Times New Roman"/>
                <w:b/>
                <w:sz w:val="26"/>
                <w:szCs w:val="26"/>
                <w:vertAlign w:val="superscript"/>
              </w:rPr>
              <w:footnoteReference w:id="16"/>
            </w:r>
            <w:r w:rsidRPr="00D46A44">
              <w:rPr>
                <w:rFonts w:ascii="Times New Roman" w:eastAsia="Calibri" w:hAnsi="Times New Roman" w:cs="Times New Roman"/>
                <w:sz w:val="26"/>
              </w:rPr>
              <w:t xml:space="preserve"> </w:t>
            </w:r>
          </w:p>
        </w:tc>
        <w:tc>
          <w:tcPr>
            <w:tcW w:w="1427" w:type="dxa"/>
            <w:tcBorders>
              <w:top w:val="single" w:sz="6" w:space="0" w:color="auto"/>
              <w:left w:val="single" w:sz="6" w:space="0" w:color="auto"/>
              <w:bottom w:val="single" w:sz="6" w:space="0" w:color="auto"/>
              <w:right w:val="single" w:sz="6" w:space="0" w:color="auto"/>
            </w:tcBorders>
          </w:tcPr>
          <w:p w:rsidR="00D46A44" w:rsidRPr="00D46A44" w:rsidP="00D46A44" w14:paraId="5C5D6BDA"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D46A44" w:rsidRPr="00D46A44" w:rsidP="00D46A44" w14:paraId="06FF6CE1"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D46A44">
              <w:rPr>
                <w:rFonts w:ascii="Times New Roman" w:eastAsia="Calibri" w:hAnsi="Times New Roman" w:cs="Times New Roman"/>
                <w:sz w:val="26"/>
              </w:rPr>
              <w:t>1333</w:t>
            </w:r>
          </w:p>
        </w:tc>
        <w:tc>
          <w:tcPr>
            <w:tcW w:w="1428" w:type="dxa"/>
            <w:tcBorders>
              <w:top w:val="single" w:sz="6" w:space="0" w:color="auto"/>
              <w:left w:val="single" w:sz="6" w:space="0" w:color="auto"/>
              <w:bottom w:val="single" w:sz="6" w:space="0" w:color="auto"/>
              <w:right w:val="single" w:sz="6" w:space="0" w:color="auto"/>
            </w:tcBorders>
          </w:tcPr>
          <w:p w:rsidR="00D46A44" w:rsidRPr="00D46A44" w:rsidP="00D46A44" w14:paraId="1000AFAF" w14:textId="77777777">
            <w:pPr>
              <w:tabs>
                <w:tab w:val="left" w:pos="720"/>
              </w:tabs>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8 hrs.</w:t>
            </w:r>
          </w:p>
          <w:p w:rsidR="00D46A44" w:rsidRPr="00D46A44" w:rsidP="00D46A44" w14:paraId="05608C0B" w14:textId="3D23E413">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tcPr>
          <w:p w:rsidR="00D46A44" w:rsidRPr="00D46A44" w:rsidP="00D46A44" w14:paraId="63E92FB3"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10,664 hrs. </w:t>
            </w:r>
          </w:p>
          <w:p w:rsidR="00D46A44" w:rsidRPr="00D46A44" w:rsidP="00D46A44" w14:paraId="03D7DE97"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 xml:space="preserve">$677,377.28 </w:t>
            </w:r>
          </w:p>
        </w:tc>
      </w:tr>
      <w:tr w14:paraId="2150235B" w14:textId="77777777">
        <w:tblPrEx>
          <w:tblW w:w="9344" w:type="dxa"/>
          <w:tblCellMar>
            <w:left w:w="0" w:type="dxa"/>
            <w:right w:w="0" w:type="dxa"/>
          </w:tblCellMar>
          <w:tblLook w:val="04A0"/>
        </w:tblPrEx>
        <w:trPr>
          <w:trHeight w:val="300"/>
        </w:trPr>
        <w:tc>
          <w:tcPr>
            <w:tcW w:w="0" w:type="auto"/>
            <w:vMerge/>
            <w:vAlign w:val="center"/>
          </w:tcPr>
          <w:p w:rsidR="00D46A44" w:rsidRPr="00D46A44" w:rsidP="00D46A44" w14:paraId="3C48AF5A"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tcPr>
          <w:p w:rsidR="00D46A44" w:rsidRPr="00D46A44" w:rsidP="00D46A44" w14:paraId="4B7BDE12"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 xml:space="preserve">170 (TOP) </w:t>
            </w:r>
          </w:p>
        </w:tc>
        <w:tc>
          <w:tcPr>
            <w:tcW w:w="1427" w:type="dxa"/>
            <w:tcBorders>
              <w:top w:val="single" w:sz="6" w:space="0" w:color="auto"/>
              <w:left w:val="single" w:sz="6" w:space="0" w:color="auto"/>
              <w:bottom w:val="single" w:sz="6" w:space="0" w:color="auto"/>
              <w:right w:val="single" w:sz="6" w:space="0" w:color="auto"/>
            </w:tcBorders>
          </w:tcPr>
          <w:p w:rsidR="00D46A44" w:rsidRPr="00D46A44" w:rsidP="00D46A44" w14:paraId="6A03323A"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D46A44" w:rsidRPr="00D46A44" w:rsidP="00D46A44" w14:paraId="17AAC52C"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D46A44">
              <w:rPr>
                <w:rFonts w:ascii="Times New Roman" w:eastAsia="Calibri" w:hAnsi="Times New Roman" w:cs="Times New Roman"/>
                <w:sz w:val="26"/>
              </w:rPr>
              <w:t>170</w:t>
            </w:r>
          </w:p>
        </w:tc>
        <w:tc>
          <w:tcPr>
            <w:tcW w:w="1428" w:type="dxa"/>
            <w:tcBorders>
              <w:top w:val="single" w:sz="6" w:space="0" w:color="auto"/>
              <w:left w:val="single" w:sz="6" w:space="0" w:color="auto"/>
              <w:bottom w:val="single" w:sz="6" w:space="0" w:color="auto"/>
              <w:right w:val="single" w:sz="6" w:space="0" w:color="auto"/>
            </w:tcBorders>
          </w:tcPr>
          <w:p w:rsidR="00D46A44" w:rsidRPr="00D46A44" w:rsidP="00D46A44" w14:paraId="0D5AE442"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8 hrs.</w:t>
            </w:r>
          </w:p>
          <w:p w:rsidR="00D46A44" w:rsidRPr="00D46A44" w:rsidP="00D46A44" w14:paraId="72F35F16" w14:textId="5F2332D1">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tcPr>
          <w:p w:rsidR="00D46A44" w:rsidRPr="00D46A44" w:rsidP="00D46A44" w14:paraId="7D93C826"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1,360 hrs. </w:t>
            </w:r>
          </w:p>
          <w:p w:rsidR="00D46A44" w:rsidRPr="00D46A44" w:rsidP="00D46A44" w14:paraId="29724F12"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 xml:space="preserve">$86,387.20 </w:t>
            </w:r>
          </w:p>
        </w:tc>
      </w:tr>
      <w:tr w14:paraId="0FBD253D" w14:textId="77777777">
        <w:tblPrEx>
          <w:tblW w:w="9344" w:type="dxa"/>
          <w:tblCellMar>
            <w:left w:w="0" w:type="dxa"/>
            <w:right w:w="0" w:type="dxa"/>
          </w:tblCellMar>
          <w:tblLook w:val="04A0"/>
        </w:tblPrEx>
        <w:trPr>
          <w:trHeight w:val="300"/>
        </w:trPr>
        <w:tc>
          <w:tcPr>
            <w:tcW w:w="0" w:type="auto"/>
            <w:vMerge/>
            <w:vAlign w:val="center"/>
          </w:tcPr>
          <w:p w:rsidR="00D46A44" w:rsidRPr="00D46A44" w:rsidP="00D46A44" w14:paraId="1A692E48" w14:textId="77777777">
            <w:pPr>
              <w:widowControl w:val="0"/>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tcPr>
          <w:p w:rsidR="00D46A44" w:rsidRPr="00D46A44" w:rsidP="00D46A44" w14:paraId="502139ED"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 xml:space="preserve">341 (TO) </w:t>
            </w:r>
          </w:p>
        </w:tc>
        <w:tc>
          <w:tcPr>
            <w:tcW w:w="1427" w:type="dxa"/>
            <w:tcBorders>
              <w:top w:val="single" w:sz="6" w:space="0" w:color="auto"/>
              <w:left w:val="single" w:sz="6" w:space="0" w:color="auto"/>
              <w:bottom w:val="single" w:sz="6" w:space="0" w:color="auto"/>
              <w:right w:val="single" w:sz="6" w:space="0" w:color="auto"/>
            </w:tcBorders>
          </w:tcPr>
          <w:p w:rsidR="00D46A44" w:rsidRPr="00D46A44" w:rsidP="00D46A44" w14:paraId="25B814A9"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D46A44" w:rsidRPr="00D46A44" w:rsidP="00D46A44" w14:paraId="21FD6FE3"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D46A44">
              <w:rPr>
                <w:rFonts w:ascii="Times New Roman" w:eastAsia="Calibri" w:hAnsi="Times New Roman" w:cs="Times New Roman"/>
                <w:sz w:val="26"/>
              </w:rPr>
              <w:t>341</w:t>
            </w:r>
          </w:p>
        </w:tc>
        <w:tc>
          <w:tcPr>
            <w:tcW w:w="1428" w:type="dxa"/>
            <w:tcBorders>
              <w:top w:val="single" w:sz="6" w:space="0" w:color="auto"/>
              <w:left w:val="single" w:sz="6" w:space="0" w:color="auto"/>
              <w:bottom w:val="single" w:sz="6" w:space="0" w:color="auto"/>
              <w:right w:val="single" w:sz="6" w:space="0" w:color="auto"/>
            </w:tcBorders>
          </w:tcPr>
          <w:p w:rsidR="00D46A44" w:rsidRPr="00D46A44" w:rsidP="00D46A44" w14:paraId="12BA1ECD"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8 hrs.</w:t>
            </w:r>
          </w:p>
          <w:p w:rsidR="00D46A44" w:rsidRPr="00D46A44" w:rsidP="00D46A44" w14:paraId="093C4EF4" w14:textId="306EB690">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tcPr>
          <w:p w:rsidR="00D46A44" w:rsidRPr="00D46A44" w:rsidP="00D46A44" w14:paraId="69ADAE1F"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2,728 hrs. </w:t>
            </w:r>
          </w:p>
          <w:p w:rsidR="00D46A44" w:rsidRPr="00D46A44" w:rsidP="00D46A44" w14:paraId="46FDC00A"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 xml:space="preserve">$173,282.56 </w:t>
            </w:r>
          </w:p>
        </w:tc>
      </w:tr>
      <w:tr w14:paraId="4655E345" w14:textId="77777777">
        <w:tblPrEx>
          <w:tblW w:w="9344" w:type="dxa"/>
          <w:tblCellMar>
            <w:left w:w="0" w:type="dxa"/>
            <w:right w:w="0" w:type="dxa"/>
          </w:tblCellMar>
          <w:tblLook w:val="04A0"/>
        </w:tblPrEx>
        <w:trPr>
          <w:trHeight w:val="300"/>
        </w:trPr>
        <w:tc>
          <w:tcPr>
            <w:tcW w:w="0" w:type="auto"/>
            <w:vMerge/>
            <w:vAlign w:val="center"/>
          </w:tcPr>
          <w:p w:rsidR="00D46A44" w:rsidRPr="00D46A44" w:rsidP="00D46A44" w14:paraId="664A5453"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p>
        </w:tc>
        <w:tc>
          <w:tcPr>
            <w:tcW w:w="1867" w:type="dxa"/>
            <w:tcBorders>
              <w:top w:val="single" w:sz="6" w:space="0" w:color="auto"/>
              <w:left w:val="single" w:sz="6" w:space="0" w:color="auto"/>
              <w:bottom w:val="single" w:sz="6" w:space="0" w:color="auto"/>
              <w:right w:val="single" w:sz="6" w:space="0" w:color="auto"/>
            </w:tcBorders>
          </w:tcPr>
          <w:p w:rsidR="00D46A44" w:rsidRPr="00D46A44" w:rsidP="00D46A44" w14:paraId="4C91D2B6"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299</w:t>
            </w:r>
            <w:r w:rsidRPr="00D46A44">
              <w:rPr>
                <w:rFonts w:ascii="Times New Roman" w:eastAsia="Calibri" w:hAnsi="Times New Roman" w:cs="Times New Roman"/>
                <w:color w:val="FF0000"/>
                <w:sz w:val="26"/>
                <w:szCs w:val="26"/>
              </w:rPr>
              <w:t xml:space="preserve"> </w:t>
            </w:r>
            <w:r w:rsidRPr="00D46A44">
              <w:rPr>
                <w:rFonts w:ascii="Times New Roman" w:eastAsia="Calibri" w:hAnsi="Times New Roman" w:cs="Times New Roman"/>
                <w:sz w:val="26"/>
                <w:szCs w:val="26"/>
              </w:rPr>
              <w:t xml:space="preserve">(DP) </w:t>
            </w:r>
          </w:p>
        </w:tc>
        <w:tc>
          <w:tcPr>
            <w:tcW w:w="1427" w:type="dxa"/>
            <w:tcBorders>
              <w:top w:val="single" w:sz="6" w:space="0" w:color="auto"/>
              <w:left w:val="single" w:sz="6" w:space="0" w:color="auto"/>
              <w:bottom w:val="single" w:sz="6" w:space="0" w:color="auto"/>
              <w:right w:val="single" w:sz="6" w:space="0" w:color="auto"/>
            </w:tcBorders>
          </w:tcPr>
          <w:p w:rsidR="00D46A44" w:rsidRPr="00D46A44" w:rsidP="00D46A44" w14:paraId="114D72CD" w14:textId="77777777">
            <w:pPr>
              <w:tabs>
                <w:tab w:val="left" w:pos="720"/>
              </w:tabs>
              <w:autoSpaceDE w:val="0"/>
              <w:autoSpaceDN w:val="0"/>
              <w:adjustRightInd w:val="0"/>
              <w:spacing w:after="0" w:line="240" w:lineRule="auto"/>
              <w:jc w:val="center"/>
              <w:rPr>
                <w:rFonts w:ascii="Times New Roman" w:eastAsia="Calibri" w:hAnsi="Times New Roman" w:cs="Times New Roman"/>
                <w:sz w:val="26"/>
                <w:szCs w:val="26"/>
              </w:rPr>
            </w:pPr>
            <w:r w:rsidRPr="00D46A44">
              <w:rPr>
                <w:rFonts w:ascii="Times New Roman" w:eastAsia="Calibri" w:hAnsi="Times New Roman" w:cs="Times New Roman"/>
                <w:sz w:val="26"/>
                <w:szCs w:val="26"/>
              </w:rPr>
              <w:t>1</w:t>
            </w:r>
          </w:p>
        </w:tc>
        <w:tc>
          <w:tcPr>
            <w:tcW w:w="1434" w:type="dxa"/>
            <w:tcBorders>
              <w:top w:val="single" w:sz="6" w:space="0" w:color="auto"/>
              <w:left w:val="single" w:sz="6" w:space="0" w:color="auto"/>
              <w:bottom w:val="single" w:sz="6" w:space="0" w:color="auto"/>
              <w:right w:val="single" w:sz="6" w:space="0" w:color="auto"/>
            </w:tcBorders>
          </w:tcPr>
          <w:p w:rsidR="00D46A44" w:rsidRPr="00D46A44" w:rsidP="00D46A44" w14:paraId="6339DE6A" w14:textId="77777777">
            <w:pPr>
              <w:tabs>
                <w:tab w:val="left" w:pos="720"/>
              </w:tabs>
              <w:autoSpaceDE w:val="0"/>
              <w:autoSpaceDN w:val="0"/>
              <w:adjustRightInd w:val="0"/>
              <w:spacing w:after="0" w:line="240" w:lineRule="auto"/>
              <w:jc w:val="center"/>
              <w:rPr>
                <w:rFonts w:ascii="Times New Roman" w:eastAsia="Calibri" w:hAnsi="Times New Roman" w:cs="Times New Roman"/>
                <w:sz w:val="26"/>
              </w:rPr>
            </w:pPr>
            <w:r w:rsidRPr="00D46A44">
              <w:rPr>
                <w:rFonts w:ascii="Times New Roman" w:eastAsia="Calibri" w:hAnsi="Times New Roman" w:cs="Times New Roman"/>
                <w:sz w:val="26"/>
              </w:rPr>
              <w:t>299</w:t>
            </w:r>
          </w:p>
        </w:tc>
        <w:tc>
          <w:tcPr>
            <w:tcW w:w="1428" w:type="dxa"/>
            <w:tcBorders>
              <w:top w:val="single" w:sz="6" w:space="0" w:color="auto"/>
              <w:left w:val="single" w:sz="6" w:space="0" w:color="auto"/>
              <w:bottom w:val="single" w:sz="6" w:space="0" w:color="auto"/>
              <w:right w:val="single" w:sz="6" w:space="0" w:color="auto"/>
            </w:tcBorders>
          </w:tcPr>
          <w:p w:rsidR="00D46A44" w:rsidRPr="00D46A44" w:rsidP="00D46A44" w14:paraId="3E166E56"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8 hrs.</w:t>
            </w:r>
          </w:p>
          <w:p w:rsidR="00D46A44" w:rsidRPr="00D46A44" w:rsidP="00D46A44" w14:paraId="7D93AD4F" w14:textId="07D6F0A9">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$508.16  </w:t>
            </w:r>
          </w:p>
        </w:tc>
        <w:tc>
          <w:tcPr>
            <w:tcW w:w="1776" w:type="dxa"/>
            <w:tcBorders>
              <w:top w:val="single" w:sz="6" w:space="0" w:color="auto"/>
              <w:left w:val="single" w:sz="6" w:space="0" w:color="auto"/>
              <w:bottom w:val="single" w:sz="6" w:space="0" w:color="auto"/>
              <w:right w:val="single" w:sz="6" w:space="0" w:color="auto"/>
            </w:tcBorders>
          </w:tcPr>
          <w:p w:rsidR="00D46A44" w:rsidRPr="00D46A44" w:rsidP="00D46A44" w14:paraId="256CA843"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2,392 hrs. </w:t>
            </w:r>
          </w:p>
          <w:p w:rsidR="00D46A44" w:rsidRPr="00D46A44" w:rsidP="00D46A44" w14:paraId="547FCFDB" w14:textId="77777777">
            <w:pPr>
              <w:tabs>
                <w:tab w:val="left" w:pos="720"/>
              </w:tabs>
              <w:autoSpaceDE w:val="0"/>
              <w:autoSpaceDN w:val="0"/>
              <w:adjustRightInd w:val="0"/>
              <w:spacing w:after="0" w:line="240" w:lineRule="auto"/>
              <w:jc w:val="right"/>
              <w:rPr>
                <w:rFonts w:ascii="Times New Roman" w:eastAsia="Calibri" w:hAnsi="Times New Roman" w:cs="Times New Roman"/>
                <w:sz w:val="26"/>
              </w:rPr>
            </w:pPr>
            <w:r w:rsidRPr="00D46A44">
              <w:rPr>
                <w:rFonts w:ascii="Times New Roman" w:eastAsia="Calibri" w:hAnsi="Times New Roman" w:cs="Times New Roman"/>
                <w:sz w:val="26"/>
              </w:rPr>
              <w:t xml:space="preserve">$151,939.84 </w:t>
            </w:r>
          </w:p>
        </w:tc>
      </w:tr>
      <w:tr w14:paraId="78C3CB2B" w14:textId="77777777">
        <w:tblPrEx>
          <w:tblW w:w="9344" w:type="dxa"/>
          <w:tblCellMar>
            <w:left w:w="0" w:type="dxa"/>
            <w:right w:w="0" w:type="dxa"/>
          </w:tblCellMar>
          <w:tblLook w:val="04A0"/>
        </w:tblPrEx>
        <w:trPr>
          <w:trHeight w:val="300"/>
        </w:trPr>
        <w:tc>
          <w:tcPr>
            <w:tcW w:w="1412" w:type="dxa"/>
            <w:tcBorders>
              <w:top w:val="single" w:sz="6" w:space="0" w:color="auto"/>
              <w:left w:val="single" w:sz="6" w:space="0" w:color="auto"/>
              <w:bottom w:val="single" w:sz="6" w:space="0" w:color="auto"/>
              <w:right w:val="single" w:sz="6" w:space="0" w:color="auto"/>
            </w:tcBorders>
            <w:hideMark/>
          </w:tcPr>
          <w:p w:rsidR="00D46A44" w:rsidRPr="00D46A44" w:rsidP="00D46A44" w14:paraId="67FC9851"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D46A44">
              <w:rPr>
                <w:rFonts w:ascii="Times New Roman" w:eastAsia="Calibri" w:hAnsi="Times New Roman" w:cs="Times New Roman"/>
                <w:b/>
                <w:bCs/>
                <w:sz w:val="26"/>
                <w:szCs w:val="26"/>
              </w:rPr>
              <w:t>Total for IRO-010-6</w:t>
            </w:r>
          </w:p>
        </w:tc>
        <w:tc>
          <w:tcPr>
            <w:tcW w:w="18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D46A44" w:rsidRPr="00D46A44" w:rsidP="00D46A44" w14:paraId="606C5BDA"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D46A44">
              <w:rPr>
                <w:rFonts w:ascii="Times New Roman" w:eastAsia="Calibri" w:hAnsi="Times New Roman" w:cs="Times New Roman"/>
                <w:sz w:val="26"/>
                <w:szCs w:val="26"/>
              </w:rPr>
              <w:t> </w:t>
            </w:r>
          </w:p>
        </w:tc>
        <w:tc>
          <w:tcPr>
            <w:tcW w:w="142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D46A44" w:rsidRPr="00D46A44" w:rsidP="00D46A44" w14:paraId="380CA0C6" w14:textId="77777777">
            <w:pPr>
              <w:tabs>
                <w:tab w:val="left" w:pos="720"/>
              </w:tabs>
              <w:autoSpaceDE w:val="0"/>
              <w:autoSpaceDN w:val="0"/>
              <w:adjustRightInd w:val="0"/>
              <w:spacing w:after="0" w:line="240" w:lineRule="auto"/>
              <w:rPr>
                <w:rFonts w:ascii="Times New Roman" w:eastAsia="Calibri" w:hAnsi="Times New Roman" w:cs="Times New Roman"/>
                <w:sz w:val="26"/>
                <w:szCs w:val="26"/>
              </w:rPr>
            </w:pPr>
            <w:r w:rsidRPr="00D46A44">
              <w:rPr>
                <w:rFonts w:ascii="Times New Roman" w:eastAsia="Calibri" w:hAnsi="Times New Roman" w:cs="Times New Roman"/>
                <w:sz w:val="26"/>
                <w:szCs w:val="26"/>
              </w:rPr>
              <w:t> </w:t>
            </w:r>
          </w:p>
        </w:tc>
        <w:tc>
          <w:tcPr>
            <w:tcW w:w="1434" w:type="dxa"/>
            <w:tcBorders>
              <w:top w:val="single" w:sz="6" w:space="0" w:color="auto"/>
              <w:left w:val="single" w:sz="6" w:space="0" w:color="auto"/>
              <w:bottom w:val="single" w:sz="6" w:space="0" w:color="auto"/>
              <w:right w:val="single" w:sz="6" w:space="0" w:color="auto"/>
            </w:tcBorders>
            <w:hideMark/>
          </w:tcPr>
          <w:p w:rsidR="00D46A44" w:rsidRPr="00D46A44" w:rsidP="00D46A44" w14:paraId="578098F4" w14:textId="77777777">
            <w:pPr>
              <w:tabs>
                <w:tab w:val="left" w:pos="720"/>
              </w:tabs>
              <w:autoSpaceDE w:val="0"/>
              <w:autoSpaceDN w:val="0"/>
              <w:adjustRightInd w:val="0"/>
              <w:spacing w:after="0" w:line="240" w:lineRule="auto"/>
              <w:jc w:val="center"/>
              <w:rPr>
                <w:rFonts w:ascii="Times New Roman" w:eastAsia="Calibri" w:hAnsi="Times New Roman" w:cs="Times New Roman"/>
                <w:bCs/>
                <w:sz w:val="26"/>
              </w:rPr>
            </w:pPr>
            <w:r w:rsidRPr="00D46A44">
              <w:rPr>
                <w:rFonts w:ascii="Times New Roman" w:eastAsia="Calibri" w:hAnsi="Times New Roman" w:cs="Times New Roman"/>
                <w:bCs/>
                <w:sz w:val="26"/>
              </w:rPr>
              <w:t>4,086</w:t>
            </w:r>
          </w:p>
        </w:tc>
        <w:tc>
          <w:tcPr>
            <w:tcW w:w="142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D46A44" w:rsidRPr="00D46A44" w:rsidP="00D46A44" w14:paraId="7B78BE5A" w14:textId="77777777">
            <w:pPr>
              <w:tabs>
                <w:tab w:val="left" w:pos="720"/>
              </w:tabs>
              <w:autoSpaceDE w:val="0"/>
              <w:autoSpaceDN w:val="0"/>
              <w:adjustRightInd w:val="0"/>
              <w:spacing w:after="0" w:line="240" w:lineRule="auto"/>
              <w:jc w:val="right"/>
              <w:rPr>
                <w:rFonts w:ascii="Times New Roman" w:eastAsia="Calibri" w:hAnsi="Times New Roman" w:cs="Times New Roman"/>
                <w:bCs/>
                <w:sz w:val="26"/>
              </w:rPr>
            </w:pPr>
            <w:r w:rsidRPr="00D46A44">
              <w:rPr>
                <w:rFonts w:ascii="Times New Roman" w:eastAsia="Calibri" w:hAnsi="Times New Roman" w:cs="Times New Roman"/>
                <w:bCs/>
                <w:sz w:val="26"/>
              </w:rPr>
              <w:t> </w:t>
            </w:r>
          </w:p>
        </w:tc>
        <w:tc>
          <w:tcPr>
            <w:tcW w:w="1776" w:type="dxa"/>
            <w:tcBorders>
              <w:top w:val="single" w:sz="6" w:space="0" w:color="auto"/>
              <w:left w:val="single" w:sz="6" w:space="0" w:color="auto"/>
              <w:bottom w:val="single" w:sz="6" w:space="0" w:color="auto"/>
              <w:right w:val="single" w:sz="6" w:space="0" w:color="auto"/>
            </w:tcBorders>
            <w:hideMark/>
          </w:tcPr>
          <w:p w:rsidR="00D46A44" w:rsidRPr="00D46A44" w:rsidP="00D46A44" w14:paraId="622B6A3F" w14:textId="77777777">
            <w:pPr>
              <w:tabs>
                <w:tab w:val="left" w:pos="720"/>
              </w:tabs>
              <w:autoSpaceDE w:val="0"/>
              <w:autoSpaceDN w:val="0"/>
              <w:adjustRightInd w:val="0"/>
              <w:spacing w:after="0" w:line="240" w:lineRule="auto"/>
              <w:jc w:val="right"/>
              <w:rPr>
                <w:rFonts w:ascii="Times New Roman" w:eastAsia="Calibri" w:hAnsi="Times New Roman" w:cs="Times New Roman"/>
                <w:bCs/>
                <w:sz w:val="26"/>
              </w:rPr>
            </w:pPr>
            <w:r w:rsidRPr="00D46A44">
              <w:rPr>
                <w:rFonts w:ascii="Times New Roman" w:eastAsia="Calibri" w:hAnsi="Times New Roman" w:cs="Times New Roman"/>
                <w:bCs/>
                <w:sz w:val="26"/>
              </w:rPr>
              <w:t>32,688 hrs. </w:t>
            </w:r>
          </w:p>
          <w:p w:rsidR="00D46A44" w:rsidRPr="00D46A44" w:rsidP="00D46A44" w14:paraId="3697CDED" w14:textId="77777777">
            <w:pPr>
              <w:tabs>
                <w:tab w:val="left" w:pos="720"/>
              </w:tabs>
              <w:autoSpaceDE w:val="0"/>
              <w:autoSpaceDN w:val="0"/>
              <w:adjustRightInd w:val="0"/>
              <w:spacing w:after="0" w:line="240" w:lineRule="auto"/>
              <w:jc w:val="right"/>
              <w:rPr>
                <w:rFonts w:ascii="Times New Roman" w:eastAsia="Calibri" w:hAnsi="Times New Roman" w:cs="Times New Roman"/>
                <w:bCs/>
                <w:sz w:val="26"/>
              </w:rPr>
            </w:pPr>
            <w:r w:rsidRPr="00D46A44">
              <w:rPr>
                <w:rFonts w:ascii="Times New Roman" w:eastAsia="Calibri" w:hAnsi="Times New Roman" w:cs="Times New Roman"/>
                <w:bCs/>
                <w:sz w:val="26"/>
              </w:rPr>
              <w:t xml:space="preserve">$2,076,341.76 </w:t>
            </w:r>
          </w:p>
        </w:tc>
      </w:tr>
    </w:tbl>
    <w:p w:rsidR="00667366" w:rsidRPr="00F318C7" w:rsidP="00C766A9" w14:paraId="3752B4C5" w14:textId="38F3629F">
      <w:pPr>
        <w:widowControl w:val="0"/>
        <w:autoSpaceDE w:val="0"/>
        <w:autoSpaceDN w:val="0"/>
        <w:adjustRightInd w:val="0"/>
        <w:spacing w:after="0" w:line="240" w:lineRule="auto"/>
        <w:rPr>
          <w:rFonts w:ascii="Times New Roman" w:eastAsia="Calibri" w:hAnsi="Times New Roman" w:cs="Times New Roman"/>
          <w:sz w:val="26"/>
          <w:szCs w:val="26"/>
        </w:rPr>
      </w:pPr>
    </w:p>
    <w:p w:rsidR="003717AE" w:rsidRPr="00D0606B" w:rsidP="003717AE" w14:paraId="04711A5F" w14:textId="4F01B033">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ESTIMATE OF THE TOTAL ANNUAL COST BURDEN TO RESPONDENTS</w:t>
      </w:r>
    </w:p>
    <w:p w:rsidR="007D4839" w:rsidRPr="00D0606B" w:rsidP="007D4839" w14:paraId="020D6896" w14:textId="77777777">
      <w:pPr>
        <w:pStyle w:val="ListParagraph"/>
        <w:spacing w:after="0" w:line="240" w:lineRule="auto"/>
        <w:ind w:left="360"/>
        <w:rPr>
          <w:rFonts w:ascii="Times New Roman" w:hAnsi="Times New Roman" w:cs="Times New Roman"/>
          <w:b/>
          <w:sz w:val="26"/>
          <w:szCs w:val="26"/>
        </w:rPr>
      </w:pPr>
    </w:p>
    <w:p w:rsidR="007C0DEB" w:rsidP="007C0DEB" w14:paraId="6731614B" w14:textId="4132A1E2">
      <w:pPr>
        <w:spacing w:after="0" w:line="240" w:lineRule="auto"/>
        <w:rPr>
          <w:rFonts w:ascii="Times New Roman" w:hAnsi="Times New Roman" w:cs="Times New Roman"/>
          <w:b/>
          <w:sz w:val="26"/>
          <w:szCs w:val="26"/>
        </w:rPr>
      </w:pPr>
      <w:r w:rsidRPr="6136D0D4">
        <w:rPr>
          <w:rFonts w:ascii="Times New Roman" w:hAnsi="Times New Roman"/>
          <w:sz w:val="26"/>
          <w:szCs w:val="26"/>
        </w:rPr>
        <w:t>There is no non-labor hour cost associated with</w:t>
      </w:r>
      <w:r>
        <w:rPr>
          <w:rFonts w:ascii="Times New Roman" w:hAnsi="Times New Roman"/>
          <w:sz w:val="26"/>
          <w:szCs w:val="26"/>
        </w:rPr>
        <w:t xml:space="preserve"> FERC-725</w:t>
      </w:r>
      <w:r w:rsidR="00C6676D">
        <w:rPr>
          <w:rFonts w:ascii="Times New Roman" w:hAnsi="Times New Roman"/>
          <w:sz w:val="26"/>
          <w:szCs w:val="26"/>
        </w:rPr>
        <w:t>Z.</w:t>
      </w:r>
    </w:p>
    <w:p w:rsidR="007C0DEB" w:rsidRPr="00E55C04" w:rsidP="00E55C04" w14:paraId="2A379792" w14:textId="77777777">
      <w:pPr>
        <w:spacing w:after="0" w:line="240" w:lineRule="auto"/>
        <w:rPr>
          <w:rFonts w:ascii="Times New Roman" w:hAnsi="Times New Roman" w:cs="Times New Roman"/>
          <w:b/>
          <w:sz w:val="26"/>
          <w:szCs w:val="26"/>
        </w:rPr>
      </w:pPr>
    </w:p>
    <w:p w:rsidR="00A7652D" w:rsidRPr="00257D06" w:rsidP="00A7652D" w14:paraId="76ED932C" w14:textId="77777777">
      <w:pPr>
        <w:spacing w:after="0"/>
        <w:rPr>
          <w:rFonts w:ascii="Times New Roman" w:hAnsi="Times New Roman" w:cs="Times New Roman"/>
          <w:sz w:val="26"/>
          <w:szCs w:val="26"/>
        </w:rPr>
      </w:pPr>
      <w:r w:rsidRPr="00257D06">
        <w:rPr>
          <w:rFonts w:ascii="Times New Roman" w:hAnsi="Times New Roman" w:cs="Times New Roman"/>
          <w:sz w:val="26"/>
          <w:szCs w:val="26"/>
        </w:rPr>
        <w:t>All of the costs are associated with burden hours (labor) and described in #12 and 15.</w:t>
      </w:r>
    </w:p>
    <w:p w:rsidR="007D4839" w:rsidRPr="00D0606B" w:rsidP="00DB396E" w14:paraId="708A9A04" w14:textId="77777777">
      <w:pPr>
        <w:spacing w:after="0" w:line="240" w:lineRule="auto"/>
        <w:rPr>
          <w:rFonts w:ascii="Times New Roman" w:hAnsi="Times New Roman" w:cs="Times New Roman"/>
          <w:sz w:val="26"/>
          <w:szCs w:val="26"/>
        </w:rPr>
      </w:pPr>
    </w:p>
    <w:p w:rsidR="003717AE" w:rsidRPr="00D0606B" w:rsidP="003717AE" w14:paraId="1043746E" w14:textId="77777777">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sz w:val="26"/>
          <w:szCs w:val="26"/>
        </w:rPr>
        <w:t xml:space="preserve"> </w:t>
      </w:r>
      <w:r w:rsidRPr="00D0606B">
        <w:rPr>
          <w:rFonts w:ascii="Times New Roman" w:hAnsi="Times New Roman" w:cs="Times New Roman"/>
          <w:b/>
          <w:sz w:val="26"/>
          <w:szCs w:val="26"/>
        </w:rPr>
        <w:t>ESTIMATED ANNUALIZED COST TO FEDERAL GOVERNMENT</w:t>
      </w:r>
    </w:p>
    <w:p w:rsidR="003717AE" w:rsidRPr="00D0606B" w:rsidP="003717AE" w14:paraId="06D665DF" w14:textId="77777777">
      <w:pPr>
        <w:spacing w:after="0" w:line="240" w:lineRule="auto"/>
        <w:rPr>
          <w:rFonts w:ascii="Times New Roman" w:hAnsi="Times New Roman" w:cs="Times New Roman"/>
          <w:sz w:val="26"/>
          <w:szCs w:val="26"/>
        </w:rPr>
      </w:pPr>
    </w:p>
    <w:p w:rsidR="00E558FD" w:rsidRPr="003D155C" w:rsidP="004109FB" w14:paraId="47835E1B" w14:textId="422F4D70">
      <w:pPr>
        <w:spacing w:after="0"/>
        <w:rPr>
          <w:rFonts w:ascii="Times New Roman" w:hAnsi="Times New Roman" w:cs="Times New Roman"/>
          <w:sz w:val="26"/>
          <w:szCs w:val="26"/>
        </w:rPr>
      </w:pPr>
      <w:r w:rsidRPr="004109FB">
        <w:rPr>
          <w:rFonts w:ascii="Times New Roman" w:hAnsi="Times New Roman"/>
          <w:sz w:val="26"/>
          <w:szCs w:val="26"/>
        </w:rPr>
        <w:t>The Regional Entities and NERC do most of the data processing, monitoring</w:t>
      </w:r>
      <w:r>
        <w:rPr>
          <w:rFonts w:ascii="Times New Roman" w:hAnsi="Times New Roman"/>
          <w:sz w:val="26"/>
          <w:szCs w:val="26"/>
        </w:rPr>
        <w:t xml:space="preserve">, auditing, </w:t>
      </w:r>
      <w:r w:rsidRPr="004109FB">
        <w:rPr>
          <w:rFonts w:ascii="Times New Roman" w:hAnsi="Times New Roman"/>
          <w:sz w:val="26"/>
          <w:szCs w:val="26"/>
        </w:rPr>
        <w:t xml:space="preserve">and compliance work for Reliability Standards.  </w:t>
      </w:r>
      <w:r w:rsidRPr="003D155C">
        <w:rPr>
          <w:rFonts w:ascii="Times New Roman" w:hAnsi="Times New Roman" w:cs="Times New Roman"/>
          <w:sz w:val="26"/>
          <w:szCs w:val="26"/>
        </w:rPr>
        <w:t>Any involvement by the Commission is covered under the FERC-725 (OMB Control No. 1902-0255)</w:t>
      </w:r>
      <w:r w:rsidRPr="004109FB">
        <w:rPr>
          <w:rFonts w:ascii="Times New Roman" w:hAnsi="Times New Roman"/>
          <w:sz w:val="26"/>
          <w:szCs w:val="26"/>
        </w:rPr>
        <w:t xml:space="preserve"> and is not part of this request or package</w:t>
      </w:r>
      <w:r w:rsidRPr="003D155C">
        <w:rPr>
          <w:rFonts w:ascii="Times New Roman" w:hAnsi="Times New Roman" w:cs="Times New Roman"/>
          <w:sz w:val="26"/>
          <w:szCs w:val="26"/>
        </w:rPr>
        <w:t xml:space="preserve">.  The data </w:t>
      </w:r>
      <w:r w:rsidR="0034254D">
        <w:rPr>
          <w:rFonts w:ascii="Times New Roman" w:hAnsi="Times New Roman" w:cs="Times New Roman"/>
          <w:sz w:val="26"/>
          <w:szCs w:val="26"/>
        </w:rPr>
        <w:t xml:space="preserve">for FERC-725Z </w:t>
      </w:r>
      <w:r w:rsidRPr="003D155C">
        <w:rPr>
          <w:rFonts w:ascii="Times New Roman" w:hAnsi="Times New Roman" w:cs="Times New Roman"/>
          <w:sz w:val="26"/>
          <w:szCs w:val="26"/>
        </w:rPr>
        <w:t xml:space="preserve">are not submitted to FERC.  </w:t>
      </w:r>
    </w:p>
    <w:p w:rsidR="009E603B" w:rsidRPr="00E558FD" w:rsidP="00E558FD" w14:paraId="22A92CE9" w14:textId="77777777">
      <w:pPr>
        <w:spacing w:after="0" w:line="240" w:lineRule="auto"/>
        <w:rPr>
          <w:rFonts w:ascii="Times New Roman" w:hAnsi="Times New Roman" w:cs="Times New Roman"/>
          <w:sz w:val="26"/>
          <w:szCs w:val="26"/>
        </w:rPr>
      </w:pPr>
    </w:p>
    <w:p w:rsidR="00A3259B" w:rsidRPr="002705B2" w:rsidP="00A3259B" w14:paraId="2B9D2DB3" w14:textId="77777777">
      <w:pPr>
        <w:spacing w:after="0" w:line="240" w:lineRule="auto"/>
        <w:rPr>
          <w:rFonts w:ascii="Times New Roman" w:eastAsia="Calibri" w:hAnsi="Times New Roman" w:cs="Times New Roman"/>
          <w:sz w:val="26"/>
          <w:szCs w:val="26"/>
        </w:rPr>
      </w:pPr>
      <w:r w:rsidRPr="00D0606B">
        <w:rPr>
          <w:rFonts w:ascii="Times New Roman" w:hAnsi="Times New Roman" w:cs="Times New Roman"/>
          <w:sz w:val="26"/>
          <w:szCs w:val="26"/>
        </w:rPr>
        <w:t xml:space="preserve">The Commission does incur the costs associated with obtaining OMB clearance for </w:t>
      </w:r>
      <w:r w:rsidR="009B6E77">
        <w:rPr>
          <w:rFonts w:ascii="Times New Roman" w:hAnsi="Times New Roman" w:cs="Times New Roman"/>
          <w:sz w:val="26"/>
          <w:szCs w:val="26"/>
        </w:rPr>
        <w:t xml:space="preserve">the collection under the Paperwork Reduction Act </w:t>
      </w:r>
      <w:r>
        <w:rPr>
          <w:rFonts w:ascii="Times New Roman" w:hAnsi="Times New Roman" w:cs="Times New Roman"/>
          <w:sz w:val="26"/>
          <w:szCs w:val="26"/>
        </w:rPr>
        <w:t xml:space="preserve">of 1995 </w:t>
      </w:r>
      <w:r w:rsidR="009B6E77">
        <w:rPr>
          <w:rFonts w:ascii="Times New Roman" w:hAnsi="Times New Roman" w:cs="Times New Roman"/>
          <w:sz w:val="26"/>
          <w:szCs w:val="26"/>
        </w:rPr>
        <w:t xml:space="preserve">(PRA). </w:t>
      </w:r>
      <w:r w:rsidRPr="00FB48E9" w:rsidR="00FB48E9">
        <w:rPr>
          <w:rFonts w:ascii="Times New Roman" w:hAnsi="Times New Roman" w:cs="Times New Roman"/>
          <w:sz w:val="26"/>
          <w:szCs w:val="26"/>
        </w:rPr>
        <w:t>The estimate of the cost for ‘analysis and processing of filings’</w:t>
      </w:r>
      <w:r>
        <w:rPr>
          <w:rFonts w:ascii="Times New Roman" w:hAnsi="Times New Roman" w:cs="Times New Roman"/>
          <w:b/>
          <w:sz w:val="26"/>
          <w:szCs w:val="26"/>
          <w:vertAlign w:val="superscript"/>
        </w:rPr>
        <w:footnoteReference w:id="17"/>
      </w:r>
      <w:r w:rsidRPr="00FB48E9" w:rsidR="00FB48E9">
        <w:rPr>
          <w:rFonts w:ascii="Times New Roman" w:hAnsi="Times New Roman" w:cs="Times New Roman"/>
          <w:sz w:val="26"/>
          <w:szCs w:val="26"/>
          <w:vertAlign w:val="superscript"/>
        </w:rPr>
        <w:t xml:space="preserve"> </w:t>
      </w:r>
      <w:r w:rsidRPr="00FB48E9" w:rsidR="00FB48E9">
        <w:rPr>
          <w:rFonts w:ascii="Times New Roman" w:hAnsi="Times New Roman" w:cs="Times New Roman"/>
          <w:sz w:val="26"/>
          <w:szCs w:val="26"/>
        </w:rPr>
        <w:t xml:space="preserve">is based on salaries and benefits for professional and clerical support.  </w:t>
      </w:r>
      <w:r w:rsidR="009B6E77">
        <w:rPr>
          <w:rFonts w:ascii="Times New Roman" w:hAnsi="Times New Roman" w:cs="Times New Roman"/>
          <w:sz w:val="26"/>
          <w:szCs w:val="26"/>
        </w:rPr>
        <w:t xml:space="preserve"> </w:t>
      </w:r>
      <w:r w:rsidRPr="003D155C">
        <w:rPr>
          <w:rFonts w:ascii="Times New Roman" w:hAnsi="Times New Roman" w:cs="Times New Roman"/>
          <w:sz w:val="26"/>
          <w:szCs w:val="26"/>
        </w:rPr>
        <w:t>The PRA Administrative Cost is a Federal Cost associated with preparing, issuing, and submitting materials necessary to comply with the PRA for rulemakings, orders, or any other vehicle used to create, modify, extend, or discontinue an information collection.  This average annual cost includes requests for extensions, all associated rulemakings and orders, other changes to the collection, and associated publications in the Federal Register.</w:t>
      </w:r>
      <w:r>
        <w:rPr>
          <w:rFonts w:ascii="Times New Roman" w:hAnsi="Times New Roman" w:cs="Times New Roman"/>
          <w:sz w:val="26"/>
          <w:szCs w:val="26"/>
        </w:rPr>
        <w:t xml:space="preserve"> </w:t>
      </w:r>
      <w:r w:rsidRPr="002705B2">
        <w:rPr>
          <w:rFonts w:ascii="Times New Roman" w:eastAsia="Calibri" w:hAnsi="Times New Roman" w:cs="Times New Roman"/>
          <w:sz w:val="26"/>
          <w:szCs w:val="26"/>
        </w:rPr>
        <w:t>It also includes the cost of publishing the necessary notices in the Federal Register.</w:t>
      </w:r>
    </w:p>
    <w:p w:rsidR="003D155C" w:rsidP="003717AE" w14:paraId="1E103BB7" w14:textId="47EEF130">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p>
    <w:p w:rsidR="00DD4270" w:rsidRPr="00257D06" w:rsidP="00DD4270" w14:paraId="4C205E03" w14:textId="1D82C4E1">
      <w:pPr>
        <w:spacing w:after="0"/>
        <w:rPr>
          <w:rFonts w:ascii="Times New Roman" w:hAnsi="Times New Roman" w:cs="Times New Roman"/>
          <w:sz w:val="26"/>
          <w:szCs w:val="26"/>
        </w:rPr>
      </w:pPr>
      <w:r w:rsidRPr="00257D06">
        <w:rPr>
          <w:rFonts w:ascii="Times New Roman" w:hAnsi="Times New Roman" w:cs="Times New Roman"/>
          <w:sz w:val="26"/>
          <w:szCs w:val="26"/>
        </w:rPr>
        <w:t>The estimated annualized cost to the Federal Government for FERC-725</w:t>
      </w:r>
      <w:r>
        <w:rPr>
          <w:rFonts w:ascii="Times New Roman" w:hAnsi="Times New Roman" w:cs="Times New Roman"/>
          <w:sz w:val="26"/>
          <w:szCs w:val="26"/>
        </w:rPr>
        <w:t>Z</w:t>
      </w:r>
      <w:r w:rsidRPr="00257D06">
        <w:rPr>
          <w:rFonts w:ascii="Times New Roman" w:hAnsi="Times New Roman" w:cs="Times New Roman"/>
          <w:sz w:val="26"/>
          <w:szCs w:val="26"/>
        </w:rPr>
        <w:t xml:space="preserve"> is as follows:</w:t>
      </w:r>
    </w:p>
    <w:p w:rsidR="00DD4270" w:rsidP="003717AE" w14:paraId="2CC5759D" w14:textId="77777777">
      <w:pPr>
        <w:spacing w:after="0" w:line="240" w:lineRule="auto"/>
        <w:rPr>
          <w:rFonts w:ascii="Times New Roman" w:hAnsi="Times New Roman" w:cs="Times New Roman"/>
          <w:sz w:val="26"/>
          <w:szCs w:val="26"/>
        </w:rPr>
      </w:pPr>
    </w:p>
    <w:p w:rsidR="004109FB" w:rsidRPr="00D0606B" w:rsidP="003717AE" w14:paraId="77F108E5" w14:textId="77777777">
      <w:pPr>
        <w:spacing w:after="0" w:line="240" w:lineRule="auto"/>
        <w:rPr>
          <w:rFonts w:ascii="Times New Roman" w:hAnsi="Times New Roman" w:cs="Times New Roman"/>
          <w:sz w:val="26"/>
          <w:szCs w:val="26"/>
        </w:rPr>
      </w:pPr>
    </w:p>
    <w:tbl>
      <w:tblPr>
        <w:tblW w:w="937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2"/>
        <w:gridCol w:w="3201"/>
        <w:gridCol w:w="2995"/>
      </w:tblGrid>
      <w:tr w14:paraId="5654C0AD" w14:textId="77777777" w:rsidTr="00F571DE">
        <w:tblPrEx>
          <w:tblW w:w="937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right"/>
        </w:trPr>
        <w:tc>
          <w:tcPr>
            <w:tcW w:w="3182" w:type="dxa"/>
            <w:tcBorders>
              <w:top w:val="single" w:sz="4" w:space="0" w:color="auto"/>
              <w:left w:val="single" w:sz="4" w:space="0" w:color="auto"/>
              <w:bottom w:val="single" w:sz="4" w:space="0" w:color="auto"/>
              <w:right w:val="single" w:sz="4" w:space="0" w:color="auto"/>
            </w:tcBorders>
            <w:shd w:val="clear" w:color="auto" w:fill="CCCCCC"/>
            <w:vAlign w:val="bottom"/>
          </w:tcPr>
          <w:p w:rsidR="001406E8" w:rsidRPr="00F571DE" w:rsidP="00F571DE" w14:paraId="756F71E8" w14:textId="3817C4F6">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For </w:t>
            </w:r>
            <w:r w:rsidRPr="00F571DE">
              <w:rPr>
                <w:rFonts w:ascii="Times New Roman" w:hAnsi="Times New Roman" w:cs="Times New Roman"/>
                <w:b/>
                <w:sz w:val="26"/>
                <w:szCs w:val="26"/>
              </w:rPr>
              <w:t>FERC-725Z</w:t>
            </w:r>
          </w:p>
        </w:tc>
        <w:tc>
          <w:tcPr>
            <w:tcW w:w="3201" w:type="dxa"/>
            <w:tcBorders>
              <w:top w:val="single" w:sz="4" w:space="0" w:color="auto"/>
              <w:left w:val="single" w:sz="4" w:space="0" w:color="auto"/>
              <w:bottom w:val="single" w:sz="4" w:space="0" w:color="auto"/>
              <w:right w:val="single" w:sz="4" w:space="0" w:color="auto"/>
            </w:tcBorders>
            <w:shd w:val="clear" w:color="auto" w:fill="CCCCCC"/>
            <w:vAlign w:val="bottom"/>
            <w:hideMark/>
          </w:tcPr>
          <w:p w:rsidR="001406E8" w:rsidRPr="00D0606B" w:rsidP="00F571DE" w14:paraId="4F71BEAD" w14:textId="77777777">
            <w:pPr>
              <w:spacing w:after="0" w:line="240" w:lineRule="auto"/>
              <w:jc w:val="center"/>
              <w:rPr>
                <w:rFonts w:ascii="Times New Roman" w:hAnsi="Times New Roman" w:cs="Times New Roman"/>
                <w:b/>
                <w:sz w:val="26"/>
                <w:szCs w:val="26"/>
              </w:rPr>
            </w:pPr>
            <w:r w:rsidRPr="00D0606B">
              <w:rPr>
                <w:rFonts w:ascii="Times New Roman" w:hAnsi="Times New Roman" w:cs="Times New Roman"/>
                <w:b/>
                <w:sz w:val="26"/>
                <w:szCs w:val="26"/>
              </w:rPr>
              <w:t>Number of Employees (FTE)</w:t>
            </w:r>
          </w:p>
        </w:tc>
        <w:tc>
          <w:tcPr>
            <w:tcW w:w="2995" w:type="dxa"/>
            <w:tcBorders>
              <w:top w:val="single" w:sz="4" w:space="0" w:color="auto"/>
              <w:left w:val="single" w:sz="4" w:space="0" w:color="auto"/>
              <w:bottom w:val="single" w:sz="4" w:space="0" w:color="auto"/>
              <w:right w:val="single" w:sz="4" w:space="0" w:color="auto"/>
            </w:tcBorders>
            <w:shd w:val="clear" w:color="auto" w:fill="CCCCCC"/>
            <w:vAlign w:val="bottom"/>
            <w:hideMark/>
          </w:tcPr>
          <w:p w:rsidR="001406E8" w:rsidRPr="00D0606B" w:rsidP="00F571DE" w14:paraId="59ACD42E" w14:textId="77777777">
            <w:pPr>
              <w:spacing w:after="0" w:line="240" w:lineRule="auto"/>
              <w:jc w:val="center"/>
              <w:rPr>
                <w:rFonts w:ascii="Times New Roman" w:hAnsi="Times New Roman" w:cs="Times New Roman"/>
                <w:b/>
                <w:sz w:val="26"/>
                <w:szCs w:val="26"/>
              </w:rPr>
            </w:pPr>
            <w:r w:rsidRPr="00D0606B">
              <w:rPr>
                <w:rFonts w:ascii="Times New Roman" w:hAnsi="Times New Roman" w:cs="Times New Roman"/>
                <w:b/>
                <w:sz w:val="26"/>
                <w:szCs w:val="26"/>
              </w:rPr>
              <w:t>Estimated Annual Federal Cost</w:t>
            </w:r>
          </w:p>
        </w:tc>
      </w:tr>
      <w:tr w14:paraId="6038D696" w14:textId="77777777" w:rsidTr="00A736E5">
        <w:tblPrEx>
          <w:tblW w:w="9378" w:type="dxa"/>
          <w:jc w:val="right"/>
          <w:tblLook w:val="01E0"/>
        </w:tblPrEx>
        <w:trPr>
          <w:jc w:val="right"/>
        </w:trPr>
        <w:tc>
          <w:tcPr>
            <w:tcW w:w="3182" w:type="dxa"/>
            <w:tcBorders>
              <w:top w:val="single" w:sz="4" w:space="0" w:color="auto"/>
              <w:left w:val="single" w:sz="4" w:space="0" w:color="auto"/>
              <w:bottom w:val="single" w:sz="4" w:space="0" w:color="auto"/>
              <w:right w:val="single" w:sz="4" w:space="0" w:color="auto"/>
            </w:tcBorders>
            <w:hideMark/>
          </w:tcPr>
          <w:p w:rsidR="001406E8" w:rsidRPr="00D0606B" w:rsidP="001406E8" w14:paraId="0C709022" w14:textId="77777777">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Analysis and Processing of filings</w:t>
            </w:r>
          </w:p>
        </w:tc>
        <w:tc>
          <w:tcPr>
            <w:tcW w:w="3201" w:type="dxa"/>
            <w:tcBorders>
              <w:top w:val="single" w:sz="4" w:space="0" w:color="auto"/>
              <w:left w:val="single" w:sz="4" w:space="0" w:color="auto"/>
              <w:bottom w:val="single" w:sz="4" w:space="0" w:color="auto"/>
              <w:right w:val="single" w:sz="4" w:space="0" w:color="auto"/>
            </w:tcBorders>
            <w:vAlign w:val="bottom"/>
            <w:hideMark/>
          </w:tcPr>
          <w:p w:rsidR="001406E8" w:rsidRPr="00D0606B" w:rsidP="00A736E5" w14:paraId="55560F50" w14:textId="77777777">
            <w:pPr>
              <w:spacing w:after="0" w:line="240" w:lineRule="auto"/>
              <w:jc w:val="right"/>
              <w:rPr>
                <w:rFonts w:ascii="Times New Roman" w:hAnsi="Times New Roman" w:cs="Times New Roman"/>
                <w:sz w:val="26"/>
                <w:szCs w:val="26"/>
              </w:rPr>
            </w:pPr>
            <w:r w:rsidRPr="00D0606B">
              <w:rPr>
                <w:rFonts w:ascii="Times New Roman" w:hAnsi="Times New Roman" w:cs="Times New Roman"/>
                <w:sz w:val="26"/>
                <w:szCs w:val="26"/>
              </w:rPr>
              <w:t>0.0</w:t>
            </w:r>
          </w:p>
        </w:tc>
        <w:tc>
          <w:tcPr>
            <w:tcW w:w="2995" w:type="dxa"/>
            <w:tcBorders>
              <w:top w:val="single" w:sz="4" w:space="0" w:color="auto"/>
              <w:left w:val="single" w:sz="4" w:space="0" w:color="auto"/>
              <w:bottom w:val="single" w:sz="4" w:space="0" w:color="auto"/>
              <w:right w:val="single" w:sz="4" w:space="0" w:color="auto"/>
            </w:tcBorders>
            <w:vAlign w:val="bottom"/>
            <w:hideMark/>
          </w:tcPr>
          <w:p w:rsidR="001406E8" w:rsidRPr="00D0606B" w:rsidP="008D3803" w14:paraId="61965B48" w14:textId="77777777">
            <w:pPr>
              <w:spacing w:after="0" w:line="240" w:lineRule="auto"/>
              <w:jc w:val="right"/>
              <w:rPr>
                <w:rFonts w:ascii="Times New Roman" w:hAnsi="Times New Roman" w:cs="Times New Roman"/>
                <w:sz w:val="26"/>
                <w:szCs w:val="26"/>
              </w:rPr>
            </w:pPr>
            <w:r w:rsidRPr="00D0606B">
              <w:rPr>
                <w:rFonts w:ascii="Times New Roman" w:hAnsi="Times New Roman" w:cs="Times New Roman"/>
                <w:sz w:val="26"/>
                <w:szCs w:val="26"/>
              </w:rPr>
              <w:t>$0</w:t>
            </w:r>
          </w:p>
        </w:tc>
      </w:tr>
      <w:tr w14:paraId="1272A628" w14:textId="77777777" w:rsidTr="00A736E5">
        <w:tblPrEx>
          <w:tblW w:w="9378" w:type="dxa"/>
          <w:jc w:val="right"/>
          <w:tblLook w:val="01E0"/>
        </w:tblPrEx>
        <w:trPr>
          <w:jc w:val="right"/>
        </w:trPr>
        <w:tc>
          <w:tcPr>
            <w:tcW w:w="3182" w:type="dxa"/>
            <w:tcBorders>
              <w:top w:val="single" w:sz="4" w:space="0" w:color="auto"/>
              <w:left w:val="single" w:sz="4" w:space="0" w:color="auto"/>
              <w:bottom w:val="single" w:sz="4" w:space="0" w:color="auto"/>
              <w:right w:val="single" w:sz="4" w:space="0" w:color="auto"/>
            </w:tcBorders>
            <w:hideMark/>
          </w:tcPr>
          <w:p w:rsidR="001406E8" w:rsidRPr="00D0606B" w:rsidP="003D155C" w14:paraId="7F8D14E0" w14:textId="1D5D3C21">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PRA Administrative Cost</w:t>
            </w:r>
          </w:p>
        </w:tc>
        <w:tc>
          <w:tcPr>
            <w:tcW w:w="3201"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1406E8" w:rsidRPr="00D0606B" w:rsidP="001406E8" w14:paraId="6266D427" w14:textId="77777777">
            <w:pPr>
              <w:spacing w:after="0" w:line="240" w:lineRule="auto"/>
              <w:rPr>
                <w:rFonts w:ascii="Times New Roman" w:hAnsi="Times New Roman" w:cs="Times New Roman"/>
                <w:sz w:val="26"/>
                <w:szCs w:val="26"/>
              </w:rPr>
            </w:pPr>
          </w:p>
        </w:tc>
        <w:tc>
          <w:tcPr>
            <w:tcW w:w="2995" w:type="dxa"/>
            <w:tcBorders>
              <w:top w:val="single" w:sz="4" w:space="0" w:color="auto"/>
              <w:left w:val="single" w:sz="4" w:space="0" w:color="auto"/>
              <w:bottom w:val="single" w:sz="4" w:space="0" w:color="auto"/>
              <w:right w:val="single" w:sz="4" w:space="0" w:color="auto"/>
            </w:tcBorders>
            <w:vAlign w:val="center"/>
            <w:hideMark/>
          </w:tcPr>
          <w:p w:rsidR="001406E8" w:rsidRPr="00D0606B" w:rsidP="00216041" w14:paraId="1DE5C2E6" w14:textId="1CB91AB8">
            <w:pPr>
              <w:spacing w:after="0" w:line="240" w:lineRule="auto"/>
              <w:jc w:val="right"/>
              <w:rPr>
                <w:rFonts w:ascii="Times New Roman" w:hAnsi="Times New Roman" w:cs="Times New Roman"/>
                <w:sz w:val="26"/>
                <w:szCs w:val="26"/>
              </w:rPr>
            </w:pPr>
            <w:r w:rsidRPr="00D0606B">
              <w:rPr>
                <w:rFonts w:ascii="Times New Roman" w:hAnsi="Times New Roman" w:cs="Times New Roman"/>
                <w:sz w:val="26"/>
                <w:szCs w:val="26"/>
              </w:rPr>
              <w:t>$</w:t>
            </w:r>
            <w:r w:rsidR="00914DCA">
              <w:rPr>
                <w:rFonts w:ascii="Times New Roman" w:hAnsi="Times New Roman" w:cs="Times New Roman"/>
                <w:sz w:val="26"/>
                <w:szCs w:val="26"/>
              </w:rPr>
              <w:t>8,</w:t>
            </w:r>
            <w:r w:rsidR="005322D2">
              <w:rPr>
                <w:rFonts w:ascii="Times New Roman" w:hAnsi="Times New Roman" w:cs="Times New Roman"/>
                <w:sz w:val="26"/>
                <w:szCs w:val="26"/>
              </w:rPr>
              <w:t>404</w:t>
            </w:r>
          </w:p>
        </w:tc>
      </w:tr>
      <w:tr w14:paraId="18BFE0C4" w14:textId="77777777" w:rsidTr="00A736E5">
        <w:tblPrEx>
          <w:tblW w:w="9378" w:type="dxa"/>
          <w:jc w:val="right"/>
          <w:tblLook w:val="01E0"/>
        </w:tblPrEx>
        <w:trPr>
          <w:jc w:val="right"/>
        </w:trPr>
        <w:tc>
          <w:tcPr>
            <w:tcW w:w="3182" w:type="dxa"/>
            <w:tcBorders>
              <w:top w:val="single" w:sz="4" w:space="0" w:color="auto"/>
              <w:left w:val="single" w:sz="4" w:space="0" w:color="auto"/>
              <w:bottom w:val="single" w:sz="4" w:space="0" w:color="auto"/>
              <w:right w:val="single" w:sz="4" w:space="0" w:color="auto"/>
            </w:tcBorders>
            <w:hideMark/>
          </w:tcPr>
          <w:p w:rsidR="001406E8" w:rsidRPr="00D0606B" w:rsidP="001406E8" w14:paraId="535D13A3" w14:textId="77777777">
            <w:p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FERC Total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406E8" w:rsidRPr="00D0606B" w:rsidP="001406E8" w14:paraId="34C73C84" w14:textId="77777777">
            <w:pPr>
              <w:spacing w:after="0" w:line="240" w:lineRule="auto"/>
              <w:rPr>
                <w:rFonts w:ascii="Times New Roman" w:hAnsi="Times New Roman" w:cs="Times New Roman"/>
                <w:sz w:val="26"/>
                <w:szCs w:val="26"/>
              </w:rPr>
            </w:pPr>
          </w:p>
        </w:tc>
        <w:tc>
          <w:tcPr>
            <w:tcW w:w="2995" w:type="dxa"/>
            <w:tcBorders>
              <w:top w:val="single" w:sz="4" w:space="0" w:color="auto"/>
              <w:left w:val="single" w:sz="4" w:space="0" w:color="auto"/>
              <w:bottom w:val="single" w:sz="4" w:space="0" w:color="auto"/>
              <w:right w:val="single" w:sz="4" w:space="0" w:color="auto"/>
            </w:tcBorders>
            <w:vAlign w:val="center"/>
            <w:hideMark/>
          </w:tcPr>
          <w:p w:rsidR="001406E8" w:rsidRPr="00D0606B" w:rsidP="008D3803" w14:paraId="5A6967CC" w14:textId="2CA0CA2E">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w:t>
            </w:r>
            <w:r w:rsidR="00914DCA">
              <w:rPr>
                <w:rFonts w:ascii="Times New Roman" w:hAnsi="Times New Roman" w:cs="Times New Roman"/>
                <w:sz w:val="26"/>
                <w:szCs w:val="26"/>
              </w:rPr>
              <w:t>8,</w:t>
            </w:r>
            <w:r w:rsidR="005322D2">
              <w:rPr>
                <w:rFonts w:ascii="Times New Roman" w:hAnsi="Times New Roman" w:cs="Times New Roman"/>
                <w:sz w:val="26"/>
                <w:szCs w:val="26"/>
              </w:rPr>
              <w:t>404</w:t>
            </w:r>
          </w:p>
        </w:tc>
      </w:tr>
    </w:tbl>
    <w:p w:rsidR="001406E8" w:rsidRPr="00D0606B" w:rsidP="003717AE" w14:paraId="141E8903" w14:textId="77777777">
      <w:pPr>
        <w:spacing w:after="0" w:line="240" w:lineRule="auto"/>
        <w:rPr>
          <w:rFonts w:ascii="Times New Roman" w:hAnsi="Times New Roman" w:cs="Times New Roman"/>
          <w:sz w:val="26"/>
          <w:szCs w:val="26"/>
        </w:rPr>
      </w:pPr>
    </w:p>
    <w:p w:rsidR="003717AE" w:rsidP="003717AE" w14:paraId="703050E8" w14:textId="0CE4CC9A">
      <w:pPr>
        <w:pStyle w:val="ListParagraph"/>
        <w:numPr>
          <w:ilvl w:val="0"/>
          <w:numId w:val="2"/>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REASONS FOR CHANGES IN BURDEN INCLUDING THE NEED FOR ANY INCREASE</w:t>
      </w:r>
    </w:p>
    <w:p w:rsidR="00F571DE" w:rsidP="00F571DE" w14:paraId="4089ED63" w14:textId="0B34B7AE">
      <w:pPr>
        <w:pStyle w:val="ListParagraph"/>
        <w:spacing w:after="0" w:line="240" w:lineRule="auto"/>
        <w:ind w:left="360"/>
        <w:rPr>
          <w:rFonts w:ascii="Times New Roman" w:hAnsi="Times New Roman" w:cs="Times New Roman"/>
          <w:b/>
          <w:sz w:val="26"/>
          <w:szCs w:val="26"/>
        </w:rPr>
      </w:pPr>
    </w:p>
    <w:p w:rsidR="00914DCA" w:rsidRPr="7345B086" w:rsidP="00914DCA" w14:paraId="5FF96216" w14:textId="1A2ACAB7">
      <w:pPr>
        <w:spacing w:after="0" w:line="240" w:lineRule="auto"/>
        <w:rPr>
          <w:rFonts w:ascii="Times New Roman" w:eastAsia="Calibri" w:hAnsi="Times New Roman" w:cs="Times New Roman"/>
          <w:color w:val="000000" w:themeColor="text1"/>
          <w:sz w:val="26"/>
          <w:szCs w:val="26"/>
        </w:rPr>
      </w:pPr>
      <w:r w:rsidRPr="2B7C7CE2">
        <w:rPr>
          <w:rFonts w:ascii="Times New Roman" w:eastAsia="Calibri" w:hAnsi="Times New Roman" w:cs="Times New Roman"/>
          <w:color w:val="000000" w:themeColor="text1"/>
          <w:sz w:val="26"/>
          <w:szCs w:val="26"/>
        </w:rPr>
        <w:t xml:space="preserve"> </w:t>
      </w:r>
    </w:p>
    <w:p w:rsidR="2C1B9391" w:rsidP="2A2D9407" w14:paraId="703D97E2" w14:textId="36EF99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ascii="Times New Roman" w:eastAsia="Times New Roman" w:hAnsi="Times New Roman" w:cs="Times New Roman"/>
          <w:color w:val="000000" w:themeColor="text1"/>
          <w:sz w:val="26"/>
          <w:szCs w:val="26"/>
        </w:rPr>
      </w:pPr>
      <w:r w:rsidRPr="7345B086">
        <w:rPr>
          <w:rFonts w:ascii="Times New Roman" w:eastAsia="Calibri" w:hAnsi="Times New Roman" w:cs="Times New Roman"/>
          <w:color w:val="000000" w:themeColor="text1"/>
          <w:sz w:val="26"/>
          <w:szCs w:val="26"/>
        </w:rPr>
        <w:t>Due to the revision of IRO-0</w:t>
      </w:r>
      <w:r w:rsidR="00914DCA">
        <w:rPr>
          <w:rFonts w:ascii="Times New Roman" w:eastAsia="Calibri" w:hAnsi="Times New Roman" w:cs="Times New Roman"/>
          <w:color w:val="000000" w:themeColor="text1"/>
          <w:sz w:val="26"/>
          <w:szCs w:val="26"/>
        </w:rPr>
        <w:t>10</w:t>
      </w:r>
      <w:r w:rsidRPr="7345B086">
        <w:rPr>
          <w:rFonts w:ascii="Times New Roman" w:eastAsia="Calibri" w:hAnsi="Times New Roman" w:cs="Times New Roman"/>
          <w:color w:val="000000" w:themeColor="text1"/>
          <w:sz w:val="26"/>
          <w:szCs w:val="26"/>
        </w:rPr>
        <w:t>-</w:t>
      </w:r>
      <w:r w:rsidR="00CA023A">
        <w:rPr>
          <w:rFonts w:ascii="Times New Roman" w:eastAsia="Calibri" w:hAnsi="Times New Roman" w:cs="Times New Roman"/>
          <w:color w:val="000000" w:themeColor="text1"/>
          <w:sz w:val="26"/>
          <w:szCs w:val="26"/>
        </w:rPr>
        <w:t>5</w:t>
      </w:r>
      <w:r w:rsidRPr="7345B086">
        <w:rPr>
          <w:rFonts w:ascii="Times New Roman" w:eastAsia="Calibri" w:hAnsi="Times New Roman" w:cs="Times New Roman"/>
          <w:color w:val="000000" w:themeColor="text1"/>
          <w:sz w:val="26"/>
          <w:szCs w:val="26"/>
        </w:rPr>
        <w:t xml:space="preserve"> (now IRO-0</w:t>
      </w:r>
      <w:r w:rsidR="00914DCA">
        <w:rPr>
          <w:rFonts w:ascii="Times New Roman" w:eastAsia="Calibri" w:hAnsi="Times New Roman" w:cs="Times New Roman"/>
          <w:color w:val="000000" w:themeColor="text1"/>
          <w:sz w:val="26"/>
          <w:szCs w:val="26"/>
        </w:rPr>
        <w:t>10</w:t>
      </w:r>
      <w:r w:rsidRPr="7345B086">
        <w:rPr>
          <w:rFonts w:ascii="Times New Roman" w:eastAsia="Calibri" w:hAnsi="Times New Roman" w:cs="Times New Roman"/>
          <w:color w:val="000000" w:themeColor="text1"/>
          <w:sz w:val="26"/>
          <w:szCs w:val="26"/>
        </w:rPr>
        <w:t>-</w:t>
      </w:r>
      <w:r w:rsidR="00CA023A">
        <w:rPr>
          <w:rFonts w:ascii="Times New Roman" w:eastAsia="Calibri" w:hAnsi="Times New Roman" w:cs="Times New Roman"/>
          <w:color w:val="000000" w:themeColor="text1"/>
          <w:sz w:val="26"/>
          <w:szCs w:val="26"/>
        </w:rPr>
        <w:t>6</w:t>
      </w:r>
      <w:r w:rsidRPr="7345B086">
        <w:rPr>
          <w:rFonts w:ascii="Times New Roman" w:eastAsia="Calibri" w:hAnsi="Times New Roman" w:cs="Times New Roman"/>
          <w:color w:val="000000" w:themeColor="text1"/>
          <w:sz w:val="26"/>
          <w:szCs w:val="26"/>
        </w:rPr>
        <w:t xml:space="preserve">) the burden increased to </w:t>
      </w:r>
      <w:r w:rsidR="00CA023A">
        <w:rPr>
          <w:rFonts w:ascii="Times New Roman" w:eastAsia="Calibri" w:hAnsi="Times New Roman" w:cs="Times New Roman"/>
          <w:color w:val="000000" w:themeColor="text1"/>
          <w:sz w:val="26"/>
          <w:szCs w:val="26"/>
        </w:rPr>
        <w:t>6,752</w:t>
      </w:r>
      <w:r w:rsidRPr="7345B086">
        <w:rPr>
          <w:rFonts w:ascii="Times New Roman" w:eastAsia="Calibri" w:hAnsi="Times New Roman" w:cs="Times New Roman"/>
          <w:color w:val="000000" w:themeColor="text1"/>
          <w:sz w:val="26"/>
          <w:szCs w:val="26"/>
        </w:rPr>
        <w:t xml:space="preserve"> </w:t>
      </w:r>
      <w:r w:rsidRPr="7345B086" w:rsidR="646168D3">
        <w:rPr>
          <w:rFonts w:ascii="Times New Roman" w:eastAsia="Calibri" w:hAnsi="Times New Roman" w:cs="Times New Roman"/>
          <w:color w:val="000000" w:themeColor="text1"/>
          <w:sz w:val="26"/>
          <w:szCs w:val="26"/>
        </w:rPr>
        <w:t xml:space="preserve">(increase of </w:t>
      </w:r>
      <w:r w:rsidR="00410F94">
        <w:rPr>
          <w:rFonts w:ascii="Times New Roman" w:eastAsia="Calibri" w:hAnsi="Times New Roman" w:cs="Times New Roman"/>
          <w:color w:val="000000" w:themeColor="text1"/>
          <w:sz w:val="26"/>
          <w:szCs w:val="26"/>
        </w:rPr>
        <w:t>3,</w:t>
      </w:r>
      <w:r w:rsidR="00CA023A">
        <w:rPr>
          <w:rFonts w:ascii="Times New Roman" w:eastAsia="Calibri" w:hAnsi="Times New Roman" w:cs="Times New Roman"/>
          <w:color w:val="000000" w:themeColor="text1"/>
          <w:sz w:val="26"/>
          <w:szCs w:val="26"/>
        </w:rPr>
        <w:t>273</w:t>
      </w:r>
      <w:r w:rsidRPr="7345B086" w:rsidR="646168D3">
        <w:rPr>
          <w:rFonts w:ascii="Times New Roman" w:eastAsia="Calibri" w:hAnsi="Times New Roman" w:cs="Times New Roman"/>
          <w:color w:val="000000" w:themeColor="text1"/>
          <w:sz w:val="26"/>
          <w:szCs w:val="26"/>
        </w:rPr>
        <w:t xml:space="preserve"> responses) </w:t>
      </w:r>
      <w:r w:rsidRPr="7345B086">
        <w:rPr>
          <w:rFonts w:ascii="Times New Roman" w:eastAsia="Calibri" w:hAnsi="Times New Roman" w:cs="Times New Roman"/>
          <w:color w:val="000000" w:themeColor="text1"/>
          <w:sz w:val="26"/>
          <w:szCs w:val="26"/>
        </w:rPr>
        <w:t xml:space="preserve">annual responses and </w:t>
      </w:r>
      <w:r w:rsidR="00CA023A">
        <w:rPr>
          <w:rFonts w:ascii="Times New Roman" w:eastAsia="Calibri" w:hAnsi="Times New Roman" w:cs="Times New Roman"/>
          <w:color w:val="000000" w:themeColor="text1"/>
          <w:sz w:val="26"/>
          <w:szCs w:val="26"/>
        </w:rPr>
        <w:t>88,788</w:t>
      </w:r>
      <w:r w:rsidRPr="7345B086" w:rsidR="499FE4FD">
        <w:rPr>
          <w:rFonts w:ascii="Times New Roman" w:eastAsia="Calibri" w:hAnsi="Times New Roman" w:cs="Times New Roman"/>
          <w:color w:val="000000" w:themeColor="text1"/>
          <w:sz w:val="26"/>
          <w:szCs w:val="26"/>
        </w:rPr>
        <w:t xml:space="preserve"> (increase of </w:t>
      </w:r>
      <w:r w:rsidR="00CA023A">
        <w:rPr>
          <w:rFonts w:ascii="Times New Roman" w:eastAsia="Calibri" w:hAnsi="Times New Roman" w:cs="Times New Roman"/>
          <w:color w:val="000000" w:themeColor="text1"/>
          <w:sz w:val="26"/>
          <w:szCs w:val="26"/>
        </w:rPr>
        <w:t>25,992</w:t>
      </w:r>
      <w:r w:rsidRPr="7345B086" w:rsidR="499FE4FD">
        <w:rPr>
          <w:rFonts w:ascii="Times New Roman" w:eastAsia="Calibri" w:hAnsi="Times New Roman" w:cs="Times New Roman"/>
          <w:color w:val="000000" w:themeColor="text1"/>
          <w:sz w:val="26"/>
          <w:szCs w:val="26"/>
        </w:rPr>
        <w:t xml:space="preserve"> burden hours)</w:t>
      </w:r>
      <w:r w:rsidRPr="7345B086">
        <w:rPr>
          <w:rFonts w:ascii="Times New Roman" w:eastAsia="Calibri" w:hAnsi="Times New Roman" w:cs="Times New Roman"/>
          <w:color w:val="000000" w:themeColor="text1"/>
          <w:sz w:val="26"/>
          <w:szCs w:val="26"/>
        </w:rPr>
        <w:t xml:space="preserve"> annual burden hours</w:t>
      </w:r>
      <w:r w:rsidR="007C638A">
        <w:rPr>
          <w:rFonts w:ascii="Times New Roman" w:eastAsia="Calibri" w:hAnsi="Times New Roman" w:cs="Times New Roman"/>
          <w:color w:val="000000" w:themeColor="text1"/>
          <w:sz w:val="26"/>
          <w:szCs w:val="26"/>
        </w:rPr>
        <w:t>.</w:t>
      </w:r>
      <w:r w:rsidR="0025459C">
        <w:rPr>
          <w:rFonts w:ascii="Times New Roman" w:eastAsia="Calibri" w:hAnsi="Times New Roman" w:cs="Times New Roman"/>
          <w:color w:val="000000" w:themeColor="text1"/>
          <w:sz w:val="26"/>
          <w:szCs w:val="26"/>
        </w:rPr>
        <w:t xml:space="preserve"> </w:t>
      </w:r>
    </w:p>
    <w:p w:rsidR="0041562E" w:rsidRPr="00D0606B" w:rsidP="000324A0" w14:paraId="7D72C983" w14:textId="7D34CFF0">
      <w:pPr>
        <w:tabs>
          <w:tab w:val="num" w:pos="720"/>
        </w:tabs>
        <w:autoSpaceDE w:val="0"/>
        <w:autoSpaceDN w:val="0"/>
        <w:adjustRightInd w:val="0"/>
        <w:spacing w:after="0" w:line="240" w:lineRule="auto"/>
        <w:rPr>
          <w:rFonts w:ascii="Times New Roman" w:eastAsia="Times New Roman" w:hAnsi="Times New Roman" w:cs="Times New Roman"/>
          <w:sz w:val="26"/>
          <w:szCs w:val="26"/>
        </w:rPr>
      </w:pPr>
    </w:p>
    <w:tbl>
      <w:tblPr>
        <w:tblDescription w:val="table that charts list comparision"/>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1779"/>
        <w:gridCol w:w="1959"/>
        <w:gridCol w:w="1958"/>
        <w:gridCol w:w="1504"/>
      </w:tblGrid>
      <w:tr w14:paraId="6854694A" w14:textId="77777777" w:rsidTr="7345B086">
        <w:tblPrEx>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899"/>
        </w:trPr>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F3604E" w:rsidRPr="00D0606B" w:rsidP="00410973" w14:paraId="2F5B13F9" w14:textId="77777777">
            <w:pPr>
              <w:widowControl w:val="0"/>
              <w:autoSpaceDE w:val="0"/>
              <w:autoSpaceDN w:val="0"/>
              <w:adjustRightInd w:val="0"/>
              <w:spacing w:after="0" w:line="240" w:lineRule="auto"/>
              <w:jc w:val="center"/>
              <w:rPr>
                <w:rFonts w:ascii="Times New Roman" w:eastAsia="Calibri" w:hAnsi="Times New Roman" w:cs="Times New Roman"/>
                <w:b/>
                <w:sz w:val="26"/>
                <w:szCs w:val="26"/>
              </w:rPr>
            </w:pPr>
          </w:p>
        </w:tc>
        <w:tc>
          <w:tcPr>
            <w:tcW w:w="17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F3604E" w:rsidRPr="00D0606B" w:rsidP="2B7C7CE2" w14:paraId="541A035C" w14:textId="77777777">
            <w:pPr>
              <w:widowControl w:val="0"/>
              <w:autoSpaceDE w:val="0"/>
              <w:autoSpaceDN w:val="0"/>
              <w:adjustRightInd w:val="0"/>
              <w:spacing w:after="0" w:line="240" w:lineRule="auto"/>
              <w:jc w:val="center"/>
              <w:rPr>
                <w:rFonts w:ascii="Times New Roman" w:eastAsia="Calibri" w:hAnsi="Times New Roman" w:cs="Times New Roman"/>
                <w:b/>
                <w:bCs/>
                <w:sz w:val="26"/>
                <w:szCs w:val="26"/>
              </w:rPr>
            </w:pPr>
            <w:r w:rsidRPr="2B7C7CE2">
              <w:rPr>
                <w:rFonts w:ascii="Times New Roman" w:eastAsia="Calibri" w:hAnsi="Times New Roman" w:cs="Times New Roman"/>
                <w:b/>
                <w:bCs/>
                <w:sz w:val="26"/>
                <w:szCs w:val="26"/>
              </w:rPr>
              <w:t>Total Request</w:t>
            </w:r>
          </w:p>
        </w:tc>
        <w:tc>
          <w:tcPr>
            <w:tcW w:w="19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F3604E" w:rsidRPr="00D0606B" w:rsidP="2B7C7CE2" w14:paraId="04FFC5D7" w14:textId="77777777">
            <w:pPr>
              <w:widowControl w:val="0"/>
              <w:autoSpaceDE w:val="0"/>
              <w:autoSpaceDN w:val="0"/>
              <w:adjustRightInd w:val="0"/>
              <w:spacing w:after="0" w:line="240" w:lineRule="auto"/>
              <w:jc w:val="center"/>
              <w:rPr>
                <w:rFonts w:ascii="Times New Roman" w:eastAsia="Calibri" w:hAnsi="Times New Roman" w:cs="Times New Roman"/>
                <w:b/>
                <w:bCs/>
                <w:sz w:val="26"/>
                <w:szCs w:val="26"/>
              </w:rPr>
            </w:pPr>
            <w:r w:rsidRPr="2B7C7CE2">
              <w:rPr>
                <w:rFonts w:ascii="Times New Roman" w:eastAsia="Calibri" w:hAnsi="Times New Roman" w:cs="Times New Roman"/>
                <w:b/>
                <w:bCs/>
                <w:sz w:val="26"/>
                <w:szCs w:val="26"/>
              </w:rPr>
              <w:t>Previously Approved</w:t>
            </w:r>
          </w:p>
        </w:tc>
        <w:tc>
          <w:tcPr>
            <w:tcW w:w="19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F3604E" w:rsidRPr="00D0606B" w:rsidP="00410973" w14:paraId="635589FE" w14:textId="77777777">
            <w:pPr>
              <w:widowControl w:val="0"/>
              <w:autoSpaceDE w:val="0"/>
              <w:autoSpaceDN w:val="0"/>
              <w:adjustRightInd w:val="0"/>
              <w:spacing w:after="0" w:line="240" w:lineRule="auto"/>
              <w:jc w:val="center"/>
              <w:rPr>
                <w:rFonts w:ascii="Times New Roman" w:eastAsia="Calibri" w:hAnsi="Times New Roman" w:cs="Times New Roman"/>
                <w:b/>
                <w:sz w:val="26"/>
                <w:szCs w:val="26"/>
              </w:rPr>
            </w:pPr>
            <w:r w:rsidRPr="00D0606B">
              <w:rPr>
                <w:rFonts w:ascii="Times New Roman" w:eastAsia="Calibri" w:hAnsi="Times New Roman" w:cs="Times New Roman"/>
                <w:b/>
                <w:sz w:val="26"/>
                <w:szCs w:val="26"/>
              </w:rPr>
              <w:t>Change due to Adjustment in Estimate</w:t>
            </w:r>
          </w:p>
        </w:tc>
        <w:tc>
          <w:tcPr>
            <w:tcW w:w="15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F3604E" w:rsidRPr="00D0606B" w:rsidP="2A2D9407" w14:paraId="639BBAA6" w14:textId="0D24EA99">
            <w:pPr>
              <w:widowControl w:val="0"/>
              <w:autoSpaceDE w:val="0"/>
              <w:autoSpaceDN w:val="0"/>
              <w:adjustRightInd w:val="0"/>
              <w:spacing w:after="0" w:line="240" w:lineRule="auto"/>
              <w:jc w:val="center"/>
              <w:rPr>
                <w:rFonts w:ascii="Times New Roman" w:eastAsia="Calibri" w:hAnsi="Times New Roman" w:cs="Times New Roman"/>
                <w:b/>
                <w:bCs/>
                <w:sz w:val="26"/>
                <w:szCs w:val="26"/>
              </w:rPr>
            </w:pPr>
            <w:r>
              <w:rPr>
                <w:rFonts w:ascii="Times New Roman" w:eastAsia="Calibri" w:hAnsi="Times New Roman" w:cs="Times New Roman"/>
                <w:b/>
                <w:bCs/>
                <w:sz w:val="26"/>
                <w:szCs w:val="26"/>
              </w:rPr>
              <w:t xml:space="preserve">Program </w:t>
            </w:r>
            <w:r w:rsidRPr="2B7C7CE2" w:rsidR="00A9209D">
              <w:rPr>
                <w:rFonts w:ascii="Times New Roman" w:eastAsia="Calibri" w:hAnsi="Times New Roman" w:cs="Times New Roman"/>
                <w:b/>
                <w:bCs/>
                <w:sz w:val="26"/>
                <w:szCs w:val="26"/>
              </w:rPr>
              <w:t>Change Due to Agency Discretion</w:t>
            </w:r>
          </w:p>
        </w:tc>
      </w:tr>
      <w:tr w14:paraId="5F904A88" w14:textId="77777777" w:rsidTr="7345B086">
        <w:tblPrEx>
          <w:tblW w:w="9360" w:type="dxa"/>
          <w:tblInd w:w="108" w:type="dxa"/>
          <w:tblLook w:val="01E0"/>
        </w:tblPrEx>
        <w:trPr>
          <w:trHeight w:val="295"/>
        </w:trPr>
        <w:tc>
          <w:tcPr>
            <w:tcW w:w="2160"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6033359D" w14:textId="77777777">
            <w:pPr>
              <w:spacing w:after="0" w:line="240" w:lineRule="auto"/>
              <w:rPr>
                <w:rFonts w:ascii="Times New Roman" w:eastAsia="Calibri" w:hAnsi="Times New Roman" w:cs="Times New Roman"/>
                <w:sz w:val="26"/>
                <w:szCs w:val="26"/>
              </w:rPr>
            </w:pPr>
            <w:r w:rsidRPr="00D0606B">
              <w:rPr>
                <w:rFonts w:ascii="Times New Roman" w:eastAsia="Calibri" w:hAnsi="Times New Roman" w:cs="Times New Roman"/>
                <w:sz w:val="26"/>
                <w:szCs w:val="26"/>
              </w:rPr>
              <w:t>Annual Number of Responses</w:t>
            </w:r>
          </w:p>
        </w:tc>
        <w:tc>
          <w:tcPr>
            <w:tcW w:w="1779"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279CB834" w14:textId="0440D2A6">
            <w:pPr>
              <w:widowControl w:val="0"/>
              <w:autoSpaceDE w:val="0"/>
              <w:autoSpaceDN w:val="0"/>
              <w:adjustRightInd w:val="0"/>
              <w:spacing w:after="0" w:line="240"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6,752</w:t>
            </w:r>
          </w:p>
        </w:tc>
        <w:tc>
          <w:tcPr>
            <w:tcW w:w="1959"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42537982" w14:textId="7FFA7FEE">
            <w:pPr>
              <w:widowControl w:val="0"/>
              <w:autoSpaceDE w:val="0"/>
              <w:autoSpaceDN w:val="0"/>
              <w:adjustRightInd w:val="0"/>
              <w:spacing w:after="0" w:line="240"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3,479</w:t>
            </w:r>
          </w:p>
        </w:tc>
        <w:tc>
          <w:tcPr>
            <w:tcW w:w="1958" w:type="dxa"/>
            <w:tcBorders>
              <w:top w:val="single" w:sz="4" w:space="0" w:color="auto"/>
              <w:left w:val="single" w:sz="4" w:space="0" w:color="auto"/>
              <w:bottom w:val="single" w:sz="4" w:space="0" w:color="auto"/>
              <w:right w:val="single" w:sz="4" w:space="0" w:color="auto"/>
            </w:tcBorders>
            <w:vAlign w:val="bottom"/>
          </w:tcPr>
          <w:p w:rsidR="00DE7A6F" w:rsidRPr="00D0606B" w:rsidP="2A2D9407" w14:paraId="1769492B" w14:textId="37BBAE87">
            <w:pPr>
              <w:widowControl w:val="0"/>
              <w:spacing w:after="0" w:line="240" w:lineRule="auto"/>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0</w:t>
            </w:r>
          </w:p>
        </w:tc>
        <w:tc>
          <w:tcPr>
            <w:tcW w:w="1504"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3D28C166" w14:textId="2614A468">
            <w:pPr>
              <w:widowControl w:val="0"/>
              <w:autoSpaceDE w:val="0"/>
              <w:autoSpaceDN w:val="0"/>
              <w:adjustRightInd w:val="0"/>
              <w:spacing w:after="0" w:line="240"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3,</w:t>
            </w:r>
            <w:r w:rsidR="008939D5">
              <w:rPr>
                <w:rFonts w:ascii="Times New Roman" w:eastAsia="Calibri" w:hAnsi="Times New Roman" w:cs="Times New Roman"/>
                <w:sz w:val="26"/>
                <w:szCs w:val="26"/>
              </w:rPr>
              <w:t>273</w:t>
            </w:r>
          </w:p>
        </w:tc>
      </w:tr>
      <w:tr w14:paraId="284EEB8B" w14:textId="77777777" w:rsidTr="7345B086">
        <w:tblPrEx>
          <w:tblW w:w="9360" w:type="dxa"/>
          <w:tblInd w:w="108" w:type="dxa"/>
          <w:tblLook w:val="01E0"/>
        </w:tblPrEx>
        <w:trPr>
          <w:trHeight w:val="295"/>
        </w:trPr>
        <w:tc>
          <w:tcPr>
            <w:tcW w:w="2160"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3D883380" w14:textId="55BF8F79">
            <w:pPr>
              <w:spacing w:after="0" w:line="240" w:lineRule="auto"/>
              <w:rPr>
                <w:rFonts w:ascii="Times New Roman" w:eastAsia="Calibri" w:hAnsi="Times New Roman" w:cs="Times New Roman"/>
                <w:sz w:val="26"/>
                <w:szCs w:val="26"/>
              </w:rPr>
            </w:pPr>
            <w:r w:rsidRPr="00D0606B">
              <w:rPr>
                <w:rFonts w:ascii="Times New Roman" w:eastAsia="Calibri" w:hAnsi="Times New Roman" w:cs="Times New Roman"/>
                <w:sz w:val="26"/>
                <w:szCs w:val="26"/>
              </w:rPr>
              <w:t>Annual Time Burden (Hr</w:t>
            </w:r>
            <w:r w:rsidR="000C1DD7">
              <w:rPr>
                <w:rFonts w:ascii="Times New Roman" w:eastAsia="Calibri" w:hAnsi="Times New Roman" w:cs="Times New Roman"/>
                <w:sz w:val="26"/>
                <w:szCs w:val="26"/>
              </w:rPr>
              <w:t>s</w:t>
            </w:r>
            <w:r w:rsidRPr="00D0606B">
              <w:rPr>
                <w:rFonts w:ascii="Times New Roman" w:eastAsia="Calibri" w:hAnsi="Times New Roman" w:cs="Times New Roman"/>
                <w:sz w:val="26"/>
                <w:szCs w:val="26"/>
              </w:rPr>
              <w:t>.)</w:t>
            </w:r>
          </w:p>
        </w:tc>
        <w:tc>
          <w:tcPr>
            <w:tcW w:w="1779" w:type="dxa"/>
            <w:tcBorders>
              <w:top w:val="single" w:sz="4" w:space="0" w:color="auto"/>
              <w:left w:val="single" w:sz="4" w:space="0" w:color="auto"/>
              <w:bottom w:val="single" w:sz="4" w:space="0" w:color="auto"/>
              <w:right w:val="single" w:sz="4" w:space="0" w:color="auto"/>
            </w:tcBorders>
            <w:vAlign w:val="bottom"/>
          </w:tcPr>
          <w:p w:rsidR="00DE7A6F" w:rsidRPr="00D0606B" w:rsidP="7345B086" w14:paraId="2D2C8526" w14:textId="7C7FC5B5">
            <w:pPr>
              <w:widowControl w:val="0"/>
              <w:spacing w:after="0" w:line="240"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88,788</w:t>
            </w:r>
          </w:p>
        </w:tc>
        <w:tc>
          <w:tcPr>
            <w:tcW w:w="1959"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1FFCDFDE" w14:textId="5BDC8BE4">
            <w:pPr>
              <w:widowControl w:val="0"/>
              <w:autoSpaceDE w:val="0"/>
              <w:autoSpaceDN w:val="0"/>
              <w:adjustRightInd w:val="0"/>
              <w:spacing w:after="0" w:line="240"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62,796</w:t>
            </w:r>
          </w:p>
        </w:tc>
        <w:tc>
          <w:tcPr>
            <w:tcW w:w="1958" w:type="dxa"/>
            <w:tcBorders>
              <w:top w:val="single" w:sz="4" w:space="0" w:color="auto"/>
              <w:left w:val="single" w:sz="4" w:space="0" w:color="auto"/>
              <w:bottom w:val="single" w:sz="4" w:space="0" w:color="auto"/>
              <w:right w:val="single" w:sz="4" w:space="0" w:color="auto"/>
            </w:tcBorders>
            <w:vAlign w:val="bottom"/>
          </w:tcPr>
          <w:p w:rsidR="00DE7A6F" w:rsidRPr="00D0606B" w:rsidP="2A2D9407" w14:paraId="4325120D" w14:textId="7216D2D8">
            <w:pPr>
              <w:widowControl w:val="0"/>
              <w:spacing w:after="0" w:line="240"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0</w:t>
            </w:r>
          </w:p>
        </w:tc>
        <w:tc>
          <w:tcPr>
            <w:tcW w:w="1504" w:type="dxa"/>
            <w:tcBorders>
              <w:top w:val="single" w:sz="4" w:space="0" w:color="auto"/>
              <w:left w:val="single" w:sz="4" w:space="0" w:color="auto"/>
              <w:bottom w:val="single" w:sz="4" w:space="0" w:color="auto"/>
              <w:right w:val="single" w:sz="4" w:space="0" w:color="auto"/>
            </w:tcBorders>
            <w:vAlign w:val="bottom"/>
          </w:tcPr>
          <w:p w:rsidR="00DE7A6F" w:rsidRPr="00D0606B" w:rsidP="7345B086" w14:paraId="003264BA" w14:textId="6B566221">
            <w:pPr>
              <w:widowControl w:val="0"/>
              <w:spacing w:after="0" w:line="240"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25,</w:t>
            </w:r>
            <w:r w:rsidR="008939D5">
              <w:rPr>
                <w:rFonts w:ascii="Times New Roman" w:eastAsia="Calibri" w:hAnsi="Times New Roman" w:cs="Times New Roman"/>
                <w:sz w:val="26"/>
                <w:szCs w:val="26"/>
              </w:rPr>
              <w:t>9</w:t>
            </w:r>
            <w:r>
              <w:rPr>
                <w:rFonts w:ascii="Times New Roman" w:eastAsia="Calibri" w:hAnsi="Times New Roman" w:cs="Times New Roman"/>
                <w:sz w:val="26"/>
                <w:szCs w:val="26"/>
              </w:rPr>
              <w:t>92</w:t>
            </w:r>
          </w:p>
        </w:tc>
      </w:tr>
      <w:tr w14:paraId="254838BD" w14:textId="77777777" w:rsidTr="7345B086">
        <w:tblPrEx>
          <w:tblW w:w="9360" w:type="dxa"/>
          <w:tblInd w:w="108" w:type="dxa"/>
          <w:tblLook w:val="01E0"/>
        </w:tblPrEx>
        <w:trPr>
          <w:trHeight w:val="295"/>
        </w:trPr>
        <w:tc>
          <w:tcPr>
            <w:tcW w:w="2160"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76AF0145" w14:textId="77777777">
            <w:pPr>
              <w:spacing w:after="0" w:line="240" w:lineRule="auto"/>
              <w:rPr>
                <w:rFonts w:ascii="Times New Roman" w:eastAsia="Calibri" w:hAnsi="Times New Roman" w:cs="Times New Roman"/>
                <w:sz w:val="26"/>
                <w:szCs w:val="26"/>
              </w:rPr>
            </w:pPr>
            <w:r w:rsidRPr="00D0606B">
              <w:rPr>
                <w:rFonts w:ascii="Times New Roman" w:eastAsia="Calibri" w:hAnsi="Times New Roman" w:cs="Times New Roman"/>
                <w:sz w:val="26"/>
                <w:szCs w:val="26"/>
              </w:rPr>
              <w:t>Annual Cost Burden ($)</w:t>
            </w:r>
          </w:p>
        </w:tc>
        <w:tc>
          <w:tcPr>
            <w:tcW w:w="1779"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32D0B11F" w14:textId="77777777">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D0606B">
              <w:rPr>
                <w:rFonts w:ascii="Times New Roman" w:eastAsia="Calibri" w:hAnsi="Times New Roman" w:cs="Times New Roman"/>
                <w:sz w:val="26"/>
                <w:szCs w:val="26"/>
              </w:rPr>
              <w:t>0</w:t>
            </w:r>
          </w:p>
        </w:tc>
        <w:tc>
          <w:tcPr>
            <w:tcW w:w="1959"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0B27D240" w14:textId="77777777">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D0606B">
              <w:rPr>
                <w:rFonts w:ascii="Times New Roman" w:eastAsia="Calibri" w:hAnsi="Times New Roman" w:cs="Times New Roman"/>
                <w:sz w:val="26"/>
                <w:szCs w:val="26"/>
              </w:rPr>
              <w:t>0</w:t>
            </w:r>
          </w:p>
        </w:tc>
        <w:tc>
          <w:tcPr>
            <w:tcW w:w="1958"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11B98884" w14:textId="77777777">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D0606B">
              <w:rPr>
                <w:rFonts w:ascii="Times New Roman" w:eastAsia="Calibri" w:hAnsi="Times New Roman" w:cs="Times New Roman"/>
                <w:sz w:val="26"/>
                <w:szCs w:val="26"/>
              </w:rPr>
              <w:t>0</w:t>
            </w:r>
          </w:p>
        </w:tc>
        <w:tc>
          <w:tcPr>
            <w:tcW w:w="1504" w:type="dxa"/>
            <w:tcBorders>
              <w:top w:val="single" w:sz="4" w:space="0" w:color="auto"/>
              <w:left w:val="single" w:sz="4" w:space="0" w:color="auto"/>
              <w:bottom w:val="single" w:sz="4" w:space="0" w:color="auto"/>
              <w:right w:val="single" w:sz="4" w:space="0" w:color="auto"/>
            </w:tcBorders>
            <w:vAlign w:val="bottom"/>
          </w:tcPr>
          <w:p w:rsidR="00DE7A6F" w:rsidRPr="00D0606B" w:rsidP="00DE7A6F" w14:paraId="15B6EA53" w14:textId="77777777">
            <w:pPr>
              <w:widowControl w:val="0"/>
              <w:autoSpaceDE w:val="0"/>
              <w:autoSpaceDN w:val="0"/>
              <w:adjustRightInd w:val="0"/>
              <w:spacing w:after="0" w:line="240" w:lineRule="auto"/>
              <w:jc w:val="right"/>
              <w:rPr>
                <w:rFonts w:ascii="Times New Roman" w:eastAsia="Calibri" w:hAnsi="Times New Roman" w:cs="Times New Roman"/>
                <w:sz w:val="26"/>
                <w:szCs w:val="26"/>
              </w:rPr>
            </w:pPr>
            <w:r w:rsidRPr="00D0606B">
              <w:rPr>
                <w:rFonts w:ascii="Times New Roman" w:eastAsia="Calibri" w:hAnsi="Times New Roman" w:cs="Times New Roman"/>
                <w:sz w:val="26"/>
                <w:szCs w:val="26"/>
              </w:rPr>
              <w:t>0</w:t>
            </w:r>
          </w:p>
        </w:tc>
      </w:tr>
    </w:tbl>
    <w:p w:rsidR="003F5C55" w:rsidRPr="00D0606B" w:rsidP="00905360" w14:paraId="5EB5622E" w14:textId="77777777">
      <w:pPr>
        <w:pStyle w:val="ListParagraph"/>
        <w:spacing w:after="0" w:line="240" w:lineRule="auto"/>
        <w:ind w:left="360"/>
        <w:rPr>
          <w:rFonts w:ascii="Times New Roman" w:hAnsi="Times New Roman" w:cs="Times New Roman"/>
          <w:b/>
          <w:sz w:val="26"/>
          <w:szCs w:val="26"/>
        </w:rPr>
      </w:pPr>
    </w:p>
    <w:p w:rsidR="00F3604E" w:rsidRPr="00D0606B" w:rsidP="003F5C55" w14:paraId="6F846F67" w14:textId="77777777">
      <w:p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16. TIME SCHEDULE FOR PUBLICATION OF DATA</w:t>
      </w:r>
    </w:p>
    <w:p w:rsidR="00F3604E" w:rsidRPr="00D0606B" w:rsidP="00F3604E" w14:paraId="46B2A373" w14:textId="77777777">
      <w:pPr>
        <w:spacing w:after="0" w:line="240" w:lineRule="auto"/>
        <w:rPr>
          <w:rFonts w:ascii="Times New Roman" w:hAnsi="Times New Roman" w:cs="Times New Roman"/>
          <w:sz w:val="26"/>
          <w:szCs w:val="26"/>
        </w:rPr>
      </w:pPr>
    </w:p>
    <w:p w:rsidR="00F3604E" w:rsidRPr="00D0606B" w:rsidP="00F3604E" w14:paraId="4E35554F" w14:textId="2D53D945">
      <w:pPr>
        <w:spacing w:after="0" w:line="240" w:lineRule="auto"/>
        <w:rPr>
          <w:rFonts w:ascii="Times New Roman" w:hAnsi="Times New Roman" w:cs="Times New Roman"/>
          <w:sz w:val="26"/>
          <w:szCs w:val="26"/>
        </w:rPr>
      </w:pPr>
      <w:r w:rsidRPr="00D0606B">
        <w:rPr>
          <w:rFonts w:ascii="Times New Roman" w:hAnsi="Times New Roman" w:cs="Times New Roman"/>
          <w:sz w:val="26"/>
          <w:szCs w:val="26"/>
        </w:rPr>
        <w:t xml:space="preserve">There is no publication of data associated with </w:t>
      </w:r>
      <w:r w:rsidR="005A74FD">
        <w:rPr>
          <w:rFonts w:ascii="Times New Roman" w:hAnsi="Times New Roman" w:cs="Times New Roman"/>
          <w:sz w:val="26"/>
          <w:szCs w:val="26"/>
        </w:rPr>
        <w:t xml:space="preserve">the </w:t>
      </w:r>
      <w:r w:rsidRPr="00D0606B">
        <w:rPr>
          <w:rFonts w:ascii="Times New Roman" w:hAnsi="Times New Roman" w:cs="Times New Roman"/>
          <w:sz w:val="26"/>
          <w:szCs w:val="26"/>
        </w:rPr>
        <w:t>FERC-725Z.</w:t>
      </w:r>
    </w:p>
    <w:p w:rsidR="00F3604E" w:rsidRPr="00D0606B" w:rsidP="00F3604E" w14:paraId="6F168C11" w14:textId="77777777">
      <w:pPr>
        <w:spacing w:after="0" w:line="240" w:lineRule="auto"/>
        <w:rPr>
          <w:rFonts w:ascii="Times New Roman" w:hAnsi="Times New Roman" w:cs="Times New Roman"/>
          <w:sz w:val="26"/>
          <w:szCs w:val="26"/>
        </w:rPr>
      </w:pPr>
    </w:p>
    <w:p w:rsidR="00F3604E" w:rsidRPr="00D0606B" w:rsidP="00025DA7" w14:paraId="4F08563F" w14:textId="77777777">
      <w:pPr>
        <w:pStyle w:val="ListParagraph"/>
        <w:numPr>
          <w:ilvl w:val="0"/>
          <w:numId w:val="9"/>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DISPLAY OF EXPIRATION DATE</w:t>
      </w:r>
    </w:p>
    <w:p w:rsidR="00F3604E" w:rsidRPr="00D0606B" w:rsidP="00F3604E" w14:paraId="0DE18249" w14:textId="77777777">
      <w:pPr>
        <w:spacing w:after="0" w:line="240" w:lineRule="auto"/>
        <w:rPr>
          <w:rFonts w:ascii="Times New Roman" w:hAnsi="Times New Roman" w:cs="Times New Roman"/>
          <w:sz w:val="26"/>
          <w:szCs w:val="26"/>
        </w:rPr>
      </w:pPr>
    </w:p>
    <w:p w:rsidR="00261C9D" w:rsidRPr="002705B2" w:rsidP="00261C9D" w14:paraId="248F469E" w14:textId="477B7C19">
      <w:pPr>
        <w:spacing w:after="0" w:line="240" w:lineRule="auto"/>
        <w:rPr>
          <w:rFonts w:ascii="Times New Roman" w:hAnsi="Times New Roman" w:cs="Times New Roman"/>
          <w:sz w:val="26"/>
          <w:szCs w:val="24"/>
        </w:rPr>
      </w:pPr>
      <w:r w:rsidRPr="00572C67">
        <w:rPr>
          <w:rFonts w:ascii="Times New Roman" w:hAnsi="Times New Roman" w:cs="Times New Roman"/>
          <w:sz w:val="26"/>
          <w:szCs w:val="24"/>
        </w:rPr>
        <w:t>The expiration date for FERC-</w:t>
      </w:r>
      <w:r>
        <w:rPr>
          <w:rFonts w:ascii="Times New Roman" w:hAnsi="Times New Roman" w:cs="Times New Roman"/>
          <w:sz w:val="26"/>
          <w:szCs w:val="24"/>
        </w:rPr>
        <w:t>725Z</w:t>
      </w:r>
      <w:r w:rsidRPr="00572C67">
        <w:rPr>
          <w:rFonts w:ascii="Times New Roman" w:hAnsi="Times New Roman" w:cs="Times New Roman"/>
          <w:sz w:val="26"/>
          <w:szCs w:val="24"/>
        </w:rPr>
        <w:t xml:space="preserve"> will not change as a result of the </w:t>
      </w:r>
      <w:r>
        <w:rPr>
          <w:rFonts w:ascii="Times New Roman" w:hAnsi="Times New Roman" w:cs="Times New Roman"/>
          <w:sz w:val="26"/>
          <w:szCs w:val="24"/>
        </w:rPr>
        <w:t>revision</w:t>
      </w:r>
      <w:r w:rsidRPr="00572C67">
        <w:rPr>
          <w:rFonts w:ascii="Times New Roman" w:hAnsi="Times New Roman" w:cs="Times New Roman"/>
          <w:sz w:val="26"/>
          <w:szCs w:val="24"/>
        </w:rPr>
        <w:t>.  That expiration date is displayed at</w:t>
      </w:r>
      <w:r w:rsidRPr="000810E8">
        <w:t xml:space="preserve"> </w:t>
      </w:r>
      <w:hyperlink r:id="rId9" w:history="1">
        <w:r w:rsidRPr="000810E8">
          <w:rPr>
            <w:rStyle w:val="Hyperlink"/>
            <w:rFonts w:ascii="Times New Roman" w:hAnsi="Times New Roman"/>
            <w:sz w:val="26"/>
            <w:szCs w:val="24"/>
          </w:rPr>
          <w:t>Information Collections | Federal Energy Regulatory Commission</w:t>
        </w:r>
      </w:hyperlink>
      <w:r>
        <w:rPr>
          <w:rStyle w:val="Hyperlink"/>
          <w:rFonts w:ascii="Times New Roman" w:hAnsi="Times New Roman"/>
          <w:bCs/>
          <w:sz w:val="26"/>
          <w:szCs w:val="24"/>
        </w:rPr>
        <w:t>.</w:t>
      </w:r>
    </w:p>
    <w:p w:rsidR="00F3604E" w:rsidRPr="00D0606B" w:rsidP="00F3604E" w14:paraId="56F8A651" w14:textId="77777777">
      <w:pPr>
        <w:spacing w:after="0" w:line="240" w:lineRule="auto"/>
        <w:rPr>
          <w:rFonts w:ascii="Times New Roman" w:hAnsi="Times New Roman" w:cs="Times New Roman"/>
          <w:sz w:val="26"/>
          <w:szCs w:val="26"/>
        </w:rPr>
      </w:pPr>
    </w:p>
    <w:p w:rsidR="00F3604E" w:rsidRPr="00D0606B" w:rsidP="00025DA7" w14:paraId="1C1145CC" w14:textId="77777777">
      <w:pPr>
        <w:pStyle w:val="ListParagraph"/>
        <w:numPr>
          <w:ilvl w:val="0"/>
          <w:numId w:val="9"/>
        </w:numPr>
        <w:spacing w:after="0" w:line="240" w:lineRule="auto"/>
        <w:rPr>
          <w:rFonts w:ascii="Times New Roman" w:hAnsi="Times New Roman" w:cs="Times New Roman"/>
          <w:b/>
          <w:sz w:val="26"/>
          <w:szCs w:val="26"/>
        </w:rPr>
      </w:pPr>
      <w:r w:rsidRPr="00D0606B">
        <w:rPr>
          <w:rFonts w:ascii="Times New Roman" w:hAnsi="Times New Roman" w:cs="Times New Roman"/>
          <w:b/>
          <w:sz w:val="26"/>
          <w:szCs w:val="26"/>
        </w:rPr>
        <w:t>EXCEPTIONS TO THE CERTIFICATION STATEMENT</w:t>
      </w:r>
    </w:p>
    <w:p w:rsidR="00F3604E" w:rsidRPr="00D0606B" w:rsidP="00F3604E" w14:paraId="5DAF6AD0" w14:textId="77777777">
      <w:pPr>
        <w:spacing w:after="0" w:line="240" w:lineRule="auto"/>
        <w:rPr>
          <w:rFonts w:ascii="Times New Roman" w:hAnsi="Times New Roman" w:cs="Times New Roman"/>
          <w:b/>
          <w:sz w:val="26"/>
          <w:szCs w:val="26"/>
        </w:rPr>
      </w:pPr>
    </w:p>
    <w:p w:rsidR="00F3604E" w:rsidRPr="00D0606B" w:rsidP="00F3604E" w14:paraId="2DA1A73F" w14:textId="77777777">
      <w:pPr>
        <w:spacing w:after="0" w:line="240" w:lineRule="auto"/>
        <w:rPr>
          <w:rFonts w:ascii="Times New Roman" w:hAnsi="Times New Roman" w:cs="Times New Roman"/>
          <w:b/>
          <w:sz w:val="26"/>
          <w:szCs w:val="26"/>
        </w:rPr>
      </w:pPr>
      <w:r w:rsidRPr="00D0606B">
        <w:rPr>
          <w:rFonts w:ascii="Times New Roman" w:eastAsia="Calibri" w:hAnsi="Times New Roman" w:cs="Times New Roman"/>
          <w:sz w:val="26"/>
          <w:szCs w:val="26"/>
        </w:rPr>
        <w:t>There are no exceptions.</w:t>
      </w:r>
    </w:p>
    <w:p w:rsidR="00695052" w:rsidRPr="00D0606B" w:rsidP="00193DD3" w14:paraId="2092F2F3" w14:textId="77777777">
      <w:pPr>
        <w:rPr>
          <w:rFonts w:ascii="Times New Roman" w:hAnsi="Times New Roman" w:cs="Times New Roman"/>
          <w:sz w:val="26"/>
          <w:szCs w:val="26"/>
        </w:rPr>
      </w:pPr>
    </w:p>
    <w:sectPr>
      <w:headerReference w:type="default" r:id="rId10"/>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2453608"/>
      <w:docPartObj>
        <w:docPartGallery w:val="Page Numbers (Bottom of Page)"/>
        <w:docPartUnique/>
      </w:docPartObj>
    </w:sdtPr>
    <w:sdtEndPr>
      <w:rPr>
        <w:rFonts w:ascii="Times New Roman" w:hAnsi="Times New Roman" w:cs="Times New Roman"/>
        <w:noProof/>
      </w:rPr>
    </w:sdtEndPr>
    <w:sdtContent>
      <w:p w:rsidR="00410973" w:rsidRPr="00402E20" w14:paraId="3D061CC1" w14:textId="7B05E6FA">
        <w:pPr>
          <w:pStyle w:val="Footer"/>
          <w:jc w:val="right"/>
          <w:rPr>
            <w:rFonts w:ascii="Times New Roman" w:hAnsi="Times New Roman" w:cs="Times New Roman"/>
          </w:rPr>
        </w:pPr>
        <w:r w:rsidRPr="00402E20">
          <w:rPr>
            <w:rFonts w:ascii="Times New Roman" w:hAnsi="Times New Roman" w:cs="Times New Roman"/>
          </w:rPr>
          <w:fldChar w:fldCharType="begin"/>
        </w:r>
        <w:r w:rsidRPr="00402E20">
          <w:rPr>
            <w:rFonts w:ascii="Times New Roman" w:hAnsi="Times New Roman" w:cs="Times New Roman"/>
          </w:rPr>
          <w:instrText xml:space="preserve"> PAGE   \* MERGEFORMAT </w:instrText>
        </w:r>
        <w:r w:rsidRPr="00402E20">
          <w:rPr>
            <w:rFonts w:ascii="Times New Roman" w:hAnsi="Times New Roman" w:cs="Times New Roman"/>
          </w:rPr>
          <w:fldChar w:fldCharType="separate"/>
        </w:r>
        <w:r w:rsidR="00D97DF2">
          <w:rPr>
            <w:rFonts w:ascii="Times New Roman" w:hAnsi="Times New Roman" w:cs="Times New Roman"/>
            <w:noProof/>
          </w:rPr>
          <w:t>1</w:t>
        </w:r>
        <w:r w:rsidRPr="00402E20">
          <w:rPr>
            <w:rFonts w:ascii="Times New Roman" w:hAnsi="Times New Roman" w:cs="Times New Roman"/>
            <w:noProof/>
          </w:rPr>
          <w:fldChar w:fldCharType="end"/>
        </w:r>
      </w:p>
    </w:sdtContent>
  </w:sdt>
  <w:p w:rsidR="00410973" w14:paraId="387591C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269F0" w:rsidP="00AC7CFF" w14:paraId="5B06FBAD" w14:textId="77777777">
      <w:pPr>
        <w:spacing w:after="0" w:line="240" w:lineRule="auto"/>
      </w:pPr>
      <w:r>
        <w:separator/>
      </w:r>
    </w:p>
  </w:footnote>
  <w:footnote w:type="continuationSeparator" w:id="1">
    <w:p w:rsidR="009269F0" w:rsidP="00AC7CFF" w14:paraId="22C3A090" w14:textId="77777777">
      <w:pPr>
        <w:spacing w:after="0" w:line="240" w:lineRule="auto"/>
      </w:pPr>
      <w:r>
        <w:continuationSeparator/>
      </w:r>
    </w:p>
  </w:footnote>
  <w:footnote w:type="continuationNotice" w:id="2">
    <w:p w:rsidR="009269F0" w14:paraId="2845C683" w14:textId="77777777">
      <w:pPr>
        <w:spacing w:after="0" w:line="240" w:lineRule="auto"/>
      </w:pPr>
    </w:p>
  </w:footnote>
  <w:footnote w:id="3">
    <w:p w:rsidR="0025459C" w:rsidRPr="0025459C" w:rsidP="0025459C" w14:paraId="064B88E0" w14:textId="67C47A15">
      <w:pPr>
        <w:rPr>
          <w:rFonts w:ascii="Times New Roman" w:hAnsi="Times New Roman" w:cs="Times New Roman"/>
          <w:sz w:val="26"/>
          <w:szCs w:val="26"/>
        </w:rPr>
      </w:pPr>
      <w:r w:rsidRPr="0025459C">
        <w:rPr>
          <w:rStyle w:val="FootnoteReference"/>
          <w:rFonts w:ascii="Times New Roman" w:hAnsi="Times New Roman" w:cs="Times New Roman"/>
          <w:sz w:val="26"/>
          <w:szCs w:val="26"/>
        </w:rPr>
        <w:footnoteRef/>
      </w:r>
      <w:r w:rsidRPr="0025459C">
        <w:rPr>
          <w:rFonts w:ascii="Times New Roman" w:hAnsi="Times New Roman" w:cs="Times New Roman"/>
          <w:sz w:val="26"/>
          <w:szCs w:val="26"/>
        </w:rPr>
        <w:t xml:space="preserve"> </w:t>
      </w:r>
      <w:r w:rsidRPr="0025459C">
        <w:rPr>
          <w:rFonts w:ascii="Times New Roman" w:eastAsia="Times New Roman" w:hAnsi="Times New Roman" w:cs="Times New Roman"/>
          <w:sz w:val="26"/>
          <w:szCs w:val="26"/>
        </w:rPr>
        <w:t>The Energy Policy Act of 2005, Pub. L. No 109-58, Title XII, Subtitle A, 119 Stat. 594, 941 (2005), codified at 16 U.S.C. 824o (2006).</w:t>
      </w:r>
    </w:p>
  </w:footnote>
  <w:footnote w:id="4">
    <w:p w:rsidR="0025459C" w:rsidRPr="0025459C" w:rsidP="0025459C" w14:paraId="36737F4A" w14:textId="3641F676">
      <w:pPr>
        <w:rPr>
          <w:rFonts w:ascii="Times New Roman" w:hAnsi="Times New Roman" w:cs="Times New Roman"/>
          <w:sz w:val="26"/>
          <w:szCs w:val="26"/>
        </w:rPr>
      </w:pPr>
      <w:r w:rsidRPr="0025459C">
        <w:rPr>
          <w:rStyle w:val="FootnoteReference"/>
          <w:rFonts w:ascii="Times New Roman" w:hAnsi="Times New Roman" w:cs="Times New Roman"/>
          <w:sz w:val="26"/>
          <w:szCs w:val="26"/>
        </w:rPr>
        <w:footnoteRef/>
      </w:r>
      <w:r w:rsidRPr="0025459C">
        <w:rPr>
          <w:rFonts w:ascii="Times New Roman" w:hAnsi="Times New Roman" w:cs="Times New Roman"/>
          <w:sz w:val="26"/>
          <w:szCs w:val="26"/>
        </w:rPr>
        <w:t xml:space="preserve"> </w:t>
      </w:r>
      <w:r w:rsidRPr="0025459C">
        <w:rPr>
          <w:rFonts w:ascii="Times New Roman" w:eastAsia="Times New Roman" w:hAnsi="Times New Roman" w:cs="Times New Roman"/>
          <w:sz w:val="26"/>
          <w:szCs w:val="26"/>
        </w:rPr>
        <w:t xml:space="preserve">Rules Concerning Certification of the Electric Reliability Organization; and Procedures for the Establishment, Approval, and Enforcement of Electric Reliability Standards, Order No. 672, FERC Stats. &amp; Regs. ¶ 31,204, order on reh’g, Order No. 672-A, FERC Stats. &amp; Regs. ¶ 31,212 (2006).  </w:t>
      </w:r>
    </w:p>
  </w:footnote>
  <w:footnote w:id="5">
    <w:p w:rsidR="002972AD" w:rsidRPr="005322D2" w:rsidP="002972AD" w14:paraId="1C06B854" w14:textId="5E99C259">
      <w:pPr>
        <w:pStyle w:val="FootnoteText"/>
        <w:rPr>
          <w:rFonts w:ascii="Times New Roman" w:hAnsi="Times New Roman" w:cs="Times New Roman"/>
          <w:sz w:val="26"/>
          <w:szCs w:val="26"/>
        </w:rPr>
      </w:pPr>
      <w:r w:rsidRPr="005322D2">
        <w:rPr>
          <w:rStyle w:val="FootnoteReference"/>
          <w:rFonts w:ascii="Times New Roman" w:hAnsi="Times New Roman" w:cs="Times New Roman"/>
          <w:sz w:val="26"/>
          <w:szCs w:val="26"/>
        </w:rPr>
        <w:footnoteRef/>
      </w:r>
      <w:r w:rsidRPr="005322D2">
        <w:rPr>
          <w:rFonts w:ascii="Times New Roman" w:hAnsi="Times New Roman" w:cs="Times New Roman"/>
          <w:sz w:val="26"/>
          <w:szCs w:val="26"/>
        </w:rPr>
        <w:t xml:space="preserve"> </w:t>
      </w:r>
      <w:r w:rsidRPr="00E55C04" w:rsidR="00D03CB3">
        <w:rPr>
          <w:rFonts w:ascii="Times New Roman" w:hAnsi="Times New Roman" w:cs="Times New Roman"/>
          <w:sz w:val="26"/>
          <w:szCs w:val="26"/>
        </w:rPr>
        <w:t>NERC MOD-032-2, IRO-010-6, and TOP-003-8 Petition</w:t>
      </w:r>
      <w:r w:rsidRPr="00D03CB3" w:rsidR="00D03CB3">
        <w:rPr>
          <w:rFonts w:ascii="Times New Roman" w:hAnsi="Times New Roman" w:cs="Times New Roman"/>
          <w:i/>
          <w:iCs/>
          <w:sz w:val="26"/>
          <w:szCs w:val="26"/>
        </w:rPr>
        <w:t xml:space="preserve"> </w:t>
      </w:r>
      <w:r w:rsidRPr="005322D2">
        <w:rPr>
          <w:rFonts w:ascii="Times New Roman" w:hAnsi="Times New Roman" w:cs="Times New Roman"/>
          <w:i/>
          <w:iCs/>
          <w:sz w:val="26"/>
          <w:szCs w:val="26"/>
        </w:rPr>
        <w:t xml:space="preserve"> </w:t>
      </w:r>
      <w:r w:rsidRPr="005322D2">
        <w:rPr>
          <w:rFonts w:ascii="Times New Roman" w:hAnsi="Times New Roman" w:cs="Times New Roman"/>
          <w:sz w:val="26"/>
          <w:szCs w:val="26"/>
        </w:rPr>
        <w:t>at 59-60.</w:t>
      </w:r>
    </w:p>
  </w:footnote>
  <w:footnote w:id="6">
    <w:p w:rsidR="002972AD" w:rsidRPr="005322D2" w:rsidP="002972AD" w14:paraId="48DA2045" w14:textId="77777777">
      <w:pPr>
        <w:pStyle w:val="FootnoteText"/>
        <w:rPr>
          <w:rFonts w:ascii="Times New Roman" w:hAnsi="Times New Roman" w:cs="Times New Roman"/>
          <w:sz w:val="26"/>
          <w:szCs w:val="26"/>
        </w:rPr>
      </w:pPr>
      <w:r w:rsidRPr="005322D2">
        <w:rPr>
          <w:rStyle w:val="FootnoteReference"/>
          <w:rFonts w:ascii="Times New Roman" w:hAnsi="Times New Roman" w:cs="Times New Roman"/>
          <w:sz w:val="26"/>
          <w:szCs w:val="26"/>
        </w:rPr>
        <w:footnoteRef/>
      </w:r>
      <w:r w:rsidRPr="005322D2">
        <w:rPr>
          <w:rFonts w:ascii="Times New Roman" w:hAnsi="Times New Roman" w:cs="Times New Roman"/>
          <w:sz w:val="26"/>
          <w:szCs w:val="26"/>
        </w:rPr>
        <w:t xml:space="preserve"> </w:t>
      </w:r>
      <w:r w:rsidRPr="005322D2">
        <w:rPr>
          <w:rFonts w:ascii="Times New Roman" w:hAnsi="Times New Roman" w:cs="Times New Roman"/>
          <w:i/>
          <w:iCs/>
          <w:sz w:val="26"/>
          <w:szCs w:val="26"/>
        </w:rPr>
        <w:t xml:space="preserve">Id. </w:t>
      </w:r>
      <w:r w:rsidRPr="005322D2">
        <w:rPr>
          <w:rFonts w:ascii="Times New Roman" w:hAnsi="Times New Roman" w:cs="Times New Roman"/>
          <w:sz w:val="26"/>
          <w:szCs w:val="26"/>
        </w:rPr>
        <w:t>at 60.</w:t>
      </w:r>
    </w:p>
  </w:footnote>
  <w:footnote w:id="7">
    <w:p w:rsidR="00F0510F" w:rsidRPr="00E55C04" w:rsidP="00F0510F" w14:paraId="5DE4568E" w14:textId="77777777">
      <w:pPr>
        <w:pStyle w:val="FootnoteText"/>
        <w:rPr>
          <w:rFonts w:ascii="Times New Roman" w:hAnsi="Times New Roman" w:cs="Times New Roman"/>
          <w:sz w:val="26"/>
          <w:szCs w:val="26"/>
        </w:rPr>
      </w:pPr>
      <w:r w:rsidRPr="00E55C04">
        <w:rPr>
          <w:rStyle w:val="FootnoteReference"/>
          <w:rFonts w:ascii="Times New Roman" w:hAnsi="Times New Roman" w:cs="Times New Roman"/>
          <w:sz w:val="26"/>
          <w:szCs w:val="26"/>
        </w:rPr>
        <w:footnoteRef/>
      </w:r>
      <w:r w:rsidRPr="00E55C04">
        <w:rPr>
          <w:rFonts w:ascii="Times New Roman" w:hAnsi="Times New Roman" w:cs="Times New Roman"/>
          <w:sz w:val="26"/>
          <w:szCs w:val="26"/>
        </w:rPr>
        <w:t xml:space="preserve"> </w:t>
      </w:r>
      <w:r w:rsidRPr="00E55C04">
        <w:rPr>
          <w:rFonts w:ascii="Times New Roman" w:hAnsi="Times New Roman" w:cs="Times New Roman"/>
          <w:i/>
          <w:iCs/>
          <w:sz w:val="26"/>
          <w:szCs w:val="26"/>
        </w:rPr>
        <w:t>Id.</w:t>
      </w:r>
      <w:r w:rsidRPr="00E55C04">
        <w:rPr>
          <w:rFonts w:ascii="Times New Roman" w:hAnsi="Times New Roman" w:cs="Times New Roman"/>
          <w:sz w:val="26"/>
          <w:szCs w:val="26"/>
        </w:rPr>
        <w:t xml:space="preserve"> at 60-61.</w:t>
      </w:r>
    </w:p>
  </w:footnote>
  <w:footnote w:id="8">
    <w:p w:rsidR="00F0510F" w:rsidP="00F0510F" w14:paraId="1BD95B3B" w14:textId="77777777">
      <w:pPr>
        <w:pStyle w:val="FootnoteText"/>
      </w:pPr>
      <w:r w:rsidRPr="00E55C04">
        <w:rPr>
          <w:rStyle w:val="FootnoteReference"/>
          <w:rFonts w:ascii="Times New Roman" w:hAnsi="Times New Roman" w:cs="Times New Roman"/>
          <w:sz w:val="26"/>
          <w:szCs w:val="26"/>
        </w:rPr>
        <w:footnoteRef/>
      </w:r>
      <w:r w:rsidRPr="00E55C04">
        <w:rPr>
          <w:rFonts w:ascii="Times New Roman" w:hAnsi="Times New Roman" w:cs="Times New Roman"/>
          <w:sz w:val="26"/>
          <w:szCs w:val="26"/>
        </w:rPr>
        <w:t xml:space="preserve"> </w:t>
      </w:r>
      <w:r w:rsidRPr="00E55C04">
        <w:rPr>
          <w:rFonts w:ascii="Times New Roman" w:hAnsi="Times New Roman" w:cs="Times New Roman"/>
          <w:i/>
          <w:iCs/>
          <w:sz w:val="26"/>
          <w:szCs w:val="26"/>
        </w:rPr>
        <w:t>Id.</w:t>
      </w:r>
      <w:r w:rsidRPr="00E55C04">
        <w:rPr>
          <w:rFonts w:ascii="Times New Roman" w:hAnsi="Times New Roman" w:cs="Times New Roman"/>
          <w:sz w:val="26"/>
          <w:szCs w:val="26"/>
        </w:rPr>
        <w:t xml:space="preserve"> at 62.</w:t>
      </w:r>
      <w:r>
        <w:t xml:space="preserve">   </w:t>
      </w:r>
    </w:p>
  </w:footnote>
  <w:footnote w:id="9">
    <w:p w:rsidR="00410973" w:rsidRPr="00D247D5" w14:paraId="0DAAB9D7" w14:textId="7238C7B6">
      <w:pPr>
        <w:pStyle w:val="FootnoteText"/>
        <w:rPr>
          <w:rFonts w:ascii="Times New Roman" w:hAnsi="Times New Roman" w:cs="Times New Roman"/>
          <w:sz w:val="26"/>
          <w:szCs w:val="26"/>
        </w:rPr>
      </w:pPr>
      <w:r w:rsidRPr="00D247D5">
        <w:rPr>
          <w:rStyle w:val="FootnoteReference"/>
          <w:rFonts w:ascii="Times New Roman" w:hAnsi="Times New Roman" w:cs="Times New Roman"/>
          <w:sz w:val="26"/>
          <w:szCs w:val="26"/>
        </w:rPr>
        <w:footnoteRef/>
      </w:r>
      <w:r w:rsidRPr="00D247D5">
        <w:rPr>
          <w:rFonts w:ascii="Times New Roman" w:hAnsi="Times New Roman" w:cs="Times New Roman"/>
          <w:sz w:val="26"/>
          <w:szCs w:val="26"/>
        </w:rPr>
        <w:t xml:space="preserve"> NERC Rules of Procedure Sections 507 and 508 are available at: </w:t>
      </w:r>
      <w:hyperlink r:id="rId1" w:history="1">
        <w:r w:rsidRPr="00D247D5">
          <w:rPr>
            <w:rStyle w:val="Hyperlink"/>
            <w:rFonts w:ascii="Times New Roman" w:hAnsi="Times New Roman" w:cs="Times New Roman"/>
            <w:sz w:val="26"/>
            <w:szCs w:val="26"/>
          </w:rPr>
          <w:t>https://www.nerc.com/FilingsOrders/us/RuleOfProcedureDL/NERC_ROP_Effective_20190125.pdf</w:t>
        </w:r>
      </w:hyperlink>
      <w:r w:rsidRPr="00D247D5">
        <w:rPr>
          <w:rFonts w:ascii="Times New Roman" w:hAnsi="Times New Roman" w:cs="Times New Roman"/>
          <w:sz w:val="26"/>
          <w:szCs w:val="26"/>
        </w:rPr>
        <w:t>.</w:t>
      </w:r>
    </w:p>
  </w:footnote>
  <w:footnote w:id="10">
    <w:p w:rsidR="00BF28EE" w:rsidRPr="00E55C04" w:rsidP="00BF28EE" w14:paraId="45A1D6A5" w14:textId="77777777">
      <w:pPr>
        <w:pStyle w:val="FootnoteText"/>
        <w:rPr>
          <w:rFonts w:ascii="Times New Roman" w:hAnsi="Times New Roman" w:cs="Times New Roman"/>
          <w:sz w:val="26"/>
          <w:szCs w:val="26"/>
        </w:rPr>
      </w:pPr>
      <w:r w:rsidRPr="00E55C04">
        <w:rPr>
          <w:rStyle w:val="FootnoteReference"/>
          <w:rFonts w:ascii="Times New Roman" w:hAnsi="Times New Roman" w:cs="Times New Roman"/>
          <w:sz w:val="26"/>
          <w:szCs w:val="26"/>
        </w:rPr>
        <w:footnoteRef/>
      </w:r>
      <w:r w:rsidRPr="00E55C04">
        <w:rPr>
          <w:rFonts w:ascii="Times New Roman" w:hAnsi="Times New Roman" w:cs="Times New Roman"/>
          <w:sz w:val="26"/>
          <w:szCs w:val="26"/>
          <w:vertAlign w:val="superscript"/>
        </w:rPr>
        <w:t xml:space="preserve"> </w:t>
      </w:r>
      <w:r w:rsidRPr="00E55C04">
        <w:rPr>
          <w:rFonts w:ascii="Times New Roman" w:hAnsi="Times New Roman" w:cs="Times New Roman"/>
          <w:sz w:val="26"/>
          <w:szCs w:val="26"/>
        </w:rPr>
        <w:t xml:space="preserve">Details of the ERO standards development process are available on the NERC website at </w:t>
      </w:r>
      <w:hyperlink r:id="rId2" w:history="1">
        <w:r w:rsidRPr="00E55C04">
          <w:rPr>
            <w:rStyle w:val="Hyperlink"/>
            <w:rFonts w:ascii="Times New Roman" w:hAnsi="Times New Roman" w:cs="Times New Roman"/>
            <w:sz w:val="26"/>
            <w:szCs w:val="26"/>
          </w:rPr>
          <w:t>http://www.nerc.com/pa/Stand/Documents/Appendix_3A_StandardsProcessesManual.pdf</w:t>
        </w:r>
      </w:hyperlink>
      <w:r w:rsidRPr="00E55C04">
        <w:rPr>
          <w:rFonts w:ascii="Times New Roman" w:hAnsi="Times New Roman" w:cs="Times New Roman"/>
          <w:sz w:val="26"/>
          <w:szCs w:val="26"/>
        </w:rPr>
        <w:t>.</w:t>
      </w:r>
    </w:p>
  </w:footnote>
  <w:footnote w:id="11">
    <w:p w:rsidR="003E4DCF" w:rsidRPr="003E4DCF" w14:paraId="50DDE706" w14:textId="6F3BC282">
      <w:pPr>
        <w:pStyle w:val="FootnoteText"/>
        <w:rPr>
          <w:rFonts w:ascii="Times New Roman" w:hAnsi="Times New Roman" w:cs="Times New Roman"/>
          <w:sz w:val="26"/>
          <w:szCs w:val="26"/>
        </w:rPr>
      </w:pPr>
      <w:r w:rsidRPr="003E4DCF">
        <w:rPr>
          <w:rStyle w:val="FootnoteReference"/>
          <w:rFonts w:ascii="Times New Roman" w:hAnsi="Times New Roman" w:cs="Times New Roman"/>
          <w:sz w:val="26"/>
          <w:szCs w:val="26"/>
        </w:rPr>
        <w:footnoteRef/>
      </w:r>
      <w:r w:rsidRPr="003E4DCF">
        <w:rPr>
          <w:rFonts w:ascii="Times New Roman" w:hAnsi="Times New Roman" w:cs="Times New Roman"/>
          <w:sz w:val="26"/>
          <w:szCs w:val="26"/>
        </w:rPr>
        <w:t xml:space="preserve"> </w:t>
      </w:r>
      <w:r w:rsidR="0041356B">
        <w:rPr>
          <w:rFonts w:ascii="Times New Roman" w:hAnsi="Times New Roman" w:cs="Times New Roman"/>
          <w:sz w:val="26"/>
          <w:szCs w:val="26"/>
        </w:rPr>
        <w:t>91</w:t>
      </w:r>
      <w:r w:rsidRPr="003E4DCF">
        <w:rPr>
          <w:rFonts w:ascii="Times New Roman" w:hAnsi="Times New Roman" w:cs="Times New Roman"/>
          <w:sz w:val="26"/>
          <w:szCs w:val="26"/>
        </w:rPr>
        <w:t xml:space="preserve"> FR </w:t>
      </w:r>
      <w:r w:rsidR="00FB0B80">
        <w:rPr>
          <w:rFonts w:ascii="Times New Roman" w:hAnsi="Times New Roman" w:cs="Times New Roman"/>
          <w:sz w:val="26"/>
          <w:szCs w:val="26"/>
        </w:rPr>
        <w:t>8</w:t>
      </w:r>
      <w:r w:rsidR="005322D2">
        <w:rPr>
          <w:rFonts w:ascii="Times New Roman" w:hAnsi="Times New Roman" w:cs="Times New Roman"/>
          <w:sz w:val="26"/>
          <w:szCs w:val="26"/>
        </w:rPr>
        <w:t>864</w:t>
      </w:r>
      <w:r w:rsidR="00AD7B8A">
        <w:rPr>
          <w:rFonts w:ascii="Times New Roman" w:hAnsi="Times New Roman" w:cs="Times New Roman"/>
          <w:sz w:val="26"/>
          <w:szCs w:val="26"/>
        </w:rPr>
        <w:t xml:space="preserve">. </w:t>
      </w:r>
    </w:p>
  </w:footnote>
  <w:footnote w:id="12">
    <w:p w:rsidR="003E4DCF" w:rsidRPr="003E4DCF" w14:paraId="0AB475CC" w14:textId="43949899">
      <w:pPr>
        <w:pStyle w:val="FootnoteText"/>
        <w:rPr>
          <w:rFonts w:ascii="Times New Roman" w:hAnsi="Times New Roman" w:cs="Times New Roman"/>
        </w:rPr>
      </w:pPr>
      <w:r w:rsidRPr="003E4DCF">
        <w:rPr>
          <w:rStyle w:val="FootnoteReference"/>
          <w:rFonts w:ascii="Times New Roman" w:hAnsi="Times New Roman" w:cs="Times New Roman"/>
          <w:sz w:val="26"/>
          <w:szCs w:val="26"/>
        </w:rPr>
        <w:footnoteRef/>
      </w:r>
      <w:r w:rsidRPr="003E4DCF">
        <w:rPr>
          <w:rFonts w:ascii="Times New Roman" w:hAnsi="Times New Roman" w:cs="Times New Roman"/>
          <w:sz w:val="26"/>
          <w:szCs w:val="26"/>
        </w:rPr>
        <w:t xml:space="preserve"> </w:t>
      </w:r>
      <w:r w:rsidR="006403AE">
        <w:rPr>
          <w:rFonts w:ascii="Times New Roman" w:hAnsi="Times New Roman" w:cs="Times New Roman"/>
          <w:sz w:val="26"/>
          <w:szCs w:val="26"/>
        </w:rPr>
        <w:t>91</w:t>
      </w:r>
      <w:r w:rsidRPr="003E4DCF">
        <w:rPr>
          <w:rFonts w:ascii="Times New Roman" w:hAnsi="Times New Roman" w:cs="Times New Roman"/>
          <w:sz w:val="26"/>
          <w:szCs w:val="26"/>
        </w:rPr>
        <w:t xml:space="preserve"> FR</w:t>
      </w:r>
      <w:r w:rsidR="00AD7B8A">
        <w:rPr>
          <w:rFonts w:ascii="Times New Roman" w:hAnsi="Times New Roman" w:cs="Times New Roman"/>
          <w:sz w:val="26"/>
          <w:szCs w:val="26"/>
        </w:rPr>
        <w:t xml:space="preserve"> 65538.</w:t>
      </w:r>
    </w:p>
  </w:footnote>
  <w:footnote w:id="13">
    <w:p w:rsidR="006B1BB0" w:rsidRPr="00E55C04" w14:paraId="07DB95BD" w14:textId="33C9EB4C">
      <w:pPr>
        <w:pStyle w:val="FootnoteText"/>
        <w:rPr>
          <w:rFonts w:ascii="Times New Roman" w:hAnsi="Times New Roman" w:cs="Times New Roman"/>
          <w:sz w:val="6"/>
          <w:szCs w:val="6"/>
        </w:rPr>
      </w:pPr>
      <w:r w:rsidRPr="00E55C04">
        <w:rPr>
          <w:rStyle w:val="FootnoteReference"/>
          <w:rFonts w:ascii="Times New Roman" w:hAnsi="Times New Roman" w:cs="Times New Roman"/>
          <w:sz w:val="6"/>
          <w:szCs w:val="6"/>
        </w:rPr>
        <w:footnoteRef/>
      </w:r>
      <w:r w:rsidRPr="00E55C04">
        <w:rPr>
          <w:rFonts w:ascii="Times New Roman" w:hAnsi="Times New Roman" w:cs="Times New Roman"/>
          <w:sz w:val="6"/>
          <w:szCs w:val="6"/>
        </w:rPr>
        <w:t xml:space="preserve"> NERC’s Rule of Procedure Section 1502, Paragraph 2.</w:t>
      </w:r>
    </w:p>
  </w:footnote>
  <w:footnote w:id="14">
    <w:p w:rsidR="00D46A44" w:rsidRPr="005322D2" w:rsidP="00D46A44" w14:paraId="0A563B2B" w14:textId="77777777">
      <w:pPr>
        <w:pStyle w:val="FootnoteText"/>
        <w:rPr>
          <w:rFonts w:ascii="Times New Roman" w:hAnsi="Times New Roman" w:cs="Times New Roman"/>
          <w:sz w:val="26"/>
          <w:szCs w:val="26"/>
        </w:rPr>
      </w:pPr>
      <w:r w:rsidRPr="005322D2">
        <w:rPr>
          <w:rStyle w:val="FootnoteReference"/>
          <w:rFonts w:ascii="Times New Roman" w:hAnsi="Times New Roman" w:cs="Times New Roman"/>
          <w:sz w:val="26"/>
          <w:szCs w:val="26"/>
        </w:rPr>
        <w:footnoteRef/>
      </w:r>
      <w:r w:rsidRPr="005322D2">
        <w:rPr>
          <w:rFonts w:ascii="Times New Roman" w:hAnsi="Times New Roman" w:cs="Times New Roman"/>
          <w:sz w:val="26"/>
          <w:szCs w:val="26"/>
        </w:rPr>
        <w:t xml:space="preserve"> The “Number of Entity” data is compiled from the December 3, 2025, edition of the NERC Compliance Registry.  </w:t>
      </w:r>
    </w:p>
  </w:footnote>
  <w:footnote w:id="15">
    <w:p w:rsidR="00D46A44" w:rsidRPr="005322D2" w:rsidP="00D46A44" w14:paraId="29288E8E" w14:textId="36AEF289">
      <w:pPr>
        <w:pStyle w:val="FootnoteText"/>
        <w:rPr>
          <w:rFonts w:ascii="Times New Roman" w:hAnsi="Times New Roman" w:cs="Times New Roman"/>
          <w:sz w:val="26"/>
          <w:szCs w:val="26"/>
        </w:rPr>
      </w:pPr>
      <w:r w:rsidRPr="005322D2">
        <w:rPr>
          <w:rStyle w:val="FootnoteReference"/>
          <w:rFonts w:ascii="Times New Roman" w:hAnsi="Times New Roman" w:cs="Times New Roman"/>
          <w:sz w:val="26"/>
          <w:szCs w:val="26"/>
        </w:rPr>
        <w:footnoteRef/>
      </w:r>
      <w:r w:rsidRPr="005322D2">
        <w:rPr>
          <w:rFonts w:ascii="Times New Roman" w:hAnsi="Times New Roman" w:cs="Times New Roman"/>
          <w:sz w:val="26"/>
          <w:szCs w:val="26"/>
        </w:rPr>
        <w:t xml:space="preserve"> The estimated hourly cost (salary plus benefits) is a combination of the following categories from the BLS website, http://www.bls.gov/oes/current/naics2_22.htm:  75% of the average of an Electrical Engineer (17-2071) $71.19/hr., x .75 = 53.3925 ($53.39-rounded) ($53.39/hour); and 25% of an Information and Record Clerk (43-4199) $40.51/hr., $40.51 x .25 = 10.1275 ($10.13 rounded) ($10.13/hour), for a total ($53.39+$10.13 = </w:t>
      </w:r>
      <w:r w:rsidRPr="005322D2">
        <w:rPr>
          <w:rFonts w:ascii="Times New Roman" w:hAnsi="Times New Roman" w:cs="Times New Roman"/>
          <w:bCs/>
          <w:sz w:val="26"/>
          <w:szCs w:val="26"/>
        </w:rPr>
        <w:t>$63.52/hour</w:t>
      </w:r>
      <w:r w:rsidRPr="005322D2">
        <w:rPr>
          <w:rFonts w:ascii="Times New Roman" w:hAnsi="Times New Roman" w:cs="Times New Roman"/>
          <w:sz w:val="26"/>
          <w:szCs w:val="26"/>
        </w:rPr>
        <w:t xml:space="preserve">). </w:t>
      </w:r>
    </w:p>
  </w:footnote>
  <w:footnote w:id="16">
    <w:p w:rsidR="00D46A44" w:rsidRPr="005322D2" w:rsidP="00D46A44" w14:paraId="13F19E54" w14:textId="77777777">
      <w:pPr>
        <w:pStyle w:val="FootnoteText"/>
        <w:rPr>
          <w:rFonts w:ascii="Times New Roman" w:hAnsi="Times New Roman" w:cs="Times New Roman"/>
          <w:sz w:val="26"/>
          <w:szCs w:val="26"/>
        </w:rPr>
      </w:pPr>
      <w:r w:rsidRPr="005322D2">
        <w:rPr>
          <w:rStyle w:val="FootnoteReference"/>
          <w:rFonts w:ascii="Times New Roman" w:hAnsi="Times New Roman" w:cs="Times New Roman"/>
          <w:sz w:val="26"/>
          <w:szCs w:val="26"/>
        </w:rPr>
        <w:footnoteRef/>
      </w:r>
      <w:r w:rsidRPr="005322D2">
        <w:rPr>
          <w:rFonts w:ascii="Times New Roman" w:hAnsi="Times New Roman" w:cs="Times New Roman"/>
          <w:sz w:val="26"/>
          <w:szCs w:val="26"/>
        </w:rPr>
        <w:t xml:space="preserve"> For this collection the generator operators (GOP) will include category 1 entities (1,023 entities)</w:t>
      </w:r>
      <w:r w:rsidRPr="005322D2">
        <w:rPr>
          <w:rFonts w:ascii="Times New Roman" w:hAnsi="Times New Roman" w:cs="Times New Roman"/>
          <w:sz w:val="26"/>
          <w:szCs w:val="26"/>
        </w:rPr>
        <w:t xml:space="preserve"> </w:t>
      </w:r>
      <w:r w:rsidRPr="005322D2">
        <w:rPr>
          <w:rFonts w:ascii="Times New Roman" w:hAnsi="Times New Roman" w:cs="Times New Roman"/>
          <w:sz w:val="26"/>
          <w:szCs w:val="26"/>
        </w:rPr>
        <w:t xml:space="preserve">from the December 3, 2025, NERC Compliance Registry; and NERC’s estimate to Commission staff in August 2025 of category 2 generator operators registered entities in the United States (310 entities) for a total of (1,023 + 310) = 1,333.  The estimate for category 2 generator operator entities is subject to change according to NERC due to:  (1) facility cancellations or facilities with an expected commercial operation date delayed past May 15, 2026; (2) identification of type 1 and type 2 wind facilities that do not qualify as category 2 resources; (3) identification of facilities as category 1 resources; and (4) facilities can be inaccurately reported and subsequently removed from the list.  NERC October 2025 Work Plan Update at 2 n.7. </w:t>
      </w:r>
    </w:p>
  </w:footnote>
  <w:footnote w:id="17">
    <w:p w:rsidR="00FB48E9" w:rsidRPr="00FB48E9" w:rsidP="00FB48E9" w14:paraId="21E271FF" w14:textId="7FCF6A96">
      <w:pPr>
        <w:pStyle w:val="FootnoteText"/>
        <w:rPr>
          <w:rFonts w:ascii="Times New Roman" w:hAnsi="Times New Roman" w:cs="Times New Roman"/>
          <w:sz w:val="26"/>
          <w:szCs w:val="26"/>
        </w:rPr>
      </w:pPr>
      <w:r w:rsidRPr="00FB48E9">
        <w:rPr>
          <w:rFonts w:ascii="Times New Roman" w:hAnsi="Times New Roman" w:cs="Times New Roman"/>
          <w:sz w:val="26"/>
          <w:szCs w:val="26"/>
          <w:vertAlign w:val="superscript"/>
        </w:rPr>
        <w:footnoteRef/>
      </w:r>
      <w:r w:rsidRPr="00FB48E9">
        <w:rPr>
          <w:rFonts w:ascii="Times New Roman" w:hAnsi="Times New Roman" w:cs="Times New Roman"/>
          <w:sz w:val="26"/>
          <w:szCs w:val="26"/>
          <w:vertAlign w:val="superscript"/>
        </w:rPr>
        <w:t xml:space="preserve"> </w:t>
      </w:r>
      <w:r w:rsidRPr="00FB48E9">
        <w:rPr>
          <w:rFonts w:ascii="Times New Roman" w:hAnsi="Times New Roman" w:cs="Times New Roman"/>
          <w:sz w:val="26"/>
          <w:szCs w:val="26"/>
        </w:rPr>
        <w:t>The estimate uses the FERC’s FY 202</w:t>
      </w:r>
      <w:r w:rsidR="005322D2">
        <w:rPr>
          <w:rFonts w:ascii="Times New Roman" w:hAnsi="Times New Roman" w:cs="Times New Roman"/>
          <w:sz w:val="26"/>
          <w:szCs w:val="26"/>
        </w:rPr>
        <w:t>6</w:t>
      </w:r>
      <w:r w:rsidRPr="00FB48E9">
        <w:rPr>
          <w:rFonts w:ascii="Times New Roman" w:hAnsi="Times New Roman" w:cs="Times New Roman"/>
          <w:sz w:val="26"/>
          <w:szCs w:val="26"/>
        </w:rPr>
        <w:t xml:space="preserve"> average annual salary plus benefits of one FERC FTE (full-time equivalent [$2</w:t>
      </w:r>
      <w:r w:rsidR="005322D2">
        <w:rPr>
          <w:rFonts w:ascii="Times New Roman" w:hAnsi="Times New Roman" w:cs="Times New Roman"/>
          <w:sz w:val="26"/>
          <w:szCs w:val="26"/>
        </w:rPr>
        <w:t>13</w:t>
      </w:r>
      <w:r w:rsidRPr="00FB48E9">
        <w:rPr>
          <w:rFonts w:ascii="Times New Roman" w:hAnsi="Times New Roman" w:cs="Times New Roman"/>
          <w:sz w:val="26"/>
          <w:szCs w:val="26"/>
        </w:rPr>
        <w:t>,</w:t>
      </w:r>
      <w:r w:rsidR="005322D2">
        <w:rPr>
          <w:rFonts w:ascii="Times New Roman" w:hAnsi="Times New Roman" w:cs="Times New Roman"/>
          <w:sz w:val="26"/>
          <w:szCs w:val="26"/>
        </w:rPr>
        <w:t>003</w:t>
      </w:r>
      <w:r w:rsidRPr="00FB48E9">
        <w:rPr>
          <w:rFonts w:ascii="Times New Roman" w:hAnsi="Times New Roman" w:cs="Times New Roman"/>
          <w:sz w:val="26"/>
          <w:szCs w:val="26"/>
        </w:rPr>
        <w:t xml:space="preserve"> per year or $10</w:t>
      </w:r>
      <w:r w:rsidR="005322D2">
        <w:rPr>
          <w:rFonts w:ascii="Times New Roman" w:hAnsi="Times New Roman" w:cs="Times New Roman"/>
          <w:sz w:val="26"/>
          <w:szCs w:val="26"/>
        </w:rPr>
        <w:t>2</w:t>
      </w:r>
      <w:r w:rsidRPr="00FB48E9">
        <w:rPr>
          <w:rFonts w:ascii="Times New Roman" w:hAnsi="Times New Roman" w:cs="Times New Roman"/>
          <w:sz w:val="26"/>
          <w:szCs w:val="26"/>
        </w:rPr>
        <w:t xml:space="preserve">.00 per hour]).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17CE" w14:paraId="5E745EE0" w14:textId="7FD0916F">
    <w:pPr>
      <w:pStyle w:val="Header"/>
      <w:rPr>
        <w:rFonts w:ascii="Times New Roman" w:hAnsi="Times New Roman" w:cs="Times New Roman"/>
        <w:sz w:val="26"/>
        <w:szCs w:val="26"/>
      </w:rPr>
    </w:pPr>
    <w:r w:rsidRPr="00131F7E">
      <w:rPr>
        <w:rFonts w:ascii="Times New Roman" w:hAnsi="Times New Roman" w:cs="Times New Roman"/>
        <w:sz w:val="26"/>
        <w:szCs w:val="26"/>
      </w:rPr>
      <w:t>FERC-725Z (OMB Control No.: 1902-0276)</w:t>
    </w:r>
    <w:r>
      <w:rPr>
        <w:rFonts w:ascii="Times New Roman" w:hAnsi="Times New Roman" w:cs="Times New Roman"/>
        <w:sz w:val="26"/>
        <w:szCs w:val="26"/>
      </w:rPr>
      <w:t xml:space="preserve"> </w:t>
    </w:r>
    <w:r w:rsidRPr="2A2D9407">
      <w:rPr>
        <w:rFonts w:ascii="Times New Roman" w:hAnsi="Times New Roman" w:cs="Times New Roman"/>
        <w:sz w:val="26"/>
        <w:szCs w:val="26"/>
      </w:rPr>
      <w:t xml:space="preserve">Docket </w:t>
    </w:r>
    <w:r>
      <w:rPr>
        <w:rFonts w:ascii="Times New Roman" w:hAnsi="Times New Roman" w:cs="Times New Roman"/>
        <w:sz w:val="26"/>
        <w:szCs w:val="26"/>
      </w:rPr>
      <w:t>No.</w:t>
    </w:r>
    <w:r w:rsidRPr="2A2D9407">
      <w:rPr>
        <w:rFonts w:ascii="Times New Roman" w:hAnsi="Times New Roman" w:cs="Times New Roman"/>
        <w:sz w:val="26"/>
        <w:szCs w:val="26"/>
      </w:rPr>
      <w:t xml:space="preserve"> RD2</w:t>
    </w:r>
    <w:r w:rsidR="00DC2CD8">
      <w:rPr>
        <w:rFonts w:ascii="Times New Roman" w:hAnsi="Times New Roman" w:cs="Times New Roman"/>
        <w:sz w:val="26"/>
        <w:szCs w:val="26"/>
      </w:rPr>
      <w:t>6</w:t>
    </w:r>
    <w:r w:rsidR="0023089B">
      <w:rPr>
        <w:rFonts w:ascii="Times New Roman" w:hAnsi="Times New Roman" w:cs="Times New Roman"/>
        <w:sz w:val="26"/>
        <w:szCs w:val="26"/>
      </w:rPr>
      <w:t>-</w:t>
    </w:r>
    <w:r w:rsidR="00DC2CD8">
      <w:rPr>
        <w:rFonts w:ascii="Times New Roman" w:hAnsi="Times New Roman" w:cs="Times New Roman"/>
        <w:sz w:val="26"/>
        <w:szCs w:val="26"/>
      </w:rPr>
      <w:t>1</w:t>
    </w:r>
    <w:r w:rsidR="0023089B">
      <w:rPr>
        <w:rFonts w:ascii="Times New Roman" w:hAnsi="Times New Roman" w:cs="Times New Roman"/>
        <w:sz w:val="26"/>
        <w:szCs w:val="26"/>
      </w:rPr>
      <w:t>-000</w:t>
    </w:r>
  </w:p>
  <w:p w:rsidR="005775E3" w:rsidRPr="00131F7E" w14:paraId="75F52608" w14:textId="7F683C91">
    <w:pPr>
      <w:pStyle w:val="Header"/>
      <w:rPr>
        <w:rFonts w:ascii="Times New Roman" w:hAnsi="Times New Roman" w:cs="Times New Roman"/>
        <w:sz w:val="26"/>
        <w:szCs w:val="26"/>
      </w:rPr>
    </w:pPr>
    <w:r>
      <w:rPr>
        <w:rFonts w:ascii="Times New Roman" w:hAnsi="Times New Roman" w:cs="Times New Roman"/>
        <w:sz w:val="26"/>
        <w:szCs w:val="26"/>
      </w:rPr>
      <w:t xml:space="preserve">Order </w:t>
    </w:r>
    <w:r>
      <w:rPr>
        <w:rFonts w:ascii="Times New Roman" w:hAnsi="Times New Roman"/>
        <w:sz w:val="24"/>
        <w:szCs w:val="24"/>
      </w:rPr>
      <w:t>Approving IBRs and Generators Modeling Reliability Standards published on</w:t>
    </w:r>
    <w:r w:rsidR="007C638A">
      <w:rPr>
        <w:rFonts w:ascii="Times New Roman" w:hAnsi="Times New Roman" w:cs="Times New Roman"/>
        <w:sz w:val="26"/>
        <w:szCs w:val="26"/>
      </w:rPr>
      <w:t xml:space="preserve"> </w:t>
    </w:r>
    <w:r w:rsidR="00DC2CD8">
      <w:rPr>
        <w:rFonts w:ascii="Times New Roman" w:hAnsi="Times New Roman" w:cs="Times New Roman"/>
        <w:sz w:val="26"/>
        <w:szCs w:val="26"/>
      </w:rPr>
      <w:t>February</w:t>
    </w:r>
    <w:r w:rsidR="007C638A">
      <w:rPr>
        <w:rFonts w:ascii="Times New Roman" w:hAnsi="Times New Roman" w:cs="Times New Roman"/>
        <w:sz w:val="26"/>
        <w:szCs w:val="26"/>
      </w:rPr>
      <w:t xml:space="preserve"> </w:t>
    </w:r>
    <w:r w:rsidR="00DE1652">
      <w:rPr>
        <w:rFonts w:ascii="Times New Roman" w:hAnsi="Times New Roman" w:cs="Times New Roman"/>
        <w:sz w:val="26"/>
        <w:szCs w:val="26"/>
      </w:rPr>
      <w:t>2</w:t>
    </w:r>
    <w:r w:rsidR="00DC2CD8">
      <w:rPr>
        <w:rFonts w:ascii="Times New Roman" w:hAnsi="Times New Roman" w:cs="Times New Roman"/>
        <w:sz w:val="26"/>
        <w:szCs w:val="26"/>
      </w:rPr>
      <w:t>4</w:t>
    </w:r>
    <w:r w:rsidR="007C638A">
      <w:rPr>
        <w:rFonts w:ascii="Times New Roman" w:hAnsi="Times New Roman" w:cs="Times New Roman"/>
        <w:sz w:val="26"/>
        <w:szCs w:val="26"/>
      </w:rPr>
      <w:t>, 202</w:t>
    </w:r>
    <w:r w:rsidR="00DC2CD8">
      <w:rPr>
        <w:rFonts w:ascii="Times New Roman" w:hAnsi="Times New Roman" w:cs="Times New Roman"/>
        <w:sz w:val="26"/>
        <w:szCs w:val="26"/>
      </w:rPr>
      <w:t>6</w:t>
    </w:r>
  </w:p>
  <w:p w:rsidR="00410973" w14:paraId="5ABA97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2E018E"/>
    <w:multiLevelType w:val="hybridMultilevel"/>
    <w:tmpl w:val="A6E2A4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EB112F"/>
    <w:multiLevelType w:val="hybridMultilevel"/>
    <w:tmpl w:val="57D6463E"/>
    <w:lvl w:ilvl="0">
      <w:start w:val="5"/>
      <w:numFmt w:val="bullet"/>
      <w:lvlText w:val="-"/>
      <w:lvlJc w:val="left"/>
      <w:pPr>
        <w:ind w:left="720" w:hanging="360"/>
      </w:pPr>
      <w:rPr>
        <w:rFonts w:ascii="Times New Roman" w:hAnsi="Times New Roman"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2A96117"/>
    <w:multiLevelType w:val="hybridMultilevel"/>
    <w:tmpl w:val="33D4B08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2DF0DEA"/>
    <w:multiLevelType w:val="hybridMultilevel"/>
    <w:tmpl w:val="19008C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5EF516B"/>
    <w:multiLevelType w:val="hybridMultilevel"/>
    <w:tmpl w:val="F90CCAA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69A72F7"/>
    <w:multiLevelType w:val="hybridMultilevel"/>
    <w:tmpl w:val="5596AB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8B77FA5"/>
    <w:multiLevelType w:val="hybridMultilevel"/>
    <w:tmpl w:val="B4B4088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BCD487E"/>
    <w:multiLevelType w:val="hybridMultilevel"/>
    <w:tmpl w:val="C0C838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FCC1895"/>
    <w:multiLevelType w:val="hybridMultilevel"/>
    <w:tmpl w:val="2F1C9DD0"/>
    <w:lvl w:ilvl="0">
      <w:start w:val="1"/>
      <w:numFmt w:val="decimal"/>
      <w:lvlText w:val="%1."/>
      <w:lvlJc w:val="left"/>
      <w:pPr>
        <w:ind w:left="36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464368F"/>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A191363"/>
    <w:multiLevelType w:val="hybridMultilevel"/>
    <w:tmpl w:val="6756C4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E9B10C4"/>
    <w:multiLevelType w:val="hybridMultilevel"/>
    <w:tmpl w:val="A442FCA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6A200EA"/>
    <w:multiLevelType w:val="hybridMultilevel"/>
    <w:tmpl w:val="75326C6A"/>
    <w:lvl w:ilvl="0">
      <w:start w:val="17"/>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D3B09D3"/>
    <w:multiLevelType w:val="hybridMultilevel"/>
    <w:tmpl w:val="87846434"/>
    <w:lvl w:ilvl="0">
      <w:start w:val="1"/>
      <w:numFmt w:val="decimal"/>
      <w:pStyle w:val="FERCparanumber"/>
      <w:lvlText w:val="%1."/>
      <w:lvlJc w:val="left"/>
      <w:pPr>
        <w:tabs>
          <w:tab w:val="num" w:pos="720"/>
        </w:tabs>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19482257">
    <w:abstractNumId w:val="9"/>
  </w:num>
  <w:num w:numId="2" w16cid:durableId="579292004">
    <w:abstractNumId w:val="8"/>
  </w:num>
  <w:num w:numId="3" w16cid:durableId="158421571">
    <w:abstractNumId w:val="5"/>
  </w:num>
  <w:num w:numId="4" w16cid:durableId="1468934840">
    <w:abstractNumId w:val="6"/>
  </w:num>
  <w:num w:numId="5" w16cid:durableId="86657141">
    <w:abstractNumId w:val="4"/>
  </w:num>
  <w:num w:numId="6" w16cid:durableId="1533684757">
    <w:abstractNumId w:val="2"/>
  </w:num>
  <w:num w:numId="7" w16cid:durableId="501698933">
    <w:abstractNumId w:val="1"/>
  </w:num>
  <w:num w:numId="8" w16cid:durableId="1491602727">
    <w:abstractNumId w:val="7"/>
  </w:num>
  <w:num w:numId="9" w16cid:durableId="1208955738">
    <w:abstractNumId w:val="12"/>
  </w:num>
  <w:num w:numId="10" w16cid:durableId="597062101">
    <w:abstractNumId w:val="0"/>
  </w:num>
  <w:num w:numId="11" w16cid:durableId="1399942682">
    <w:abstractNumId w:val="3"/>
  </w:num>
  <w:num w:numId="12" w16cid:durableId="2050956491">
    <w:abstractNumId w:val="10"/>
  </w:num>
  <w:num w:numId="13" w16cid:durableId="181752164">
    <w:abstractNumId w:val="11"/>
  </w:num>
  <w:num w:numId="14" w16cid:durableId="5599477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052"/>
    <w:rsid w:val="00003CBA"/>
    <w:rsid w:val="00003D23"/>
    <w:rsid w:val="00006D40"/>
    <w:rsid w:val="00010E64"/>
    <w:rsid w:val="00015273"/>
    <w:rsid w:val="00017EC6"/>
    <w:rsid w:val="00025933"/>
    <w:rsid w:val="00025DA7"/>
    <w:rsid w:val="00031378"/>
    <w:rsid w:val="000324A0"/>
    <w:rsid w:val="000342E1"/>
    <w:rsid w:val="000372DF"/>
    <w:rsid w:val="0003751F"/>
    <w:rsid w:val="00041C06"/>
    <w:rsid w:val="0004205E"/>
    <w:rsid w:val="000423B6"/>
    <w:rsid w:val="00044F53"/>
    <w:rsid w:val="0004692A"/>
    <w:rsid w:val="0004696C"/>
    <w:rsid w:val="00052DD3"/>
    <w:rsid w:val="000613F3"/>
    <w:rsid w:val="00061C67"/>
    <w:rsid w:val="00065B39"/>
    <w:rsid w:val="000709DB"/>
    <w:rsid w:val="000774A5"/>
    <w:rsid w:val="000810E8"/>
    <w:rsid w:val="00084B0E"/>
    <w:rsid w:val="00084D64"/>
    <w:rsid w:val="000859F1"/>
    <w:rsid w:val="0009215A"/>
    <w:rsid w:val="00094A29"/>
    <w:rsid w:val="000A591A"/>
    <w:rsid w:val="000B5CCF"/>
    <w:rsid w:val="000C1DD7"/>
    <w:rsid w:val="000C536D"/>
    <w:rsid w:val="000E00AB"/>
    <w:rsid w:val="000E0616"/>
    <w:rsid w:val="000E7F11"/>
    <w:rsid w:val="000F2AD2"/>
    <w:rsid w:val="000F3293"/>
    <w:rsid w:val="000F35F4"/>
    <w:rsid w:val="00106429"/>
    <w:rsid w:val="00107FE3"/>
    <w:rsid w:val="0011785F"/>
    <w:rsid w:val="0012294F"/>
    <w:rsid w:val="00125AD0"/>
    <w:rsid w:val="00131018"/>
    <w:rsid w:val="00131F7E"/>
    <w:rsid w:val="001367D2"/>
    <w:rsid w:val="001406E8"/>
    <w:rsid w:val="001456E0"/>
    <w:rsid w:val="001458DD"/>
    <w:rsid w:val="001471C3"/>
    <w:rsid w:val="00151D52"/>
    <w:rsid w:val="00164C42"/>
    <w:rsid w:val="0016529D"/>
    <w:rsid w:val="001655BC"/>
    <w:rsid w:val="0016562F"/>
    <w:rsid w:val="00166DF1"/>
    <w:rsid w:val="00170E7A"/>
    <w:rsid w:val="00172543"/>
    <w:rsid w:val="0017343B"/>
    <w:rsid w:val="00173CA3"/>
    <w:rsid w:val="001769E3"/>
    <w:rsid w:val="00180C80"/>
    <w:rsid w:val="0018168B"/>
    <w:rsid w:val="00181A30"/>
    <w:rsid w:val="001828DB"/>
    <w:rsid w:val="00186E3E"/>
    <w:rsid w:val="0019022B"/>
    <w:rsid w:val="00193DD3"/>
    <w:rsid w:val="001958C9"/>
    <w:rsid w:val="001A215A"/>
    <w:rsid w:val="001A45E9"/>
    <w:rsid w:val="001B5C04"/>
    <w:rsid w:val="001B5FA6"/>
    <w:rsid w:val="001C4DBD"/>
    <w:rsid w:val="001D013F"/>
    <w:rsid w:val="001D05F1"/>
    <w:rsid w:val="001D153D"/>
    <w:rsid w:val="001D1A89"/>
    <w:rsid w:val="001D5491"/>
    <w:rsid w:val="001D5B22"/>
    <w:rsid w:val="001D7440"/>
    <w:rsid w:val="001E1029"/>
    <w:rsid w:val="001E2C9E"/>
    <w:rsid w:val="001F01E0"/>
    <w:rsid w:val="001F2E34"/>
    <w:rsid w:val="00200821"/>
    <w:rsid w:val="00202F6A"/>
    <w:rsid w:val="0021415A"/>
    <w:rsid w:val="00216041"/>
    <w:rsid w:val="002266EE"/>
    <w:rsid w:val="002277CE"/>
    <w:rsid w:val="00227FFA"/>
    <w:rsid w:val="0023089B"/>
    <w:rsid w:val="00234926"/>
    <w:rsid w:val="00235719"/>
    <w:rsid w:val="0025459C"/>
    <w:rsid w:val="00257D06"/>
    <w:rsid w:val="00257DDE"/>
    <w:rsid w:val="00260256"/>
    <w:rsid w:val="00261C9D"/>
    <w:rsid w:val="0026551F"/>
    <w:rsid w:val="002705B2"/>
    <w:rsid w:val="0027289A"/>
    <w:rsid w:val="00275A35"/>
    <w:rsid w:val="00276B64"/>
    <w:rsid w:val="00276BA7"/>
    <w:rsid w:val="00290B24"/>
    <w:rsid w:val="002915A0"/>
    <w:rsid w:val="00291831"/>
    <w:rsid w:val="002972AD"/>
    <w:rsid w:val="00297732"/>
    <w:rsid w:val="00297B3F"/>
    <w:rsid w:val="002A2CE4"/>
    <w:rsid w:val="002A3B2A"/>
    <w:rsid w:val="002A3F49"/>
    <w:rsid w:val="002A6A4A"/>
    <w:rsid w:val="002B46DD"/>
    <w:rsid w:val="002B46F0"/>
    <w:rsid w:val="002C014E"/>
    <w:rsid w:val="002D2DE3"/>
    <w:rsid w:val="002D32C0"/>
    <w:rsid w:val="002D4353"/>
    <w:rsid w:val="002E0454"/>
    <w:rsid w:val="002E33C0"/>
    <w:rsid w:val="002E66B1"/>
    <w:rsid w:val="002F0048"/>
    <w:rsid w:val="002F1221"/>
    <w:rsid w:val="002F5299"/>
    <w:rsid w:val="002F5BFC"/>
    <w:rsid w:val="00310012"/>
    <w:rsid w:val="00313836"/>
    <w:rsid w:val="003261F8"/>
    <w:rsid w:val="00331AD5"/>
    <w:rsid w:val="00332A67"/>
    <w:rsid w:val="0033778C"/>
    <w:rsid w:val="0034254D"/>
    <w:rsid w:val="003430FD"/>
    <w:rsid w:val="00343FC9"/>
    <w:rsid w:val="0034658D"/>
    <w:rsid w:val="003559B6"/>
    <w:rsid w:val="0036753C"/>
    <w:rsid w:val="003717AE"/>
    <w:rsid w:val="0037262F"/>
    <w:rsid w:val="00374037"/>
    <w:rsid w:val="00380F9E"/>
    <w:rsid w:val="0039121A"/>
    <w:rsid w:val="003923AA"/>
    <w:rsid w:val="003929CA"/>
    <w:rsid w:val="00393383"/>
    <w:rsid w:val="0039690F"/>
    <w:rsid w:val="00396A49"/>
    <w:rsid w:val="003B1BCD"/>
    <w:rsid w:val="003B35FB"/>
    <w:rsid w:val="003B3B91"/>
    <w:rsid w:val="003C129D"/>
    <w:rsid w:val="003C24E7"/>
    <w:rsid w:val="003C786B"/>
    <w:rsid w:val="003D155C"/>
    <w:rsid w:val="003D1BB9"/>
    <w:rsid w:val="003E4DCF"/>
    <w:rsid w:val="003E5E13"/>
    <w:rsid w:val="003E5EEF"/>
    <w:rsid w:val="003F332D"/>
    <w:rsid w:val="003F4EAD"/>
    <w:rsid w:val="003F5C55"/>
    <w:rsid w:val="00401CC6"/>
    <w:rsid w:val="00402E20"/>
    <w:rsid w:val="00407855"/>
    <w:rsid w:val="00410973"/>
    <w:rsid w:val="004109FB"/>
    <w:rsid w:val="00410F94"/>
    <w:rsid w:val="0041356B"/>
    <w:rsid w:val="0041366C"/>
    <w:rsid w:val="00414633"/>
    <w:rsid w:val="0041562E"/>
    <w:rsid w:val="0042296B"/>
    <w:rsid w:val="00422EFD"/>
    <w:rsid w:val="00423A8A"/>
    <w:rsid w:val="00423E90"/>
    <w:rsid w:val="00434F85"/>
    <w:rsid w:val="004358F1"/>
    <w:rsid w:val="00440794"/>
    <w:rsid w:val="00441D49"/>
    <w:rsid w:val="00443E4D"/>
    <w:rsid w:val="00446D30"/>
    <w:rsid w:val="00454AA3"/>
    <w:rsid w:val="00462A10"/>
    <w:rsid w:val="00470B5F"/>
    <w:rsid w:val="0047121F"/>
    <w:rsid w:val="00475E60"/>
    <w:rsid w:val="00480B05"/>
    <w:rsid w:val="00482045"/>
    <w:rsid w:val="00485AD4"/>
    <w:rsid w:val="00486FCB"/>
    <w:rsid w:val="0049221F"/>
    <w:rsid w:val="00493B48"/>
    <w:rsid w:val="00495CE4"/>
    <w:rsid w:val="004A13E6"/>
    <w:rsid w:val="004A37E5"/>
    <w:rsid w:val="004B039E"/>
    <w:rsid w:val="004B2BA6"/>
    <w:rsid w:val="004B5777"/>
    <w:rsid w:val="004B672D"/>
    <w:rsid w:val="004C3229"/>
    <w:rsid w:val="004C6FA2"/>
    <w:rsid w:val="004C7AB2"/>
    <w:rsid w:val="004D3662"/>
    <w:rsid w:val="004D6FB0"/>
    <w:rsid w:val="004E0AAC"/>
    <w:rsid w:val="004F0011"/>
    <w:rsid w:val="004F5910"/>
    <w:rsid w:val="00500ADC"/>
    <w:rsid w:val="00500F38"/>
    <w:rsid w:val="005030B2"/>
    <w:rsid w:val="0050760B"/>
    <w:rsid w:val="00512461"/>
    <w:rsid w:val="00514422"/>
    <w:rsid w:val="00520139"/>
    <w:rsid w:val="00521CDF"/>
    <w:rsid w:val="005220FB"/>
    <w:rsid w:val="00522DF5"/>
    <w:rsid w:val="00531D7B"/>
    <w:rsid w:val="005322D2"/>
    <w:rsid w:val="00533E0B"/>
    <w:rsid w:val="00534881"/>
    <w:rsid w:val="00535481"/>
    <w:rsid w:val="00540272"/>
    <w:rsid w:val="00541831"/>
    <w:rsid w:val="00544BB1"/>
    <w:rsid w:val="00547579"/>
    <w:rsid w:val="0055072C"/>
    <w:rsid w:val="005507BF"/>
    <w:rsid w:val="00552976"/>
    <w:rsid w:val="00552B4B"/>
    <w:rsid w:val="0055646B"/>
    <w:rsid w:val="0056018A"/>
    <w:rsid w:val="005615F6"/>
    <w:rsid w:val="0056736B"/>
    <w:rsid w:val="00572C67"/>
    <w:rsid w:val="005775E3"/>
    <w:rsid w:val="005823A1"/>
    <w:rsid w:val="005931D3"/>
    <w:rsid w:val="00595098"/>
    <w:rsid w:val="00595DF8"/>
    <w:rsid w:val="00597378"/>
    <w:rsid w:val="005A042C"/>
    <w:rsid w:val="005A0584"/>
    <w:rsid w:val="005A26A1"/>
    <w:rsid w:val="005A74FD"/>
    <w:rsid w:val="005B24EE"/>
    <w:rsid w:val="005B3BAD"/>
    <w:rsid w:val="005B5823"/>
    <w:rsid w:val="005B5C70"/>
    <w:rsid w:val="005C5BAD"/>
    <w:rsid w:val="005C6141"/>
    <w:rsid w:val="005D0749"/>
    <w:rsid w:val="005D1201"/>
    <w:rsid w:val="005D26BF"/>
    <w:rsid w:val="005E1D42"/>
    <w:rsid w:val="005E3062"/>
    <w:rsid w:val="005E3384"/>
    <w:rsid w:val="005E4E66"/>
    <w:rsid w:val="005E6851"/>
    <w:rsid w:val="005F16AD"/>
    <w:rsid w:val="005F1950"/>
    <w:rsid w:val="005F3C44"/>
    <w:rsid w:val="00600608"/>
    <w:rsid w:val="006017AA"/>
    <w:rsid w:val="006043CD"/>
    <w:rsid w:val="00604616"/>
    <w:rsid w:val="00605D47"/>
    <w:rsid w:val="00607D4B"/>
    <w:rsid w:val="0061198F"/>
    <w:rsid w:val="0061331A"/>
    <w:rsid w:val="006157EB"/>
    <w:rsid w:val="006163CA"/>
    <w:rsid w:val="0063050E"/>
    <w:rsid w:val="0063273B"/>
    <w:rsid w:val="00632A0A"/>
    <w:rsid w:val="00633026"/>
    <w:rsid w:val="0063598F"/>
    <w:rsid w:val="00637598"/>
    <w:rsid w:val="006403AE"/>
    <w:rsid w:val="00645C27"/>
    <w:rsid w:val="00646FDF"/>
    <w:rsid w:val="00647A64"/>
    <w:rsid w:val="00652064"/>
    <w:rsid w:val="006520D7"/>
    <w:rsid w:val="006520EB"/>
    <w:rsid w:val="00653144"/>
    <w:rsid w:val="00653D29"/>
    <w:rsid w:val="006612B1"/>
    <w:rsid w:val="006612EB"/>
    <w:rsid w:val="00661359"/>
    <w:rsid w:val="00665AC9"/>
    <w:rsid w:val="00666111"/>
    <w:rsid w:val="00667366"/>
    <w:rsid w:val="00670544"/>
    <w:rsid w:val="006731D3"/>
    <w:rsid w:val="0068059A"/>
    <w:rsid w:val="00680D17"/>
    <w:rsid w:val="00682FFA"/>
    <w:rsid w:val="0069063E"/>
    <w:rsid w:val="00693562"/>
    <w:rsid w:val="00695052"/>
    <w:rsid w:val="006A4975"/>
    <w:rsid w:val="006B1BB0"/>
    <w:rsid w:val="006C06C7"/>
    <w:rsid w:val="006C1D70"/>
    <w:rsid w:val="006C36FE"/>
    <w:rsid w:val="006C73EC"/>
    <w:rsid w:val="006C7A3F"/>
    <w:rsid w:val="006C7EA9"/>
    <w:rsid w:val="006D4A96"/>
    <w:rsid w:val="006E1455"/>
    <w:rsid w:val="006E260E"/>
    <w:rsid w:val="006E31B4"/>
    <w:rsid w:val="006E411F"/>
    <w:rsid w:val="006E7202"/>
    <w:rsid w:val="00702E4D"/>
    <w:rsid w:val="0071780D"/>
    <w:rsid w:val="00717D05"/>
    <w:rsid w:val="00732F0B"/>
    <w:rsid w:val="007366E8"/>
    <w:rsid w:val="00736A55"/>
    <w:rsid w:val="00741479"/>
    <w:rsid w:val="00745D0A"/>
    <w:rsid w:val="007501E6"/>
    <w:rsid w:val="0075069E"/>
    <w:rsid w:val="0075A336"/>
    <w:rsid w:val="007732AE"/>
    <w:rsid w:val="007749B6"/>
    <w:rsid w:val="007773F2"/>
    <w:rsid w:val="007778EE"/>
    <w:rsid w:val="00780A1C"/>
    <w:rsid w:val="00781278"/>
    <w:rsid w:val="00781A89"/>
    <w:rsid w:val="00785E9C"/>
    <w:rsid w:val="00786530"/>
    <w:rsid w:val="0078771E"/>
    <w:rsid w:val="0079060C"/>
    <w:rsid w:val="00791302"/>
    <w:rsid w:val="0079510F"/>
    <w:rsid w:val="007A2D8E"/>
    <w:rsid w:val="007A3197"/>
    <w:rsid w:val="007B3BA0"/>
    <w:rsid w:val="007C0DEB"/>
    <w:rsid w:val="007C5AD0"/>
    <w:rsid w:val="007C638A"/>
    <w:rsid w:val="007C7156"/>
    <w:rsid w:val="007D067C"/>
    <w:rsid w:val="007D3FEE"/>
    <w:rsid w:val="007D47AD"/>
    <w:rsid w:val="007D4839"/>
    <w:rsid w:val="007D56B1"/>
    <w:rsid w:val="007D6F51"/>
    <w:rsid w:val="007D7559"/>
    <w:rsid w:val="007D7754"/>
    <w:rsid w:val="007E6ECC"/>
    <w:rsid w:val="007E7628"/>
    <w:rsid w:val="007F19B6"/>
    <w:rsid w:val="008028D8"/>
    <w:rsid w:val="008069FD"/>
    <w:rsid w:val="00815482"/>
    <w:rsid w:val="0081615C"/>
    <w:rsid w:val="00823500"/>
    <w:rsid w:val="008311DA"/>
    <w:rsid w:val="00833E05"/>
    <w:rsid w:val="00837C96"/>
    <w:rsid w:val="00841C2B"/>
    <w:rsid w:val="008442A0"/>
    <w:rsid w:val="00847A90"/>
    <w:rsid w:val="008531D9"/>
    <w:rsid w:val="00854515"/>
    <w:rsid w:val="00855FC9"/>
    <w:rsid w:val="008614A3"/>
    <w:rsid w:val="0086631F"/>
    <w:rsid w:val="008735E7"/>
    <w:rsid w:val="0087525E"/>
    <w:rsid w:val="00876DC7"/>
    <w:rsid w:val="0088325C"/>
    <w:rsid w:val="008861C2"/>
    <w:rsid w:val="008913B6"/>
    <w:rsid w:val="00891DC3"/>
    <w:rsid w:val="00892CB6"/>
    <w:rsid w:val="008931E8"/>
    <w:rsid w:val="008939D5"/>
    <w:rsid w:val="0089611C"/>
    <w:rsid w:val="008A31C9"/>
    <w:rsid w:val="008A35C5"/>
    <w:rsid w:val="008B2AE8"/>
    <w:rsid w:val="008B4325"/>
    <w:rsid w:val="008C3CC9"/>
    <w:rsid w:val="008C6EDB"/>
    <w:rsid w:val="008D2264"/>
    <w:rsid w:val="008D3803"/>
    <w:rsid w:val="008D3FC8"/>
    <w:rsid w:val="008D5565"/>
    <w:rsid w:val="008D58AC"/>
    <w:rsid w:val="008E2051"/>
    <w:rsid w:val="008E3997"/>
    <w:rsid w:val="008E449E"/>
    <w:rsid w:val="008F1558"/>
    <w:rsid w:val="008F18D3"/>
    <w:rsid w:val="008F3530"/>
    <w:rsid w:val="008F4AB2"/>
    <w:rsid w:val="008F70EA"/>
    <w:rsid w:val="009011AF"/>
    <w:rsid w:val="00901557"/>
    <w:rsid w:val="00905080"/>
    <w:rsid w:val="0090527B"/>
    <w:rsid w:val="00905360"/>
    <w:rsid w:val="00906AD9"/>
    <w:rsid w:val="0091117A"/>
    <w:rsid w:val="00911A90"/>
    <w:rsid w:val="00914DCA"/>
    <w:rsid w:val="00920096"/>
    <w:rsid w:val="009217CE"/>
    <w:rsid w:val="009269F0"/>
    <w:rsid w:val="0092703A"/>
    <w:rsid w:val="0093087A"/>
    <w:rsid w:val="0094687B"/>
    <w:rsid w:val="0095194D"/>
    <w:rsid w:val="00952CDB"/>
    <w:rsid w:val="00954BD4"/>
    <w:rsid w:val="00960075"/>
    <w:rsid w:val="009630BF"/>
    <w:rsid w:val="0096572C"/>
    <w:rsid w:val="00976E64"/>
    <w:rsid w:val="0099013A"/>
    <w:rsid w:val="009904F2"/>
    <w:rsid w:val="00991AFF"/>
    <w:rsid w:val="00992C61"/>
    <w:rsid w:val="00993963"/>
    <w:rsid w:val="009A1707"/>
    <w:rsid w:val="009A3A68"/>
    <w:rsid w:val="009A6AB0"/>
    <w:rsid w:val="009A7746"/>
    <w:rsid w:val="009A7C6B"/>
    <w:rsid w:val="009B1270"/>
    <w:rsid w:val="009B4340"/>
    <w:rsid w:val="009B57C4"/>
    <w:rsid w:val="009B6733"/>
    <w:rsid w:val="009B6E77"/>
    <w:rsid w:val="009B7AF0"/>
    <w:rsid w:val="009C28B0"/>
    <w:rsid w:val="009D2FF4"/>
    <w:rsid w:val="009D3F62"/>
    <w:rsid w:val="009D4C32"/>
    <w:rsid w:val="009D53E5"/>
    <w:rsid w:val="009E17CE"/>
    <w:rsid w:val="009E3F35"/>
    <w:rsid w:val="009E52BB"/>
    <w:rsid w:val="009E603B"/>
    <w:rsid w:val="009F21B1"/>
    <w:rsid w:val="009F7C83"/>
    <w:rsid w:val="00A00302"/>
    <w:rsid w:val="00A0157E"/>
    <w:rsid w:val="00A067D7"/>
    <w:rsid w:val="00A075FE"/>
    <w:rsid w:val="00A12F2C"/>
    <w:rsid w:val="00A20379"/>
    <w:rsid w:val="00A23819"/>
    <w:rsid w:val="00A30C82"/>
    <w:rsid w:val="00A30C94"/>
    <w:rsid w:val="00A30CB9"/>
    <w:rsid w:val="00A3259B"/>
    <w:rsid w:val="00A33627"/>
    <w:rsid w:val="00A3391C"/>
    <w:rsid w:val="00A34062"/>
    <w:rsid w:val="00A37249"/>
    <w:rsid w:val="00A40476"/>
    <w:rsid w:val="00A42953"/>
    <w:rsid w:val="00A44DFC"/>
    <w:rsid w:val="00A51665"/>
    <w:rsid w:val="00A51E47"/>
    <w:rsid w:val="00A60B4B"/>
    <w:rsid w:val="00A6472D"/>
    <w:rsid w:val="00A661FE"/>
    <w:rsid w:val="00A72C54"/>
    <w:rsid w:val="00A736E5"/>
    <w:rsid w:val="00A75432"/>
    <w:rsid w:val="00A7652D"/>
    <w:rsid w:val="00A778BA"/>
    <w:rsid w:val="00A80035"/>
    <w:rsid w:val="00A8314B"/>
    <w:rsid w:val="00A9047A"/>
    <w:rsid w:val="00A90D99"/>
    <w:rsid w:val="00A9209D"/>
    <w:rsid w:val="00A9443A"/>
    <w:rsid w:val="00A96220"/>
    <w:rsid w:val="00A97DBB"/>
    <w:rsid w:val="00AA52F3"/>
    <w:rsid w:val="00AA5EAF"/>
    <w:rsid w:val="00AB4AEC"/>
    <w:rsid w:val="00AC5355"/>
    <w:rsid w:val="00AC7601"/>
    <w:rsid w:val="00AC7CFF"/>
    <w:rsid w:val="00AD069C"/>
    <w:rsid w:val="00AD17C5"/>
    <w:rsid w:val="00AD24BB"/>
    <w:rsid w:val="00AD2760"/>
    <w:rsid w:val="00AD7B8A"/>
    <w:rsid w:val="00AE2D32"/>
    <w:rsid w:val="00AE2E10"/>
    <w:rsid w:val="00AE4094"/>
    <w:rsid w:val="00AE77E9"/>
    <w:rsid w:val="00AF22D6"/>
    <w:rsid w:val="00AF3AB6"/>
    <w:rsid w:val="00B01406"/>
    <w:rsid w:val="00B06D37"/>
    <w:rsid w:val="00B12E95"/>
    <w:rsid w:val="00B1651D"/>
    <w:rsid w:val="00B22272"/>
    <w:rsid w:val="00B22E2A"/>
    <w:rsid w:val="00B238F7"/>
    <w:rsid w:val="00B249C9"/>
    <w:rsid w:val="00B25715"/>
    <w:rsid w:val="00B26DAC"/>
    <w:rsid w:val="00B3164D"/>
    <w:rsid w:val="00B33B69"/>
    <w:rsid w:val="00B3436E"/>
    <w:rsid w:val="00B362E6"/>
    <w:rsid w:val="00B41CBA"/>
    <w:rsid w:val="00B43730"/>
    <w:rsid w:val="00B43BF0"/>
    <w:rsid w:val="00B445D3"/>
    <w:rsid w:val="00B44A75"/>
    <w:rsid w:val="00B61B0B"/>
    <w:rsid w:val="00B6301C"/>
    <w:rsid w:val="00B65EFA"/>
    <w:rsid w:val="00B70188"/>
    <w:rsid w:val="00B731E2"/>
    <w:rsid w:val="00B743D5"/>
    <w:rsid w:val="00B80E5B"/>
    <w:rsid w:val="00B817A7"/>
    <w:rsid w:val="00B85EDB"/>
    <w:rsid w:val="00B9657B"/>
    <w:rsid w:val="00B96956"/>
    <w:rsid w:val="00B9793A"/>
    <w:rsid w:val="00B97BA9"/>
    <w:rsid w:val="00BA5FE4"/>
    <w:rsid w:val="00BA760A"/>
    <w:rsid w:val="00BA79A9"/>
    <w:rsid w:val="00BB12F3"/>
    <w:rsid w:val="00BB3CF1"/>
    <w:rsid w:val="00BC1050"/>
    <w:rsid w:val="00BC685E"/>
    <w:rsid w:val="00BC6EAB"/>
    <w:rsid w:val="00BD1957"/>
    <w:rsid w:val="00BD2AA0"/>
    <w:rsid w:val="00BD4D7C"/>
    <w:rsid w:val="00BD4F19"/>
    <w:rsid w:val="00BD6277"/>
    <w:rsid w:val="00BD6964"/>
    <w:rsid w:val="00BE1E08"/>
    <w:rsid w:val="00BE40C6"/>
    <w:rsid w:val="00BE748F"/>
    <w:rsid w:val="00BE7D61"/>
    <w:rsid w:val="00BF0716"/>
    <w:rsid w:val="00BF28EE"/>
    <w:rsid w:val="00BF2C1A"/>
    <w:rsid w:val="00C06FC1"/>
    <w:rsid w:val="00C11352"/>
    <w:rsid w:val="00C12054"/>
    <w:rsid w:val="00C16148"/>
    <w:rsid w:val="00C1747B"/>
    <w:rsid w:val="00C20ADC"/>
    <w:rsid w:val="00C2582E"/>
    <w:rsid w:val="00C30C52"/>
    <w:rsid w:val="00C32003"/>
    <w:rsid w:val="00C33F93"/>
    <w:rsid w:val="00C347AC"/>
    <w:rsid w:val="00C41997"/>
    <w:rsid w:val="00C41C11"/>
    <w:rsid w:val="00C42285"/>
    <w:rsid w:val="00C47C59"/>
    <w:rsid w:val="00C50718"/>
    <w:rsid w:val="00C5506E"/>
    <w:rsid w:val="00C55D90"/>
    <w:rsid w:val="00C574C8"/>
    <w:rsid w:val="00C60101"/>
    <w:rsid w:val="00C61981"/>
    <w:rsid w:val="00C6676D"/>
    <w:rsid w:val="00C679D4"/>
    <w:rsid w:val="00C703C7"/>
    <w:rsid w:val="00C70581"/>
    <w:rsid w:val="00C70E16"/>
    <w:rsid w:val="00C744DC"/>
    <w:rsid w:val="00C75FE6"/>
    <w:rsid w:val="00C766A9"/>
    <w:rsid w:val="00C76776"/>
    <w:rsid w:val="00C7706F"/>
    <w:rsid w:val="00C7713A"/>
    <w:rsid w:val="00C77FD2"/>
    <w:rsid w:val="00C81035"/>
    <w:rsid w:val="00C83E85"/>
    <w:rsid w:val="00C84C4D"/>
    <w:rsid w:val="00C92AFD"/>
    <w:rsid w:val="00C934CA"/>
    <w:rsid w:val="00C948A3"/>
    <w:rsid w:val="00C951E1"/>
    <w:rsid w:val="00CA023A"/>
    <w:rsid w:val="00CA43C1"/>
    <w:rsid w:val="00CA4786"/>
    <w:rsid w:val="00CA720A"/>
    <w:rsid w:val="00CB0EE3"/>
    <w:rsid w:val="00CB186F"/>
    <w:rsid w:val="00CB235F"/>
    <w:rsid w:val="00CB408E"/>
    <w:rsid w:val="00CC26F4"/>
    <w:rsid w:val="00CD0222"/>
    <w:rsid w:val="00CD06A9"/>
    <w:rsid w:val="00CD1555"/>
    <w:rsid w:val="00CD422D"/>
    <w:rsid w:val="00CD64EE"/>
    <w:rsid w:val="00CD6998"/>
    <w:rsid w:val="00CE207C"/>
    <w:rsid w:val="00CE22AE"/>
    <w:rsid w:val="00CE57A4"/>
    <w:rsid w:val="00CE7F81"/>
    <w:rsid w:val="00CF0EED"/>
    <w:rsid w:val="00CF210D"/>
    <w:rsid w:val="00CF2D48"/>
    <w:rsid w:val="00CF3CC1"/>
    <w:rsid w:val="00CF5641"/>
    <w:rsid w:val="00CF5E63"/>
    <w:rsid w:val="00CF6A32"/>
    <w:rsid w:val="00CF6BFC"/>
    <w:rsid w:val="00D0060D"/>
    <w:rsid w:val="00D01D40"/>
    <w:rsid w:val="00D03CB3"/>
    <w:rsid w:val="00D05969"/>
    <w:rsid w:val="00D0606B"/>
    <w:rsid w:val="00D06DC4"/>
    <w:rsid w:val="00D06E1A"/>
    <w:rsid w:val="00D07BE4"/>
    <w:rsid w:val="00D103DD"/>
    <w:rsid w:val="00D1083A"/>
    <w:rsid w:val="00D1190C"/>
    <w:rsid w:val="00D247D5"/>
    <w:rsid w:val="00D253EB"/>
    <w:rsid w:val="00D355C7"/>
    <w:rsid w:val="00D37B3D"/>
    <w:rsid w:val="00D45778"/>
    <w:rsid w:val="00D46A44"/>
    <w:rsid w:val="00D509C8"/>
    <w:rsid w:val="00D5320E"/>
    <w:rsid w:val="00D5772A"/>
    <w:rsid w:val="00D67E6F"/>
    <w:rsid w:val="00D7103C"/>
    <w:rsid w:val="00D832F1"/>
    <w:rsid w:val="00D8352A"/>
    <w:rsid w:val="00D85BE6"/>
    <w:rsid w:val="00D870C5"/>
    <w:rsid w:val="00D968D3"/>
    <w:rsid w:val="00D97DF2"/>
    <w:rsid w:val="00DB396E"/>
    <w:rsid w:val="00DC2CD8"/>
    <w:rsid w:val="00DC4FEB"/>
    <w:rsid w:val="00DC673E"/>
    <w:rsid w:val="00DD3F8B"/>
    <w:rsid w:val="00DD4270"/>
    <w:rsid w:val="00DD5855"/>
    <w:rsid w:val="00DD6E0E"/>
    <w:rsid w:val="00DD78C6"/>
    <w:rsid w:val="00DE044C"/>
    <w:rsid w:val="00DE1652"/>
    <w:rsid w:val="00DE2D6A"/>
    <w:rsid w:val="00DE6C17"/>
    <w:rsid w:val="00DE7A6F"/>
    <w:rsid w:val="00DF171A"/>
    <w:rsid w:val="00DF6119"/>
    <w:rsid w:val="00E062E3"/>
    <w:rsid w:val="00E0EBFE"/>
    <w:rsid w:val="00E12CC8"/>
    <w:rsid w:val="00E14E3A"/>
    <w:rsid w:val="00E161E3"/>
    <w:rsid w:val="00E162FB"/>
    <w:rsid w:val="00E17792"/>
    <w:rsid w:val="00E20854"/>
    <w:rsid w:val="00E27153"/>
    <w:rsid w:val="00E27B5C"/>
    <w:rsid w:val="00E27B91"/>
    <w:rsid w:val="00E31054"/>
    <w:rsid w:val="00E3171D"/>
    <w:rsid w:val="00E3666C"/>
    <w:rsid w:val="00E4204D"/>
    <w:rsid w:val="00E448D4"/>
    <w:rsid w:val="00E47937"/>
    <w:rsid w:val="00E52490"/>
    <w:rsid w:val="00E52A6D"/>
    <w:rsid w:val="00E558FD"/>
    <w:rsid w:val="00E55C04"/>
    <w:rsid w:val="00E55E9B"/>
    <w:rsid w:val="00E62684"/>
    <w:rsid w:val="00E6522B"/>
    <w:rsid w:val="00E705E8"/>
    <w:rsid w:val="00E7513A"/>
    <w:rsid w:val="00E909D6"/>
    <w:rsid w:val="00E90F54"/>
    <w:rsid w:val="00E92D7D"/>
    <w:rsid w:val="00E933C8"/>
    <w:rsid w:val="00E943EA"/>
    <w:rsid w:val="00E949E8"/>
    <w:rsid w:val="00E959B4"/>
    <w:rsid w:val="00E96279"/>
    <w:rsid w:val="00EA20A9"/>
    <w:rsid w:val="00EA2D54"/>
    <w:rsid w:val="00EA478E"/>
    <w:rsid w:val="00EB7C21"/>
    <w:rsid w:val="00EC3E9E"/>
    <w:rsid w:val="00ED0CB4"/>
    <w:rsid w:val="00ED1F98"/>
    <w:rsid w:val="00ED5E4A"/>
    <w:rsid w:val="00ED6141"/>
    <w:rsid w:val="00ED7918"/>
    <w:rsid w:val="00EE1CCD"/>
    <w:rsid w:val="00EE32A4"/>
    <w:rsid w:val="00EE5EA0"/>
    <w:rsid w:val="00EE7146"/>
    <w:rsid w:val="00EF1468"/>
    <w:rsid w:val="00EF23E1"/>
    <w:rsid w:val="00EF4780"/>
    <w:rsid w:val="00F00E11"/>
    <w:rsid w:val="00F03915"/>
    <w:rsid w:val="00F048A4"/>
    <w:rsid w:val="00F0510F"/>
    <w:rsid w:val="00F058D7"/>
    <w:rsid w:val="00F07703"/>
    <w:rsid w:val="00F139A1"/>
    <w:rsid w:val="00F13CAA"/>
    <w:rsid w:val="00F153CC"/>
    <w:rsid w:val="00F162F1"/>
    <w:rsid w:val="00F20CD2"/>
    <w:rsid w:val="00F318C7"/>
    <w:rsid w:val="00F33450"/>
    <w:rsid w:val="00F34B1F"/>
    <w:rsid w:val="00F35D75"/>
    <w:rsid w:val="00F3604E"/>
    <w:rsid w:val="00F3670E"/>
    <w:rsid w:val="00F4042A"/>
    <w:rsid w:val="00F44F4A"/>
    <w:rsid w:val="00F46DE4"/>
    <w:rsid w:val="00F54AC7"/>
    <w:rsid w:val="00F55813"/>
    <w:rsid w:val="00F55D67"/>
    <w:rsid w:val="00F571DE"/>
    <w:rsid w:val="00F639DA"/>
    <w:rsid w:val="00F65326"/>
    <w:rsid w:val="00F67126"/>
    <w:rsid w:val="00F7106B"/>
    <w:rsid w:val="00F76555"/>
    <w:rsid w:val="00F82506"/>
    <w:rsid w:val="00F82522"/>
    <w:rsid w:val="00F839D0"/>
    <w:rsid w:val="00F86595"/>
    <w:rsid w:val="00F92B41"/>
    <w:rsid w:val="00FA7855"/>
    <w:rsid w:val="00FB0B80"/>
    <w:rsid w:val="00FB16FF"/>
    <w:rsid w:val="00FB45C9"/>
    <w:rsid w:val="00FB48E9"/>
    <w:rsid w:val="00FB6F2F"/>
    <w:rsid w:val="00FB7411"/>
    <w:rsid w:val="00FC764A"/>
    <w:rsid w:val="00FD2439"/>
    <w:rsid w:val="00FD5734"/>
    <w:rsid w:val="00FD7387"/>
    <w:rsid w:val="00FD7B9B"/>
    <w:rsid w:val="00FF2110"/>
    <w:rsid w:val="00FF2CDF"/>
    <w:rsid w:val="00FF41EF"/>
    <w:rsid w:val="00FF6767"/>
    <w:rsid w:val="00FF76D3"/>
    <w:rsid w:val="01C13E73"/>
    <w:rsid w:val="01C2452A"/>
    <w:rsid w:val="01C7F176"/>
    <w:rsid w:val="01D89F6D"/>
    <w:rsid w:val="021DFBFE"/>
    <w:rsid w:val="022A71CE"/>
    <w:rsid w:val="02E2D949"/>
    <w:rsid w:val="0377FC9E"/>
    <w:rsid w:val="044ED88E"/>
    <w:rsid w:val="04FF9238"/>
    <w:rsid w:val="05F1FEFD"/>
    <w:rsid w:val="060481C2"/>
    <w:rsid w:val="0640A846"/>
    <w:rsid w:val="06455F04"/>
    <w:rsid w:val="067E8DA4"/>
    <w:rsid w:val="069AF00B"/>
    <w:rsid w:val="069B6299"/>
    <w:rsid w:val="06B03F70"/>
    <w:rsid w:val="06B26777"/>
    <w:rsid w:val="06DB7E00"/>
    <w:rsid w:val="07AEC288"/>
    <w:rsid w:val="082A66DB"/>
    <w:rsid w:val="091141AB"/>
    <w:rsid w:val="09AEC745"/>
    <w:rsid w:val="09B344BE"/>
    <w:rsid w:val="09E48633"/>
    <w:rsid w:val="0ABBDB79"/>
    <w:rsid w:val="0B5A17A8"/>
    <w:rsid w:val="0B88D11C"/>
    <w:rsid w:val="0BF4D99B"/>
    <w:rsid w:val="0C4DE116"/>
    <w:rsid w:val="0D2FBFAC"/>
    <w:rsid w:val="0D5F4CE4"/>
    <w:rsid w:val="0D7E15FA"/>
    <w:rsid w:val="0E62B717"/>
    <w:rsid w:val="0E6E6DDB"/>
    <w:rsid w:val="0E9E2DE4"/>
    <w:rsid w:val="0F2153BC"/>
    <w:rsid w:val="102B3166"/>
    <w:rsid w:val="10519210"/>
    <w:rsid w:val="1078369F"/>
    <w:rsid w:val="11087D70"/>
    <w:rsid w:val="1119CA55"/>
    <w:rsid w:val="11383D79"/>
    <w:rsid w:val="12705FE3"/>
    <w:rsid w:val="12A8E158"/>
    <w:rsid w:val="12CC1DFD"/>
    <w:rsid w:val="13A37F7B"/>
    <w:rsid w:val="13EB94F5"/>
    <w:rsid w:val="13F8978D"/>
    <w:rsid w:val="140F2F39"/>
    <w:rsid w:val="141B7D75"/>
    <w:rsid w:val="1450849B"/>
    <w:rsid w:val="14834374"/>
    <w:rsid w:val="14F150D8"/>
    <w:rsid w:val="150F46E3"/>
    <w:rsid w:val="151B12D7"/>
    <w:rsid w:val="15DF17A5"/>
    <w:rsid w:val="162C6975"/>
    <w:rsid w:val="165F5FD6"/>
    <w:rsid w:val="168AD202"/>
    <w:rsid w:val="172FD3A8"/>
    <w:rsid w:val="17BC624F"/>
    <w:rsid w:val="18031830"/>
    <w:rsid w:val="18401508"/>
    <w:rsid w:val="18EC9733"/>
    <w:rsid w:val="191F2922"/>
    <w:rsid w:val="19802ACB"/>
    <w:rsid w:val="19963933"/>
    <w:rsid w:val="19DCEF14"/>
    <w:rsid w:val="1A0CAF1D"/>
    <w:rsid w:val="1A139F89"/>
    <w:rsid w:val="1A1BB2C4"/>
    <w:rsid w:val="1AD50825"/>
    <w:rsid w:val="1B32DD6F"/>
    <w:rsid w:val="1BC01349"/>
    <w:rsid w:val="1C28BA69"/>
    <w:rsid w:val="1C582DD7"/>
    <w:rsid w:val="1C698278"/>
    <w:rsid w:val="1CFBFEF1"/>
    <w:rsid w:val="1D66B596"/>
    <w:rsid w:val="1D7509FC"/>
    <w:rsid w:val="1E0C116F"/>
    <w:rsid w:val="1E28E9B1"/>
    <w:rsid w:val="1E622272"/>
    <w:rsid w:val="1F05C8AF"/>
    <w:rsid w:val="1F6C392D"/>
    <w:rsid w:val="20245282"/>
    <w:rsid w:val="20548795"/>
    <w:rsid w:val="205ABAFC"/>
    <w:rsid w:val="20694971"/>
    <w:rsid w:val="2076F025"/>
    <w:rsid w:val="207F999D"/>
    <w:rsid w:val="208BFC88"/>
    <w:rsid w:val="2097807B"/>
    <w:rsid w:val="20B92CDB"/>
    <w:rsid w:val="21356BB7"/>
    <w:rsid w:val="21C81B01"/>
    <w:rsid w:val="244CE4B9"/>
    <w:rsid w:val="24BA2D5C"/>
    <w:rsid w:val="24D1F3F8"/>
    <w:rsid w:val="24EFA7AA"/>
    <w:rsid w:val="250731C8"/>
    <w:rsid w:val="25145B31"/>
    <w:rsid w:val="2590673C"/>
    <w:rsid w:val="2602C14F"/>
    <w:rsid w:val="2618ED96"/>
    <w:rsid w:val="26AA2F7D"/>
    <w:rsid w:val="26F36294"/>
    <w:rsid w:val="2701FCA2"/>
    <w:rsid w:val="274678EE"/>
    <w:rsid w:val="2760772A"/>
    <w:rsid w:val="276F1006"/>
    <w:rsid w:val="2793DE31"/>
    <w:rsid w:val="27A9DEC2"/>
    <w:rsid w:val="280EC634"/>
    <w:rsid w:val="28A0C160"/>
    <w:rsid w:val="29711286"/>
    <w:rsid w:val="29D0A3AB"/>
    <w:rsid w:val="2A2D9407"/>
    <w:rsid w:val="2AAA0F51"/>
    <w:rsid w:val="2AB09D47"/>
    <w:rsid w:val="2AB6EA60"/>
    <w:rsid w:val="2B270668"/>
    <w:rsid w:val="2B32BD2C"/>
    <w:rsid w:val="2B7C7CE2"/>
    <w:rsid w:val="2BD7CAAA"/>
    <w:rsid w:val="2C12A9FF"/>
    <w:rsid w:val="2C1B9391"/>
    <w:rsid w:val="2C36275F"/>
    <w:rsid w:val="2C52977A"/>
    <w:rsid w:val="2C7374AC"/>
    <w:rsid w:val="2C78341D"/>
    <w:rsid w:val="2CAABC99"/>
    <w:rsid w:val="2CC6434F"/>
    <w:rsid w:val="2DAB2061"/>
    <w:rsid w:val="2DC008B4"/>
    <w:rsid w:val="2DC62039"/>
    <w:rsid w:val="2EA7FECF"/>
    <w:rsid w:val="2EECF5BE"/>
    <w:rsid w:val="2F15DB3C"/>
    <w:rsid w:val="2F812E07"/>
    <w:rsid w:val="2F9FF71D"/>
    <w:rsid w:val="2FDC6293"/>
    <w:rsid w:val="2FE6ACFE"/>
    <w:rsid w:val="30166D07"/>
    <w:rsid w:val="30999C4F"/>
    <w:rsid w:val="30B2ECE0"/>
    <w:rsid w:val="310CBD43"/>
    <w:rsid w:val="323893DE"/>
    <w:rsid w:val="326017D7"/>
    <w:rsid w:val="326D87F7"/>
    <w:rsid w:val="32AD2F24"/>
    <w:rsid w:val="32EBEE81"/>
    <w:rsid w:val="331D78DF"/>
    <w:rsid w:val="333BFE11"/>
    <w:rsid w:val="3409270E"/>
    <w:rsid w:val="341C9F02"/>
    <w:rsid w:val="345761B1"/>
    <w:rsid w:val="34DFC690"/>
    <w:rsid w:val="3528A062"/>
    <w:rsid w:val="352AA639"/>
    <w:rsid w:val="35A78725"/>
    <w:rsid w:val="35ACD962"/>
    <w:rsid w:val="35B60070"/>
    <w:rsid w:val="36878606"/>
    <w:rsid w:val="376D403F"/>
    <w:rsid w:val="379F38B4"/>
    <w:rsid w:val="37FC0260"/>
    <w:rsid w:val="3807E750"/>
    <w:rsid w:val="3876A917"/>
    <w:rsid w:val="38AA4B5A"/>
    <w:rsid w:val="38B48845"/>
    <w:rsid w:val="397E7F7C"/>
    <w:rsid w:val="3A380BA5"/>
    <w:rsid w:val="3A3CF2C0"/>
    <w:rsid w:val="3A7EF457"/>
    <w:rsid w:val="3A8799D8"/>
    <w:rsid w:val="3AC62DB4"/>
    <w:rsid w:val="3B0E7856"/>
    <w:rsid w:val="3C4D4748"/>
    <w:rsid w:val="3C8D4062"/>
    <w:rsid w:val="3DA7989A"/>
    <w:rsid w:val="3DC2084D"/>
    <w:rsid w:val="3E267E2E"/>
    <w:rsid w:val="3E3A37E3"/>
    <w:rsid w:val="3E541BAE"/>
    <w:rsid w:val="3E665DC3"/>
    <w:rsid w:val="3F151EA8"/>
    <w:rsid w:val="40211776"/>
    <w:rsid w:val="403910E3"/>
    <w:rsid w:val="407E3AA3"/>
    <w:rsid w:val="40924132"/>
    <w:rsid w:val="4122C2B7"/>
    <w:rsid w:val="41697898"/>
    <w:rsid w:val="41C3D93E"/>
    <w:rsid w:val="41F6073F"/>
    <w:rsid w:val="42DC14B5"/>
    <w:rsid w:val="42E6FF74"/>
    <w:rsid w:val="42FE25BC"/>
    <w:rsid w:val="42FE588D"/>
    <w:rsid w:val="430CB0F6"/>
    <w:rsid w:val="437079F8"/>
    <w:rsid w:val="43766889"/>
    <w:rsid w:val="45503F6D"/>
    <w:rsid w:val="45A84CCB"/>
    <w:rsid w:val="45CE01CE"/>
    <w:rsid w:val="462272FC"/>
    <w:rsid w:val="4674CC3B"/>
    <w:rsid w:val="46AD1F3A"/>
    <w:rsid w:val="46BB53A6"/>
    <w:rsid w:val="47073EDB"/>
    <w:rsid w:val="4715817B"/>
    <w:rsid w:val="472486AB"/>
    <w:rsid w:val="47BBC881"/>
    <w:rsid w:val="47DF1310"/>
    <w:rsid w:val="4805C5A2"/>
    <w:rsid w:val="483BD09B"/>
    <w:rsid w:val="488787EE"/>
    <w:rsid w:val="489D8654"/>
    <w:rsid w:val="48F5EA49"/>
    <w:rsid w:val="49870557"/>
    <w:rsid w:val="499FE4FD"/>
    <w:rsid w:val="49BD026E"/>
    <w:rsid w:val="4A4DF1FB"/>
    <w:rsid w:val="4A4EA29A"/>
    <w:rsid w:val="4A58BDAA"/>
    <w:rsid w:val="4A7C17FD"/>
    <w:rsid w:val="4A7FD2B2"/>
    <w:rsid w:val="4AA6EA70"/>
    <w:rsid w:val="4B1F92DF"/>
    <w:rsid w:val="4BA7921C"/>
    <w:rsid w:val="4BD7B7C7"/>
    <w:rsid w:val="4C2A0797"/>
    <w:rsid w:val="4C307943"/>
    <w:rsid w:val="4CC3288D"/>
    <w:rsid w:val="4CF4BC05"/>
    <w:rsid w:val="4D27B64B"/>
    <w:rsid w:val="4E1D986C"/>
    <w:rsid w:val="4F64F2D7"/>
    <w:rsid w:val="4F883D66"/>
    <w:rsid w:val="4FB6B581"/>
    <w:rsid w:val="4FF602F7"/>
    <w:rsid w:val="50467DD9"/>
    <w:rsid w:val="5088B241"/>
    <w:rsid w:val="51183640"/>
    <w:rsid w:val="5126D04E"/>
    <w:rsid w:val="51302FAD"/>
    <w:rsid w:val="515EEC21"/>
    <w:rsid w:val="5176A133"/>
    <w:rsid w:val="521BA073"/>
    <w:rsid w:val="522054BD"/>
    <w:rsid w:val="5229D4DF"/>
    <w:rsid w:val="5268EBA6"/>
    <w:rsid w:val="5292492E"/>
    <w:rsid w:val="52D3440E"/>
    <w:rsid w:val="52F20D24"/>
    <w:rsid w:val="5368830E"/>
    <w:rsid w:val="53F5C9F0"/>
    <w:rsid w:val="54224208"/>
    <w:rsid w:val="54688981"/>
    <w:rsid w:val="54B66315"/>
    <w:rsid w:val="5504209E"/>
    <w:rsid w:val="5596907E"/>
    <w:rsid w:val="5647D9E7"/>
    <w:rsid w:val="565805B3"/>
    <w:rsid w:val="56E334D9"/>
    <w:rsid w:val="56F5BE1E"/>
    <w:rsid w:val="5722BBA0"/>
    <w:rsid w:val="57855CA2"/>
    <w:rsid w:val="57E161B5"/>
    <w:rsid w:val="583B29E8"/>
    <w:rsid w:val="59081677"/>
    <w:rsid w:val="59332236"/>
    <w:rsid w:val="59A33F2C"/>
    <w:rsid w:val="59D99C0D"/>
    <w:rsid w:val="59E0666C"/>
    <w:rsid w:val="5A9140E2"/>
    <w:rsid w:val="5A9CC39B"/>
    <w:rsid w:val="5AB4BD08"/>
    <w:rsid w:val="5B23BC21"/>
    <w:rsid w:val="5CB4E13A"/>
    <w:rsid w:val="5CC7EF0F"/>
    <w:rsid w:val="5CCDD666"/>
    <w:rsid w:val="5CF3489A"/>
    <w:rsid w:val="5E3A0A92"/>
    <w:rsid w:val="5E702F22"/>
    <w:rsid w:val="5EEA0586"/>
    <w:rsid w:val="60396F33"/>
    <w:rsid w:val="6136D0D4"/>
    <w:rsid w:val="6152A0B8"/>
    <w:rsid w:val="61793433"/>
    <w:rsid w:val="61D40356"/>
    <w:rsid w:val="62133BFA"/>
    <w:rsid w:val="62916FAA"/>
    <w:rsid w:val="629FE8F5"/>
    <w:rsid w:val="62D6996A"/>
    <w:rsid w:val="62FE79EF"/>
    <w:rsid w:val="63732D7D"/>
    <w:rsid w:val="637F7026"/>
    <w:rsid w:val="63948CDB"/>
    <w:rsid w:val="63A02AFF"/>
    <w:rsid w:val="63EED4E1"/>
    <w:rsid w:val="64534D21"/>
    <w:rsid w:val="646168D3"/>
    <w:rsid w:val="649992DE"/>
    <w:rsid w:val="649C81AA"/>
    <w:rsid w:val="65251268"/>
    <w:rsid w:val="656EB0C1"/>
    <w:rsid w:val="65EEB8DB"/>
    <w:rsid w:val="661E89F7"/>
    <w:rsid w:val="667D311A"/>
    <w:rsid w:val="66897BEE"/>
    <w:rsid w:val="66C23034"/>
    <w:rsid w:val="66D0557F"/>
    <w:rsid w:val="6768AA0B"/>
    <w:rsid w:val="67F4C2F8"/>
    <w:rsid w:val="68227BD2"/>
    <w:rsid w:val="68905054"/>
    <w:rsid w:val="68BABE20"/>
    <w:rsid w:val="690B6BD3"/>
    <w:rsid w:val="6915509C"/>
    <w:rsid w:val="692A49F9"/>
    <w:rsid w:val="69653406"/>
    <w:rsid w:val="69B86FA0"/>
    <w:rsid w:val="69BBBEAC"/>
    <w:rsid w:val="69FC6121"/>
    <w:rsid w:val="6A4AB400"/>
    <w:rsid w:val="6AD5F48B"/>
    <w:rsid w:val="6B0DDE88"/>
    <w:rsid w:val="6B1C57D3"/>
    <w:rsid w:val="6B2F416C"/>
    <w:rsid w:val="6B52D577"/>
    <w:rsid w:val="6CAFCB6F"/>
    <w:rsid w:val="6CD91B5E"/>
    <w:rsid w:val="6D5ADB30"/>
    <w:rsid w:val="6D6A03B3"/>
    <w:rsid w:val="6D7872F3"/>
    <w:rsid w:val="6E723F63"/>
    <w:rsid w:val="6EE4A40E"/>
    <w:rsid w:val="6EEB9C22"/>
    <w:rsid w:val="6EEE89D2"/>
    <w:rsid w:val="6F29CDCE"/>
    <w:rsid w:val="6FC5FD3A"/>
    <w:rsid w:val="702A0FD8"/>
    <w:rsid w:val="71903359"/>
    <w:rsid w:val="71D6E93A"/>
    <w:rsid w:val="71F20AAA"/>
    <w:rsid w:val="7274D476"/>
    <w:rsid w:val="728B44E4"/>
    <w:rsid w:val="72F89EAB"/>
    <w:rsid w:val="7345B086"/>
    <w:rsid w:val="738D0FED"/>
    <w:rsid w:val="73F28EE4"/>
    <w:rsid w:val="746A4C47"/>
    <w:rsid w:val="74B10228"/>
    <w:rsid w:val="74C5095B"/>
    <w:rsid w:val="751A352D"/>
    <w:rsid w:val="75E45F35"/>
    <w:rsid w:val="76255A15"/>
    <w:rsid w:val="76289A4F"/>
    <w:rsid w:val="76520AED"/>
    <w:rsid w:val="76BA9915"/>
    <w:rsid w:val="76C18981"/>
    <w:rsid w:val="786ACB7B"/>
    <w:rsid w:val="78C16D7B"/>
    <w:rsid w:val="78EECB74"/>
    <w:rsid w:val="7918D8C9"/>
    <w:rsid w:val="793AE9D0"/>
    <w:rsid w:val="79A18393"/>
    <w:rsid w:val="7A8CCB14"/>
    <w:rsid w:val="7AB7F796"/>
    <w:rsid w:val="7AD1C203"/>
    <w:rsid w:val="7AE9889F"/>
    <w:rsid w:val="7B3377BC"/>
    <w:rsid w:val="7B347E73"/>
    <w:rsid w:val="7B56C24B"/>
    <w:rsid w:val="7C59F9AD"/>
    <w:rsid w:val="7D3CDD30"/>
    <w:rsid w:val="7DEA2558"/>
    <w:rsid w:val="7E4C0DA0"/>
    <w:rsid w:val="7EA3354C"/>
    <w:rsid w:val="7F829680"/>
    <w:rsid w:val="7FE7678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5B10390"/>
  <w15:docId w15:val="{3525985C-F0C1-412F-A59F-FA749C8E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C7CF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C7CFF"/>
    <w:rPr>
      <w:sz w:val="20"/>
      <w:szCs w:val="20"/>
    </w:rPr>
  </w:style>
  <w:style w:type="character" w:styleId="EndnoteReference">
    <w:name w:val="endnote reference"/>
    <w:basedOn w:val="DefaultParagraphFont"/>
    <w:uiPriority w:val="99"/>
    <w:semiHidden/>
    <w:unhideWhenUsed/>
    <w:rsid w:val="00AC7CFF"/>
    <w:rPr>
      <w:vertAlign w:val="superscript"/>
    </w:rPr>
  </w:style>
  <w:style w:type="paragraph" w:styleId="FootnoteText">
    <w:name w:val="footnote text"/>
    <w:aliases w:val="Footnote Text Char Char Char Char Char,Footnote Text Char Char1 Char,Footnote Text Char1 Char Char Char,Footnote Text Char1 Char Char Char Char Char Char Char,Footnote Text Char1 Char1 Char,Footnote Text Char2 Char,Footnote Text MRP,fn,ft"/>
    <w:basedOn w:val="Normal"/>
    <w:link w:val="FootnoteTextChar"/>
    <w:unhideWhenUsed/>
    <w:qFormat/>
    <w:rsid w:val="00AC7CFF"/>
    <w:pPr>
      <w:spacing w:after="0" w:line="240" w:lineRule="auto"/>
    </w:pPr>
    <w:rPr>
      <w:sz w:val="20"/>
      <w:szCs w:val="20"/>
    </w:rPr>
  </w:style>
  <w:style w:type="character" w:customStyle="1" w:styleId="FootnoteTextChar">
    <w:name w:val="Footnote Text Char"/>
    <w:aliases w:val="Footnote Text Char Char Char Char Char Char1,Footnote Text Char Char1 Char Char1,Footnote Text Char1 Char Char Char Char Char Char Char Char1,Footnote Text Char1 Char Char Char Char1,Footnote Text Char1 Char1 Char Char,fn Char1"/>
    <w:basedOn w:val="DefaultParagraphFont"/>
    <w:link w:val="FootnoteText"/>
    <w:uiPriority w:val="99"/>
    <w:rsid w:val="00AC7CFF"/>
    <w:rPr>
      <w:sz w:val="20"/>
      <w:szCs w:val="20"/>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basedOn w:val="DefaultParagraphFont"/>
    <w:uiPriority w:val="99"/>
    <w:unhideWhenUsed/>
    <w:qFormat/>
    <w:rsid w:val="00AC7CFF"/>
    <w:rPr>
      <w:vertAlign w:val="superscript"/>
    </w:rPr>
  </w:style>
  <w:style w:type="paragraph" w:styleId="Header">
    <w:name w:val="header"/>
    <w:basedOn w:val="Normal"/>
    <w:link w:val="HeaderChar"/>
    <w:uiPriority w:val="99"/>
    <w:unhideWhenUsed/>
    <w:rsid w:val="00480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B05"/>
  </w:style>
  <w:style w:type="paragraph" w:styleId="Footer">
    <w:name w:val="footer"/>
    <w:basedOn w:val="Normal"/>
    <w:link w:val="FooterChar"/>
    <w:uiPriority w:val="99"/>
    <w:unhideWhenUsed/>
    <w:rsid w:val="00480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B05"/>
  </w:style>
  <w:style w:type="paragraph" w:styleId="ListParagraph">
    <w:name w:val="List Paragraph"/>
    <w:basedOn w:val="Normal"/>
    <w:uiPriority w:val="34"/>
    <w:qFormat/>
    <w:rsid w:val="00480B05"/>
    <w:pPr>
      <w:spacing w:after="200" w:line="276" w:lineRule="auto"/>
      <w:ind w:left="720"/>
      <w:contextualSpacing/>
    </w:pPr>
  </w:style>
  <w:style w:type="character" w:styleId="Hyperlink">
    <w:name w:val="Hyperlink"/>
    <w:rsid w:val="00AD069C"/>
    <w:rPr>
      <w:strike w:val="0"/>
      <w:dstrike w:val="0"/>
      <w:color w:val="004B91"/>
      <w:u w:val="none"/>
      <w:effect w:val="none"/>
    </w:rPr>
  </w:style>
  <w:style w:type="character" w:customStyle="1" w:styleId="FootnoteTextChar1">
    <w:name w:val="Footnote Text Char1"/>
    <w:aliases w:val="Footnote Text Char Char Char Char Char Char,Footnote Text Char Char1 Char Char,Footnote Text Char1 Char Char Char Char,Footnote Text Char1 Char Char Char Char Char Char Char Char,Footnote Text Char2 Char Char,fn Char,ft Char"/>
    <w:rsid w:val="003717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41366C"/>
    <w:rPr>
      <w:sz w:val="16"/>
      <w:szCs w:val="16"/>
    </w:rPr>
  </w:style>
  <w:style w:type="paragraph" w:styleId="CommentText">
    <w:name w:val="annotation text"/>
    <w:basedOn w:val="Normal"/>
    <w:link w:val="CommentTextChar"/>
    <w:uiPriority w:val="99"/>
    <w:unhideWhenUsed/>
    <w:rsid w:val="0041366C"/>
    <w:pPr>
      <w:spacing w:line="240" w:lineRule="auto"/>
    </w:pPr>
    <w:rPr>
      <w:sz w:val="20"/>
      <w:szCs w:val="20"/>
    </w:rPr>
  </w:style>
  <w:style w:type="character" w:customStyle="1" w:styleId="CommentTextChar">
    <w:name w:val="Comment Text Char"/>
    <w:basedOn w:val="DefaultParagraphFont"/>
    <w:link w:val="CommentText"/>
    <w:uiPriority w:val="99"/>
    <w:rsid w:val="0041366C"/>
    <w:rPr>
      <w:sz w:val="20"/>
      <w:szCs w:val="20"/>
    </w:rPr>
  </w:style>
  <w:style w:type="paragraph" w:styleId="CommentSubject">
    <w:name w:val="annotation subject"/>
    <w:basedOn w:val="CommentText"/>
    <w:next w:val="CommentText"/>
    <w:link w:val="CommentSubjectChar"/>
    <w:uiPriority w:val="99"/>
    <w:semiHidden/>
    <w:unhideWhenUsed/>
    <w:rsid w:val="0041366C"/>
    <w:rPr>
      <w:b/>
      <w:bCs/>
    </w:rPr>
  </w:style>
  <w:style w:type="character" w:customStyle="1" w:styleId="CommentSubjectChar">
    <w:name w:val="Comment Subject Char"/>
    <w:basedOn w:val="CommentTextChar"/>
    <w:link w:val="CommentSubject"/>
    <w:uiPriority w:val="99"/>
    <w:semiHidden/>
    <w:rsid w:val="0041366C"/>
    <w:rPr>
      <w:b/>
      <w:bCs/>
      <w:sz w:val="20"/>
      <w:szCs w:val="20"/>
    </w:rPr>
  </w:style>
  <w:style w:type="paragraph" w:styleId="BalloonText">
    <w:name w:val="Balloon Text"/>
    <w:basedOn w:val="Normal"/>
    <w:link w:val="BalloonTextChar"/>
    <w:uiPriority w:val="99"/>
    <w:semiHidden/>
    <w:unhideWhenUsed/>
    <w:rsid w:val="004136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66C"/>
    <w:rPr>
      <w:rFonts w:ascii="Tahoma" w:hAnsi="Tahoma" w:cs="Tahoma"/>
      <w:sz w:val="16"/>
      <w:szCs w:val="16"/>
    </w:rPr>
  </w:style>
  <w:style w:type="character" w:customStyle="1" w:styleId="UnresolvedMention1">
    <w:name w:val="Unresolved Mention1"/>
    <w:basedOn w:val="DefaultParagraphFont"/>
    <w:uiPriority w:val="99"/>
    <w:semiHidden/>
    <w:unhideWhenUsed/>
    <w:rsid w:val="00166DF1"/>
    <w:rPr>
      <w:color w:val="605E5C"/>
      <w:shd w:val="clear" w:color="auto" w:fill="E1DFDD"/>
    </w:rPr>
  </w:style>
  <w:style w:type="character" w:styleId="FollowedHyperlink">
    <w:name w:val="FollowedHyperlink"/>
    <w:basedOn w:val="DefaultParagraphFont"/>
    <w:uiPriority w:val="99"/>
    <w:semiHidden/>
    <w:unhideWhenUsed/>
    <w:rsid w:val="00646FDF"/>
    <w:rPr>
      <w:color w:val="954F72" w:themeColor="followedHyperlink"/>
      <w:u w:val="single"/>
    </w:rPr>
  </w:style>
  <w:style w:type="character" w:styleId="UnresolvedMention">
    <w:name w:val="Unresolved Mention"/>
    <w:basedOn w:val="DefaultParagraphFont"/>
    <w:uiPriority w:val="99"/>
    <w:semiHidden/>
    <w:unhideWhenUsed/>
    <w:rsid w:val="00E949E8"/>
    <w:rPr>
      <w:color w:val="605E5C"/>
      <w:shd w:val="clear" w:color="auto" w:fill="E1DFDD"/>
    </w:rPr>
  </w:style>
  <w:style w:type="table" w:customStyle="1" w:styleId="TableGrid1">
    <w:name w:val="Table Grid1"/>
    <w:basedOn w:val="TableNormal"/>
    <w:next w:val="TableGrid"/>
    <w:uiPriority w:val="39"/>
    <w:rsid w:val="00186E3E"/>
    <w:pPr>
      <w:spacing w:after="0" w:line="240" w:lineRule="auto"/>
    </w:pPr>
    <w:rPr>
      <w:rFonts w:ascii="Times New Roman"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86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67366"/>
    <w:pPr>
      <w:spacing w:after="0" w:line="240" w:lineRule="auto"/>
    </w:pPr>
  </w:style>
  <w:style w:type="paragraph" w:customStyle="1" w:styleId="FERCparanumber">
    <w:name w:val="FERC paranumber"/>
    <w:basedOn w:val="Normal"/>
    <w:link w:val="FERCparanumberChar"/>
    <w:qFormat/>
    <w:rsid w:val="00F0510F"/>
    <w:pPr>
      <w:numPr>
        <w:numId w:val="14"/>
      </w:numPr>
      <w:spacing w:after="260" w:line="240" w:lineRule="auto"/>
    </w:pPr>
    <w:rPr>
      <w:rFonts w:ascii="Times New Roman" w:hAnsi="Times New Roman" w:cs="Times New Roman"/>
      <w:sz w:val="26"/>
    </w:rPr>
  </w:style>
  <w:style w:type="character" w:customStyle="1" w:styleId="FERCparanumberChar">
    <w:name w:val="FERC paranumber Char"/>
    <w:basedOn w:val="DefaultParagraphFont"/>
    <w:link w:val="FERCparanumber"/>
    <w:rsid w:val="00F0510F"/>
    <w:rPr>
      <w:rFonts w:ascii="Times New Roman" w:hAnsi="Times New Roman" w:cs="Times New Roman"/>
      <w:sz w:val="26"/>
    </w:rPr>
  </w:style>
  <w:style w:type="character" w:styleId="Mention">
    <w:name w:val="Mention"/>
    <w:basedOn w:val="DefaultParagraphFont"/>
    <w:uiPriority w:val="99"/>
    <w:unhideWhenUsed/>
    <w:rsid w:val="005D120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erc.gov/information-collections"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nerc.com/FilingsOrders/us/RuleOfProcedureDL/NERC_ROP_Effective_20190125.pdf" TargetMode="External" /><Relationship Id="rId2" Type="http://schemas.openxmlformats.org/officeDocument/2006/relationships/hyperlink" Target="http://www.nerc.com/pa/Stand/Documents/Appendix_3A_StandardsProcessesManual.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4A98CE0B408D41A9CE8FC72BBBB8EE" ma:contentTypeVersion="27" ma:contentTypeDescription="Create a new document." ma:contentTypeScope="" ma:versionID="a7cef3435b449a7a441d1852b207f1df">
  <xsd:schema xmlns:xsd="http://www.w3.org/2001/XMLSchema" xmlns:xs="http://www.w3.org/2001/XMLSchema" xmlns:p="http://schemas.microsoft.com/office/2006/metadata/properties" xmlns:ns1="http://schemas.microsoft.com/sharepoint/v3" xmlns:ns2="http://schemas.microsoft.com/sharepoint/v4" xmlns:ns3="9efd1f78-2452-40eb-b641-aaad3c0a6650" xmlns:ns4="82e40cf6-c09f-421d-a298-827f536a5023" targetNamespace="http://schemas.microsoft.com/office/2006/metadata/properties" ma:root="true" ma:fieldsID="3484e85d3de3007e2ab14115e68b8786" ns1:_="" ns2:_="" ns3:_="" ns4:_="">
    <xsd:import namespace="http://schemas.microsoft.com/sharepoint/v3"/>
    <xsd:import namespace="http://schemas.microsoft.com/sharepoint/v4"/>
    <xsd:import namespace="9efd1f78-2452-40eb-b641-aaad3c0a6650"/>
    <xsd:import namespace="82e40cf6-c09f-421d-a298-827f536a5023"/>
    <xsd:element name="properties">
      <xsd:complexType>
        <xsd:sequence>
          <xsd:element name="documentManagement">
            <xsd:complexType>
              <xsd:all>
                <xsd:element ref="ns2:IconOverlay" minOccurs="0"/>
                <xsd:element ref="ns3:SharedWithUsers" minOccurs="0"/>
                <xsd:element ref="ns3:SharedWithDetails" minOccurs="0"/>
                <xsd:element ref="ns4:MediaServiceDateTaken" minOccurs="0"/>
                <xsd:element ref="ns4:MediaLengthInSeconds" minOccurs="0"/>
                <xsd:element ref="ns4:MediaServiceObjectDetectorVersions" minOccurs="0"/>
                <xsd:element ref="ns4:MediaServiceLocation" minOccurs="0"/>
                <xsd:element ref="ns4:MediaServiceSearchProperties" minOccurs="0"/>
                <xsd:element ref="ns4:Updates" minOccurs="0"/>
                <xsd:element ref="ns1:_ip_UnifiedCompliancePolicyProperties" minOccurs="0"/>
                <xsd:element ref="ns1:_ip_UnifiedCompliancePolicyUIAction" minOccurs="0"/>
                <xsd:element ref="ns4:kwizcomcontroller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d1f78-2452-40eb-b641-aaad3c0a6650"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e40cf6-c09f-421d-a298-827f536a5023" elementFormDefault="qualified">
    <xsd:import namespace="http://schemas.microsoft.com/office/2006/documentManagement/types"/>
    <xsd:import namespace="http://schemas.microsoft.com/office/infopath/2007/PartnerControls"/>
    <xsd:element name="MediaServiceDateTaken" ma:index="11" nillable="true" ma:displayName="MediaServiceDateTaken" ma:hidden="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Updates" ma:index="16" nillable="true" ma:displayName="Updates" ma:default="N/A" ma:format="Dropdown" ma:internalName="Updates">
      <xsd:simpleType>
        <xsd:restriction base="dms:Text">
          <xsd:maxLength value="255"/>
        </xsd:restriction>
      </xsd:simpleType>
    </xsd:element>
    <xsd:element name="kwizcomcontrollerfield" ma:index="19" nillable="true" ma:displayName="kwizcomcontrollerfield" ma:internalName="kwizcomcontrollerfiel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pdates xmlns="82e40cf6-c09f-421d-a298-827f536a5023">N/A</Updates>
    <_ip_UnifiedCompliancePolicyUIAction xmlns="http://schemas.microsoft.com/sharepoint/v3" xsi:nil="true"/>
    <IconOverlay xmlns="http://schemas.microsoft.com/sharepoint/v4" xsi:nil="true"/>
    <_ip_UnifiedCompliancePolicyProperties xmlns="http://schemas.microsoft.com/sharepoint/v3" xsi:nil="true"/>
    <kwizcomcontrollerfield xmlns="82e40cf6-c09f-421d-a298-827f536a502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7CDA6-020A-4520-A5DC-4976732E1D1F}">
  <ds:schemaRefs>
    <ds:schemaRef ds:uri="http://schemas.microsoft.com/sharepoint/v3/contenttype/forms"/>
  </ds:schemaRefs>
</ds:datastoreItem>
</file>

<file path=customXml/itemProps2.xml><?xml version="1.0" encoding="utf-8"?>
<ds:datastoreItem xmlns:ds="http://schemas.openxmlformats.org/officeDocument/2006/customXml" ds:itemID="{69C496EA-C3CA-4D1E-9555-4B4F554B0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9efd1f78-2452-40eb-b641-aaad3c0a6650"/>
    <ds:schemaRef ds:uri="82e40cf6-c09f-421d-a298-827f536a5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3003B1-72A0-4286-A676-D2352FDC1D92}">
  <ds:schemaRefs>
    <ds:schemaRef ds:uri="http://schemas.microsoft.com/office/2006/metadata/properties"/>
    <ds:schemaRef ds:uri="http://schemas.microsoft.com/office/infopath/2007/PartnerControls"/>
    <ds:schemaRef ds:uri="82e40cf6-c09f-421d-a298-827f536a5023"/>
    <ds:schemaRef ds:uri="http://schemas.microsoft.com/sharepoint/v3"/>
    <ds:schemaRef ds:uri="http://schemas.microsoft.com/sharepoint/v4"/>
  </ds:schemaRefs>
</ds:datastoreItem>
</file>

<file path=customXml/itemProps4.xml><?xml version="1.0" encoding="utf-8"?>
<ds:datastoreItem xmlns:ds="http://schemas.openxmlformats.org/officeDocument/2006/customXml" ds:itemID="{3F4784AC-33A3-4B09-983F-4DCB70265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1893</Words>
  <Characters>10983</Characters>
  <Application>Microsoft Office Word</Application>
  <DocSecurity>0</DocSecurity>
  <Lines>366</Lines>
  <Paragraphs>173</Paragraphs>
  <ScaleCrop>false</ScaleCrop>
  <HeadingPairs>
    <vt:vector size="2" baseType="variant">
      <vt:variant>
        <vt:lpstr>Title</vt:lpstr>
      </vt:variant>
      <vt:variant>
        <vt:i4>1</vt:i4>
      </vt:variant>
    </vt:vector>
  </HeadingPairs>
  <TitlesOfParts>
    <vt:vector size="1" baseType="lpstr">
      <vt:lpstr>RD19-6-000 supporting statement</vt:lpstr>
    </vt:vector>
  </TitlesOfParts>
  <Company>FERC</Company>
  <LinksUpToDate>false</LinksUpToDate>
  <CharactersWithSpaces>12703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RD19-6-000 supporting statement</dc:title>
  <dc:creator>Michele Chambers</dc:creator>
  <cp:lastModifiedBy>Kayla Williams</cp:lastModifiedBy>
  <cp:revision>6</cp:revision>
  <dcterms:created xsi:type="dcterms:W3CDTF">2026-10-21T10:20:00Z</dcterms:created>
  <dcterms:modified xsi:type="dcterms:W3CDTF">2026-10-22T20:59:00Z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0x0101006D4A98CE0B408D41A9CE8FC72BBBB8EE</vt:lpwstr>
  </property>
  <property fmtid="{D5CDD505-2E9C-101B-9397-08002B2CF9AE}" pid="3" name="docLang">
    <vt:lpwstr>en</vt:lpwstr>
  </property>
  <property fmtid="{D5CDD505-2E9C-101B-9397-08002B2CF9AE}" pid="4" name="lcf76f155ced4ddcb4097134ff3c332f">
    <vt:lpwstr/>
  </property>
  <property fmtid="{D5CDD505-2E9C-101B-9397-08002B2CF9AE}" pid="5" name="MediaServiceImageTags">
    <vt:lpwstr/>
  </property>
  <property fmtid="{D5CDD505-2E9C-101B-9397-08002B2CF9AE}" pid="6" name="MSIP_Label_bd24d06a-0e85-4d57-b1e0-ba34b1abc708_ActionId">
    <vt:lpwstr>542e3f73-6f72-45e2-aa96-c7a5ac91e307</vt:lpwstr>
  </property>
  <property fmtid="{D5CDD505-2E9C-101B-9397-08002B2CF9AE}" pid="7" name="MSIP_Label_bd24d06a-0e85-4d57-b1e0-ba34b1abc708_ContentBits">
    <vt:lpwstr>0</vt:lpwstr>
  </property>
  <property fmtid="{D5CDD505-2E9C-101B-9397-08002B2CF9AE}" pid="8" name="MSIP_Label_bd24d06a-0e85-4d57-b1e0-ba34b1abc708_Enabled">
    <vt:lpwstr>true</vt:lpwstr>
  </property>
  <property fmtid="{D5CDD505-2E9C-101B-9397-08002B2CF9AE}" pid="9" name="MSIP_Label_bd24d06a-0e85-4d57-b1e0-ba34b1abc708_Method">
    <vt:lpwstr>Privileged</vt:lpwstr>
  </property>
  <property fmtid="{D5CDD505-2E9C-101B-9397-08002B2CF9AE}" pid="10" name="MSIP_Label_bd24d06a-0e85-4d57-b1e0-ba34b1abc708_Name">
    <vt:lpwstr>bd24d06a-0e85-4d57-b1e0-ba34b1abc708</vt:lpwstr>
  </property>
  <property fmtid="{D5CDD505-2E9C-101B-9397-08002B2CF9AE}" pid="11" name="MSIP_Label_bd24d06a-0e85-4d57-b1e0-ba34b1abc708_SetDate">
    <vt:lpwstr>2026-01-23T06:48:10Z</vt:lpwstr>
  </property>
  <property fmtid="{D5CDD505-2E9C-101B-9397-08002B2CF9AE}" pid="12" name="MSIP_Label_bd24d06a-0e85-4d57-b1e0-ba34b1abc708_SiteId">
    <vt:lpwstr>19caa9e9-04ff-43fa-885f-d77fac387903</vt:lpwstr>
  </property>
  <property fmtid="{D5CDD505-2E9C-101B-9397-08002B2CF9AE}" pid="13" name="TaxCatchAll">
    <vt:lpwstr/>
  </property>
  <property fmtid="{D5CDD505-2E9C-101B-9397-08002B2CF9AE}" pid="14" name="_NewReviewCycle">
    <vt:lpwstr/>
  </property>
</Properties>
</file>