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60D0E" w:rsidRPr="00EA4B61" w:rsidP="00760D0E" w14:paraId="1F63EFDC" w14:textId="13F72DBE">
      <w:pPr>
        <w:spacing w:after="0" w:line="240" w:lineRule="auto"/>
        <w:jc w:val="center"/>
        <w:rPr>
          <w:rFonts w:ascii="Times New Roman" w:eastAsia="Calibri" w:hAnsi="Times New Roman" w:cs="Times New Roman"/>
          <w:b/>
          <w:bCs/>
          <w:sz w:val="24"/>
          <w:szCs w:val="24"/>
        </w:rPr>
      </w:pPr>
      <w:r w:rsidRPr="00EA4B61">
        <w:rPr>
          <w:rFonts w:ascii="Times New Roman" w:hAnsi="Times New Roman" w:cs="Times New Roman"/>
          <w:b/>
          <w:bCs/>
          <w:sz w:val="24"/>
          <w:szCs w:val="24"/>
        </w:rPr>
        <w:t>S</w:t>
      </w:r>
      <w:r w:rsidRPr="00EA4B61" w:rsidR="005103B4">
        <w:rPr>
          <w:rFonts w:ascii="Times New Roman" w:hAnsi="Times New Roman" w:cs="Times New Roman"/>
          <w:b/>
          <w:bCs/>
          <w:sz w:val="24"/>
          <w:szCs w:val="24"/>
        </w:rPr>
        <w:t xml:space="preserve">upporting Statement </w:t>
      </w:r>
      <w:r w:rsidRPr="00EA4B61">
        <w:rPr>
          <w:rFonts w:ascii="Times New Roman" w:hAnsi="Times New Roman" w:cs="Times New Roman"/>
          <w:b/>
          <w:bCs/>
          <w:sz w:val="24"/>
          <w:szCs w:val="24"/>
        </w:rPr>
        <w:t xml:space="preserve">Associated with </w:t>
      </w:r>
      <w:r w:rsidRPr="00EA4B61">
        <w:rPr>
          <w:rFonts w:ascii="Times New Roman" w:eastAsia="Calibri" w:hAnsi="Times New Roman" w:cs="Times New Roman"/>
          <w:b/>
          <w:bCs/>
          <w:sz w:val="24"/>
          <w:szCs w:val="24"/>
        </w:rPr>
        <w:t>RM2</w:t>
      </w:r>
      <w:r w:rsidRPr="00EA4B61" w:rsidR="000A2386">
        <w:rPr>
          <w:rFonts w:ascii="Times New Roman" w:eastAsia="Calibri" w:hAnsi="Times New Roman" w:cs="Times New Roman"/>
          <w:b/>
          <w:bCs/>
          <w:sz w:val="24"/>
          <w:szCs w:val="24"/>
        </w:rPr>
        <w:t>6</w:t>
      </w:r>
      <w:r w:rsidRPr="00EA4B61">
        <w:rPr>
          <w:rFonts w:ascii="Times New Roman" w:eastAsia="Calibri" w:hAnsi="Times New Roman" w:cs="Times New Roman"/>
          <w:b/>
          <w:bCs/>
          <w:sz w:val="24"/>
          <w:szCs w:val="24"/>
        </w:rPr>
        <w:t>-2-00</w:t>
      </w:r>
      <w:r w:rsidR="0084053B">
        <w:rPr>
          <w:rFonts w:ascii="Times New Roman" w:eastAsia="Calibri" w:hAnsi="Times New Roman" w:cs="Times New Roman"/>
          <w:b/>
          <w:bCs/>
          <w:sz w:val="24"/>
          <w:szCs w:val="24"/>
        </w:rPr>
        <w:t>1</w:t>
      </w:r>
      <w:r w:rsidRPr="00EA4B61">
        <w:rPr>
          <w:rFonts w:ascii="Times New Roman" w:eastAsia="Calibri" w:hAnsi="Times New Roman" w:cs="Times New Roman"/>
          <w:b/>
          <w:bCs/>
          <w:sz w:val="24"/>
          <w:szCs w:val="24"/>
        </w:rPr>
        <w:t xml:space="preserve"> </w:t>
      </w:r>
    </w:p>
    <w:p w:rsidR="00A41375" w:rsidRPr="00EA4B61" w:rsidP="5213A355" w14:paraId="2E5FB1F4" w14:textId="57F58ECE">
      <w:pPr>
        <w:spacing w:after="0" w:line="240" w:lineRule="auto"/>
        <w:jc w:val="center"/>
        <w:rPr>
          <w:rFonts w:ascii="Times New Roman" w:hAnsi="Times New Roman" w:cs="Times New Roman"/>
          <w:b/>
          <w:bCs/>
          <w:sz w:val="24"/>
          <w:szCs w:val="24"/>
        </w:rPr>
      </w:pPr>
      <w:r w:rsidRPr="00EA4B61">
        <w:rPr>
          <w:rFonts w:ascii="Times New Roman" w:hAnsi="Times New Roman" w:cs="Times New Roman"/>
          <w:b/>
          <w:bCs/>
          <w:sz w:val="24"/>
          <w:szCs w:val="24"/>
        </w:rPr>
        <w:t>for</w:t>
      </w:r>
    </w:p>
    <w:p w:rsidR="00A41375" w:rsidRPr="00EA4B61" w:rsidP="00A41375" w14:paraId="3FBF02AE" w14:textId="77777777">
      <w:pPr>
        <w:spacing w:after="0" w:line="240" w:lineRule="auto"/>
        <w:jc w:val="center"/>
        <w:rPr>
          <w:rFonts w:ascii="Times New Roman" w:hAnsi="Times New Roman" w:cs="Times New Roman"/>
          <w:b/>
          <w:bCs/>
          <w:sz w:val="24"/>
          <w:szCs w:val="24"/>
        </w:rPr>
      </w:pPr>
      <w:r w:rsidRPr="00EA4B61">
        <w:rPr>
          <w:rFonts w:ascii="Times New Roman" w:hAnsi="Times New Roman" w:cs="Times New Roman"/>
          <w:b/>
          <w:bCs/>
          <w:sz w:val="24"/>
          <w:szCs w:val="24"/>
        </w:rPr>
        <w:t>FERC-537 (Gas Pipeline Certificates: Construction, Acquisition, and Abandonment)</w:t>
      </w:r>
    </w:p>
    <w:p w:rsidR="00760D0E" w:rsidRPr="00EA4B61" w:rsidP="00A41375" w14:paraId="56B6963E" w14:textId="0FE0B960">
      <w:pPr>
        <w:spacing w:after="0" w:line="240" w:lineRule="auto"/>
        <w:jc w:val="center"/>
        <w:rPr>
          <w:rFonts w:ascii="Times New Roman" w:hAnsi="Times New Roman" w:cs="Times New Roman"/>
          <w:b/>
          <w:bCs/>
          <w:sz w:val="24"/>
          <w:szCs w:val="24"/>
        </w:rPr>
      </w:pPr>
      <w:r w:rsidRPr="00EA4B61">
        <w:rPr>
          <w:rFonts w:ascii="Times New Roman" w:hAnsi="Times New Roman" w:cs="Times New Roman"/>
          <w:b/>
          <w:bCs/>
          <w:sz w:val="24"/>
          <w:szCs w:val="24"/>
        </w:rPr>
        <w:t>FERC-539 (Gas Pipeline Certificates: Import &amp; Export Related Applications)</w:t>
      </w:r>
    </w:p>
    <w:p w:rsidR="00D00CBE" w:rsidRPr="00EA4B61" w:rsidP="00A41375" w14:paraId="5FAECAB5" w14:textId="75FBED99">
      <w:pPr>
        <w:spacing w:after="0" w:line="240" w:lineRule="auto"/>
        <w:jc w:val="center"/>
        <w:rPr>
          <w:rFonts w:ascii="Times New Roman" w:hAnsi="Times New Roman" w:cs="Times New Roman"/>
          <w:b/>
          <w:sz w:val="24"/>
          <w:szCs w:val="24"/>
        </w:rPr>
      </w:pPr>
      <w:r w:rsidRPr="00EA4B61">
        <w:rPr>
          <w:rFonts w:ascii="Times New Roman" w:hAnsi="Times New Roman" w:cs="Times New Roman"/>
          <w:b/>
          <w:bCs/>
          <w:sz w:val="24"/>
          <w:szCs w:val="24"/>
        </w:rPr>
        <w:t>FERC-577 (</w:t>
      </w:r>
      <w:r w:rsidRPr="00EA4B61" w:rsidR="004516F5">
        <w:rPr>
          <w:rFonts w:ascii="Times New Roman" w:hAnsi="Times New Roman" w:cs="Times New Roman"/>
          <w:b/>
          <w:bCs/>
          <w:sz w:val="24"/>
          <w:szCs w:val="24"/>
        </w:rPr>
        <w:t>Natural Gas Facilities: Environmental Review and Compliance)</w:t>
      </w:r>
    </w:p>
    <w:p w:rsidR="003D5A37" w:rsidRPr="00EA4B61" w:rsidP="003D5A37" w14:paraId="024EB479" w14:textId="77777777">
      <w:pPr>
        <w:spacing w:after="0" w:line="240" w:lineRule="auto"/>
        <w:rPr>
          <w:rFonts w:ascii="Times New Roman" w:hAnsi="Times New Roman" w:cs="Times New Roman"/>
          <w:b/>
          <w:sz w:val="24"/>
          <w:szCs w:val="24"/>
        </w:rPr>
      </w:pPr>
    </w:p>
    <w:p w:rsidR="008013AF" w:rsidRPr="00EA4B61" w:rsidP="007C3270" w14:paraId="4406F8B8" w14:textId="3373650E">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The Federal Energy Regulatory Commission (Commission or FERC) requests that the Office of Management and Budget (OMB) review the </w:t>
      </w:r>
      <w:r w:rsidRPr="00EA4B61" w:rsidR="58C28093">
        <w:rPr>
          <w:rFonts w:ascii="Times New Roman" w:hAnsi="Times New Roman" w:cs="Times New Roman"/>
          <w:sz w:val="24"/>
          <w:szCs w:val="24"/>
        </w:rPr>
        <w:t>proposed</w:t>
      </w:r>
      <w:r w:rsidRPr="00EA4B61" w:rsidR="45532A05">
        <w:rPr>
          <w:rFonts w:ascii="Times New Roman" w:hAnsi="Times New Roman" w:cs="Times New Roman"/>
          <w:sz w:val="24"/>
          <w:szCs w:val="24"/>
        </w:rPr>
        <w:t xml:space="preserve"> </w:t>
      </w:r>
      <w:r w:rsidRPr="00EA4B61">
        <w:rPr>
          <w:rFonts w:ascii="Times New Roman" w:hAnsi="Times New Roman" w:cs="Times New Roman"/>
          <w:sz w:val="24"/>
          <w:szCs w:val="24"/>
        </w:rPr>
        <w:t>modifications to</w:t>
      </w:r>
      <w:r w:rsidRPr="00EA4B61" w:rsidR="00A25A46">
        <w:rPr>
          <w:rFonts w:ascii="Times New Roman" w:hAnsi="Times New Roman" w:cs="Times New Roman"/>
          <w:sz w:val="24"/>
          <w:szCs w:val="24"/>
        </w:rPr>
        <w:t xml:space="preserve"> the following approved collections</w:t>
      </w:r>
      <w:r w:rsidRPr="00EA4B61">
        <w:rPr>
          <w:rFonts w:ascii="Times New Roman" w:hAnsi="Times New Roman" w:cs="Times New Roman"/>
          <w:sz w:val="24"/>
          <w:szCs w:val="24"/>
        </w:rPr>
        <w:t xml:space="preserve"> as described in the </w:t>
      </w:r>
      <w:r w:rsidRPr="00EA4B61" w:rsidR="4A21609C">
        <w:rPr>
          <w:rFonts w:ascii="Times New Roman" w:hAnsi="Times New Roman" w:cs="Times New Roman"/>
          <w:sz w:val="24"/>
          <w:szCs w:val="24"/>
        </w:rPr>
        <w:t>RM2</w:t>
      </w:r>
      <w:r w:rsidRPr="00EA4B61" w:rsidR="00A25A46">
        <w:rPr>
          <w:rFonts w:ascii="Times New Roman" w:hAnsi="Times New Roman" w:cs="Times New Roman"/>
          <w:sz w:val="24"/>
          <w:szCs w:val="24"/>
        </w:rPr>
        <w:t>6</w:t>
      </w:r>
      <w:r w:rsidRPr="00EA4B61" w:rsidR="4A21609C">
        <w:rPr>
          <w:rFonts w:ascii="Times New Roman" w:hAnsi="Times New Roman" w:cs="Times New Roman"/>
          <w:sz w:val="24"/>
          <w:szCs w:val="24"/>
        </w:rPr>
        <w:t>-2-00</w:t>
      </w:r>
      <w:r w:rsidR="0084053B">
        <w:rPr>
          <w:rFonts w:ascii="Times New Roman" w:hAnsi="Times New Roman" w:cs="Times New Roman"/>
          <w:sz w:val="24"/>
          <w:szCs w:val="24"/>
        </w:rPr>
        <w:t>1</w:t>
      </w:r>
      <w:r w:rsidRPr="00EA4B61" w:rsidR="4A21609C">
        <w:rPr>
          <w:rFonts w:ascii="Times New Roman" w:hAnsi="Times New Roman" w:cs="Times New Roman"/>
          <w:sz w:val="24"/>
          <w:szCs w:val="24"/>
        </w:rPr>
        <w:t xml:space="preserve">: </w:t>
      </w:r>
      <w:r w:rsidRPr="00EA4B61" w:rsidR="00A92E6F">
        <w:rPr>
          <w:rFonts w:ascii="Times New Roman" w:hAnsi="Times New Roman" w:cs="Times New Roman"/>
          <w:sz w:val="24"/>
          <w:szCs w:val="24"/>
        </w:rPr>
        <w:t>Authorizations for Certain Activities at Liquefied Natural Gas Plants</w:t>
      </w:r>
      <w:r w:rsidRPr="00EA4B61">
        <w:rPr>
          <w:rFonts w:ascii="Times New Roman" w:hAnsi="Times New Roman" w:cs="Times New Roman"/>
          <w:sz w:val="24"/>
          <w:szCs w:val="24"/>
        </w:rPr>
        <w:t xml:space="preserve">. </w:t>
      </w:r>
    </w:p>
    <w:p w:rsidR="000A2386" w:rsidRPr="00EA4B61" w:rsidP="000A2386" w14:paraId="0C962E58" w14:textId="0C40E5DC">
      <w:pPr>
        <w:pStyle w:val="ListParagraph"/>
        <w:numPr>
          <w:ilvl w:val="0"/>
          <w:numId w:val="7"/>
        </w:num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FERC-537</w:t>
      </w:r>
      <w:r w:rsidRPr="00EA4B61" w:rsidR="00807C14">
        <w:rPr>
          <w:rFonts w:ascii="Times New Roman" w:hAnsi="Times New Roman" w:cs="Times New Roman"/>
          <w:sz w:val="24"/>
          <w:szCs w:val="24"/>
        </w:rPr>
        <w:t xml:space="preserve">: </w:t>
      </w:r>
      <w:r w:rsidRPr="00EA4B61">
        <w:rPr>
          <w:rFonts w:ascii="Times New Roman" w:hAnsi="Times New Roman" w:cs="Times New Roman"/>
          <w:sz w:val="24"/>
          <w:szCs w:val="24"/>
        </w:rPr>
        <w:t>Gas Pipeline Certificates: Construction, Acquisition, and Abandonment</w:t>
      </w:r>
      <w:r w:rsidRPr="00EA4B61" w:rsidR="00807C14">
        <w:rPr>
          <w:rFonts w:ascii="Times New Roman" w:hAnsi="Times New Roman" w:cs="Times New Roman"/>
          <w:sz w:val="24"/>
          <w:szCs w:val="24"/>
        </w:rPr>
        <w:t xml:space="preserve"> (1902-</w:t>
      </w:r>
      <w:r w:rsidRPr="00EA4B61" w:rsidR="00D80EFF">
        <w:rPr>
          <w:rFonts w:ascii="Times New Roman" w:hAnsi="Times New Roman" w:cs="Times New Roman"/>
          <w:sz w:val="24"/>
          <w:szCs w:val="24"/>
        </w:rPr>
        <w:t>0060)</w:t>
      </w:r>
    </w:p>
    <w:p w:rsidR="000A2386" w:rsidRPr="00EA4B61" w:rsidP="000A2386" w14:paraId="787CA3B5" w14:textId="614E0A38">
      <w:pPr>
        <w:pStyle w:val="ListParagraph"/>
        <w:numPr>
          <w:ilvl w:val="0"/>
          <w:numId w:val="7"/>
        </w:num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FERC-539</w:t>
      </w:r>
      <w:r w:rsidRPr="00EA4B61" w:rsidR="00D80EFF">
        <w:rPr>
          <w:rFonts w:ascii="Times New Roman" w:hAnsi="Times New Roman" w:cs="Times New Roman"/>
          <w:sz w:val="24"/>
          <w:szCs w:val="24"/>
        </w:rPr>
        <w:t xml:space="preserve">: </w:t>
      </w:r>
      <w:r w:rsidRPr="00EA4B61">
        <w:rPr>
          <w:rFonts w:ascii="Times New Roman" w:hAnsi="Times New Roman" w:cs="Times New Roman"/>
          <w:sz w:val="24"/>
          <w:szCs w:val="24"/>
        </w:rPr>
        <w:t>Gas Pipeline Certificates: Import &amp; Export Related Applications</w:t>
      </w:r>
      <w:r w:rsidRPr="00EA4B61" w:rsidR="00D80EFF">
        <w:rPr>
          <w:rFonts w:ascii="Times New Roman" w:hAnsi="Times New Roman" w:cs="Times New Roman"/>
          <w:sz w:val="24"/>
          <w:szCs w:val="24"/>
        </w:rPr>
        <w:t xml:space="preserve"> (1902-0062)</w:t>
      </w:r>
    </w:p>
    <w:p w:rsidR="00A92E6F" w:rsidRPr="00EA4B61" w:rsidP="000A2386" w14:paraId="59D26CC7" w14:textId="30C8407F">
      <w:pPr>
        <w:pStyle w:val="ListParagraph"/>
        <w:numPr>
          <w:ilvl w:val="0"/>
          <w:numId w:val="7"/>
        </w:num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FERC-577</w:t>
      </w:r>
      <w:r w:rsidRPr="00EA4B61" w:rsidR="00D80EFF">
        <w:rPr>
          <w:rFonts w:ascii="Times New Roman" w:hAnsi="Times New Roman" w:cs="Times New Roman"/>
          <w:sz w:val="24"/>
          <w:szCs w:val="24"/>
        </w:rPr>
        <w:t>:</w:t>
      </w:r>
      <w:r w:rsidRPr="00EA4B61" w:rsidR="003D4330">
        <w:rPr>
          <w:rFonts w:ascii="Times New Roman" w:hAnsi="Times New Roman" w:cs="Times New Roman"/>
          <w:sz w:val="24"/>
          <w:szCs w:val="24"/>
        </w:rPr>
        <w:t xml:space="preserve"> </w:t>
      </w:r>
      <w:r w:rsidRPr="00EA4B61">
        <w:rPr>
          <w:rFonts w:ascii="Times New Roman" w:hAnsi="Times New Roman" w:cs="Times New Roman"/>
          <w:sz w:val="24"/>
          <w:szCs w:val="24"/>
        </w:rPr>
        <w:t>Natural Gas Facilities: Environmental Review and Compliance</w:t>
      </w:r>
      <w:r w:rsidRPr="00EA4B61" w:rsidR="003D4330">
        <w:rPr>
          <w:rFonts w:ascii="Times New Roman" w:hAnsi="Times New Roman" w:cs="Times New Roman"/>
          <w:sz w:val="24"/>
          <w:szCs w:val="24"/>
        </w:rPr>
        <w:t xml:space="preserve"> (1902-0128)</w:t>
      </w:r>
    </w:p>
    <w:p w:rsidR="000A2386" w:rsidRPr="00EA4B61" w:rsidP="000A2386" w14:paraId="73702555" w14:textId="77777777">
      <w:pPr>
        <w:spacing w:after="0" w:line="240" w:lineRule="auto"/>
        <w:rPr>
          <w:rFonts w:ascii="Times New Roman" w:hAnsi="Times New Roman" w:cs="Times New Roman"/>
          <w:sz w:val="24"/>
          <w:szCs w:val="24"/>
        </w:rPr>
      </w:pPr>
    </w:p>
    <w:p w:rsidR="007C3270" w:rsidRPr="00EA4B61" w:rsidP="007C3270" w14:paraId="405EC055" w14:textId="37BBAD87">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These collections</w:t>
      </w:r>
      <w:r w:rsidRPr="00EA4B61" w:rsidR="00E66D3D">
        <w:rPr>
          <w:rFonts w:ascii="Times New Roman" w:hAnsi="Times New Roman" w:cs="Times New Roman"/>
          <w:sz w:val="24"/>
          <w:szCs w:val="24"/>
        </w:rPr>
        <w:t xml:space="preserve"> implement sections 3 and 7 of the Natural Gas Act (NGA).</w:t>
      </w:r>
    </w:p>
    <w:p w:rsidR="00C37454" w:rsidRPr="00EA4B61" w:rsidP="007C3270" w14:paraId="573C77F5" w14:textId="77777777">
      <w:pPr>
        <w:spacing w:after="0" w:line="240" w:lineRule="auto"/>
        <w:rPr>
          <w:rFonts w:ascii="Times New Roman" w:hAnsi="Times New Roman" w:cs="Times New Roman"/>
          <w:sz w:val="24"/>
          <w:szCs w:val="24"/>
        </w:rPr>
      </w:pPr>
    </w:p>
    <w:p w:rsidR="000C62B3" w:rsidRPr="00EA4B61" w:rsidP="008F2223" w14:paraId="0462BB20" w14:textId="349BA3EC">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In this Notice of Proposed Rulemaking (NOPR), </w:t>
      </w:r>
      <w:r w:rsidR="00344709">
        <w:rPr>
          <w:rFonts w:ascii="Times New Roman" w:hAnsi="Times New Roman" w:cs="Times New Roman"/>
          <w:sz w:val="24"/>
          <w:szCs w:val="24"/>
        </w:rPr>
        <w:t>the Commission</w:t>
      </w:r>
      <w:r w:rsidRPr="00EA4B61" w:rsidR="00344709">
        <w:rPr>
          <w:rFonts w:ascii="Times New Roman" w:hAnsi="Times New Roman" w:cs="Times New Roman"/>
          <w:sz w:val="24"/>
          <w:szCs w:val="24"/>
        </w:rPr>
        <w:t xml:space="preserve"> </w:t>
      </w:r>
      <w:r w:rsidRPr="00EA4B61">
        <w:rPr>
          <w:rFonts w:ascii="Times New Roman" w:hAnsi="Times New Roman" w:cs="Times New Roman"/>
          <w:sz w:val="24"/>
          <w:szCs w:val="24"/>
        </w:rPr>
        <w:t>proposes to amend its regulations to establish procedures for authorizing activities at liquefied natural gas (LNG) plants without the need for operators to file case-specific applications or for the Commission to issue case-specific orders under sections 3 or 7 of the Natural Gas Act (NGA).</w:t>
      </w:r>
      <w:r>
        <w:rPr>
          <w:rFonts w:ascii="Times New Roman" w:hAnsi="Times New Roman" w:cs="Times New Roman"/>
          <w:b/>
          <w:bCs/>
          <w:sz w:val="24"/>
          <w:szCs w:val="24"/>
          <w:vertAlign w:val="superscript"/>
        </w:rPr>
        <w:footnoteReference w:id="3"/>
      </w:r>
      <w:r w:rsidRPr="00EA4B61">
        <w:rPr>
          <w:rFonts w:ascii="Times New Roman" w:hAnsi="Times New Roman" w:cs="Times New Roman"/>
          <w:sz w:val="24"/>
          <w:szCs w:val="24"/>
        </w:rPr>
        <w:t xml:space="preserve">  This NOPR includes proposed revisions to Parts 2, 153, and 375 of the Commission’s regulations.</w:t>
      </w:r>
      <w:r w:rsidRPr="00EA4B61" w:rsidR="009023DE">
        <w:rPr>
          <w:rFonts w:ascii="Times New Roman" w:hAnsi="Times New Roman" w:cs="Times New Roman"/>
          <w:sz w:val="24"/>
          <w:szCs w:val="24"/>
        </w:rPr>
        <w:t xml:space="preserve"> </w:t>
      </w:r>
      <w:r w:rsidR="00344709">
        <w:rPr>
          <w:rFonts w:ascii="Times New Roman" w:hAnsi="Times New Roman" w:cs="Times New Roman"/>
          <w:sz w:val="24"/>
          <w:szCs w:val="24"/>
        </w:rPr>
        <w:t xml:space="preserve"> </w:t>
      </w:r>
      <w:r w:rsidRPr="00EA4B61" w:rsidR="009023DE">
        <w:rPr>
          <w:rFonts w:ascii="Times New Roman" w:hAnsi="Times New Roman" w:cs="Times New Roman"/>
          <w:sz w:val="24"/>
          <w:szCs w:val="24"/>
        </w:rPr>
        <w:t>The proposal includes the creation of a</w:t>
      </w:r>
      <w:r w:rsidR="00344709">
        <w:rPr>
          <w:rFonts w:ascii="Times New Roman" w:hAnsi="Times New Roman" w:cs="Times New Roman"/>
          <w:sz w:val="24"/>
          <w:szCs w:val="24"/>
        </w:rPr>
        <w:t>n</w:t>
      </w:r>
      <w:r w:rsidRPr="00EA4B61" w:rsidR="009023DE">
        <w:rPr>
          <w:rFonts w:ascii="Times New Roman" w:hAnsi="Times New Roman" w:cs="Times New Roman"/>
          <w:sz w:val="24"/>
          <w:szCs w:val="24"/>
        </w:rPr>
        <w:t xml:space="preserve"> </w:t>
      </w:r>
      <w:r w:rsidRPr="00EA4B61" w:rsidR="00803505">
        <w:rPr>
          <w:rFonts w:ascii="Times New Roman" w:hAnsi="Times New Roman" w:cs="Times New Roman"/>
          <w:sz w:val="24"/>
          <w:szCs w:val="24"/>
        </w:rPr>
        <w:t xml:space="preserve">LNG </w:t>
      </w:r>
      <w:r w:rsidRPr="00EA4B61" w:rsidR="009023DE">
        <w:rPr>
          <w:rFonts w:ascii="Times New Roman" w:hAnsi="Times New Roman" w:cs="Times New Roman"/>
          <w:sz w:val="24"/>
          <w:szCs w:val="24"/>
        </w:rPr>
        <w:t xml:space="preserve">blanket program </w:t>
      </w:r>
      <w:r w:rsidRPr="00EA4B61" w:rsidR="00E053CD">
        <w:rPr>
          <w:rFonts w:ascii="Times New Roman" w:hAnsi="Times New Roman" w:cs="Times New Roman"/>
          <w:sz w:val="24"/>
          <w:szCs w:val="24"/>
        </w:rPr>
        <w:t>allowing the automatic or prior notice authorization for certain activitie</w:t>
      </w:r>
      <w:r w:rsidR="009106AE">
        <w:rPr>
          <w:rFonts w:ascii="Times New Roman" w:hAnsi="Times New Roman" w:cs="Times New Roman"/>
          <w:sz w:val="24"/>
          <w:szCs w:val="24"/>
        </w:rPr>
        <w:t>s</w:t>
      </w:r>
      <w:r w:rsidRPr="00EA4B61" w:rsidR="00215DE3">
        <w:rPr>
          <w:rFonts w:ascii="Times New Roman" w:hAnsi="Times New Roman" w:cs="Times New Roman"/>
          <w:sz w:val="24"/>
          <w:szCs w:val="24"/>
        </w:rPr>
        <w:t>.</w:t>
      </w:r>
      <w:r w:rsidRPr="00EA4B61">
        <w:rPr>
          <w:rFonts w:ascii="Times New Roman" w:hAnsi="Times New Roman" w:cs="Times New Roman"/>
          <w:sz w:val="24"/>
          <w:szCs w:val="24"/>
        </w:rPr>
        <w:t xml:space="preserve"> The case-by-case review process for certain replacements, modifications, and expansions is administratively inefficient and slows down the authorization of needed projects.</w:t>
      </w:r>
      <w:r w:rsidRPr="00EA4B61" w:rsidR="00215DE3">
        <w:rPr>
          <w:rFonts w:ascii="Times New Roman" w:hAnsi="Times New Roman" w:cs="Times New Roman"/>
          <w:sz w:val="24"/>
          <w:szCs w:val="24"/>
        </w:rPr>
        <w:t xml:space="preserve"> </w:t>
      </w:r>
    </w:p>
    <w:p w:rsidR="000C62B3" w:rsidRPr="00EA4B61" w:rsidP="008F2223" w14:paraId="61757FA8" w14:textId="77777777">
      <w:pPr>
        <w:spacing w:after="0" w:line="240" w:lineRule="auto"/>
        <w:rPr>
          <w:rFonts w:ascii="Times New Roman" w:hAnsi="Times New Roman" w:cs="Times New Roman"/>
          <w:sz w:val="24"/>
          <w:szCs w:val="24"/>
        </w:rPr>
      </w:pPr>
    </w:p>
    <w:p w:rsidR="000620C6" w:rsidRPr="00EA4B61" w:rsidP="008F2223" w14:paraId="55220179" w14:textId="4B0363AC">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Th</w:t>
      </w:r>
      <w:r w:rsidRPr="00EA4B61" w:rsidR="004F1F5C">
        <w:rPr>
          <w:rFonts w:ascii="Times New Roman" w:hAnsi="Times New Roman" w:cs="Times New Roman"/>
          <w:sz w:val="24"/>
          <w:szCs w:val="24"/>
        </w:rPr>
        <w:t>e proposed program would have similarities to the Part 157</w:t>
      </w:r>
      <w:r w:rsidRPr="00EA4B61" w:rsidR="0030154E">
        <w:rPr>
          <w:rFonts w:ascii="Times New Roman" w:hAnsi="Times New Roman" w:cs="Times New Roman"/>
          <w:sz w:val="24"/>
          <w:szCs w:val="24"/>
        </w:rPr>
        <w:t>, subpart F</w:t>
      </w:r>
      <w:r w:rsidRPr="00EA4B61" w:rsidR="00314F15">
        <w:rPr>
          <w:rFonts w:ascii="Times New Roman" w:hAnsi="Times New Roman" w:cs="Times New Roman"/>
          <w:sz w:val="24"/>
          <w:szCs w:val="24"/>
        </w:rPr>
        <w:t xml:space="preserve"> </w:t>
      </w:r>
      <w:r w:rsidRPr="00EA4B61" w:rsidR="0030154E">
        <w:rPr>
          <w:rFonts w:ascii="Times New Roman" w:hAnsi="Times New Roman" w:cs="Times New Roman"/>
          <w:sz w:val="24"/>
          <w:szCs w:val="24"/>
        </w:rPr>
        <w:t xml:space="preserve">program that </w:t>
      </w:r>
      <w:r w:rsidRPr="00EA4B61" w:rsidR="00575B36">
        <w:rPr>
          <w:rFonts w:ascii="Times New Roman" w:hAnsi="Times New Roman" w:cs="Times New Roman"/>
          <w:sz w:val="24"/>
          <w:szCs w:val="24"/>
        </w:rPr>
        <w:t xml:space="preserve">currently </w:t>
      </w:r>
      <w:r w:rsidRPr="00EA4B61" w:rsidR="0030154E">
        <w:rPr>
          <w:rFonts w:ascii="Times New Roman" w:hAnsi="Times New Roman" w:cs="Times New Roman"/>
          <w:sz w:val="24"/>
          <w:szCs w:val="24"/>
        </w:rPr>
        <w:t>enables interstate</w:t>
      </w:r>
      <w:r w:rsidRPr="00EA4B61" w:rsidR="00314F15">
        <w:rPr>
          <w:rFonts w:ascii="Times New Roman" w:hAnsi="Times New Roman" w:cs="Times New Roman"/>
          <w:sz w:val="24"/>
          <w:szCs w:val="24"/>
        </w:rPr>
        <w:t xml:space="preserve"> </w:t>
      </w:r>
      <w:r w:rsidRPr="00EA4B61" w:rsidR="0030154E">
        <w:rPr>
          <w:rFonts w:ascii="Times New Roman" w:hAnsi="Times New Roman" w:cs="Times New Roman"/>
          <w:sz w:val="24"/>
          <w:szCs w:val="24"/>
        </w:rPr>
        <w:t xml:space="preserve">pipelines </w:t>
      </w:r>
      <w:r w:rsidR="0084538C">
        <w:rPr>
          <w:rFonts w:ascii="Times New Roman" w:hAnsi="Times New Roman" w:cs="Times New Roman"/>
          <w:sz w:val="24"/>
          <w:szCs w:val="24"/>
        </w:rPr>
        <w:t>with</w:t>
      </w:r>
      <w:r w:rsidRPr="00EA4B61" w:rsidR="00314F15">
        <w:rPr>
          <w:rFonts w:ascii="Times New Roman" w:hAnsi="Times New Roman" w:cs="Times New Roman"/>
          <w:sz w:val="24"/>
          <w:szCs w:val="24"/>
        </w:rPr>
        <w:t xml:space="preserve"> a blanket certificate to undertake, without case-specific authorizations, certain activities automatically, subject only to regular reporting requirements,</w:t>
      </w:r>
      <w:r>
        <w:rPr>
          <w:rFonts w:ascii="Times New Roman" w:hAnsi="Times New Roman" w:cs="Times New Roman"/>
          <w:b/>
          <w:sz w:val="24"/>
          <w:szCs w:val="24"/>
          <w:vertAlign w:val="superscript"/>
        </w:rPr>
        <w:footnoteReference w:id="4"/>
      </w:r>
      <w:r w:rsidRPr="00EA4B61" w:rsidR="00314F15">
        <w:rPr>
          <w:rFonts w:ascii="Times New Roman" w:hAnsi="Times New Roman" w:cs="Times New Roman"/>
          <w:sz w:val="24"/>
          <w:szCs w:val="24"/>
        </w:rPr>
        <w:t xml:space="preserve"> and certain other activities after prior notice.</w:t>
      </w:r>
      <w:r>
        <w:rPr>
          <w:rFonts w:ascii="Times New Roman" w:hAnsi="Times New Roman" w:cs="Times New Roman"/>
          <w:b/>
          <w:sz w:val="24"/>
          <w:szCs w:val="24"/>
          <w:vertAlign w:val="superscript"/>
        </w:rPr>
        <w:footnoteReference w:id="5"/>
      </w:r>
      <w:r w:rsidRPr="00EA4B61" w:rsidR="00314F15">
        <w:rPr>
          <w:rFonts w:ascii="Times New Roman" w:hAnsi="Times New Roman" w:cs="Times New Roman"/>
          <w:sz w:val="24"/>
          <w:szCs w:val="24"/>
        </w:rPr>
        <w:t xml:space="preserve">  </w:t>
      </w:r>
    </w:p>
    <w:p w:rsidR="005746AF" w:rsidRPr="00EA4B61" w:rsidP="007C3270" w14:paraId="45A78D2D" w14:textId="77777777">
      <w:pPr>
        <w:spacing w:after="0" w:line="240" w:lineRule="auto"/>
        <w:rPr>
          <w:rFonts w:ascii="Times New Roman" w:hAnsi="Times New Roman" w:cs="Times New Roman"/>
          <w:sz w:val="24"/>
          <w:szCs w:val="24"/>
        </w:rPr>
      </w:pPr>
    </w:p>
    <w:p w:rsidR="00391C45" w:rsidRPr="00EA4B61" w:rsidP="00543BEE" w14:paraId="0E0565B5" w14:textId="77777777">
      <w:pPr>
        <w:numPr>
          <w:ilvl w:val="0"/>
          <w:numId w:val="1"/>
        </w:numPr>
        <w:spacing w:after="0" w:line="240" w:lineRule="auto"/>
        <w:ind w:left="0" w:firstLine="0"/>
        <w:rPr>
          <w:rFonts w:ascii="Times New Roman" w:hAnsi="Times New Roman" w:cs="Times New Roman"/>
          <w:b/>
          <w:sz w:val="24"/>
          <w:szCs w:val="24"/>
        </w:rPr>
      </w:pPr>
      <w:r w:rsidRPr="00EA4B61">
        <w:rPr>
          <w:rFonts w:ascii="Times New Roman" w:hAnsi="Times New Roman" w:cs="Times New Roman"/>
          <w:b/>
          <w:sz w:val="24"/>
          <w:szCs w:val="24"/>
        </w:rPr>
        <w:t>CIRCUMSTANCES THAT MAKE THE COLLECTION OF INFORMATION NECESSARY</w:t>
      </w:r>
    </w:p>
    <w:p w:rsidR="00391C45" w:rsidRPr="00EA4B61" w:rsidP="00391C45" w14:paraId="001B88A8" w14:textId="77777777">
      <w:pPr>
        <w:spacing w:after="0" w:line="240" w:lineRule="auto"/>
        <w:rPr>
          <w:rFonts w:ascii="Times New Roman" w:hAnsi="Times New Roman" w:cs="Times New Roman"/>
          <w:sz w:val="24"/>
          <w:szCs w:val="24"/>
        </w:rPr>
      </w:pPr>
    </w:p>
    <w:p w:rsidR="00174136" w:rsidRPr="00EA4B61" w:rsidP="00174136" w14:paraId="2B7DDFFD" w14:textId="77777777">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The Commission regulates the siting, construction, expansion, and operation of LNG plants pursuant to sections 3 and 7 of the NGA.  Section 3(a) provides for Federal jurisdiction over the siting, construction, expansion, and operation of facilities used to export or import natural gas.</w:t>
      </w:r>
      <w:r>
        <w:rPr>
          <w:rFonts w:ascii="Times New Roman" w:hAnsi="Times New Roman" w:cs="Times New Roman"/>
          <w:b/>
          <w:sz w:val="24"/>
          <w:szCs w:val="24"/>
          <w:vertAlign w:val="superscript"/>
        </w:rPr>
        <w:footnoteReference w:id="6"/>
      </w:r>
      <w:r w:rsidRPr="00EA4B61">
        <w:rPr>
          <w:rFonts w:ascii="Times New Roman" w:hAnsi="Times New Roman" w:cs="Times New Roman"/>
          <w:sz w:val="24"/>
          <w:szCs w:val="24"/>
        </w:rPr>
        <w:t xml:space="preserve">  Section 3(e)(1) states that “[t]he Commission shall have the exclusive authority to approve or </w:t>
      </w:r>
      <w:r w:rsidRPr="00EA4B61">
        <w:rPr>
          <w:rFonts w:ascii="Times New Roman" w:hAnsi="Times New Roman" w:cs="Times New Roman"/>
          <w:sz w:val="24"/>
          <w:szCs w:val="24"/>
        </w:rPr>
        <w:t>deny an application for the siting, construction, expansion, or operation of an LNG terminal.”</w:t>
      </w:r>
      <w:r>
        <w:rPr>
          <w:rFonts w:ascii="Times New Roman" w:hAnsi="Times New Roman" w:cs="Times New Roman"/>
          <w:b/>
          <w:sz w:val="24"/>
          <w:szCs w:val="24"/>
          <w:vertAlign w:val="superscript"/>
        </w:rPr>
        <w:footnoteReference w:id="7"/>
      </w:r>
      <w:r w:rsidRPr="00EA4B61">
        <w:rPr>
          <w:rFonts w:ascii="Times New Roman" w:hAnsi="Times New Roman" w:cs="Times New Roman"/>
          <w:sz w:val="24"/>
          <w:szCs w:val="24"/>
        </w:rPr>
        <w:t xml:space="preserve">  And under section 7(c), the Commission issues certificates of public convenience and necessity for the construction and operation of natural gas and LNG facilities used for the transportation of natural gas in interstate commerce.</w:t>
      </w:r>
      <w:r>
        <w:rPr>
          <w:rFonts w:ascii="Times New Roman" w:hAnsi="Times New Roman" w:cs="Times New Roman"/>
          <w:b/>
          <w:sz w:val="24"/>
          <w:szCs w:val="24"/>
          <w:vertAlign w:val="superscript"/>
        </w:rPr>
        <w:footnoteReference w:id="8"/>
      </w:r>
      <w:r w:rsidRPr="00EA4B61">
        <w:rPr>
          <w:rFonts w:ascii="Times New Roman" w:hAnsi="Times New Roman" w:cs="Times New Roman"/>
          <w:sz w:val="24"/>
          <w:szCs w:val="24"/>
        </w:rPr>
        <w:t xml:space="preserve">  Under both section 3 and section 7, the Commission has the authority to include terms and conditions in any order authorizing an LNG plant.</w:t>
      </w:r>
      <w:r>
        <w:rPr>
          <w:rFonts w:ascii="Times New Roman" w:hAnsi="Times New Roman" w:cs="Times New Roman"/>
          <w:b/>
          <w:sz w:val="24"/>
          <w:szCs w:val="24"/>
          <w:vertAlign w:val="superscript"/>
        </w:rPr>
        <w:footnoteReference w:id="9"/>
      </w:r>
      <w:r w:rsidRPr="00EA4B61">
        <w:rPr>
          <w:rFonts w:ascii="Times New Roman" w:hAnsi="Times New Roman" w:cs="Times New Roman"/>
          <w:sz w:val="24"/>
          <w:szCs w:val="24"/>
        </w:rPr>
        <w:t xml:space="preserve">  </w:t>
      </w:r>
    </w:p>
    <w:p w:rsidR="00174136" w:rsidRPr="00EA4B61" w:rsidP="00174136" w14:paraId="0201309D" w14:textId="77777777">
      <w:pPr>
        <w:spacing w:after="0" w:line="240" w:lineRule="auto"/>
        <w:rPr>
          <w:rFonts w:ascii="Times New Roman" w:hAnsi="Times New Roman" w:cs="Times New Roman"/>
          <w:sz w:val="24"/>
          <w:szCs w:val="24"/>
        </w:rPr>
      </w:pPr>
    </w:p>
    <w:p w:rsidR="008B6D41" w:rsidRPr="00EA4B61" w:rsidP="00234743" w14:paraId="7D7986AD" w14:textId="0D6632CD">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Modifications to already-approved, operating LNG plants may need to be undertaken during the life of the plant.</w:t>
      </w:r>
      <w:r>
        <w:rPr>
          <w:rFonts w:ascii="Times New Roman" w:hAnsi="Times New Roman" w:cs="Times New Roman"/>
          <w:b/>
          <w:sz w:val="24"/>
          <w:szCs w:val="24"/>
          <w:vertAlign w:val="superscript"/>
        </w:rPr>
        <w:footnoteReference w:id="10"/>
      </w:r>
      <w:r w:rsidRPr="00EA4B61">
        <w:rPr>
          <w:rFonts w:ascii="Times New Roman" w:hAnsi="Times New Roman" w:cs="Times New Roman"/>
          <w:sz w:val="24"/>
          <w:szCs w:val="24"/>
        </w:rPr>
        <w:t xml:space="preserve">  Such modifications may currently necessitate that the operator file a case-specific application, on which the Commission makes a public interest determination.</w:t>
      </w:r>
    </w:p>
    <w:p w:rsidR="008B6D41" w:rsidRPr="00EA4B61" w:rsidP="00234743" w14:paraId="7A83F881" w14:textId="77777777">
      <w:pPr>
        <w:spacing w:after="0" w:line="240" w:lineRule="auto"/>
        <w:rPr>
          <w:rFonts w:ascii="Times New Roman" w:hAnsi="Times New Roman" w:cs="Times New Roman"/>
          <w:sz w:val="24"/>
          <w:szCs w:val="24"/>
        </w:rPr>
      </w:pPr>
    </w:p>
    <w:p w:rsidR="00103037" w:rsidRPr="00EA4B61" w:rsidP="00543BEE" w14:paraId="6B6E69FB" w14:textId="77777777">
      <w:pPr>
        <w:numPr>
          <w:ilvl w:val="0"/>
          <w:numId w:val="1"/>
        </w:numPr>
        <w:spacing w:after="0" w:line="240" w:lineRule="auto"/>
        <w:ind w:left="0" w:firstLine="0"/>
        <w:rPr>
          <w:rFonts w:ascii="Times New Roman" w:hAnsi="Times New Roman" w:cs="Times New Roman"/>
          <w:b/>
          <w:sz w:val="24"/>
          <w:szCs w:val="24"/>
        </w:rPr>
      </w:pPr>
      <w:r w:rsidRPr="00EA4B61">
        <w:rPr>
          <w:rFonts w:ascii="Times New Roman" w:hAnsi="Times New Roman" w:cs="Times New Roman"/>
          <w:b/>
          <w:sz w:val="24"/>
          <w:szCs w:val="24"/>
        </w:rPr>
        <w:t>HOW, BY WHOM, AND FOR WHAT PURPOSE THE INFORMATION IS TO BE USED AND THE CONSEQUENCES OF NOT COLLECTING THE INFORMATION</w:t>
      </w:r>
    </w:p>
    <w:p w:rsidR="00103037" w:rsidRPr="00EA4B61" w:rsidP="00103037" w14:paraId="05E4BC19" w14:textId="77777777">
      <w:pPr>
        <w:spacing w:after="0" w:line="240" w:lineRule="auto"/>
        <w:rPr>
          <w:rFonts w:ascii="Times New Roman" w:hAnsi="Times New Roman" w:cs="Times New Roman"/>
          <w:sz w:val="24"/>
          <w:szCs w:val="24"/>
        </w:rPr>
      </w:pPr>
    </w:p>
    <w:p w:rsidR="00FF41C7" w:rsidRPr="00EA4B61" w:rsidP="00FF41C7" w14:paraId="099E4390" w14:textId="477E6FE6">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Natural gas companies and LNG operators file applications with the Commission so it can review the necessary information related to </w:t>
      </w:r>
      <w:r w:rsidR="001C044E">
        <w:rPr>
          <w:rFonts w:ascii="Times New Roman" w:hAnsi="Times New Roman" w:cs="Times New Roman"/>
          <w:sz w:val="24"/>
          <w:szCs w:val="24"/>
        </w:rPr>
        <w:t xml:space="preserve">(a) </w:t>
      </w:r>
      <w:r w:rsidRPr="00EA4B61">
        <w:rPr>
          <w:rFonts w:ascii="Times New Roman" w:hAnsi="Times New Roman" w:cs="Times New Roman"/>
          <w:sz w:val="24"/>
          <w:szCs w:val="24"/>
        </w:rPr>
        <w:t xml:space="preserve">the construction, maintenance, and operation of facilities to provide service or to </w:t>
      </w:r>
      <w:r w:rsidR="001C044E">
        <w:rPr>
          <w:rFonts w:ascii="Times New Roman" w:hAnsi="Times New Roman" w:cs="Times New Roman"/>
          <w:sz w:val="24"/>
          <w:szCs w:val="24"/>
        </w:rPr>
        <w:t xml:space="preserve">(b) </w:t>
      </w:r>
      <w:r w:rsidR="005C24A9">
        <w:rPr>
          <w:rFonts w:ascii="Times New Roman" w:hAnsi="Times New Roman" w:cs="Times New Roman"/>
          <w:sz w:val="24"/>
          <w:szCs w:val="24"/>
        </w:rPr>
        <w:t xml:space="preserve">the </w:t>
      </w:r>
      <w:r w:rsidRPr="00EA4B61">
        <w:rPr>
          <w:rFonts w:ascii="Times New Roman" w:hAnsi="Times New Roman" w:cs="Times New Roman"/>
          <w:sz w:val="24"/>
          <w:szCs w:val="24"/>
        </w:rPr>
        <w:t>abandon</w:t>
      </w:r>
      <w:r w:rsidR="005C24A9">
        <w:rPr>
          <w:rFonts w:ascii="Times New Roman" w:hAnsi="Times New Roman" w:cs="Times New Roman"/>
          <w:sz w:val="24"/>
          <w:szCs w:val="24"/>
        </w:rPr>
        <w:t>ment of</w:t>
      </w:r>
      <w:r w:rsidRPr="00EA4B61">
        <w:rPr>
          <w:rFonts w:ascii="Times New Roman" w:hAnsi="Times New Roman" w:cs="Times New Roman"/>
          <w:sz w:val="24"/>
          <w:szCs w:val="24"/>
        </w:rPr>
        <w:t xml:space="preserve"> facilities or service under sections 3 and</w:t>
      </w:r>
      <w:r w:rsidR="005C24A9">
        <w:rPr>
          <w:rFonts w:ascii="Times New Roman" w:hAnsi="Times New Roman" w:cs="Times New Roman"/>
          <w:sz w:val="24"/>
          <w:szCs w:val="24"/>
        </w:rPr>
        <w:t> </w:t>
      </w:r>
      <w:r w:rsidRPr="00EA4B61">
        <w:rPr>
          <w:rFonts w:ascii="Times New Roman" w:hAnsi="Times New Roman" w:cs="Times New Roman"/>
          <w:sz w:val="24"/>
          <w:szCs w:val="24"/>
        </w:rPr>
        <w:t>7 of the NGA and determine if the requested authorization meets statutory and regulatory requirements and should be granted.  This NOPR proposal would provide entities with an opportunity to apply to participate in two new lower-burden filing approaches</w:t>
      </w:r>
      <w:r w:rsidR="002E7A26">
        <w:rPr>
          <w:rFonts w:ascii="Times New Roman" w:hAnsi="Times New Roman" w:cs="Times New Roman"/>
          <w:sz w:val="24"/>
          <w:szCs w:val="24"/>
        </w:rPr>
        <w:t xml:space="preserve"> for </w:t>
      </w:r>
      <w:r w:rsidR="00A445B8">
        <w:rPr>
          <w:rFonts w:ascii="Times New Roman" w:hAnsi="Times New Roman" w:cs="Times New Roman"/>
          <w:sz w:val="24"/>
          <w:szCs w:val="24"/>
        </w:rPr>
        <w:t>well understood activities</w:t>
      </w:r>
      <w:r w:rsidRPr="00EA4B61">
        <w:rPr>
          <w:rFonts w:ascii="Times New Roman" w:hAnsi="Times New Roman" w:cs="Times New Roman"/>
          <w:sz w:val="24"/>
          <w:szCs w:val="24"/>
        </w:rPr>
        <w:t xml:space="preserve">.  To participate in the new approaches, entities must apply for and be granted a blanket authorization: </w:t>
      </w:r>
    </w:p>
    <w:p w:rsidR="00FF41C7" w:rsidRPr="00EA4B61" w:rsidP="00FF41C7" w14:paraId="17929AE5" w14:textId="77777777">
      <w:pPr>
        <w:numPr>
          <w:ilvl w:val="0"/>
          <w:numId w:val="10"/>
        </w:numPr>
        <w:spacing w:after="0" w:line="240" w:lineRule="auto"/>
        <w:rPr>
          <w:rFonts w:ascii="Times New Roman" w:hAnsi="Times New Roman" w:cs="Times New Roman"/>
          <w:sz w:val="24"/>
          <w:szCs w:val="24"/>
        </w:rPr>
      </w:pPr>
      <w:r w:rsidRPr="00EA4B61">
        <w:rPr>
          <w:rFonts w:ascii="Times New Roman" w:hAnsi="Times New Roman" w:cs="Times New Roman"/>
          <w:i/>
          <w:iCs/>
          <w:sz w:val="24"/>
          <w:szCs w:val="24"/>
        </w:rPr>
        <w:t xml:space="preserve">Application for Blanket Authorization </w:t>
      </w:r>
      <w:r w:rsidRPr="00EA4B61">
        <w:rPr>
          <w:rFonts w:ascii="Times New Roman" w:hAnsi="Times New Roman" w:cs="Times New Roman"/>
          <w:sz w:val="24"/>
          <w:szCs w:val="24"/>
        </w:rPr>
        <w:t>that includes a brief application, together with evidence that the applicant has the required safety systems, emergency response plans, and appropriate environmental, engineering and operating procedures to support blanket activities.</w:t>
      </w:r>
    </w:p>
    <w:p w:rsidR="00FF41C7" w:rsidRPr="00EA4B61" w:rsidP="00FF41C7" w14:paraId="6E4D03C7" w14:textId="77777777">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The proposed lower-burden filing approaches are:</w:t>
      </w:r>
    </w:p>
    <w:p w:rsidR="00FF41C7" w:rsidRPr="00EA4B61" w:rsidP="00FF41C7" w14:paraId="1B96D92A" w14:textId="77777777">
      <w:pPr>
        <w:pStyle w:val="ListParagraph"/>
        <w:numPr>
          <w:ilvl w:val="0"/>
          <w:numId w:val="12"/>
        </w:numPr>
        <w:spacing w:after="0" w:line="240" w:lineRule="auto"/>
        <w:rPr>
          <w:rFonts w:ascii="Times New Roman" w:hAnsi="Times New Roman" w:cs="Times New Roman"/>
          <w:sz w:val="24"/>
          <w:szCs w:val="24"/>
        </w:rPr>
      </w:pPr>
      <w:r w:rsidRPr="00EA4B61">
        <w:rPr>
          <w:rFonts w:ascii="Times New Roman" w:hAnsi="Times New Roman" w:cs="Times New Roman"/>
          <w:i/>
          <w:iCs/>
          <w:sz w:val="24"/>
          <w:szCs w:val="24"/>
        </w:rPr>
        <w:t>Prior Notice Filings</w:t>
      </w:r>
      <w:r w:rsidRPr="00EA4B61">
        <w:rPr>
          <w:rFonts w:ascii="Times New Roman" w:hAnsi="Times New Roman" w:cs="Times New Roman"/>
          <w:sz w:val="24"/>
          <w:szCs w:val="24"/>
        </w:rPr>
        <w:t xml:space="preserve"> would include a description of the project, purpose, and justification, together with engineering and technical data, and an assessment of any capacity increases or footprint changes and any environmental or safety impacts.  The prior notice filings also include evidence of landowner notification, the identification of affected agencies, as well as any environmental documentation.</w:t>
      </w:r>
    </w:p>
    <w:p w:rsidR="00FF41C7" w:rsidRPr="00EA4B61" w:rsidP="00FF41C7" w14:paraId="0515DB15" w14:textId="77777777">
      <w:pPr>
        <w:pStyle w:val="ListParagraph"/>
        <w:numPr>
          <w:ilvl w:val="0"/>
          <w:numId w:val="12"/>
        </w:numPr>
        <w:spacing w:after="0" w:line="240" w:lineRule="auto"/>
        <w:rPr>
          <w:rFonts w:ascii="Times New Roman" w:hAnsi="Times New Roman" w:cs="Times New Roman"/>
          <w:sz w:val="24"/>
          <w:szCs w:val="24"/>
        </w:rPr>
      </w:pPr>
      <w:r w:rsidRPr="00EA4B61">
        <w:rPr>
          <w:rFonts w:ascii="Times New Roman" w:hAnsi="Times New Roman" w:cs="Times New Roman"/>
          <w:i/>
          <w:iCs/>
          <w:sz w:val="24"/>
          <w:szCs w:val="24"/>
        </w:rPr>
        <w:t>Automatic Authorizations</w:t>
      </w:r>
      <w:r w:rsidRPr="00EA4B61">
        <w:rPr>
          <w:rFonts w:ascii="Times New Roman" w:hAnsi="Times New Roman" w:cs="Times New Roman"/>
          <w:sz w:val="24"/>
          <w:szCs w:val="24"/>
        </w:rPr>
        <w:t xml:space="preserve"> that will not require prior filings or applications.  These activities must be documented in a semi-annual operational report, which is already required for these projects.</w:t>
      </w:r>
    </w:p>
    <w:p w:rsidR="00FF41C7" w:rsidRPr="00EA4B61" w:rsidP="00FF41C7" w14:paraId="1A8793FD" w14:textId="77777777">
      <w:pPr>
        <w:spacing w:after="0" w:line="240" w:lineRule="auto"/>
        <w:rPr>
          <w:rFonts w:ascii="Times New Roman" w:hAnsi="Times New Roman" w:cs="Times New Roman"/>
          <w:sz w:val="24"/>
          <w:szCs w:val="24"/>
        </w:rPr>
      </w:pPr>
    </w:p>
    <w:p w:rsidR="00FF41C7" w:rsidRPr="00EA4B61" w:rsidP="00FF41C7" w14:paraId="3282584C" w14:textId="2899420C">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These proposed new approaches would be alternatives to the existing full application process, which requires extensive technical, environmental, and economic materials. </w:t>
      </w:r>
    </w:p>
    <w:p w:rsidR="00253C29" w:rsidRPr="00EA4B61" w:rsidP="750D58D3" w14:paraId="48403107" w14:textId="77777777">
      <w:pPr>
        <w:spacing w:after="0" w:line="240" w:lineRule="auto"/>
        <w:rPr>
          <w:rFonts w:ascii="Times New Roman" w:hAnsi="Times New Roman" w:cs="Times New Roman"/>
          <w:sz w:val="24"/>
          <w:szCs w:val="24"/>
        </w:rPr>
      </w:pPr>
    </w:p>
    <w:p w:rsidR="000D3E5F" w:rsidRPr="00EA4B61" w:rsidP="750D58D3" w14:paraId="38B86F29" w14:textId="08E1BBFB">
      <w:pPr>
        <w:numPr>
          <w:ilvl w:val="0"/>
          <w:numId w:val="1"/>
        </w:numPr>
        <w:spacing w:after="0" w:line="240" w:lineRule="auto"/>
        <w:ind w:left="0" w:firstLine="0"/>
        <w:rPr>
          <w:rFonts w:ascii="Times New Roman" w:hAnsi="Times New Roman" w:cs="Times New Roman"/>
          <w:b/>
          <w:bCs/>
          <w:sz w:val="24"/>
          <w:szCs w:val="24"/>
        </w:rPr>
      </w:pPr>
      <w:r w:rsidRPr="00EA4B61">
        <w:rPr>
          <w:rFonts w:ascii="Times New Roman" w:hAnsi="Times New Roman" w:cs="Times New Roman"/>
          <w:b/>
          <w:bCs/>
          <w:sz w:val="24"/>
          <w:szCs w:val="24"/>
        </w:rPr>
        <w:t>DESCRIBE ANY CONSIDERATION OF THE USE OF IMPROVED TECHNOLOGY TO REDUCE BURDEN AND TECHNICAL OR LEGAL OBSTACLES TO REDUCING BURDEN</w:t>
      </w:r>
    </w:p>
    <w:p w:rsidR="000D3E5F" w:rsidRPr="00EA4B61" w:rsidP="000D3E5F" w14:paraId="168D46CC" w14:textId="77777777">
      <w:pPr>
        <w:spacing w:after="0" w:line="240" w:lineRule="auto"/>
        <w:rPr>
          <w:rFonts w:ascii="Times New Roman" w:hAnsi="Times New Roman" w:cs="Times New Roman"/>
          <w:sz w:val="24"/>
          <w:szCs w:val="24"/>
        </w:rPr>
      </w:pPr>
    </w:p>
    <w:p w:rsidR="00DC73DA" w:rsidRPr="00EA4B61" w:rsidP="00DC73DA" w14:paraId="156709FC" w14:textId="3F64CFEE">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FERC encourages companies to use its eFiling system. </w:t>
      </w:r>
      <w:r w:rsidR="00A445B8">
        <w:rPr>
          <w:rFonts w:ascii="Times New Roman" w:hAnsi="Times New Roman" w:cs="Times New Roman"/>
          <w:sz w:val="24"/>
          <w:szCs w:val="24"/>
        </w:rPr>
        <w:t xml:space="preserve"> </w:t>
      </w:r>
      <w:r w:rsidRPr="00EA4B61">
        <w:rPr>
          <w:rFonts w:ascii="Times New Roman" w:hAnsi="Times New Roman" w:cs="Times New Roman"/>
          <w:sz w:val="24"/>
          <w:szCs w:val="24"/>
        </w:rPr>
        <w:t>Natural gas companies</w:t>
      </w:r>
      <w:r w:rsidR="00A445B8">
        <w:rPr>
          <w:rFonts w:ascii="Times New Roman" w:hAnsi="Times New Roman" w:cs="Times New Roman"/>
          <w:sz w:val="24"/>
          <w:szCs w:val="24"/>
        </w:rPr>
        <w:t xml:space="preserve"> and LNG operators</w:t>
      </w:r>
      <w:r w:rsidRPr="00EA4B61">
        <w:rPr>
          <w:rFonts w:ascii="Times New Roman" w:hAnsi="Times New Roman" w:cs="Times New Roman"/>
          <w:sz w:val="24"/>
          <w:szCs w:val="24"/>
        </w:rPr>
        <w:t xml:space="preserve"> can submit responses to these collections using FERC’s eFiling system. (See </w:t>
      </w:r>
      <w:hyperlink r:id="rId9" w:history="1">
        <w:r w:rsidRPr="00EA4B61">
          <w:rPr>
            <w:rStyle w:val="Hyperlink"/>
            <w:rFonts w:ascii="Times New Roman" w:hAnsi="Times New Roman" w:cs="Times New Roman"/>
            <w:sz w:val="24"/>
            <w:szCs w:val="24"/>
          </w:rPr>
          <w:t>http://www.ferc.gov/docs-filing/efiling.asp</w:t>
        </w:r>
      </w:hyperlink>
      <w:r w:rsidRPr="00EA4B61">
        <w:rPr>
          <w:rFonts w:ascii="Times New Roman" w:hAnsi="Times New Roman" w:cs="Times New Roman"/>
          <w:sz w:val="24"/>
          <w:szCs w:val="24"/>
          <w:u w:val="single"/>
        </w:rPr>
        <w:t>.</w:t>
      </w:r>
      <w:r w:rsidRPr="00EA4B61">
        <w:rPr>
          <w:rFonts w:ascii="Times New Roman" w:hAnsi="Times New Roman" w:cs="Times New Roman"/>
          <w:sz w:val="24"/>
          <w:szCs w:val="24"/>
        </w:rPr>
        <w:t>)</w:t>
      </w:r>
    </w:p>
    <w:p w:rsidR="000D3E5F" w:rsidRPr="00EA4B61" w:rsidP="000D3E5F" w14:paraId="535BD94F" w14:textId="77777777">
      <w:pPr>
        <w:spacing w:after="0" w:line="240" w:lineRule="auto"/>
        <w:rPr>
          <w:rFonts w:ascii="Times New Roman" w:hAnsi="Times New Roman" w:cs="Times New Roman"/>
          <w:b/>
          <w:bCs/>
          <w:sz w:val="24"/>
          <w:szCs w:val="24"/>
        </w:rPr>
      </w:pPr>
    </w:p>
    <w:p w:rsidR="000D3E5F" w:rsidRPr="00EA4B61" w:rsidP="00543BEE" w14:paraId="05AC87CA" w14:textId="77777777">
      <w:pPr>
        <w:numPr>
          <w:ilvl w:val="0"/>
          <w:numId w:val="1"/>
        </w:numPr>
        <w:spacing w:after="0" w:line="240" w:lineRule="auto"/>
        <w:ind w:left="0" w:firstLine="0"/>
        <w:rPr>
          <w:rFonts w:ascii="Times New Roman" w:hAnsi="Times New Roman" w:cs="Times New Roman"/>
          <w:b/>
          <w:bCs/>
          <w:sz w:val="24"/>
          <w:szCs w:val="24"/>
        </w:rPr>
      </w:pPr>
      <w:r w:rsidRPr="00EA4B61">
        <w:rPr>
          <w:rFonts w:ascii="Times New Roman" w:hAnsi="Times New Roman" w:cs="Times New Roman"/>
          <w:b/>
          <w:bCs/>
          <w:sz w:val="24"/>
          <w:szCs w:val="24"/>
        </w:rPr>
        <w:t>DESCRIBE EFFORTS TO IDENTIFY DUPLICATION AND SHOW SPECIFICALLY WHY ANY SIMILAR INFORMATION ALREADY AVAILABLE CANNOT BE USED OR MODIFIED FOR USE FOR THE PURPOSE(S) DESCRIBED IN INSTRUCTION NO. 2</w:t>
      </w:r>
    </w:p>
    <w:p w:rsidR="000D3E5F" w:rsidRPr="00EA4B61" w:rsidP="000D3E5F" w14:paraId="46E20CED" w14:textId="77777777">
      <w:pPr>
        <w:spacing w:after="0" w:line="240" w:lineRule="auto"/>
        <w:rPr>
          <w:rFonts w:ascii="Times New Roman" w:hAnsi="Times New Roman" w:cs="Times New Roman"/>
          <w:b/>
          <w:bCs/>
          <w:sz w:val="24"/>
          <w:szCs w:val="24"/>
        </w:rPr>
      </w:pPr>
    </w:p>
    <w:p w:rsidR="000424B5" w:rsidRPr="00EA4B61" w:rsidP="000424B5" w14:paraId="22F94C06" w14:textId="2C1F2F1C">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DOE and FERC share the regulatory functions described in the NGA Section 3. </w:t>
      </w:r>
      <w:r w:rsidR="00A445B8">
        <w:rPr>
          <w:rFonts w:ascii="Times New Roman" w:hAnsi="Times New Roman" w:cs="Times New Roman"/>
          <w:sz w:val="24"/>
          <w:szCs w:val="24"/>
        </w:rPr>
        <w:t xml:space="preserve"> </w:t>
      </w:r>
      <w:r w:rsidRPr="00EA4B61" w:rsidR="001E4380">
        <w:rPr>
          <w:rFonts w:ascii="Times New Roman" w:hAnsi="Times New Roman" w:cs="Times New Roman"/>
          <w:sz w:val="24"/>
          <w:szCs w:val="24"/>
        </w:rPr>
        <w:t>T</w:t>
      </w:r>
      <w:r w:rsidRPr="00EA4B61">
        <w:rPr>
          <w:rFonts w:ascii="Times New Roman" w:hAnsi="Times New Roman" w:cs="Times New Roman"/>
          <w:sz w:val="24"/>
          <w:szCs w:val="24"/>
        </w:rPr>
        <w:t xml:space="preserve">he Commission has the authority to approve or </w:t>
      </w:r>
      <w:r w:rsidR="00387382">
        <w:rPr>
          <w:rFonts w:ascii="Times New Roman" w:hAnsi="Times New Roman" w:cs="Times New Roman"/>
          <w:sz w:val="24"/>
          <w:szCs w:val="24"/>
        </w:rPr>
        <w:t>deny</w:t>
      </w:r>
      <w:r w:rsidRPr="00EA4B61" w:rsidR="00387382">
        <w:rPr>
          <w:rFonts w:ascii="Times New Roman" w:hAnsi="Times New Roman" w:cs="Times New Roman"/>
          <w:sz w:val="24"/>
          <w:szCs w:val="24"/>
        </w:rPr>
        <w:t xml:space="preserve"> </w:t>
      </w:r>
      <w:r w:rsidRPr="00EA4B61">
        <w:rPr>
          <w:rFonts w:ascii="Times New Roman" w:hAnsi="Times New Roman" w:cs="Times New Roman"/>
          <w:sz w:val="24"/>
          <w:szCs w:val="24"/>
        </w:rPr>
        <w:t xml:space="preserve">the construction and operation of facilities related to the importation or exportation of natural gas. </w:t>
      </w:r>
      <w:r w:rsidR="00A445B8">
        <w:rPr>
          <w:rFonts w:ascii="Times New Roman" w:hAnsi="Times New Roman" w:cs="Times New Roman"/>
          <w:sz w:val="24"/>
          <w:szCs w:val="24"/>
        </w:rPr>
        <w:t xml:space="preserve"> </w:t>
      </w:r>
      <w:r w:rsidRPr="00EA4B61">
        <w:rPr>
          <w:rFonts w:ascii="Times New Roman" w:hAnsi="Times New Roman" w:cs="Times New Roman"/>
          <w:sz w:val="24"/>
          <w:szCs w:val="24"/>
        </w:rPr>
        <w:t xml:space="preserve">DOE approves the importation or exportation of the natural gas commodity. </w:t>
      </w:r>
      <w:r w:rsidR="00A445B8">
        <w:rPr>
          <w:rFonts w:ascii="Times New Roman" w:hAnsi="Times New Roman" w:cs="Times New Roman"/>
          <w:sz w:val="24"/>
          <w:szCs w:val="24"/>
        </w:rPr>
        <w:t xml:space="preserve"> </w:t>
      </w:r>
      <w:r w:rsidRPr="00EA4B61">
        <w:rPr>
          <w:rFonts w:ascii="Times New Roman" w:hAnsi="Times New Roman" w:cs="Times New Roman"/>
          <w:sz w:val="24"/>
          <w:szCs w:val="24"/>
        </w:rPr>
        <w:t>FERC collects information about a facility used for import/export in order to approve</w:t>
      </w:r>
      <w:r w:rsidR="00387382">
        <w:rPr>
          <w:rFonts w:ascii="Times New Roman" w:hAnsi="Times New Roman" w:cs="Times New Roman"/>
          <w:sz w:val="24"/>
          <w:szCs w:val="24"/>
        </w:rPr>
        <w:t xml:space="preserve"> or deny</w:t>
      </w:r>
      <w:r w:rsidRPr="00EA4B61">
        <w:rPr>
          <w:rFonts w:ascii="Times New Roman" w:hAnsi="Times New Roman" w:cs="Times New Roman"/>
          <w:sz w:val="24"/>
          <w:szCs w:val="24"/>
        </w:rPr>
        <w:t xml:space="preserve"> construction and operation. </w:t>
      </w:r>
      <w:r w:rsidR="00D00ED2">
        <w:rPr>
          <w:rFonts w:ascii="Times New Roman" w:hAnsi="Times New Roman" w:cs="Times New Roman"/>
          <w:sz w:val="24"/>
          <w:szCs w:val="24"/>
        </w:rPr>
        <w:t xml:space="preserve"> </w:t>
      </w:r>
      <w:r w:rsidRPr="00EA4B61">
        <w:rPr>
          <w:rFonts w:ascii="Times New Roman" w:hAnsi="Times New Roman" w:cs="Times New Roman"/>
          <w:sz w:val="24"/>
          <w:szCs w:val="24"/>
        </w:rPr>
        <w:t xml:space="preserve">DOE collects information about the imported/exported natural gas. </w:t>
      </w:r>
      <w:r w:rsidR="00D00ED2">
        <w:rPr>
          <w:rFonts w:ascii="Times New Roman" w:hAnsi="Times New Roman" w:cs="Times New Roman"/>
          <w:sz w:val="24"/>
          <w:szCs w:val="24"/>
        </w:rPr>
        <w:t xml:space="preserve"> </w:t>
      </w:r>
      <w:r w:rsidRPr="00EA4B61">
        <w:rPr>
          <w:rFonts w:ascii="Times New Roman" w:hAnsi="Times New Roman" w:cs="Times New Roman"/>
          <w:sz w:val="24"/>
          <w:szCs w:val="24"/>
        </w:rPr>
        <w:t>The information collected by each agency is distinct and necessary to meet the purposes of the NGA.</w:t>
      </w:r>
    </w:p>
    <w:p w:rsidR="000424B5" w:rsidRPr="00EA4B61" w:rsidP="000D3E5F" w14:paraId="76ADC3FA" w14:textId="77777777">
      <w:pPr>
        <w:spacing w:after="0" w:line="240" w:lineRule="auto"/>
        <w:rPr>
          <w:rFonts w:ascii="Times New Roman" w:hAnsi="Times New Roman" w:cs="Times New Roman"/>
          <w:sz w:val="24"/>
          <w:szCs w:val="24"/>
        </w:rPr>
      </w:pPr>
    </w:p>
    <w:p w:rsidR="000D3E5F" w:rsidRPr="00EA4B61" w:rsidP="000D3E5F" w14:paraId="268F0D61" w14:textId="77777777">
      <w:pPr>
        <w:spacing w:after="0" w:line="240" w:lineRule="auto"/>
        <w:rPr>
          <w:rFonts w:ascii="Times New Roman" w:hAnsi="Times New Roman" w:cs="Times New Roman"/>
          <w:sz w:val="24"/>
          <w:szCs w:val="24"/>
        </w:rPr>
      </w:pPr>
    </w:p>
    <w:p w:rsidR="000D3E5F" w:rsidRPr="00EA4B61" w:rsidP="00543BEE" w14:paraId="5901176E" w14:textId="77777777">
      <w:pPr>
        <w:numPr>
          <w:ilvl w:val="0"/>
          <w:numId w:val="1"/>
        </w:numPr>
        <w:spacing w:after="0" w:line="240" w:lineRule="auto"/>
        <w:ind w:left="0" w:firstLine="0"/>
        <w:rPr>
          <w:rFonts w:ascii="Times New Roman" w:hAnsi="Times New Roman" w:cs="Times New Roman"/>
          <w:b/>
          <w:bCs/>
          <w:sz w:val="24"/>
          <w:szCs w:val="24"/>
        </w:rPr>
      </w:pPr>
      <w:r w:rsidRPr="00EA4B61">
        <w:rPr>
          <w:rFonts w:ascii="Times New Roman" w:hAnsi="Times New Roman" w:cs="Times New Roman"/>
          <w:b/>
          <w:bCs/>
          <w:sz w:val="24"/>
          <w:szCs w:val="24"/>
        </w:rPr>
        <w:t>METHODS USED TO MINIMIZE BURDEN IN COLLECTION OF INFORMATION INVOLVING SMALL ENTITIES</w:t>
      </w:r>
    </w:p>
    <w:p w:rsidR="000D3E5F" w:rsidRPr="00EA4B61" w:rsidP="002B7606" w14:paraId="19ECC4F5" w14:textId="77777777">
      <w:pPr>
        <w:spacing w:after="0" w:line="240" w:lineRule="auto"/>
        <w:rPr>
          <w:rFonts w:ascii="Times New Roman" w:hAnsi="Times New Roman" w:cs="Times New Roman"/>
          <w:sz w:val="24"/>
          <w:szCs w:val="24"/>
        </w:rPr>
      </w:pPr>
    </w:p>
    <w:p w:rsidR="009C0003" w:rsidRPr="00EA4B61" w:rsidP="009C0003" w14:paraId="763BC4A4" w14:textId="03C96D9D">
      <w:pPr>
        <w:spacing w:after="0" w:line="240" w:lineRule="auto"/>
        <w:rPr>
          <w:rFonts w:ascii="Times New Roman" w:hAnsi="Times New Roman" w:cs="Times New Roman"/>
          <w:sz w:val="24"/>
          <w:szCs w:val="24"/>
        </w:rPr>
      </w:pPr>
      <w:bookmarkStart w:id="0" w:name="_Hlk101433795"/>
      <w:bookmarkEnd w:id="0"/>
      <w:r w:rsidRPr="00EA4B61">
        <w:rPr>
          <w:rFonts w:ascii="Times New Roman" w:hAnsi="Times New Roman" w:cs="Times New Roman"/>
          <w:sz w:val="24"/>
          <w:szCs w:val="24"/>
        </w:rPr>
        <w:t>The Small Business Administration’s (SBA) Office of Size Standards develops the numerical definition of a small business.  LNG facilities are designated under “All Other Support Activities for Transportation” (i.e., NAICS 488999) as small entities if they do not exceed the size standard of $25 million.</w:t>
      </w:r>
      <w:r>
        <w:rPr>
          <w:rFonts w:ascii="Times New Roman" w:hAnsi="Times New Roman" w:cs="Times New Roman"/>
          <w:b/>
          <w:sz w:val="24"/>
          <w:szCs w:val="24"/>
          <w:vertAlign w:val="superscript"/>
        </w:rPr>
        <w:footnoteReference w:id="11"/>
      </w:r>
      <w:r w:rsidRPr="00EA4B61">
        <w:rPr>
          <w:rFonts w:ascii="Times New Roman" w:hAnsi="Times New Roman" w:cs="Times New Roman"/>
          <w:sz w:val="24"/>
          <w:szCs w:val="24"/>
        </w:rPr>
        <w:t xml:space="preserve">  FERC reviewed the companies operating LNG facilities and is not aware of any with a revenue below $25 million.  Impacts associated with this </w:t>
      </w:r>
      <w:r w:rsidR="00A441C4">
        <w:rPr>
          <w:rFonts w:ascii="Times New Roman" w:hAnsi="Times New Roman" w:cs="Times New Roman"/>
          <w:sz w:val="24"/>
          <w:szCs w:val="24"/>
        </w:rPr>
        <w:t xml:space="preserve">NOPR </w:t>
      </w:r>
      <w:r w:rsidRPr="00EA4B61">
        <w:rPr>
          <w:rFonts w:ascii="Times New Roman" w:hAnsi="Times New Roman" w:cs="Times New Roman"/>
          <w:sz w:val="24"/>
          <w:szCs w:val="24"/>
        </w:rPr>
        <w:t xml:space="preserve">are limited to the avoidance of unintended new obligations that would be imposed on affected small businesses in the absence of a change and therefore are not significant.  </w:t>
      </w:r>
    </w:p>
    <w:p w:rsidR="000D3E5F" w:rsidRPr="00EA4B61" w:rsidP="002B7606" w14:paraId="2B4CB75C" w14:textId="6CED61B9">
      <w:pPr>
        <w:spacing w:after="0" w:line="240" w:lineRule="auto"/>
        <w:rPr>
          <w:rFonts w:ascii="Times New Roman" w:hAnsi="Times New Roman" w:cs="Times New Roman"/>
          <w:sz w:val="24"/>
          <w:szCs w:val="24"/>
        </w:rPr>
      </w:pPr>
    </w:p>
    <w:p w:rsidR="000D3E5F" w:rsidRPr="00EA4B61" w:rsidP="00543BEE" w14:paraId="3922FB6C" w14:textId="77777777">
      <w:pPr>
        <w:numPr>
          <w:ilvl w:val="0"/>
          <w:numId w:val="1"/>
        </w:numPr>
        <w:spacing w:after="0" w:line="240" w:lineRule="auto"/>
        <w:ind w:left="0" w:firstLine="0"/>
        <w:rPr>
          <w:rFonts w:ascii="Times New Roman" w:hAnsi="Times New Roman" w:cs="Times New Roman"/>
          <w:b/>
          <w:sz w:val="24"/>
          <w:szCs w:val="24"/>
        </w:rPr>
      </w:pPr>
      <w:r w:rsidRPr="00EA4B61">
        <w:rPr>
          <w:rFonts w:ascii="Times New Roman" w:hAnsi="Times New Roman" w:cs="Times New Roman"/>
          <w:b/>
          <w:sz w:val="24"/>
          <w:szCs w:val="24"/>
        </w:rPr>
        <w:t>CONSEQUENCE TO FEDERAL PROGRAM IF COLLECTION WERE CONDUCTED LESS FREQUENTLY</w:t>
      </w:r>
    </w:p>
    <w:p w:rsidR="000D3E5F" w:rsidRPr="00EA4B61" w:rsidP="002B7606" w14:paraId="0E141E27" w14:textId="77777777">
      <w:pPr>
        <w:spacing w:after="0" w:line="240" w:lineRule="auto"/>
        <w:rPr>
          <w:rFonts w:ascii="Times New Roman" w:hAnsi="Times New Roman" w:cs="Times New Roman"/>
          <w:bCs/>
          <w:sz w:val="24"/>
          <w:szCs w:val="24"/>
        </w:rPr>
      </w:pPr>
    </w:p>
    <w:p w:rsidR="000D3E5F" w:rsidRPr="00EA4B61" w:rsidP="002B7606" w14:paraId="34D56F52" w14:textId="60F68860">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The information that must be submitted to the Commission is event driven. </w:t>
      </w:r>
      <w:r w:rsidR="00387382">
        <w:rPr>
          <w:rFonts w:ascii="Times New Roman" w:hAnsi="Times New Roman" w:cs="Times New Roman"/>
          <w:sz w:val="24"/>
          <w:szCs w:val="24"/>
        </w:rPr>
        <w:t xml:space="preserve"> </w:t>
      </w:r>
      <w:r w:rsidRPr="00EA4B61" w:rsidR="005103B4">
        <w:rPr>
          <w:rFonts w:ascii="Times New Roman" w:hAnsi="Times New Roman" w:cs="Times New Roman"/>
          <w:sz w:val="24"/>
          <w:szCs w:val="24"/>
        </w:rPr>
        <w:t>The Commission reviews and analyzes the information subject to FERC-537</w:t>
      </w:r>
      <w:r w:rsidRPr="00EA4B61" w:rsidR="005A427C">
        <w:rPr>
          <w:rFonts w:ascii="Times New Roman" w:hAnsi="Times New Roman" w:cs="Times New Roman"/>
          <w:sz w:val="24"/>
          <w:szCs w:val="24"/>
        </w:rPr>
        <w:t>, FERC-539, and FERC-577</w:t>
      </w:r>
      <w:r w:rsidRPr="00EA4B61" w:rsidR="005103B4">
        <w:rPr>
          <w:rFonts w:ascii="Times New Roman" w:hAnsi="Times New Roman" w:cs="Times New Roman"/>
          <w:sz w:val="24"/>
          <w:szCs w:val="24"/>
        </w:rPr>
        <w:t xml:space="preserve"> to determine whether to approve or deny the requested authorization.  If the Commission failed to collect </w:t>
      </w:r>
      <w:r w:rsidR="00B8628C">
        <w:rPr>
          <w:rFonts w:ascii="Times New Roman" w:hAnsi="Times New Roman" w:cs="Times New Roman"/>
          <w:sz w:val="24"/>
          <w:szCs w:val="24"/>
        </w:rPr>
        <w:t>this information</w:t>
      </w:r>
      <w:r w:rsidRPr="00EA4B61" w:rsidR="005103B4">
        <w:rPr>
          <w:rFonts w:ascii="Times New Roman" w:hAnsi="Times New Roman" w:cs="Times New Roman"/>
          <w:sz w:val="24"/>
          <w:szCs w:val="24"/>
        </w:rPr>
        <w:t xml:space="preserve">, it would lose its ability to review relevant information to determine whether the request should be </w:t>
      </w:r>
      <w:r w:rsidR="00E356CF">
        <w:rPr>
          <w:rFonts w:ascii="Times New Roman" w:hAnsi="Times New Roman" w:cs="Times New Roman"/>
          <w:sz w:val="24"/>
          <w:szCs w:val="24"/>
        </w:rPr>
        <w:t>grant</w:t>
      </w:r>
      <w:r w:rsidRPr="00EA4B61" w:rsidR="005103B4">
        <w:rPr>
          <w:rFonts w:ascii="Times New Roman" w:hAnsi="Times New Roman" w:cs="Times New Roman"/>
          <w:sz w:val="24"/>
          <w:szCs w:val="24"/>
        </w:rPr>
        <w:t>ed.</w:t>
      </w:r>
    </w:p>
    <w:p w:rsidR="750D58D3" w:rsidRPr="00EA4B61" w:rsidP="750D58D3" w14:paraId="635BF5BE" w14:textId="646B6FD0">
      <w:pPr>
        <w:spacing w:after="0" w:line="240" w:lineRule="auto"/>
        <w:rPr>
          <w:rFonts w:ascii="Times New Roman" w:hAnsi="Times New Roman" w:cs="Times New Roman"/>
          <w:sz w:val="24"/>
          <w:szCs w:val="24"/>
        </w:rPr>
      </w:pPr>
    </w:p>
    <w:p w:rsidR="000D3E5F" w:rsidRPr="00EA4B61" w:rsidP="00543BEE" w14:paraId="0EE5C5D1" w14:textId="77777777">
      <w:pPr>
        <w:numPr>
          <w:ilvl w:val="0"/>
          <w:numId w:val="1"/>
        </w:numPr>
        <w:spacing w:after="0" w:line="240" w:lineRule="auto"/>
        <w:ind w:left="0" w:firstLine="0"/>
        <w:rPr>
          <w:rFonts w:ascii="Times New Roman" w:hAnsi="Times New Roman" w:cs="Times New Roman"/>
          <w:b/>
          <w:sz w:val="24"/>
          <w:szCs w:val="24"/>
        </w:rPr>
      </w:pPr>
      <w:r w:rsidRPr="00EA4B61">
        <w:rPr>
          <w:rFonts w:ascii="Times New Roman" w:hAnsi="Times New Roman" w:cs="Times New Roman"/>
          <w:b/>
          <w:sz w:val="24"/>
          <w:szCs w:val="24"/>
        </w:rPr>
        <w:t>EXPLAIN ANY SPECIAL CIRCUMSTANCES RELATING TO THE INFORMATION</w:t>
      </w:r>
    </w:p>
    <w:p w:rsidR="000D3E5F" w:rsidRPr="00EA4B61" w:rsidP="002B7606" w14:paraId="1FE2A5B0" w14:textId="77777777">
      <w:pPr>
        <w:spacing w:after="0" w:line="240" w:lineRule="auto"/>
        <w:rPr>
          <w:rFonts w:ascii="Times New Roman" w:hAnsi="Times New Roman" w:cs="Times New Roman"/>
          <w:b/>
          <w:sz w:val="24"/>
          <w:szCs w:val="24"/>
        </w:rPr>
      </w:pPr>
    </w:p>
    <w:p w:rsidR="007F2345" w:rsidRPr="00EA4B61" w:rsidP="750D58D3" w14:paraId="54FB24B5" w14:textId="3C3A4362">
      <w:pPr>
        <w:spacing w:after="0" w:line="240" w:lineRule="auto"/>
        <w:rPr>
          <w:rFonts w:ascii="Times New Roman" w:hAnsi="Times New Roman" w:cs="Times New Roman"/>
          <w:sz w:val="24"/>
          <w:szCs w:val="24"/>
        </w:rPr>
      </w:pPr>
      <w:r w:rsidRPr="2AF2C5BE">
        <w:rPr>
          <w:rFonts w:ascii="Times New Roman" w:hAnsi="Times New Roman" w:cs="Times New Roman"/>
          <w:sz w:val="24"/>
          <w:szCs w:val="24"/>
        </w:rPr>
        <w:t>These collections</w:t>
      </w:r>
      <w:r w:rsidRPr="2AF2C5BE" w:rsidR="005103B4">
        <w:rPr>
          <w:rFonts w:ascii="Times New Roman" w:hAnsi="Times New Roman" w:cs="Times New Roman"/>
          <w:sz w:val="24"/>
          <w:szCs w:val="24"/>
        </w:rPr>
        <w:t xml:space="preserve"> present only one special circumstance.  The Commission’s regulation at 18 CFR 157.6 require</w:t>
      </w:r>
      <w:r w:rsidRPr="2AF2C5BE" w:rsidR="00AC3D71">
        <w:rPr>
          <w:rFonts w:ascii="Times New Roman" w:hAnsi="Times New Roman" w:cs="Times New Roman"/>
          <w:sz w:val="24"/>
          <w:szCs w:val="24"/>
        </w:rPr>
        <w:t>s</w:t>
      </w:r>
      <w:r w:rsidRPr="2AF2C5BE" w:rsidR="005103B4">
        <w:rPr>
          <w:rFonts w:ascii="Times New Roman" w:hAnsi="Times New Roman" w:cs="Times New Roman"/>
          <w:sz w:val="24"/>
          <w:szCs w:val="24"/>
        </w:rPr>
        <w:t xml:space="preserve"> applicants to file an original plus seven paper copies.  On its face, this regulation exceeds the OMB limitation of two copies at 5 CFR 1320.5(d)(2)(iii).  However, the regulation at 18 CFR 157.6 </w:t>
      </w:r>
      <w:r w:rsidRPr="2AF2C5BE" w:rsidR="00364BED">
        <w:rPr>
          <w:rFonts w:ascii="Times New Roman" w:hAnsi="Times New Roman" w:cs="Times New Roman"/>
          <w:sz w:val="24"/>
          <w:szCs w:val="24"/>
        </w:rPr>
        <w:t>allows</w:t>
      </w:r>
      <w:r w:rsidRPr="2AF2C5BE" w:rsidR="0016374A">
        <w:rPr>
          <w:rFonts w:ascii="Times New Roman" w:hAnsi="Times New Roman" w:cs="Times New Roman"/>
          <w:sz w:val="24"/>
          <w:szCs w:val="24"/>
        </w:rPr>
        <w:t xml:space="preserve"> </w:t>
      </w:r>
      <w:r w:rsidRPr="2AF2C5BE" w:rsidR="005103B4">
        <w:rPr>
          <w:rFonts w:ascii="Times New Roman" w:hAnsi="Times New Roman" w:cs="Times New Roman"/>
          <w:sz w:val="24"/>
          <w:szCs w:val="24"/>
        </w:rPr>
        <w:t xml:space="preserve">an applicant that uses electronic eFiling </w:t>
      </w:r>
      <w:r w:rsidRPr="2AF2C5BE" w:rsidR="00582EAB">
        <w:rPr>
          <w:rFonts w:ascii="Times New Roman" w:hAnsi="Times New Roman" w:cs="Times New Roman"/>
          <w:sz w:val="24"/>
          <w:szCs w:val="24"/>
        </w:rPr>
        <w:t xml:space="preserve">to </w:t>
      </w:r>
      <w:r w:rsidRPr="2AF2C5BE" w:rsidR="005103B4">
        <w:rPr>
          <w:rFonts w:ascii="Times New Roman" w:hAnsi="Times New Roman" w:cs="Times New Roman"/>
          <w:sz w:val="24"/>
          <w:szCs w:val="24"/>
        </w:rPr>
        <w:t xml:space="preserve">not provide </w:t>
      </w:r>
      <w:r w:rsidRPr="2AF2C5BE" w:rsidR="00DF77D6">
        <w:rPr>
          <w:rFonts w:ascii="Times New Roman" w:hAnsi="Times New Roman" w:cs="Times New Roman"/>
          <w:sz w:val="24"/>
          <w:szCs w:val="24"/>
        </w:rPr>
        <w:t xml:space="preserve">any </w:t>
      </w:r>
      <w:r w:rsidRPr="2AF2C5BE" w:rsidR="005103B4">
        <w:rPr>
          <w:rFonts w:ascii="Times New Roman" w:hAnsi="Times New Roman" w:cs="Times New Roman"/>
          <w:sz w:val="24"/>
          <w:szCs w:val="24"/>
        </w:rPr>
        <w:t>paper copies.  Since eFiling is currently the typical method for submitting information involving FERC-53</w:t>
      </w:r>
      <w:r w:rsidRPr="2AF2C5BE" w:rsidR="00464F16">
        <w:rPr>
          <w:rFonts w:ascii="Times New Roman" w:hAnsi="Times New Roman" w:cs="Times New Roman"/>
          <w:sz w:val="24"/>
          <w:szCs w:val="24"/>
        </w:rPr>
        <w:t>7</w:t>
      </w:r>
      <w:r w:rsidRPr="2AF2C5BE" w:rsidR="005103B4">
        <w:rPr>
          <w:rFonts w:ascii="Times New Roman" w:hAnsi="Times New Roman" w:cs="Times New Roman"/>
          <w:sz w:val="24"/>
          <w:szCs w:val="24"/>
        </w:rPr>
        <w:t>, the special circumstance presented by 18 CFR 157.6 is rarely pertinent.</w:t>
      </w:r>
    </w:p>
    <w:p w:rsidR="000D3E5F" w:rsidRPr="00EA4B61" w:rsidP="002B7606" w14:paraId="41BC1071" w14:textId="77777777">
      <w:pPr>
        <w:spacing w:after="0" w:line="240" w:lineRule="auto"/>
        <w:rPr>
          <w:rFonts w:ascii="Times New Roman" w:hAnsi="Times New Roman" w:cs="Times New Roman"/>
          <w:bCs/>
          <w:sz w:val="24"/>
          <w:szCs w:val="24"/>
        </w:rPr>
      </w:pPr>
    </w:p>
    <w:p w:rsidR="000D3E5F" w:rsidRPr="00EA4B61" w:rsidP="750D58D3" w14:paraId="66CF8CF9" w14:textId="4F7AFA2B">
      <w:pPr>
        <w:spacing w:after="0" w:line="240" w:lineRule="auto"/>
        <w:rPr>
          <w:rFonts w:ascii="Times New Roman" w:hAnsi="Times New Roman" w:cs="Times New Roman"/>
          <w:sz w:val="24"/>
          <w:szCs w:val="24"/>
        </w:rPr>
      </w:pPr>
      <w:r w:rsidRPr="00EA4B61">
        <w:rPr>
          <w:rFonts w:ascii="Times New Roman" w:hAnsi="Times New Roman" w:cs="Times New Roman"/>
          <w:b/>
          <w:bCs/>
          <w:sz w:val="24"/>
          <w:szCs w:val="24"/>
        </w:rPr>
        <w:t xml:space="preserve">8. </w:t>
      </w:r>
      <w:r w:rsidRPr="00EA4B61">
        <w:rPr>
          <w:rFonts w:ascii="Times New Roman" w:hAnsi="Times New Roman" w:cs="Times New Roman"/>
          <w:sz w:val="24"/>
          <w:szCs w:val="24"/>
        </w:rPr>
        <w:tab/>
      </w:r>
      <w:r w:rsidRPr="00EA4B61">
        <w:rPr>
          <w:rFonts w:ascii="Times New Roman" w:hAnsi="Times New Roman" w:cs="Times New Roman"/>
          <w:b/>
          <w:bCs/>
          <w:sz w:val="24"/>
          <w:szCs w:val="24"/>
        </w:rPr>
        <w:t>DESCRIBE EFFORTS TO CONSULT OUTSIDE THE AGENCY:  SUMMARIZE PUBLIC COMMENTS AND THE AGENCY’S RESPONSE TO THESE COMMENTS</w:t>
      </w:r>
    </w:p>
    <w:p w:rsidR="00C22E60" w:rsidRPr="00EA4B61" w:rsidP="009D5886" w14:paraId="688A3836" w14:textId="77777777">
      <w:pPr>
        <w:spacing w:after="0" w:line="240" w:lineRule="auto"/>
        <w:rPr>
          <w:rFonts w:ascii="Times New Roman" w:hAnsi="Times New Roman" w:cs="Times New Roman"/>
          <w:sz w:val="24"/>
          <w:szCs w:val="24"/>
        </w:rPr>
      </w:pPr>
    </w:p>
    <w:p w:rsidR="00610A32" w:rsidRPr="00EA4B61" w:rsidP="5213A355" w14:paraId="66D9BD86" w14:textId="6DD331A8">
      <w:pPr>
        <w:spacing w:after="0" w:line="240" w:lineRule="auto"/>
      </w:pPr>
      <w:r w:rsidRPr="00EA4B61" w:rsidR="31590E4F">
        <w:rPr>
          <w:rFonts w:ascii="Times New Roman" w:hAnsi="Times New Roman" w:cs="Times New Roman"/>
          <w:sz w:val="24"/>
          <w:szCs w:val="24"/>
        </w:rPr>
        <w:t>On November 20, 2025, the Commission issued a notice of inquiry (NOI) in this proceeding, requesting infor</w:t>
      </w:r>
      <w:r w:rsidRPr="7B01767A" w:rsidR="31590E4F">
        <w:rPr>
          <w:rFonts w:ascii="Times New Roman" w:hAnsi="Times New Roman" w:cs="Times New Roman"/>
          <w:b w:val="0"/>
          <w:bCs w:val="0"/>
          <w:sz w:val="24"/>
          <w:szCs w:val="24"/>
        </w:rPr>
        <w:t xml:space="preserve">mation and comments on whether and if so how to revise its regulations to allow for the authorization of activities at LNG plants without case-specific authorization under </w:t>
      </w:r>
      <w:r w:rsidRPr="00EA4B61" w:rsidR="2E355A5B">
        <w:rPr>
          <w:rFonts w:ascii="Times New Roman" w:hAnsi="Times New Roman" w:cs="Times New Roman"/>
          <w:b w:val="0"/>
          <w:bCs w:val="0"/>
          <w:sz w:val="24"/>
          <w:szCs w:val="24"/>
        </w:rPr>
        <w:t>section</w:t>
      </w:r>
      <w:r w:rsidR="2E355A5B">
        <w:rPr>
          <w:rFonts w:ascii="Times New Roman" w:hAnsi="Times New Roman" w:cs="Times New Roman"/>
          <w:b w:val="0"/>
          <w:bCs w:val="0"/>
          <w:sz w:val="24"/>
          <w:szCs w:val="24"/>
        </w:rPr>
        <w:t> </w:t>
      </w:r>
      <w:r w:rsidRPr="00EA4B61" w:rsidR="31590E4F">
        <w:rPr>
          <w:rFonts w:ascii="Times New Roman" w:hAnsi="Times New Roman" w:cs="Times New Roman"/>
          <w:b w:val="0"/>
          <w:bCs w:val="0"/>
          <w:sz w:val="24"/>
          <w:szCs w:val="24"/>
        </w:rPr>
        <w:t>3 or 7 of the NGA.</w:t>
      </w:r>
      <w:r>
        <w:rPr>
          <w:rFonts w:ascii="Times New Roman" w:hAnsi="Times New Roman" w:cs="Times New Roman"/>
          <w:b w:val="0"/>
          <w:bCs w:val="0"/>
          <w:sz w:val="24"/>
          <w:szCs w:val="24"/>
          <w:vertAlign w:val="superscript"/>
        </w:rPr>
        <w:footnoteReference w:id="12"/>
      </w:r>
      <w:r w:rsidRPr="00EA4B61" w:rsidR="31590E4F">
        <w:rPr>
          <w:rFonts w:ascii="Times New Roman" w:hAnsi="Times New Roman" w:cs="Times New Roman"/>
          <w:b w:val="0"/>
          <w:bCs w:val="0"/>
          <w:sz w:val="24"/>
          <w:szCs w:val="24"/>
        </w:rPr>
        <w:t xml:space="preserve">  The NOI was published in the Federal Register on November 25, 2025,</w:t>
      </w:r>
      <w:r>
        <w:rPr>
          <w:rFonts w:ascii="Times New Roman" w:hAnsi="Times New Roman" w:cs="Times New Roman"/>
          <w:b w:val="0"/>
          <w:bCs w:val="0"/>
          <w:sz w:val="24"/>
          <w:szCs w:val="24"/>
          <w:vertAlign w:val="superscript"/>
        </w:rPr>
        <w:footnoteReference w:id="13"/>
      </w:r>
      <w:r w:rsidRPr="00EA4B61" w:rsidR="31590E4F">
        <w:rPr>
          <w:rFonts w:ascii="Times New Roman" w:hAnsi="Times New Roman" w:cs="Times New Roman"/>
          <w:b w:val="0"/>
          <w:bCs w:val="0"/>
          <w:sz w:val="24"/>
          <w:szCs w:val="24"/>
        </w:rPr>
        <w:t xml:space="preserve"> and </w:t>
      </w:r>
      <w:r w:rsidRPr="7B01767A" w:rsidR="31590E4F">
        <w:rPr>
          <w:rFonts w:ascii="Times New Roman" w:hAnsi="Times New Roman" w:cs="Times New Roman"/>
          <w:b w:val="0"/>
          <w:bCs w:val="0"/>
          <w:sz w:val="24"/>
          <w:szCs w:val="24"/>
        </w:rPr>
        <w:t>established</w:t>
      </w:r>
      <w:r w:rsidRPr="7B01767A" w:rsidR="31590E4F">
        <w:rPr>
          <w:rFonts w:ascii="Times New Roman" w:hAnsi="Times New Roman" w:cs="Times New Roman"/>
          <w:b w:val="0"/>
          <w:bCs w:val="0"/>
          <w:sz w:val="24"/>
          <w:szCs w:val="24"/>
        </w:rPr>
        <w:t xml:space="preserve"> a 60-day comment period expiring on January 27, 2026</w:t>
      </w:r>
      <w:r w:rsidRPr="7B01767A" w:rsidR="31590E4F">
        <w:rPr>
          <w:rFonts w:ascii="Times New Roman" w:hAnsi="Times New Roman" w:cs="Times New Roman"/>
          <w:b w:val="0"/>
          <w:bCs w:val="0"/>
          <w:sz w:val="24"/>
          <w:szCs w:val="24"/>
        </w:rPr>
        <w:t xml:space="preserve">.  </w:t>
      </w:r>
      <w:r w:rsidRPr="7B01767A" w:rsidR="31590E4F">
        <w:rPr>
          <w:rFonts w:ascii="Times New Roman" w:hAnsi="Times New Roman" w:cs="Times New Roman"/>
          <w:b w:val="0"/>
          <w:bCs w:val="0"/>
          <w:sz w:val="24"/>
          <w:szCs w:val="24"/>
        </w:rPr>
        <w:t xml:space="preserve">In response to the NOI, the Commission received </w:t>
      </w:r>
      <w:r w:rsidRPr="7B01767A" w:rsidR="31590E4F">
        <w:rPr>
          <w:rFonts w:ascii="Times New Roman" w:hAnsi="Times New Roman" w:cs="Times New Roman"/>
          <w:b w:val="0"/>
          <w:bCs w:val="0"/>
          <w:sz w:val="24"/>
          <w:szCs w:val="24"/>
        </w:rPr>
        <w:t>18</w:t>
      </w:r>
      <w:r w:rsidRPr="00EA4B61" w:rsidR="31590E4F">
        <w:rPr>
          <w:rFonts w:ascii="Times New Roman" w:hAnsi="Times New Roman" w:cs="Times New Roman"/>
          <w:b w:val="0"/>
          <w:bCs w:val="0"/>
          <w:sz w:val="24"/>
          <w:szCs w:val="24"/>
        </w:rPr>
        <w:t> comments</w:t>
      </w:r>
      <w:r w:rsidRPr="7B01767A" w:rsidR="31590E4F">
        <w:rPr>
          <w:rFonts w:ascii="Times New Roman" w:hAnsi="Times New Roman" w:cs="Times New Roman"/>
          <w:b w:val="0"/>
          <w:bCs w:val="0"/>
          <w:sz w:val="24"/>
          <w:szCs w:val="24"/>
        </w:rPr>
        <w:t>—eight</w:t>
      </w:r>
      <w:r w:rsidRPr="00EA4B61" w:rsidR="31590E4F">
        <w:rPr>
          <w:rFonts w:ascii="Times New Roman" w:hAnsi="Times New Roman" w:cs="Times New Roman"/>
          <w:b w:val="0"/>
          <w:bCs w:val="0"/>
          <w:sz w:val="24"/>
          <w:szCs w:val="24"/>
        </w:rPr>
        <w:t xml:space="preserve"> from </w:t>
      </w:r>
      <w:r w:rsidRPr="7B01767A" w:rsidR="31590E4F">
        <w:rPr>
          <w:rFonts w:ascii="Times New Roman" w:hAnsi="Times New Roman" w:cs="Times New Roman"/>
          <w:b w:val="0"/>
          <w:bCs w:val="0"/>
          <w:sz w:val="24"/>
          <w:szCs w:val="24"/>
        </w:rPr>
        <w:t xml:space="preserve">LNG and </w:t>
      </w:r>
      <w:r w:rsidRPr="00EA4B61" w:rsidR="31590E4F">
        <w:rPr>
          <w:rFonts w:ascii="Times New Roman" w:hAnsi="Times New Roman" w:cs="Times New Roman"/>
          <w:b w:val="0"/>
          <w:bCs w:val="0"/>
          <w:sz w:val="24"/>
          <w:szCs w:val="24"/>
        </w:rPr>
        <w:t xml:space="preserve">natural gas companies and related trade associations, </w:t>
      </w:r>
      <w:r w:rsidRPr="7B01767A" w:rsidR="31590E4F">
        <w:rPr>
          <w:rFonts w:ascii="Times New Roman" w:hAnsi="Times New Roman" w:cs="Times New Roman"/>
          <w:b w:val="0"/>
          <w:bCs w:val="0"/>
          <w:sz w:val="24"/>
          <w:szCs w:val="24"/>
        </w:rPr>
        <w:t>one from an energy technology company, two</w:t>
      </w:r>
      <w:r w:rsidRPr="00EA4B61" w:rsidR="31590E4F">
        <w:rPr>
          <w:rFonts w:ascii="Times New Roman" w:hAnsi="Times New Roman" w:cs="Times New Roman"/>
          <w:b w:val="0"/>
          <w:bCs w:val="0"/>
          <w:sz w:val="24"/>
          <w:szCs w:val="24"/>
        </w:rPr>
        <w:t xml:space="preserve"> from </w:t>
      </w:r>
      <w:r w:rsidRPr="7B01767A" w:rsidR="31590E4F">
        <w:rPr>
          <w:rFonts w:ascii="Times New Roman" w:hAnsi="Times New Roman" w:cs="Times New Roman"/>
          <w:b w:val="0"/>
          <w:bCs w:val="0"/>
          <w:sz w:val="24"/>
          <w:szCs w:val="24"/>
        </w:rPr>
        <w:t xml:space="preserve">engineering consulting firms, six from </w:t>
      </w:r>
      <w:r w:rsidRPr="00EA4B61" w:rsidR="31590E4F">
        <w:rPr>
          <w:rFonts w:ascii="Times New Roman" w:hAnsi="Times New Roman" w:cs="Times New Roman"/>
          <w:b w:val="0"/>
          <w:bCs w:val="0"/>
          <w:sz w:val="24"/>
          <w:szCs w:val="24"/>
        </w:rPr>
        <w:t xml:space="preserve">public interest organizations, and one </w:t>
      </w:r>
      <w:r w:rsidRPr="7B01767A" w:rsidR="31590E4F">
        <w:rPr>
          <w:rFonts w:ascii="Times New Roman" w:hAnsi="Times New Roman" w:cs="Times New Roman"/>
          <w:b w:val="0"/>
          <w:bCs w:val="0"/>
          <w:sz w:val="24"/>
          <w:szCs w:val="24"/>
        </w:rPr>
        <w:t xml:space="preserve">on behalf of </w:t>
      </w:r>
      <w:r w:rsidRPr="00EA4B61" w:rsidR="31590E4F">
        <w:rPr>
          <w:rFonts w:ascii="Times New Roman" w:hAnsi="Times New Roman" w:cs="Times New Roman"/>
          <w:b w:val="0"/>
          <w:bCs w:val="0"/>
          <w:sz w:val="24"/>
          <w:szCs w:val="24"/>
        </w:rPr>
        <w:t xml:space="preserve">nine </w:t>
      </w:r>
      <w:r w:rsidRPr="00EA4B61" w:rsidR="31590E4F">
        <w:rPr>
          <w:rFonts w:ascii="Times New Roman" w:hAnsi="Times New Roman" w:cs="Times New Roman"/>
          <w:b w:val="0"/>
          <w:bCs w:val="0"/>
          <w:sz w:val="24"/>
          <w:szCs w:val="24"/>
        </w:rPr>
        <w:t>states’ attorneys general.</w:t>
      </w:r>
      <w:r>
        <w:rPr>
          <w:rFonts w:ascii="Times New Roman" w:hAnsi="Times New Roman" w:cs="Times New Roman"/>
          <w:b w:val="0"/>
          <w:bCs w:val="0"/>
          <w:sz w:val="24"/>
          <w:szCs w:val="24"/>
          <w:vertAlign w:val="superscript"/>
        </w:rPr>
        <w:footnoteReference w:id="14"/>
      </w:r>
      <w:r w:rsidRPr="7B01767A" w:rsidR="01DBF2E3">
        <w:rPr>
          <w:rFonts w:ascii="Times New Roman" w:hAnsi="Times New Roman" w:cs="Times New Roman"/>
          <w:b w:val="0"/>
          <w:bCs w:val="0"/>
          <w:sz w:val="24"/>
          <w:szCs w:val="24"/>
          <w:vertAlign w:val="superscript"/>
        </w:rPr>
        <w:t>,</w:t>
      </w:r>
      <w:r w:rsidRPr="7B01767A" w:rsidR="01DBF2E3">
        <w:rPr>
          <w:rFonts w:ascii="Times New Roman" w:hAnsi="Times New Roman" w:cs="Times New Roman"/>
          <w:b w:val="0"/>
          <w:bCs w:val="0"/>
          <w:sz w:val="24"/>
          <w:szCs w:val="24"/>
        </w:rPr>
        <w:t xml:space="preserve"> </w:t>
      </w:r>
      <w:r>
        <w:rPr>
          <w:rFonts w:ascii="Times New Roman" w:hAnsi="Times New Roman" w:cs="Times New Roman"/>
          <w:b w:val="0"/>
          <w:bCs w:val="0"/>
          <w:sz w:val="24"/>
          <w:szCs w:val="24"/>
          <w:vertAlign w:val="superscript"/>
        </w:rPr>
        <w:footnoteReference w:id="15"/>
      </w:r>
      <w:r w:rsidRPr="7B01767A" w:rsidR="31590E4F">
        <w:rPr>
          <w:rFonts w:ascii="Times New Roman" w:hAnsi="Times New Roman" w:cs="Times New Roman"/>
          <w:b w:val="0"/>
          <w:bCs w:val="0"/>
          <w:sz w:val="24"/>
          <w:szCs w:val="24"/>
        </w:rPr>
        <w:t xml:space="preserve">  Th</w:t>
      </w:r>
      <w:r w:rsidRPr="7B01767A" w:rsidR="31590E4F">
        <w:rPr>
          <w:rFonts w:ascii="Times New Roman" w:hAnsi="Times New Roman" w:cs="Times New Roman"/>
          <w:sz w:val="24"/>
          <w:szCs w:val="24"/>
        </w:rPr>
        <w:t>e comments addressed a variety of issues, including:  support for a blanket program as it would allow certain activities at LNG plants to proceed in an expedited fashion; recommendations on how the Commission should implement a program with a tiered authorization system that would allow automatic approval for minor, in-footprint modifications and a prior notice process for moderate changes; recommendations that the LNG blanket program not include costs limits; questions pertaining to how the public and state agencies would receive notice; concerns about environmental effects and safety impacts; and questions as to whether the LNG industry is suitable for a blanket authorization program</w:t>
      </w:r>
      <w:r w:rsidRPr="7B01767A" w:rsidR="4DFB7EDF">
        <w:rPr>
          <w:rFonts w:ascii="Times New Roman" w:hAnsi="Times New Roman" w:cs="Times New Roman"/>
          <w:sz w:val="24"/>
          <w:szCs w:val="24"/>
        </w:rPr>
        <w:t>.</w:t>
      </w:r>
      <w:r w:rsidRPr="7B01767A" w:rsidR="54679C47">
        <w:rPr>
          <w:rFonts w:ascii="Times New Roman" w:hAnsi="Times New Roman" w:cs="Times New Roman"/>
          <w:sz w:val="24"/>
          <w:szCs w:val="24"/>
        </w:rPr>
        <w:t xml:space="preserve"> These comments informed the preparation of th</w:t>
      </w:r>
      <w:r w:rsidRPr="7B01767A" w:rsidR="0C530A7B">
        <w:rPr>
          <w:rFonts w:ascii="Times New Roman" w:hAnsi="Times New Roman" w:cs="Times New Roman"/>
          <w:sz w:val="24"/>
          <w:szCs w:val="24"/>
        </w:rPr>
        <w:t>e</w:t>
      </w:r>
      <w:r w:rsidRPr="7B01767A" w:rsidR="54679C47">
        <w:rPr>
          <w:rFonts w:ascii="Times New Roman" w:hAnsi="Times New Roman" w:cs="Times New Roman"/>
          <w:sz w:val="24"/>
          <w:szCs w:val="24"/>
        </w:rPr>
        <w:t xml:space="preserve"> </w:t>
      </w:r>
      <w:r w:rsidRPr="7B01767A" w:rsidR="31241141">
        <w:rPr>
          <w:rFonts w:ascii="Times New Roman" w:hAnsi="Times New Roman" w:cs="Times New Roman"/>
          <w:sz w:val="24"/>
          <w:szCs w:val="24"/>
        </w:rPr>
        <w:t>NOPR</w:t>
      </w:r>
      <w:r w:rsidRPr="7B01767A" w:rsidR="54679C47">
        <w:rPr>
          <w:rFonts w:ascii="Times New Roman" w:hAnsi="Times New Roman" w:cs="Times New Roman"/>
          <w:sz w:val="24"/>
          <w:szCs w:val="24"/>
        </w:rPr>
        <w:t>.</w:t>
      </w:r>
      <w:r w:rsidRPr="7B01767A" w:rsidR="68067F53">
        <w:rPr>
          <w:rFonts w:ascii="Times New Roman" w:hAnsi="Times New Roman" w:cs="Times New Roman"/>
          <w:sz w:val="24"/>
          <w:szCs w:val="24"/>
        </w:rPr>
        <w:t xml:space="preserve"> The NOPR was published in the Federal Register on October 20, 2026 (91 FR 66492).</w:t>
      </w:r>
    </w:p>
    <w:p w:rsidR="000D3E5F" w:rsidRPr="00EA4B61" w:rsidP="000D3E5F" w14:paraId="7259F5AB" w14:textId="77777777">
      <w:pPr>
        <w:spacing w:after="0" w:line="240" w:lineRule="auto"/>
        <w:rPr>
          <w:rFonts w:ascii="Times New Roman" w:hAnsi="Times New Roman" w:cs="Times New Roman"/>
          <w:sz w:val="24"/>
          <w:szCs w:val="24"/>
        </w:rPr>
      </w:pPr>
    </w:p>
    <w:p w:rsidR="000D3E5F" w:rsidRPr="00EA4B61" w:rsidP="750D58D3" w14:paraId="00329ED2" w14:textId="77777777">
      <w:pPr>
        <w:numPr>
          <w:ilvl w:val="0"/>
          <w:numId w:val="4"/>
        </w:numPr>
        <w:spacing w:after="0" w:line="240" w:lineRule="auto"/>
        <w:ind w:left="720" w:hanging="720"/>
        <w:rPr>
          <w:rFonts w:ascii="Times New Roman" w:hAnsi="Times New Roman" w:cs="Times New Roman"/>
          <w:sz w:val="24"/>
          <w:szCs w:val="24"/>
        </w:rPr>
      </w:pPr>
      <w:r w:rsidRPr="00EA4B61">
        <w:rPr>
          <w:rFonts w:ascii="Times New Roman" w:hAnsi="Times New Roman" w:cs="Times New Roman"/>
          <w:b/>
          <w:bCs/>
          <w:sz w:val="24"/>
          <w:szCs w:val="24"/>
        </w:rPr>
        <w:t>EXPLAIN ANY PAYMENT OR GIFTS TO RESPONDENTS</w:t>
      </w:r>
    </w:p>
    <w:p w:rsidR="000D3E5F" w:rsidRPr="00EA4B61" w:rsidP="000D3E5F" w14:paraId="31038A46" w14:textId="77777777">
      <w:pPr>
        <w:spacing w:after="0" w:line="240" w:lineRule="auto"/>
        <w:rPr>
          <w:rFonts w:ascii="Times New Roman" w:hAnsi="Times New Roman" w:cs="Times New Roman"/>
          <w:bCs/>
          <w:sz w:val="24"/>
          <w:szCs w:val="24"/>
        </w:rPr>
      </w:pPr>
    </w:p>
    <w:p w:rsidR="000D3E5F" w:rsidRPr="00EA4B61" w:rsidP="000D3E5F" w14:paraId="6FDC6ACE" w14:textId="28F6F311">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There are no payments or gifts to respondents of </w:t>
      </w:r>
      <w:r w:rsidRPr="00EA4B61" w:rsidR="00EC60DB">
        <w:rPr>
          <w:rFonts w:ascii="Times New Roman" w:hAnsi="Times New Roman" w:cs="Times New Roman"/>
          <w:sz w:val="24"/>
          <w:szCs w:val="24"/>
        </w:rPr>
        <w:t>these collections</w:t>
      </w:r>
      <w:r w:rsidRPr="00EA4B61" w:rsidR="00C05645">
        <w:rPr>
          <w:rFonts w:ascii="Times New Roman" w:hAnsi="Times New Roman" w:cs="Times New Roman"/>
          <w:sz w:val="24"/>
          <w:szCs w:val="24"/>
        </w:rPr>
        <w:t>.</w:t>
      </w:r>
    </w:p>
    <w:p w:rsidR="000D3E5F" w:rsidRPr="00EA4B61" w:rsidP="000D3E5F" w14:paraId="75FA6515" w14:textId="77777777">
      <w:pPr>
        <w:spacing w:after="0" w:line="240" w:lineRule="auto"/>
        <w:rPr>
          <w:rFonts w:ascii="Times New Roman" w:hAnsi="Times New Roman" w:cs="Times New Roman"/>
          <w:sz w:val="24"/>
          <w:szCs w:val="24"/>
        </w:rPr>
      </w:pPr>
    </w:p>
    <w:p w:rsidR="000D3E5F" w:rsidRPr="00EA4B61" w:rsidP="750D58D3" w14:paraId="2204C766" w14:textId="77777777">
      <w:pPr>
        <w:numPr>
          <w:ilvl w:val="0"/>
          <w:numId w:val="4"/>
        </w:numPr>
        <w:spacing w:after="0" w:line="240" w:lineRule="auto"/>
        <w:ind w:left="720" w:hanging="720"/>
        <w:rPr>
          <w:rFonts w:ascii="Times New Roman" w:hAnsi="Times New Roman" w:cs="Times New Roman"/>
          <w:sz w:val="24"/>
          <w:szCs w:val="24"/>
        </w:rPr>
      </w:pPr>
      <w:r w:rsidRPr="00EA4B61">
        <w:rPr>
          <w:rFonts w:ascii="Times New Roman" w:hAnsi="Times New Roman" w:cs="Times New Roman"/>
          <w:b/>
          <w:bCs/>
          <w:sz w:val="24"/>
          <w:szCs w:val="24"/>
        </w:rPr>
        <w:t>DESCRIBE ANY ASSURANCE OF CONFIDENTIALITY PROVIDED TO RESPONDENTS</w:t>
      </w:r>
    </w:p>
    <w:p w:rsidR="000D3E5F" w:rsidRPr="00EA4B61" w:rsidP="000D3E5F" w14:paraId="2C6255C5" w14:textId="77777777">
      <w:pPr>
        <w:spacing w:after="0" w:line="240" w:lineRule="auto"/>
        <w:rPr>
          <w:rFonts w:ascii="Times New Roman" w:hAnsi="Times New Roman" w:cs="Times New Roman"/>
          <w:sz w:val="24"/>
          <w:szCs w:val="24"/>
        </w:rPr>
      </w:pPr>
    </w:p>
    <w:p w:rsidR="000D3E5F" w:rsidRPr="00EA4B61" w:rsidP="000D3E5F" w14:paraId="53812581" w14:textId="3A53C9ED">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The Commission does not guarantee the </w:t>
      </w:r>
      <w:r w:rsidRPr="00EA4B61" w:rsidR="009D0DAE">
        <w:rPr>
          <w:rFonts w:ascii="Times New Roman" w:hAnsi="Times New Roman" w:cs="Times New Roman"/>
          <w:sz w:val="24"/>
          <w:szCs w:val="24"/>
        </w:rPr>
        <w:t>confidential</w:t>
      </w:r>
      <w:r w:rsidR="009D0DAE">
        <w:rPr>
          <w:rFonts w:ascii="Times New Roman" w:hAnsi="Times New Roman" w:cs="Times New Roman"/>
          <w:sz w:val="24"/>
          <w:szCs w:val="24"/>
        </w:rPr>
        <w:t>ity of</w:t>
      </w:r>
      <w:r w:rsidRPr="00EA4B61" w:rsidR="009D0DAE">
        <w:rPr>
          <w:rFonts w:ascii="Times New Roman" w:hAnsi="Times New Roman" w:cs="Times New Roman"/>
          <w:sz w:val="24"/>
          <w:szCs w:val="24"/>
        </w:rPr>
        <w:t xml:space="preserve"> </w:t>
      </w:r>
      <w:r w:rsidRPr="00EA4B61">
        <w:rPr>
          <w:rFonts w:ascii="Times New Roman" w:hAnsi="Times New Roman" w:cs="Times New Roman"/>
          <w:sz w:val="24"/>
          <w:szCs w:val="24"/>
        </w:rPr>
        <w:t xml:space="preserve">information provided by applicants.  The Commission encourages applicants to indicate information which may be Critical Energy/Electric Infrastructure Information (CEII) or privileged.  CEII as defined in Section 18 CFR 388.113 includes information about proposed or existing natural gas facilities that could be used by a person planning an attack on critical energy infrastructure.  Privileged material most often includes proprietary business information, specific cultural resource details and locations, and personal identification information of affected landowners.  More information about CEII and privileged security levels of information </w:t>
      </w:r>
      <w:r w:rsidRPr="00EA4B61" w:rsidR="00C96EFA">
        <w:rPr>
          <w:rFonts w:ascii="Times New Roman" w:hAnsi="Times New Roman" w:cs="Times New Roman"/>
          <w:sz w:val="24"/>
          <w:szCs w:val="24"/>
        </w:rPr>
        <w:t xml:space="preserve">is </w:t>
      </w:r>
      <w:r w:rsidRPr="00EA4B61">
        <w:rPr>
          <w:rFonts w:ascii="Times New Roman" w:hAnsi="Times New Roman" w:cs="Times New Roman"/>
          <w:sz w:val="24"/>
          <w:szCs w:val="24"/>
        </w:rPr>
        <w:t xml:space="preserve">posted at </w:t>
      </w:r>
      <w:hyperlink r:id="rId10" w:history="1">
        <w:r w:rsidRPr="00EA4B61">
          <w:rPr>
            <w:rStyle w:val="Hyperlink"/>
            <w:rFonts w:ascii="Times New Roman" w:hAnsi="Times New Roman" w:cs="Times New Roman"/>
            <w:sz w:val="24"/>
            <w:szCs w:val="24"/>
          </w:rPr>
          <w:t>http://www.ferc.gov/legal/ceii-foia/ceii.asp</w:t>
        </w:r>
      </w:hyperlink>
      <w:r w:rsidRPr="00EA4B61">
        <w:rPr>
          <w:rFonts w:ascii="Times New Roman" w:hAnsi="Times New Roman" w:cs="Times New Roman"/>
          <w:sz w:val="24"/>
          <w:szCs w:val="24"/>
        </w:rPr>
        <w:t xml:space="preserve"> and </w:t>
      </w:r>
      <w:hyperlink r:id="rId11" w:history="1">
        <w:r w:rsidRPr="00EA4B61">
          <w:rPr>
            <w:rStyle w:val="Hyperlink"/>
            <w:rFonts w:ascii="Times New Roman" w:hAnsi="Times New Roman" w:cs="Times New Roman"/>
            <w:sz w:val="24"/>
            <w:szCs w:val="24"/>
          </w:rPr>
          <w:t>http://www.ferc.gov/legal/ceii-foia/ceii/classes.asp</w:t>
        </w:r>
      </w:hyperlink>
      <w:r w:rsidRPr="00EA4B61">
        <w:rPr>
          <w:rFonts w:ascii="Times New Roman" w:hAnsi="Times New Roman" w:cs="Times New Roman"/>
          <w:sz w:val="24"/>
          <w:szCs w:val="24"/>
        </w:rPr>
        <w:t xml:space="preserve">.  The Commission’s procedures in Part 388 are designed to ensure that CEII and privileged material are not placed in the Commission’s public records.  </w:t>
      </w:r>
    </w:p>
    <w:p w:rsidR="000D3E5F" w:rsidRPr="00EA4B61" w:rsidP="000D3E5F" w14:paraId="1C88B5E2" w14:textId="77777777">
      <w:pPr>
        <w:spacing w:after="0" w:line="240" w:lineRule="auto"/>
        <w:rPr>
          <w:rFonts w:ascii="Times New Roman" w:hAnsi="Times New Roman" w:cs="Times New Roman"/>
          <w:bCs/>
          <w:sz w:val="24"/>
          <w:szCs w:val="24"/>
        </w:rPr>
      </w:pPr>
    </w:p>
    <w:p w:rsidR="000D3E5F" w:rsidRPr="00EA4B61" w:rsidP="750D58D3" w14:paraId="43B667C8" w14:textId="77777777">
      <w:pPr>
        <w:numPr>
          <w:ilvl w:val="0"/>
          <w:numId w:val="4"/>
        </w:numPr>
        <w:spacing w:after="0" w:line="240" w:lineRule="auto"/>
        <w:ind w:left="810" w:hanging="810"/>
        <w:rPr>
          <w:rFonts w:ascii="Times New Roman" w:hAnsi="Times New Roman" w:cs="Times New Roman"/>
          <w:sz w:val="24"/>
          <w:szCs w:val="24"/>
        </w:rPr>
      </w:pPr>
      <w:r w:rsidRPr="00EA4B61">
        <w:rPr>
          <w:rFonts w:ascii="Times New Roman" w:hAnsi="Times New Roman" w:cs="Times New Roman"/>
          <w:b/>
          <w:bCs/>
          <w:sz w:val="24"/>
          <w:szCs w:val="24"/>
        </w:rPr>
        <w:t>PROVIDE ADDITIONAL JUSTIFICATION FOR ANY QUESTIONS OF A SENSITIVE NATURE, SUCH AS SEXUAL BEHAVIOR AND ATTITUDES, RELIGIOUS BELIEFS, AND OTHER MATTERS THAT ARE COMMONLY CONSIDERED PRIVATE</w:t>
      </w:r>
    </w:p>
    <w:p w:rsidR="000D3E5F" w:rsidRPr="00EA4B61" w:rsidP="000D3E5F" w14:paraId="47B844D7" w14:textId="77777777">
      <w:pPr>
        <w:spacing w:after="0" w:line="240" w:lineRule="auto"/>
        <w:rPr>
          <w:rFonts w:ascii="Times New Roman" w:hAnsi="Times New Roman" w:cs="Times New Roman"/>
          <w:sz w:val="24"/>
          <w:szCs w:val="24"/>
        </w:rPr>
      </w:pPr>
    </w:p>
    <w:p w:rsidR="000D3E5F" w:rsidRPr="00EA4B61" w:rsidP="000D3E5F" w14:paraId="0335B623" w14:textId="2A963CF6">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There are no questions of a sensitive nature associated with </w:t>
      </w:r>
      <w:r w:rsidRPr="00EA4B61" w:rsidR="00B72DBF">
        <w:rPr>
          <w:rFonts w:ascii="Times New Roman" w:hAnsi="Times New Roman" w:cs="Times New Roman"/>
          <w:sz w:val="24"/>
          <w:szCs w:val="24"/>
        </w:rPr>
        <w:t>these collections</w:t>
      </w:r>
      <w:r w:rsidRPr="00EA4B61">
        <w:rPr>
          <w:rFonts w:ascii="Times New Roman" w:hAnsi="Times New Roman" w:cs="Times New Roman"/>
          <w:sz w:val="24"/>
          <w:szCs w:val="24"/>
        </w:rPr>
        <w:t>.</w:t>
      </w:r>
    </w:p>
    <w:p w:rsidR="000D3E5F" w:rsidRPr="00EA4B61" w:rsidP="000D3E5F" w14:paraId="3E9921E0" w14:textId="77777777">
      <w:pPr>
        <w:spacing w:after="0" w:line="240" w:lineRule="auto"/>
        <w:rPr>
          <w:rFonts w:ascii="Times New Roman" w:hAnsi="Times New Roman" w:cs="Times New Roman"/>
          <w:sz w:val="24"/>
          <w:szCs w:val="24"/>
        </w:rPr>
      </w:pPr>
    </w:p>
    <w:p w:rsidR="000D3E5F" w:rsidRPr="00EA4B61" w:rsidP="750D58D3" w14:paraId="13B55AF5" w14:textId="77777777">
      <w:pPr>
        <w:numPr>
          <w:ilvl w:val="0"/>
          <w:numId w:val="4"/>
        </w:numPr>
        <w:spacing w:after="0" w:line="240" w:lineRule="auto"/>
        <w:ind w:left="720" w:hanging="720"/>
        <w:rPr>
          <w:rFonts w:ascii="Times New Roman" w:hAnsi="Times New Roman" w:cs="Times New Roman"/>
          <w:b/>
          <w:bCs/>
          <w:sz w:val="24"/>
          <w:szCs w:val="24"/>
        </w:rPr>
      </w:pPr>
      <w:r w:rsidRPr="00EA4B61">
        <w:rPr>
          <w:rFonts w:ascii="Times New Roman" w:hAnsi="Times New Roman" w:cs="Times New Roman"/>
          <w:b/>
          <w:bCs/>
          <w:sz w:val="24"/>
          <w:szCs w:val="24"/>
        </w:rPr>
        <w:t>ESTIMATED BURDEN COLLECTION OF INFORMATION</w:t>
      </w:r>
    </w:p>
    <w:p w:rsidR="000D3E5F" w:rsidRPr="00EA4B61" w:rsidP="000D3E5F" w14:paraId="2F6F258C" w14:textId="77777777">
      <w:pPr>
        <w:spacing w:after="0" w:line="240" w:lineRule="auto"/>
        <w:rPr>
          <w:rFonts w:ascii="Times New Roman" w:hAnsi="Times New Roman" w:cs="Times New Roman"/>
          <w:b/>
          <w:sz w:val="24"/>
          <w:szCs w:val="24"/>
        </w:rPr>
      </w:pPr>
    </w:p>
    <w:p w:rsidR="00483B53" w:rsidRPr="00EA4B61" w:rsidP="00483B53" w14:paraId="0FD7E8D1" w14:textId="274D89CF">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 xml:space="preserve">The Commission estimates that this </w:t>
      </w:r>
      <w:r w:rsidR="00A441C4">
        <w:rPr>
          <w:rFonts w:ascii="Times New Roman" w:hAnsi="Times New Roman" w:cs="Times New Roman"/>
          <w:sz w:val="24"/>
          <w:szCs w:val="24"/>
        </w:rPr>
        <w:t>NOPR</w:t>
      </w:r>
      <w:r w:rsidRPr="00EA4B61" w:rsidR="00A441C4">
        <w:rPr>
          <w:rFonts w:ascii="Times New Roman" w:hAnsi="Times New Roman" w:cs="Times New Roman"/>
          <w:bCs/>
          <w:sz w:val="24"/>
          <w:szCs w:val="24"/>
        </w:rPr>
        <w:t xml:space="preserve"> </w:t>
      </w:r>
      <w:r w:rsidRPr="00EA4B61">
        <w:rPr>
          <w:rFonts w:ascii="Times New Roman" w:hAnsi="Times New Roman" w:cs="Times New Roman"/>
          <w:bCs/>
          <w:sz w:val="24"/>
          <w:szCs w:val="24"/>
        </w:rPr>
        <w:t>will affect the following existing information collections:</w:t>
      </w:r>
    </w:p>
    <w:p w:rsidR="00483B53" w:rsidRPr="00EA4B61" w:rsidP="00896AE8" w14:paraId="690B4E73" w14:textId="77777777">
      <w:pPr>
        <w:pStyle w:val="ListParagraph"/>
        <w:numPr>
          <w:ilvl w:val="0"/>
          <w:numId w:val="14"/>
        </w:num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FERC-537:  Gas Pipeline Certificate: Construction, Acquisition &amp; Abandonment (OMB Control No 1902-0060)</w:t>
      </w:r>
    </w:p>
    <w:p w:rsidR="00483B53" w:rsidRPr="00EA4B61" w:rsidP="00896AE8" w14:paraId="71CD7847" w14:textId="77777777">
      <w:pPr>
        <w:pStyle w:val="ListParagraph"/>
        <w:numPr>
          <w:ilvl w:val="0"/>
          <w:numId w:val="14"/>
        </w:num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FERC-539:  Gas Pipeline Certificates: Import &amp; Export Related Applications (OMB Control No 1902-0062)</w:t>
      </w:r>
    </w:p>
    <w:p w:rsidR="00483B53" w:rsidRPr="00EA4B61" w:rsidP="00896AE8" w14:paraId="728C2836" w14:textId="52335293">
      <w:pPr>
        <w:pStyle w:val="ListParagraph"/>
        <w:numPr>
          <w:ilvl w:val="0"/>
          <w:numId w:val="14"/>
        </w:num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FERC-577:  Natural Gas Facilities: Environmental Review and Compliance (OMB Control No 1902-0128)</w:t>
      </w:r>
    </w:p>
    <w:p w:rsidR="00C67918" w:rsidRPr="00EA4B61" w:rsidP="00483B53" w14:paraId="64C0ED36" w14:textId="77777777">
      <w:pPr>
        <w:spacing w:after="0" w:line="240" w:lineRule="auto"/>
        <w:rPr>
          <w:rFonts w:ascii="Times New Roman" w:hAnsi="Times New Roman" w:cs="Times New Roman"/>
          <w:bCs/>
          <w:i/>
          <w:sz w:val="24"/>
          <w:szCs w:val="24"/>
        </w:rPr>
      </w:pPr>
    </w:p>
    <w:p w:rsidR="00483B53" w:rsidRPr="00EA4B61" w:rsidP="00483B53" w14:paraId="05EF9988" w14:textId="6BF302D7">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Title:</w:t>
      </w:r>
      <w:r w:rsidRPr="00EA4B61">
        <w:rPr>
          <w:rFonts w:ascii="Times New Roman" w:hAnsi="Times New Roman" w:cs="Times New Roman"/>
          <w:bCs/>
          <w:sz w:val="24"/>
          <w:szCs w:val="24"/>
        </w:rPr>
        <w:t xml:space="preserve">  FERC-537:  Gas Pipeline Certificate: Construction, Acquisition &amp; Abandonment.</w:t>
      </w:r>
    </w:p>
    <w:p w:rsidR="00C67918" w:rsidRPr="00EA4B61" w:rsidP="00483B53" w14:paraId="62FC9273" w14:textId="77777777">
      <w:pPr>
        <w:spacing w:after="0" w:line="240" w:lineRule="auto"/>
        <w:rPr>
          <w:rFonts w:ascii="Times New Roman" w:hAnsi="Times New Roman" w:cs="Times New Roman"/>
          <w:bCs/>
          <w:i/>
          <w:sz w:val="24"/>
          <w:szCs w:val="24"/>
        </w:rPr>
      </w:pPr>
    </w:p>
    <w:p w:rsidR="00483B53" w:rsidRPr="00EA4B61" w:rsidP="00483B53" w14:paraId="14098390" w14:textId="063965A1">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Respondents:</w:t>
      </w:r>
      <w:r w:rsidRPr="00EA4B61">
        <w:rPr>
          <w:rFonts w:ascii="Times New Roman" w:hAnsi="Times New Roman" w:cs="Times New Roman"/>
          <w:bCs/>
          <w:sz w:val="24"/>
          <w:szCs w:val="24"/>
        </w:rPr>
        <w:t xml:space="preserve">  Companies proposing natural gas projects under section 7 of the NGA and jurisdictional natural gas companies.</w:t>
      </w:r>
    </w:p>
    <w:p w:rsidR="00C67918" w:rsidRPr="00EA4B61" w:rsidP="00483B53" w14:paraId="7573ABC4" w14:textId="77777777">
      <w:pPr>
        <w:spacing w:after="0" w:line="240" w:lineRule="auto"/>
        <w:rPr>
          <w:rFonts w:ascii="Times New Roman" w:hAnsi="Times New Roman" w:cs="Times New Roman"/>
          <w:bCs/>
          <w:i/>
          <w:sz w:val="24"/>
          <w:szCs w:val="24"/>
        </w:rPr>
      </w:pPr>
    </w:p>
    <w:p w:rsidR="00483B53" w:rsidRPr="00EA4B61" w:rsidP="00483B53" w14:paraId="4C08EC5A" w14:textId="0A3A30ED">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Frequency of Responses:</w:t>
      </w:r>
      <w:r w:rsidRPr="00EA4B61">
        <w:rPr>
          <w:rFonts w:ascii="Times New Roman" w:hAnsi="Times New Roman" w:cs="Times New Roman"/>
          <w:bCs/>
          <w:sz w:val="24"/>
          <w:szCs w:val="24"/>
        </w:rPr>
        <w:t xml:space="preserve">  Ongoing.  Natural gas companies file the necessary information with the Commission so that it can review the filing of applications for the construction and operation of facilities to provide service or to abandon facilities or service under section 7 of the NGA to determine if the requested authorization should be granted.</w:t>
      </w:r>
    </w:p>
    <w:p w:rsidR="00C67918" w:rsidRPr="00EA4B61" w:rsidP="00483B53" w14:paraId="5FCB1319" w14:textId="77777777">
      <w:pPr>
        <w:spacing w:after="0" w:line="240" w:lineRule="auto"/>
        <w:rPr>
          <w:rFonts w:ascii="Times New Roman" w:hAnsi="Times New Roman" w:cs="Times New Roman"/>
          <w:bCs/>
          <w:i/>
          <w:iCs/>
          <w:sz w:val="24"/>
          <w:szCs w:val="24"/>
        </w:rPr>
      </w:pPr>
    </w:p>
    <w:p w:rsidR="00483B53" w:rsidRPr="00EA4B61" w:rsidP="00483B53" w14:paraId="37C579B0" w14:textId="373AA4A5">
      <w:pPr>
        <w:spacing w:after="0" w:line="240" w:lineRule="auto"/>
        <w:rPr>
          <w:rFonts w:ascii="Times New Roman" w:hAnsi="Times New Roman" w:cs="Times New Roman"/>
          <w:bCs/>
          <w:sz w:val="24"/>
          <w:szCs w:val="24"/>
        </w:rPr>
      </w:pPr>
      <w:r w:rsidRPr="7B01767A" w:rsidR="71387354">
        <w:rPr>
          <w:rFonts w:ascii="Times New Roman" w:hAnsi="Times New Roman" w:cs="Times New Roman"/>
          <w:i/>
          <w:iCs/>
          <w:sz w:val="24"/>
          <w:szCs w:val="24"/>
        </w:rPr>
        <w:t>Proposed Change:</w:t>
      </w:r>
      <w:r w:rsidRPr="7B01767A" w:rsidR="71387354">
        <w:rPr>
          <w:rFonts w:ascii="Times New Roman" w:hAnsi="Times New Roman" w:cs="Times New Roman"/>
          <w:sz w:val="24"/>
          <w:szCs w:val="24"/>
        </w:rPr>
        <w:t xml:space="preserve">  The Commission estimates that this NOPR would reduce the number of Interstate Certificate and Abandonment Applications by 1 (from 31 to 30).  Note that the Commission published a separate NOPR</w:t>
      </w:r>
      <w:r>
        <w:rPr>
          <w:rFonts w:ascii="Times New Roman" w:hAnsi="Times New Roman" w:cs="Times New Roman"/>
          <w:b/>
          <w:bCs/>
          <w:sz w:val="24"/>
          <w:szCs w:val="24"/>
          <w:vertAlign w:val="superscript"/>
        </w:rPr>
        <w:footnoteReference w:id="16"/>
      </w:r>
      <w:r w:rsidRPr="7B01767A" w:rsidR="71387354">
        <w:rPr>
          <w:rFonts w:ascii="Times New Roman" w:hAnsi="Times New Roman" w:cs="Times New Roman"/>
          <w:sz w:val="24"/>
          <w:szCs w:val="24"/>
        </w:rPr>
        <w:t xml:space="preserve"> that proposed to reduce the burden associated with these applications by 9 (from 31 to 22).  If both of these NOPRs are finalized as proposed, the burden reductions would be added together (e.g., reducing applications by 10 from 31 to 21).</w:t>
      </w:r>
    </w:p>
    <w:p w:rsidR="00C67918" w:rsidRPr="00EA4B61" w:rsidP="00483B53" w14:paraId="09C90F24" w14:textId="77777777">
      <w:pPr>
        <w:spacing w:after="0" w:line="240" w:lineRule="auto"/>
        <w:rPr>
          <w:rFonts w:ascii="Times New Roman" w:hAnsi="Times New Roman" w:cs="Times New Roman"/>
          <w:bCs/>
          <w:i/>
          <w:sz w:val="24"/>
          <w:szCs w:val="24"/>
        </w:rPr>
      </w:pPr>
    </w:p>
    <w:p w:rsidR="00483B53" w:rsidRPr="00EA4B61" w:rsidP="00483B53" w14:paraId="2DDA1A3F" w14:textId="07CACA8C">
      <w:pPr>
        <w:spacing w:after="0" w:line="240" w:lineRule="auto"/>
        <w:rPr>
          <w:rFonts w:ascii="Times New Roman" w:hAnsi="Times New Roman" w:cs="Times New Roman"/>
          <w:bCs/>
          <w:sz w:val="24"/>
          <w:szCs w:val="24"/>
        </w:rPr>
      </w:pPr>
      <w:r w:rsidRPr="7B01767A" w:rsidR="71387354">
        <w:rPr>
          <w:rFonts w:ascii="Times New Roman" w:hAnsi="Times New Roman" w:cs="Times New Roman"/>
          <w:i/>
          <w:iCs/>
          <w:sz w:val="24"/>
          <w:szCs w:val="24"/>
        </w:rPr>
        <w:t xml:space="preserve">Public Reporting Burden:  </w:t>
      </w:r>
      <w:r w:rsidRPr="7B01767A" w:rsidR="71387354">
        <w:rPr>
          <w:rFonts w:ascii="Times New Roman" w:hAnsi="Times New Roman" w:cs="Times New Roman"/>
          <w:sz w:val="24"/>
          <w:szCs w:val="24"/>
        </w:rPr>
        <w:t>The Commission estimates burden</w:t>
      </w:r>
      <w:r>
        <w:rPr>
          <w:rFonts w:ascii="Times New Roman" w:hAnsi="Times New Roman" w:cs="Times New Roman"/>
          <w:b/>
          <w:bCs/>
          <w:sz w:val="24"/>
          <w:szCs w:val="24"/>
          <w:vertAlign w:val="superscript"/>
        </w:rPr>
        <w:footnoteReference w:id="17"/>
      </w:r>
      <w:r w:rsidRPr="7B01767A" w:rsidR="71387354">
        <w:rPr>
          <w:rFonts w:ascii="Times New Roman" w:hAnsi="Times New Roman" w:cs="Times New Roman"/>
          <w:sz w:val="24"/>
          <w:szCs w:val="24"/>
        </w:rPr>
        <w:t xml:space="preserve"> and cost as follows:</w:t>
      </w:r>
    </w:p>
    <w:tbl>
      <w:tblPr>
        <w:tblW w:w="56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66"/>
        <w:gridCol w:w="1598"/>
        <w:gridCol w:w="1497"/>
        <w:gridCol w:w="1369"/>
        <w:gridCol w:w="1478"/>
        <w:gridCol w:w="1370"/>
        <w:gridCol w:w="1430"/>
      </w:tblGrid>
      <w:tr w14:paraId="2DEB96FB" w14:textId="77777777" w:rsidTr="7B01767A">
        <w:tblPrEx>
          <w:tblW w:w="56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8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232DBD67" w14:textId="77777777">
            <w:pPr>
              <w:spacing w:after="0" w:line="240" w:lineRule="auto"/>
              <w:rPr>
                <w:rFonts w:ascii="Times New Roman" w:hAnsi="Times New Roman" w:cs="Times New Roman"/>
                <w:b/>
                <w:bCs/>
                <w:sz w:val="24"/>
                <w:szCs w:val="24"/>
              </w:rPr>
            </w:pPr>
          </w:p>
        </w:tc>
        <w:tc>
          <w:tcPr>
            <w:tcW w:w="77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2CC7DC14"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Number of Respondents</w:t>
            </w:r>
            <w:r w:rsidRPr="00EA4B61">
              <w:rPr>
                <w:rFonts w:ascii="Times New Roman" w:hAnsi="Times New Roman" w:cs="Times New Roman"/>
                <w:b/>
                <w:bCs/>
                <w:sz w:val="24"/>
                <w:szCs w:val="24"/>
              </w:rPr>
              <w:br/>
            </w:r>
            <w:r w:rsidRPr="00EA4B61">
              <w:rPr>
                <w:rFonts w:ascii="Times New Roman" w:hAnsi="Times New Roman" w:cs="Times New Roman"/>
                <w:b/>
                <w:bCs/>
                <w:sz w:val="24"/>
                <w:szCs w:val="24"/>
              </w:rPr>
              <w:t>(1)</w:t>
            </w:r>
          </w:p>
        </w:tc>
        <w:tc>
          <w:tcPr>
            <w:tcW w:w="72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0A52C5EF"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Annual Number of Responses per Respondent</w:t>
            </w:r>
          </w:p>
          <w:p w:rsidR="00483B53" w:rsidRPr="00EA4B61" w:rsidP="00483B53" w14:paraId="24800D0F"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(2)</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5F81CADE"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Number of Responses (1)*(2)=(3)</w:t>
            </w:r>
          </w:p>
        </w:tc>
        <w:tc>
          <w:tcPr>
            <w:tcW w:w="72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11509F5C" w14:textId="77777777">
            <w:pPr>
              <w:spacing w:after="0" w:line="240" w:lineRule="auto"/>
              <w:rPr>
                <w:rFonts w:ascii="Times New Roman" w:hAnsi="Times New Roman" w:cs="Times New Roman"/>
                <w:b/>
                <w:bCs/>
                <w:sz w:val="24"/>
                <w:szCs w:val="24"/>
              </w:rPr>
            </w:pPr>
            <w:r w:rsidRPr="00EA4B61" w:rsidR="71387354">
              <w:rPr>
                <w:rFonts w:ascii="Times New Roman" w:hAnsi="Times New Roman" w:cs="Times New Roman"/>
                <w:b/>
                <w:bCs/>
                <w:sz w:val="24"/>
                <w:szCs w:val="24"/>
              </w:rPr>
              <w:t>Average Burden &amp; Cost Per Response</w:t>
            </w:r>
            <w:r>
              <w:rPr>
                <w:rFonts w:ascii="Times New Roman" w:hAnsi="Times New Roman" w:cs="Times New Roman"/>
                <w:b/>
                <w:bCs/>
                <w:sz w:val="24"/>
                <w:szCs w:val="24"/>
                <w:vertAlign w:val="superscript"/>
              </w:rPr>
              <w:footnoteReference w:id="18"/>
            </w:r>
          </w:p>
          <w:p w:rsidR="00483B53" w:rsidRPr="00EA4B61" w:rsidP="00483B53" w14:paraId="5CFE57CC"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(4)</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247B22F9"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Annual Burden Hours &amp; Total Annual Cost</w:t>
            </w:r>
          </w:p>
          <w:p w:rsidR="00483B53" w:rsidRPr="00EA4B61" w:rsidP="00483B53" w14:paraId="22F97995"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(3)*(4)=(5)</w:t>
            </w:r>
          </w:p>
        </w:tc>
        <w:tc>
          <w:tcPr>
            <w:tcW w:w="58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57BA1BC6"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Cost per Respondent</w:t>
            </w:r>
          </w:p>
          <w:p w:rsidR="00483B53" w:rsidRPr="00EA4B61" w:rsidP="00483B53" w14:paraId="19C8622F"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w:t>
            </w:r>
          </w:p>
          <w:p w:rsidR="00483B53" w:rsidRPr="00EA4B61" w:rsidP="00483B53" w14:paraId="376B6417" w14:textId="77777777">
            <w:pPr>
              <w:spacing w:after="0" w:line="240" w:lineRule="auto"/>
              <w:rPr>
                <w:rFonts w:ascii="Times New Roman" w:hAnsi="Times New Roman" w:cs="Times New Roman"/>
                <w:b/>
                <w:bCs/>
                <w:sz w:val="24"/>
                <w:szCs w:val="24"/>
              </w:rPr>
            </w:pPr>
            <w:r w:rsidRPr="00EA4B61" w:rsidR="71387354">
              <w:rPr>
                <w:rFonts w:ascii="Times New Roman" w:hAnsi="Times New Roman" w:cs="Times New Roman"/>
                <w:b/>
                <w:bCs/>
                <w:sz w:val="24"/>
                <w:szCs w:val="24"/>
              </w:rPr>
              <w:t>(5)÷(1)</w:t>
            </w:r>
            <w:r>
              <w:rPr>
                <w:rFonts w:ascii="Times New Roman" w:hAnsi="Times New Roman" w:cs="Times New Roman"/>
                <w:b/>
                <w:bCs/>
                <w:sz w:val="24"/>
                <w:szCs w:val="24"/>
                <w:vertAlign w:val="superscript"/>
              </w:rPr>
              <w:footnoteReference w:id="19"/>
            </w:r>
          </w:p>
        </w:tc>
      </w:tr>
      <w:tr w14:paraId="615BB196" w14:textId="77777777" w:rsidTr="7B01767A">
        <w:tblPrEx>
          <w:tblW w:w="5619" w:type="pct"/>
          <w:jc w:val="center"/>
          <w:tblLook w:val="01E0"/>
        </w:tblPrEx>
        <w:trPr>
          <w:cantSplit/>
          <w:jc w:val="center"/>
        </w:trPr>
        <w:tc>
          <w:tcPr>
            <w:tcW w:w="857" w:type="pct"/>
            <w:tcBorders>
              <w:top w:val="single" w:sz="4" w:space="0" w:color="auto"/>
              <w:left w:val="single" w:sz="4" w:space="0" w:color="auto"/>
              <w:bottom w:val="single" w:sz="4" w:space="0" w:color="auto"/>
              <w:right w:val="single" w:sz="4" w:space="0" w:color="auto"/>
            </w:tcBorders>
            <w:hideMark/>
          </w:tcPr>
          <w:p w:rsidR="00483B53" w:rsidRPr="00EA4B61" w:rsidP="00483B53" w14:paraId="420BDFBE" w14:textId="77777777">
            <w:pPr>
              <w:spacing w:after="0" w:line="240" w:lineRule="auto"/>
              <w:rPr>
                <w:rFonts w:ascii="Times New Roman" w:hAnsi="Times New Roman" w:cs="Times New Roman"/>
                <w:bCs/>
                <w:sz w:val="24"/>
                <w:szCs w:val="24"/>
              </w:rPr>
            </w:pPr>
            <w:r w:rsidRPr="7B01767A" w:rsidR="71387354">
              <w:rPr>
                <w:rFonts w:ascii="Times New Roman" w:hAnsi="Times New Roman" w:cs="Times New Roman"/>
                <w:sz w:val="24"/>
                <w:szCs w:val="24"/>
              </w:rPr>
              <w:t>18 CFR 157.6 Interstate Certificate and Abandonment Applications</w:t>
            </w:r>
            <w:r>
              <w:rPr>
                <w:rFonts w:ascii="Times New Roman" w:hAnsi="Times New Roman" w:cs="Times New Roman"/>
                <w:b/>
                <w:bCs/>
                <w:sz w:val="24"/>
                <w:szCs w:val="24"/>
                <w:vertAlign w:val="superscript"/>
              </w:rPr>
              <w:footnoteReference w:id="20"/>
            </w:r>
          </w:p>
        </w:tc>
        <w:tc>
          <w:tcPr>
            <w:tcW w:w="777" w:type="pct"/>
            <w:tcBorders>
              <w:top w:val="single" w:sz="4" w:space="0" w:color="auto"/>
              <w:left w:val="single" w:sz="4" w:space="0" w:color="auto"/>
              <w:bottom w:val="single" w:sz="4" w:space="0" w:color="auto"/>
              <w:right w:val="single" w:sz="4" w:space="0" w:color="auto"/>
            </w:tcBorders>
            <w:hideMark/>
          </w:tcPr>
          <w:p w:rsidR="00483B53" w:rsidRPr="00EA4B61" w:rsidP="00483B53" w14:paraId="5C935D94"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30</w:t>
            </w:r>
          </w:p>
        </w:tc>
        <w:tc>
          <w:tcPr>
            <w:tcW w:w="729" w:type="pct"/>
            <w:tcBorders>
              <w:top w:val="single" w:sz="4" w:space="0" w:color="auto"/>
              <w:left w:val="single" w:sz="4" w:space="0" w:color="auto"/>
              <w:bottom w:val="single" w:sz="4" w:space="0" w:color="auto"/>
              <w:right w:val="single" w:sz="4" w:space="0" w:color="auto"/>
            </w:tcBorders>
            <w:hideMark/>
          </w:tcPr>
          <w:p w:rsidR="00483B53" w:rsidRPr="00EA4B61" w:rsidP="00483B53" w14:paraId="1C79E3A4"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1.39</w:t>
            </w:r>
          </w:p>
        </w:tc>
        <w:tc>
          <w:tcPr>
            <w:tcW w:w="668" w:type="pct"/>
            <w:tcBorders>
              <w:top w:val="single" w:sz="4" w:space="0" w:color="auto"/>
              <w:left w:val="single" w:sz="4" w:space="0" w:color="auto"/>
              <w:bottom w:val="single" w:sz="4" w:space="0" w:color="auto"/>
              <w:right w:val="single" w:sz="4" w:space="0" w:color="auto"/>
            </w:tcBorders>
            <w:hideMark/>
          </w:tcPr>
          <w:p w:rsidR="00483B53" w:rsidRPr="00EA4B61" w:rsidP="00483B53" w14:paraId="0B1EBB23"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41.7</w:t>
            </w:r>
          </w:p>
        </w:tc>
        <w:tc>
          <w:tcPr>
            <w:tcW w:w="720" w:type="pct"/>
            <w:tcBorders>
              <w:top w:val="single" w:sz="4" w:space="0" w:color="auto"/>
              <w:left w:val="single" w:sz="4" w:space="0" w:color="auto"/>
              <w:bottom w:val="single" w:sz="4" w:space="0" w:color="auto"/>
              <w:right w:val="single" w:sz="4" w:space="0" w:color="auto"/>
            </w:tcBorders>
            <w:hideMark/>
          </w:tcPr>
          <w:p w:rsidR="00483B53" w:rsidRPr="00EA4B61" w:rsidP="00483B53" w14:paraId="34FDD5CD"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500 hrs.;</w:t>
            </w:r>
          </w:p>
          <w:p w:rsidR="00483B53" w:rsidRPr="00EA4B61" w:rsidP="00483B53" w14:paraId="08FFFA22"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$51,000</w:t>
            </w:r>
          </w:p>
        </w:tc>
        <w:tc>
          <w:tcPr>
            <w:tcW w:w="668" w:type="pct"/>
            <w:tcBorders>
              <w:top w:val="single" w:sz="4" w:space="0" w:color="auto"/>
              <w:left w:val="single" w:sz="4" w:space="0" w:color="auto"/>
              <w:bottom w:val="single" w:sz="4" w:space="0" w:color="auto"/>
              <w:right w:val="single" w:sz="4" w:space="0" w:color="auto"/>
            </w:tcBorders>
            <w:hideMark/>
          </w:tcPr>
          <w:p w:rsidR="00483B53" w:rsidRPr="00EA4B61" w:rsidP="00483B53" w14:paraId="5F2BA9F7"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20,850 hrs.;</w:t>
            </w:r>
          </w:p>
          <w:p w:rsidR="00483B53" w:rsidRPr="00EA4B61" w:rsidP="00483B53" w14:paraId="29244ABD"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$2,126,700</w:t>
            </w:r>
          </w:p>
        </w:tc>
        <w:tc>
          <w:tcPr>
            <w:tcW w:w="582" w:type="pct"/>
            <w:tcBorders>
              <w:top w:val="single" w:sz="4" w:space="0" w:color="auto"/>
              <w:left w:val="single" w:sz="4" w:space="0" w:color="auto"/>
              <w:bottom w:val="single" w:sz="4" w:space="0" w:color="auto"/>
              <w:right w:val="single" w:sz="4" w:space="0" w:color="auto"/>
            </w:tcBorders>
            <w:hideMark/>
          </w:tcPr>
          <w:p w:rsidR="00483B53" w:rsidRPr="00EA4B61" w:rsidP="00483B53" w14:paraId="7053FE9D"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$70,890</w:t>
            </w:r>
          </w:p>
        </w:tc>
      </w:tr>
      <w:tr w14:paraId="15EC12F9" w14:textId="77777777" w:rsidTr="7B01767A">
        <w:tblPrEx>
          <w:tblW w:w="5619" w:type="pct"/>
          <w:jc w:val="center"/>
          <w:tblLook w:val="01E0"/>
        </w:tblPrEx>
        <w:trPr>
          <w:cantSplit/>
          <w:trHeight w:val="485"/>
          <w:jc w:val="center"/>
        </w:trPr>
        <w:tc>
          <w:tcPr>
            <w:tcW w:w="857" w:type="pct"/>
            <w:tcBorders>
              <w:top w:val="single" w:sz="4" w:space="0" w:color="auto"/>
              <w:left w:val="single" w:sz="4" w:space="0" w:color="auto"/>
              <w:bottom w:val="single" w:sz="4" w:space="0" w:color="auto"/>
              <w:right w:val="single" w:sz="4" w:space="0" w:color="auto"/>
            </w:tcBorders>
            <w:hideMark/>
          </w:tcPr>
          <w:p w:rsidR="00483B53" w:rsidRPr="00EA4B61" w:rsidP="00483B53" w14:paraId="15B8BEB5"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(impacted collection activities)</w:t>
            </w:r>
          </w:p>
        </w:tc>
        <w:tc>
          <w:tcPr>
            <w:tcW w:w="77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6B78D8DA" w14:textId="77777777">
            <w:pPr>
              <w:spacing w:after="0" w:line="240" w:lineRule="auto"/>
              <w:rPr>
                <w:rFonts w:ascii="Times New Roman" w:hAnsi="Times New Roman" w:cs="Times New Roman"/>
                <w:b/>
                <w:bCs/>
                <w:sz w:val="24"/>
                <w:szCs w:val="24"/>
              </w:rPr>
            </w:pPr>
          </w:p>
        </w:tc>
        <w:tc>
          <w:tcPr>
            <w:tcW w:w="72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16241EC1" w14:textId="77777777">
            <w:pPr>
              <w:spacing w:after="0" w:line="240" w:lineRule="auto"/>
              <w:rPr>
                <w:rFonts w:ascii="Times New Roman" w:hAnsi="Times New Roman" w:cs="Times New Roman"/>
                <w:b/>
                <w:bCs/>
                <w:sz w:val="24"/>
                <w:szCs w:val="24"/>
              </w:rPr>
            </w:pPr>
          </w:p>
        </w:tc>
        <w:tc>
          <w:tcPr>
            <w:tcW w:w="668" w:type="pct"/>
            <w:tcBorders>
              <w:top w:val="single" w:sz="4" w:space="0" w:color="auto"/>
              <w:left w:val="single" w:sz="4" w:space="0" w:color="auto"/>
              <w:bottom w:val="single" w:sz="4" w:space="0" w:color="auto"/>
              <w:right w:val="single" w:sz="4" w:space="0" w:color="auto"/>
            </w:tcBorders>
            <w:hideMark/>
          </w:tcPr>
          <w:p w:rsidR="00483B53" w:rsidRPr="00EA4B61" w:rsidP="00483B53" w14:paraId="02BC99D3"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41.7</w:t>
            </w:r>
          </w:p>
        </w:tc>
        <w:tc>
          <w:tcPr>
            <w:tcW w:w="7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1865E09D" w14:textId="77777777">
            <w:pPr>
              <w:spacing w:after="0" w:line="240" w:lineRule="auto"/>
              <w:rPr>
                <w:rFonts w:ascii="Times New Roman" w:hAnsi="Times New Roman" w:cs="Times New Roman"/>
                <w:b/>
                <w:bCs/>
                <w:sz w:val="24"/>
                <w:szCs w:val="24"/>
              </w:rPr>
            </w:pPr>
          </w:p>
        </w:tc>
        <w:tc>
          <w:tcPr>
            <w:tcW w:w="668" w:type="pct"/>
            <w:tcBorders>
              <w:top w:val="single" w:sz="4" w:space="0" w:color="auto"/>
              <w:left w:val="single" w:sz="4" w:space="0" w:color="auto"/>
              <w:bottom w:val="single" w:sz="4" w:space="0" w:color="auto"/>
              <w:right w:val="single" w:sz="4" w:space="0" w:color="auto"/>
            </w:tcBorders>
            <w:hideMark/>
          </w:tcPr>
          <w:p w:rsidR="00483B53" w:rsidRPr="00EA4B61" w:rsidP="00483B53" w14:paraId="176699EB"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20,850 hrs.;</w:t>
            </w:r>
          </w:p>
          <w:p w:rsidR="00483B53" w:rsidRPr="00EA4B61" w:rsidP="00483B53" w14:paraId="562B7D4C"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$2,126,700</w:t>
            </w:r>
          </w:p>
        </w:tc>
        <w:tc>
          <w:tcPr>
            <w:tcW w:w="58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5D72BDE6" w14:textId="77777777">
            <w:pPr>
              <w:spacing w:after="0" w:line="240" w:lineRule="auto"/>
              <w:rPr>
                <w:rFonts w:ascii="Times New Roman" w:hAnsi="Times New Roman" w:cs="Times New Roman"/>
                <w:b/>
                <w:bCs/>
                <w:sz w:val="24"/>
                <w:szCs w:val="24"/>
              </w:rPr>
            </w:pPr>
          </w:p>
        </w:tc>
      </w:tr>
    </w:tbl>
    <w:p w:rsidR="00483B53" w:rsidRPr="00EA4B61" w:rsidP="00483B53" w14:paraId="1CA09BF2" w14:textId="77777777">
      <w:pPr>
        <w:spacing w:after="0" w:line="240" w:lineRule="auto"/>
        <w:rPr>
          <w:rFonts w:ascii="Times New Roman" w:hAnsi="Times New Roman" w:cs="Times New Roman"/>
          <w:bCs/>
          <w:sz w:val="24"/>
          <w:szCs w:val="24"/>
        </w:rPr>
      </w:pPr>
    </w:p>
    <w:p w:rsidR="00483B53" w:rsidRPr="00EA4B61" w:rsidP="00483B53" w14:paraId="588B6350"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Title:</w:t>
      </w:r>
      <w:r w:rsidRPr="00EA4B61">
        <w:rPr>
          <w:rFonts w:ascii="Times New Roman" w:hAnsi="Times New Roman" w:cs="Times New Roman"/>
          <w:bCs/>
          <w:sz w:val="24"/>
          <w:szCs w:val="24"/>
        </w:rPr>
        <w:t xml:space="preserve">  FERC-539:  Gas Pipeline Certificates: Import &amp; Export Related Applications.</w:t>
      </w:r>
    </w:p>
    <w:p w:rsidR="00865F07" w:rsidRPr="00EA4B61" w:rsidP="00483B53" w14:paraId="4AA2AE45" w14:textId="77777777">
      <w:pPr>
        <w:spacing w:after="0" w:line="240" w:lineRule="auto"/>
        <w:rPr>
          <w:rFonts w:ascii="Times New Roman" w:hAnsi="Times New Roman" w:cs="Times New Roman"/>
          <w:bCs/>
          <w:i/>
          <w:sz w:val="24"/>
          <w:szCs w:val="24"/>
        </w:rPr>
      </w:pPr>
    </w:p>
    <w:p w:rsidR="00483B53" w:rsidRPr="00EA4B61" w:rsidP="00483B53" w14:paraId="0D60A9E6" w14:textId="1A0B9D6A">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Respondents:</w:t>
      </w:r>
      <w:r w:rsidRPr="00EA4B61">
        <w:rPr>
          <w:rFonts w:ascii="Times New Roman" w:hAnsi="Times New Roman" w:cs="Times New Roman"/>
          <w:bCs/>
          <w:sz w:val="24"/>
          <w:szCs w:val="24"/>
        </w:rPr>
        <w:t xml:space="preserve">  Companies proposing and reporting natural gas projects under section 3 of the NGA and LNG terminal operators</w:t>
      </w:r>
    </w:p>
    <w:p w:rsidR="00865F07" w:rsidRPr="00EA4B61" w:rsidP="00483B53" w14:paraId="42BB1DB5" w14:textId="77777777">
      <w:pPr>
        <w:spacing w:after="0" w:line="240" w:lineRule="auto"/>
        <w:rPr>
          <w:rFonts w:ascii="Times New Roman" w:hAnsi="Times New Roman" w:cs="Times New Roman"/>
          <w:bCs/>
          <w:i/>
          <w:sz w:val="24"/>
          <w:szCs w:val="24"/>
        </w:rPr>
      </w:pPr>
    </w:p>
    <w:p w:rsidR="00483B53" w:rsidRPr="00EA4B61" w:rsidP="00483B53" w14:paraId="50629EB7" w14:textId="52131FE3">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Frequency of Responses:</w:t>
      </w:r>
      <w:r w:rsidRPr="00EA4B61">
        <w:rPr>
          <w:rFonts w:ascii="Times New Roman" w:hAnsi="Times New Roman" w:cs="Times New Roman"/>
          <w:bCs/>
          <w:sz w:val="24"/>
          <w:szCs w:val="24"/>
        </w:rPr>
        <w:t xml:space="preserve">  Ongoing.  Jurisdictional companies file the necessary information with the Commission so that it can review the filing of applications for the construction and operation of facilities to provide service or to abandon facilities or service under section 3 of the NGA to determine if the requested authorization should be granted.</w:t>
      </w:r>
    </w:p>
    <w:p w:rsidR="00865F07" w:rsidRPr="00EA4B61" w:rsidP="00483B53" w14:paraId="48187FAA" w14:textId="77777777">
      <w:pPr>
        <w:spacing w:after="0" w:line="240" w:lineRule="auto"/>
        <w:rPr>
          <w:rFonts w:ascii="Times New Roman" w:hAnsi="Times New Roman" w:cs="Times New Roman"/>
          <w:bCs/>
          <w:i/>
          <w:sz w:val="24"/>
          <w:szCs w:val="24"/>
        </w:rPr>
      </w:pPr>
    </w:p>
    <w:p w:rsidR="00483B53" w:rsidRPr="00EA4B61" w:rsidP="00483B53" w14:paraId="436E9DBA" w14:textId="4E4F5E8D">
      <w:pPr>
        <w:spacing w:after="0" w:line="240" w:lineRule="auto"/>
        <w:rPr>
          <w:rFonts w:ascii="Times New Roman" w:hAnsi="Times New Roman" w:cs="Times New Roman"/>
          <w:bCs/>
          <w:sz w:val="24"/>
          <w:szCs w:val="24"/>
        </w:rPr>
      </w:pPr>
      <w:r w:rsidRPr="7B01767A" w:rsidR="71387354">
        <w:rPr>
          <w:rFonts w:ascii="Times New Roman" w:hAnsi="Times New Roman" w:cs="Times New Roman"/>
          <w:i/>
          <w:iCs/>
          <w:sz w:val="24"/>
          <w:szCs w:val="24"/>
        </w:rPr>
        <w:t>Proposed Change</w:t>
      </w:r>
      <w:r w:rsidRPr="7B01767A" w:rsidR="71387354">
        <w:rPr>
          <w:rFonts w:ascii="Times New Roman" w:hAnsi="Times New Roman" w:cs="Times New Roman"/>
          <w:sz w:val="24"/>
          <w:szCs w:val="24"/>
        </w:rPr>
        <w:t>:  In order to participate in the blanket authorization program, the Commission proposes that natural gas companies will need to submit an application that is reviewed by the Commission.  The Commission anticipates that most or all of the relevant companies will apply to participate in this program over the first three years, after which there would be very few applications</w:t>
      </w:r>
      <w:r w:rsidRPr="7B01767A" w:rsidR="13D573E9">
        <w:rPr>
          <w:rFonts w:ascii="Times New Roman" w:hAnsi="Times New Roman" w:cs="Times New Roman"/>
          <w:sz w:val="24"/>
          <w:szCs w:val="24"/>
        </w:rPr>
        <w:t xml:space="preserve"> -</w:t>
      </w:r>
      <w:r w:rsidRPr="7B01767A" w:rsidR="71387354">
        <w:rPr>
          <w:rFonts w:ascii="Times New Roman" w:hAnsi="Times New Roman" w:cs="Times New Roman"/>
          <w:sz w:val="24"/>
          <w:szCs w:val="24"/>
        </w:rPr>
        <w:t xml:space="preserve"> only when a new jurisdictional entity is formed.  The Commission estimates that adopting the proposals in this NOPR would reduce the number of applications seeking authorization under Section 3 of the NGA by 2 (from 6 to 4) as a result of companies shifting to using the blanket authorization program.  When allowed by the program rules and regulations, participants could submit prior notice fillings instead of full applications.  The Commission estimates that there would be 3 Prior Notice Fillings each year</w:t>
      </w:r>
      <w:r w:rsidRPr="7B01767A" w:rsidR="70ACD453">
        <w:rPr>
          <w:rFonts w:ascii="Times New Roman" w:hAnsi="Times New Roman" w:cs="Times New Roman"/>
          <w:sz w:val="24"/>
          <w:szCs w:val="24"/>
        </w:rPr>
        <w:t>:</w:t>
      </w:r>
      <w:r w:rsidRPr="7B01767A" w:rsidR="71387354">
        <w:rPr>
          <w:rFonts w:ascii="Times New Roman" w:hAnsi="Times New Roman" w:cs="Times New Roman"/>
          <w:sz w:val="24"/>
          <w:szCs w:val="24"/>
        </w:rPr>
        <w:t xml:space="preserve"> 2 related to LNG terminals and 1 related to interstate certificate and abandonment.</w:t>
      </w:r>
      <w:r>
        <w:rPr>
          <w:rFonts w:ascii="Times New Roman" w:hAnsi="Times New Roman" w:cs="Times New Roman"/>
          <w:b/>
          <w:bCs/>
          <w:sz w:val="24"/>
          <w:szCs w:val="24"/>
          <w:vertAlign w:val="superscript"/>
        </w:rPr>
        <w:footnoteReference w:id="21"/>
      </w:r>
      <w:r w:rsidRPr="7B01767A" w:rsidR="71387354">
        <w:rPr>
          <w:rFonts w:ascii="Times New Roman" w:hAnsi="Times New Roman" w:cs="Times New Roman"/>
          <w:sz w:val="24"/>
          <w:szCs w:val="24"/>
        </w:rPr>
        <w:t xml:space="preserve">  Program participants would need to include information about any activities completed under the blanket authorization program in their semi-annual operational reports.  These reports are already required as a condition of their NGA authorization.  The Commission is incorporating this reporting burden into the FERC-539 information collection to reflect that this would be a regulatory requirement.</w:t>
      </w:r>
    </w:p>
    <w:p w:rsidR="00865F07" w:rsidRPr="00EA4B61" w:rsidP="00483B53" w14:paraId="0DFC9DBD" w14:textId="77777777">
      <w:pPr>
        <w:spacing w:after="0" w:line="240" w:lineRule="auto"/>
        <w:rPr>
          <w:rFonts w:ascii="Times New Roman" w:hAnsi="Times New Roman" w:cs="Times New Roman"/>
          <w:bCs/>
          <w:sz w:val="24"/>
          <w:szCs w:val="24"/>
        </w:rPr>
      </w:pPr>
    </w:p>
    <w:p w:rsidR="00483B53" w:rsidRPr="00EA4B61" w:rsidP="00483B53" w14:paraId="05A5B394"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 xml:space="preserve">Public Reporting Burden: </w:t>
      </w:r>
      <w:r w:rsidRPr="00EA4B61">
        <w:rPr>
          <w:rFonts w:ascii="Times New Roman" w:hAnsi="Times New Roman" w:cs="Times New Roman"/>
          <w:bCs/>
          <w:sz w:val="24"/>
          <w:szCs w:val="24"/>
        </w:rPr>
        <w:t>The Commission estimates burden and cost as follows:</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87"/>
        <w:gridCol w:w="1461"/>
        <w:gridCol w:w="1372"/>
        <w:gridCol w:w="1260"/>
        <w:gridCol w:w="1283"/>
        <w:gridCol w:w="1260"/>
        <w:gridCol w:w="1371"/>
      </w:tblGrid>
      <w:tr w14:paraId="75E10B4B" w14:textId="77777777" w:rsidTr="7B01767A">
        <w:tblPrEx>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blHeader/>
          <w:jc w:val="center"/>
        </w:trPr>
        <w:tc>
          <w:tcPr>
            <w:tcW w:w="8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40E6E16C" w14:textId="77777777">
            <w:pPr>
              <w:spacing w:after="0" w:line="240" w:lineRule="auto"/>
              <w:rPr>
                <w:rFonts w:ascii="Times New Roman" w:hAnsi="Times New Roman" w:cs="Times New Roman"/>
                <w:b/>
                <w:bCs/>
                <w:sz w:val="24"/>
                <w:szCs w:val="24"/>
              </w:rPr>
            </w:pPr>
          </w:p>
        </w:tc>
        <w:tc>
          <w:tcPr>
            <w:tcW w:w="7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7462CFF6"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Number of Respondents</w:t>
            </w:r>
            <w:r w:rsidRPr="00EA4B61">
              <w:rPr>
                <w:rFonts w:ascii="Times New Roman" w:hAnsi="Times New Roman" w:cs="Times New Roman"/>
                <w:b/>
                <w:bCs/>
                <w:sz w:val="24"/>
                <w:szCs w:val="24"/>
              </w:rPr>
              <w:br/>
            </w:r>
            <w:r w:rsidRPr="00EA4B61">
              <w:rPr>
                <w:rFonts w:ascii="Times New Roman" w:hAnsi="Times New Roman" w:cs="Times New Roman"/>
                <w:b/>
                <w:bCs/>
                <w:sz w:val="24"/>
                <w:szCs w:val="24"/>
              </w:rPr>
              <w:t>(1)</w:t>
            </w:r>
          </w:p>
        </w:tc>
        <w:tc>
          <w:tcPr>
            <w:tcW w:w="74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0DD10782"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Annual Number of Responses per Respondent</w:t>
            </w:r>
          </w:p>
          <w:p w:rsidR="00483B53" w:rsidRPr="00EA4B61" w:rsidP="00483B53" w14:paraId="2719B283"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(2)</w:t>
            </w:r>
          </w:p>
        </w:tc>
        <w:tc>
          <w:tcPr>
            <w:tcW w:w="68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1FE20C7B"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Number of Responses (1)*(2)=(3)</w:t>
            </w:r>
          </w:p>
        </w:tc>
        <w:tc>
          <w:tcPr>
            <w:tcW w:w="6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3E0589B3" w14:textId="77777777">
            <w:pPr>
              <w:spacing w:after="0" w:line="240" w:lineRule="auto"/>
              <w:rPr>
                <w:rFonts w:ascii="Times New Roman" w:hAnsi="Times New Roman" w:cs="Times New Roman"/>
                <w:b/>
                <w:bCs/>
                <w:sz w:val="24"/>
                <w:szCs w:val="24"/>
              </w:rPr>
            </w:pPr>
            <w:r w:rsidRPr="00EA4B61" w:rsidR="71387354">
              <w:rPr>
                <w:rFonts w:ascii="Times New Roman" w:hAnsi="Times New Roman" w:cs="Times New Roman"/>
                <w:b/>
                <w:bCs/>
                <w:sz w:val="24"/>
                <w:szCs w:val="24"/>
              </w:rPr>
              <w:t>Average Burden &amp; Cost Per Response</w:t>
            </w:r>
            <w:r>
              <w:rPr>
                <w:rFonts w:ascii="Times New Roman" w:hAnsi="Times New Roman" w:cs="Times New Roman"/>
                <w:b/>
                <w:bCs/>
                <w:sz w:val="24"/>
                <w:szCs w:val="24"/>
                <w:vertAlign w:val="superscript"/>
              </w:rPr>
              <w:footnoteReference w:id="22"/>
            </w:r>
          </w:p>
          <w:p w:rsidR="00483B53" w:rsidRPr="00EA4B61" w:rsidP="00483B53" w14:paraId="758068A6"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(4)</w:t>
            </w:r>
          </w:p>
        </w:tc>
        <w:tc>
          <w:tcPr>
            <w:tcW w:w="6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5A3B933A"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Annual Burden Hours &amp; Total Annual Cost</w:t>
            </w:r>
          </w:p>
          <w:p w:rsidR="00483B53" w:rsidRPr="00EA4B61" w:rsidP="00483B53" w14:paraId="3A8BF9B4"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(3)*(4)=(5)</w:t>
            </w:r>
          </w:p>
        </w:tc>
        <w:tc>
          <w:tcPr>
            <w:tcW w:w="69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26F73BDE"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Cost per Respondent</w:t>
            </w:r>
          </w:p>
          <w:p w:rsidR="00483B53" w:rsidRPr="00EA4B61" w:rsidP="00483B53" w14:paraId="75C08671"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w:t>
            </w:r>
          </w:p>
          <w:p w:rsidR="00483B53" w:rsidRPr="00EA4B61" w:rsidP="00483B53" w14:paraId="75F2923C"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(5)÷(1)</w:t>
            </w:r>
          </w:p>
        </w:tc>
      </w:tr>
      <w:tr w14:paraId="0EB7FC94" w14:textId="77777777" w:rsidTr="7B01767A">
        <w:tblPrEx>
          <w:tblW w:w="5077" w:type="pct"/>
          <w:jc w:val="center"/>
          <w:tblLook w:val="01E0"/>
        </w:tblPrEx>
        <w:trPr>
          <w:cantSplit/>
          <w:jc w:val="center"/>
        </w:trPr>
        <w:tc>
          <w:tcPr>
            <w:tcW w:w="810" w:type="pct"/>
            <w:tcBorders>
              <w:top w:val="single" w:sz="4" w:space="0" w:color="auto"/>
              <w:left w:val="single" w:sz="4" w:space="0" w:color="auto"/>
              <w:bottom w:val="single" w:sz="4" w:space="0" w:color="auto"/>
              <w:right w:val="single" w:sz="4" w:space="0" w:color="auto"/>
            </w:tcBorders>
            <w:hideMark/>
          </w:tcPr>
          <w:p w:rsidR="00483B53" w:rsidRPr="00EA4B61" w:rsidP="00483B53" w14:paraId="557B340E"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18 CFR 153.7 Applications</w:t>
            </w:r>
          </w:p>
        </w:tc>
        <w:tc>
          <w:tcPr>
            <w:tcW w:w="749" w:type="pct"/>
            <w:tcBorders>
              <w:top w:val="single" w:sz="4" w:space="0" w:color="auto"/>
              <w:left w:val="single" w:sz="4" w:space="0" w:color="auto"/>
              <w:bottom w:val="single" w:sz="4" w:space="0" w:color="auto"/>
              <w:right w:val="single" w:sz="4" w:space="0" w:color="auto"/>
            </w:tcBorders>
            <w:hideMark/>
          </w:tcPr>
          <w:p w:rsidR="00483B53" w:rsidRPr="00EA4B61" w:rsidP="00483B53" w14:paraId="7288E801"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4</w:t>
            </w:r>
          </w:p>
        </w:tc>
        <w:tc>
          <w:tcPr>
            <w:tcW w:w="742" w:type="pct"/>
            <w:tcBorders>
              <w:top w:val="single" w:sz="4" w:space="0" w:color="auto"/>
              <w:left w:val="single" w:sz="4" w:space="0" w:color="auto"/>
              <w:bottom w:val="single" w:sz="4" w:space="0" w:color="auto"/>
              <w:right w:val="single" w:sz="4" w:space="0" w:color="auto"/>
            </w:tcBorders>
            <w:hideMark/>
          </w:tcPr>
          <w:p w:rsidR="00483B53" w:rsidRPr="00EA4B61" w:rsidP="00483B53" w14:paraId="09397649"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w:t>
            </w:r>
          </w:p>
        </w:tc>
        <w:tc>
          <w:tcPr>
            <w:tcW w:w="689" w:type="pct"/>
            <w:tcBorders>
              <w:top w:val="single" w:sz="4" w:space="0" w:color="auto"/>
              <w:left w:val="single" w:sz="4" w:space="0" w:color="auto"/>
              <w:bottom w:val="single" w:sz="4" w:space="0" w:color="auto"/>
              <w:right w:val="single" w:sz="4" w:space="0" w:color="auto"/>
            </w:tcBorders>
            <w:hideMark/>
          </w:tcPr>
          <w:p w:rsidR="00483B53" w:rsidRPr="00EA4B61" w:rsidP="00483B53" w14:paraId="7C7B952C"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8</w:t>
            </w:r>
          </w:p>
        </w:tc>
        <w:tc>
          <w:tcPr>
            <w:tcW w:w="649" w:type="pct"/>
            <w:tcBorders>
              <w:top w:val="single" w:sz="4" w:space="0" w:color="auto"/>
              <w:left w:val="single" w:sz="4" w:space="0" w:color="auto"/>
              <w:bottom w:val="single" w:sz="4" w:space="0" w:color="auto"/>
              <w:right w:val="single" w:sz="4" w:space="0" w:color="auto"/>
            </w:tcBorders>
            <w:hideMark/>
          </w:tcPr>
          <w:p w:rsidR="00483B53" w:rsidRPr="00EA4B61" w:rsidP="00483B53" w14:paraId="2C16C434"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15 hrs.;</w:t>
            </w:r>
          </w:p>
          <w:p w:rsidR="00483B53" w:rsidRPr="00EA4B61" w:rsidP="00483B53" w14:paraId="0071C541"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$1,530</w:t>
            </w:r>
          </w:p>
        </w:tc>
        <w:tc>
          <w:tcPr>
            <w:tcW w:w="662" w:type="pct"/>
            <w:tcBorders>
              <w:top w:val="single" w:sz="4" w:space="0" w:color="auto"/>
              <w:left w:val="single" w:sz="4" w:space="0" w:color="auto"/>
              <w:bottom w:val="single" w:sz="4" w:space="0" w:color="auto"/>
              <w:right w:val="single" w:sz="4" w:space="0" w:color="auto"/>
            </w:tcBorders>
            <w:hideMark/>
          </w:tcPr>
          <w:p w:rsidR="00483B53" w:rsidRPr="00EA4B61" w:rsidP="00483B53" w14:paraId="27A8F13B"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120 hrs.;</w:t>
            </w:r>
          </w:p>
          <w:p w:rsidR="00483B53" w:rsidRPr="00EA4B61" w:rsidP="00483B53" w14:paraId="173B3B21"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$12,240</w:t>
            </w:r>
          </w:p>
        </w:tc>
        <w:tc>
          <w:tcPr>
            <w:tcW w:w="699" w:type="pct"/>
            <w:tcBorders>
              <w:top w:val="single" w:sz="4" w:space="0" w:color="auto"/>
              <w:left w:val="single" w:sz="4" w:space="0" w:color="auto"/>
              <w:bottom w:val="single" w:sz="4" w:space="0" w:color="auto"/>
              <w:right w:val="single" w:sz="4" w:space="0" w:color="auto"/>
            </w:tcBorders>
            <w:hideMark/>
          </w:tcPr>
          <w:p w:rsidR="00483B53" w:rsidRPr="00EA4B61" w:rsidP="00483B53" w14:paraId="56582609"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$3,060</w:t>
            </w:r>
          </w:p>
        </w:tc>
      </w:tr>
      <w:tr w14:paraId="4A14B0B0" w14:textId="77777777" w:rsidTr="7B01767A">
        <w:tblPrEx>
          <w:tblW w:w="5077" w:type="pct"/>
          <w:jc w:val="center"/>
          <w:tblLook w:val="01E0"/>
        </w:tblPrEx>
        <w:trPr>
          <w:cantSplit/>
          <w:trHeight w:val="485"/>
          <w:jc w:val="center"/>
        </w:trPr>
        <w:tc>
          <w:tcPr>
            <w:tcW w:w="810" w:type="pct"/>
            <w:tcBorders>
              <w:top w:val="single" w:sz="4" w:space="0" w:color="auto"/>
              <w:left w:val="single" w:sz="4" w:space="0" w:color="auto"/>
              <w:bottom w:val="single" w:sz="4" w:space="0" w:color="auto"/>
              <w:right w:val="single" w:sz="4" w:space="0" w:color="auto"/>
            </w:tcBorders>
          </w:tcPr>
          <w:p w:rsidR="00483B53" w:rsidRPr="00EA4B61" w:rsidP="00483B53" w14:paraId="436178B5" w14:textId="77777777">
            <w:pPr>
              <w:spacing w:after="0" w:line="240" w:lineRule="auto"/>
              <w:rPr>
                <w:rFonts w:ascii="Times New Roman" w:hAnsi="Times New Roman" w:cs="Times New Roman"/>
                <w:bCs/>
                <w:sz w:val="24"/>
                <w:szCs w:val="24"/>
              </w:rPr>
            </w:pPr>
            <w:r w:rsidRPr="7B01767A" w:rsidR="71387354">
              <w:rPr>
                <w:rFonts w:ascii="Times New Roman" w:hAnsi="Times New Roman" w:cs="Times New Roman"/>
                <w:sz w:val="24"/>
                <w:szCs w:val="24"/>
              </w:rPr>
              <w:t>18 CFR 153.104 Blanket Authorization Program - Application</w:t>
            </w:r>
            <w:r>
              <w:rPr>
                <w:rFonts w:ascii="Times New Roman" w:hAnsi="Times New Roman" w:cs="Times New Roman"/>
                <w:b/>
                <w:bCs/>
                <w:sz w:val="24"/>
                <w:szCs w:val="24"/>
                <w:vertAlign w:val="superscript"/>
              </w:rPr>
              <w:footnoteReference w:id="23"/>
            </w:r>
          </w:p>
        </w:tc>
        <w:tc>
          <w:tcPr>
            <w:tcW w:w="749" w:type="pct"/>
            <w:tcBorders>
              <w:top w:val="single" w:sz="4" w:space="0" w:color="auto"/>
              <w:left w:val="single" w:sz="4" w:space="0" w:color="auto"/>
              <w:bottom w:val="single" w:sz="4" w:space="0" w:color="auto"/>
              <w:right w:val="single" w:sz="4" w:space="0" w:color="auto"/>
            </w:tcBorders>
          </w:tcPr>
          <w:p w:rsidR="00483B53" w:rsidRPr="00EA4B61" w:rsidP="00483B53" w14:paraId="0D608169"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25</w:t>
            </w:r>
          </w:p>
        </w:tc>
        <w:tc>
          <w:tcPr>
            <w:tcW w:w="742" w:type="pct"/>
            <w:tcBorders>
              <w:top w:val="single" w:sz="4" w:space="0" w:color="auto"/>
              <w:left w:val="single" w:sz="4" w:space="0" w:color="auto"/>
              <w:bottom w:val="single" w:sz="4" w:space="0" w:color="auto"/>
              <w:right w:val="single" w:sz="4" w:space="0" w:color="auto"/>
            </w:tcBorders>
          </w:tcPr>
          <w:p w:rsidR="00483B53" w:rsidRPr="00EA4B61" w:rsidP="00483B53" w14:paraId="4A5161D3"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0.33</w:t>
            </w:r>
          </w:p>
        </w:tc>
        <w:tc>
          <w:tcPr>
            <w:tcW w:w="689" w:type="pct"/>
            <w:tcBorders>
              <w:top w:val="single" w:sz="4" w:space="0" w:color="auto"/>
              <w:left w:val="single" w:sz="4" w:space="0" w:color="auto"/>
              <w:bottom w:val="single" w:sz="4" w:space="0" w:color="auto"/>
              <w:right w:val="single" w:sz="4" w:space="0" w:color="auto"/>
            </w:tcBorders>
          </w:tcPr>
          <w:p w:rsidR="00483B53" w:rsidRPr="00EA4B61" w:rsidP="00483B53" w14:paraId="2F22BCD6"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8</w:t>
            </w:r>
          </w:p>
        </w:tc>
        <w:tc>
          <w:tcPr>
            <w:tcW w:w="649" w:type="pct"/>
            <w:tcBorders>
              <w:top w:val="single" w:sz="4" w:space="0" w:color="auto"/>
              <w:left w:val="single" w:sz="4" w:space="0" w:color="auto"/>
              <w:bottom w:val="single" w:sz="4" w:space="0" w:color="auto"/>
              <w:right w:val="single" w:sz="4" w:space="0" w:color="auto"/>
            </w:tcBorders>
          </w:tcPr>
          <w:p w:rsidR="00483B53" w:rsidRPr="00EA4B61" w:rsidP="00483B53" w14:paraId="62B327C5"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4 hrs.;</w:t>
            </w:r>
          </w:p>
          <w:p w:rsidR="00483B53" w:rsidRPr="00EA4B61" w:rsidP="00483B53" w14:paraId="0E099C18"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$408</w:t>
            </w:r>
          </w:p>
        </w:tc>
        <w:tc>
          <w:tcPr>
            <w:tcW w:w="662" w:type="pct"/>
            <w:tcBorders>
              <w:top w:val="single" w:sz="4" w:space="0" w:color="auto"/>
              <w:left w:val="single" w:sz="4" w:space="0" w:color="auto"/>
              <w:bottom w:val="single" w:sz="4" w:space="0" w:color="auto"/>
              <w:right w:val="single" w:sz="4" w:space="0" w:color="auto"/>
            </w:tcBorders>
          </w:tcPr>
          <w:p w:rsidR="00483B53" w:rsidRPr="00EA4B61" w:rsidP="00483B53" w14:paraId="21B5EAEF"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32 hrs.;</w:t>
            </w:r>
          </w:p>
          <w:p w:rsidR="00483B53" w:rsidRPr="00EA4B61" w:rsidP="00483B53" w14:paraId="5B029EBA"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$3,264</w:t>
            </w:r>
          </w:p>
        </w:tc>
        <w:tc>
          <w:tcPr>
            <w:tcW w:w="699" w:type="pct"/>
            <w:tcBorders>
              <w:top w:val="single" w:sz="4" w:space="0" w:color="auto"/>
              <w:left w:val="single" w:sz="4" w:space="0" w:color="auto"/>
              <w:bottom w:val="single" w:sz="4" w:space="0" w:color="auto"/>
              <w:right w:val="single" w:sz="4" w:space="0" w:color="auto"/>
            </w:tcBorders>
          </w:tcPr>
          <w:p w:rsidR="00483B53" w:rsidRPr="00EA4B61" w:rsidP="00483B53" w14:paraId="0E901F7D"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$408</w:t>
            </w:r>
          </w:p>
        </w:tc>
      </w:tr>
      <w:tr w14:paraId="5151988A" w14:textId="77777777" w:rsidTr="7B01767A">
        <w:tblPrEx>
          <w:tblW w:w="5077" w:type="pct"/>
          <w:jc w:val="center"/>
          <w:tblLook w:val="01E0"/>
        </w:tblPrEx>
        <w:trPr>
          <w:cantSplit/>
          <w:trHeight w:val="485"/>
          <w:jc w:val="center"/>
        </w:trPr>
        <w:tc>
          <w:tcPr>
            <w:tcW w:w="810" w:type="pct"/>
            <w:tcBorders>
              <w:top w:val="single" w:sz="4" w:space="0" w:color="auto"/>
              <w:left w:val="single" w:sz="4" w:space="0" w:color="auto"/>
              <w:bottom w:val="single" w:sz="4" w:space="0" w:color="auto"/>
              <w:right w:val="single" w:sz="4" w:space="0" w:color="auto"/>
            </w:tcBorders>
          </w:tcPr>
          <w:p w:rsidR="00483B53" w:rsidRPr="00EA4B61" w:rsidP="00483B53" w14:paraId="16CB2535"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18 CFR 153.103(c) Blanket Authorization Prior Notice Filings</w:t>
            </w:r>
          </w:p>
        </w:tc>
        <w:tc>
          <w:tcPr>
            <w:tcW w:w="749" w:type="pct"/>
            <w:tcBorders>
              <w:top w:val="single" w:sz="4" w:space="0" w:color="auto"/>
              <w:left w:val="single" w:sz="4" w:space="0" w:color="auto"/>
              <w:bottom w:val="single" w:sz="4" w:space="0" w:color="auto"/>
              <w:right w:val="single" w:sz="4" w:space="0" w:color="auto"/>
            </w:tcBorders>
          </w:tcPr>
          <w:p w:rsidR="00483B53" w:rsidRPr="00EA4B61" w:rsidP="00483B53" w14:paraId="0A5F30DB"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3</w:t>
            </w:r>
          </w:p>
        </w:tc>
        <w:tc>
          <w:tcPr>
            <w:tcW w:w="742" w:type="pct"/>
            <w:tcBorders>
              <w:top w:val="single" w:sz="4" w:space="0" w:color="auto"/>
              <w:left w:val="single" w:sz="4" w:space="0" w:color="auto"/>
              <w:bottom w:val="single" w:sz="4" w:space="0" w:color="auto"/>
              <w:right w:val="single" w:sz="4" w:space="0" w:color="auto"/>
            </w:tcBorders>
          </w:tcPr>
          <w:p w:rsidR="00483B53" w:rsidRPr="00EA4B61" w:rsidP="00483B53" w14:paraId="00E209CB"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w:t>
            </w:r>
          </w:p>
        </w:tc>
        <w:tc>
          <w:tcPr>
            <w:tcW w:w="689" w:type="pct"/>
            <w:tcBorders>
              <w:top w:val="single" w:sz="4" w:space="0" w:color="auto"/>
              <w:left w:val="single" w:sz="4" w:space="0" w:color="auto"/>
              <w:bottom w:val="single" w:sz="4" w:space="0" w:color="auto"/>
              <w:right w:val="single" w:sz="4" w:space="0" w:color="auto"/>
            </w:tcBorders>
          </w:tcPr>
          <w:p w:rsidR="00483B53" w:rsidRPr="00EA4B61" w:rsidP="00483B53" w14:paraId="7A9E681D"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3</w:t>
            </w:r>
          </w:p>
        </w:tc>
        <w:tc>
          <w:tcPr>
            <w:tcW w:w="649" w:type="pct"/>
            <w:tcBorders>
              <w:top w:val="single" w:sz="4" w:space="0" w:color="auto"/>
              <w:left w:val="single" w:sz="4" w:space="0" w:color="auto"/>
              <w:bottom w:val="single" w:sz="4" w:space="0" w:color="auto"/>
              <w:right w:val="single" w:sz="4" w:space="0" w:color="auto"/>
            </w:tcBorders>
          </w:tcPr>
          <w:p w:rsidR="00483B53" w:rsidRPr="00EA4B61" w:rsidP="00483B53" w14:paraId="2A0D29A8"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8 hrs.;</w:t>
            </w:r>
          </w:p>
          <w:p w:rsidR="00483B53" w:rsidRPr="00EA4B61" w:rsidP="00483B53" w14:paraId="5603E07B"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$816</w:t>
            </w:r>
          </w:p>
        </w:tc>
        <w:tc>
          <w:tcPr>
            <w:tcW w:w="662" w:type="pct"/>
            <w:tcBorders>
              <w:top w:val="single" w:sz="4" w:space="0" w:color="auto"/>
              <w:left w:val="single" w:sz="4" w:space="0" w:color="auto"/>
              <w:bottom w:val="single" w:sz="4" w:space="0" w:color="auto"/>
              <w:right w:val="single" w:sz="4" w:space="0" w:color="auto"/>
            </w:tcBorders>
          </w:tcPr>
          <w:p w:rsidR="00483B53" w:rsidRPr="00EA4B61" w:rsidP="00483B53" w14:paraId="6DC7AF57"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24 hrs.;</w:t>
            </w:r>
          </w:p>
          <w:p w:rsidR="00483B53" w:rsidRPr="00EA4B61" w:rsidP="00483B53" w14:paraId="209E8296"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$2,448</w:t>
            </w:r>
          </w:p>
        </w:tc>
        <w:tc>
          <w:tcPr>
            <w:tcW w:w="699" w:type="pct"/>
            <w:tcBorders>
              <w:top w:val="single" w:sz="4" w:space="0" w:color="auto"/>
              <w:left w:val="single" w:sz="4" w:space="0" w:color="auto"/>
              <w:bottom w:val="single" w:sz="4" w:space="0" w:color="auto"/>
              <w:right w:val="single" w:sz="4" w:space="0" w:color="auto"/>
            </w:tcBorders>
          </w:tcPr>
          <w:p w:rsidR="00483B53" w:rsidRPr="00EA4B61" w:rsidP="00483B53" w14:paraId="7C047035"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$816</w:t>
            </w:r>
          </w:p>
        </w:tc>
      </w:tr>
      <w:tr w14:paraId="760EF33F" w14:textId="77777777" w:rsidTr="7B01767A">
        <w:tblPrEx>
          <w:tblW w:w="5077" w:type="pct"/>
          <w:jc w:val="center"/>
          <w:tblLook w:val="01E0"/>
        </w:tblPrEx>
        <w:trPr>
          <w:cantSplit/>
          <w:trHeight w:val="485"/>
          <w:jc w:val="center"/>
        </w:trPr>
        <w:tc>
          <w:tcPr>
            <w:tcW w:w="810" w:type="pct"/>
            <w:tcBorders>
              <w:top w:val="single" w:sz="4" w:space="0" w:color="auto"/>
              <w:left w:val="single" w:sz="4" w:space="0" w:color="auto"/>
              <w:bottom w:val="single" w:sz="4" w:space="0" w:color="auto"/>
              <w:right w:val="single" w:sz="4" w:space="0" w:color="auto"/>
            </w:tcBorders>
          </w:tcPr>
          <w:p w:rsidR="00483B53" w:rsidRPr="00EA4B61" w:rsidP="00483B53" w14:paraId="4255C691" w14:textId="77777777">
            <w:pPr>
              <w:spacing w:after="0" w:line="240" w:lineRule="auto"/>
              <w:rPr>
                <w:rFonts w:ascii="Times New Roman" w:hAnsi="Times New Roman" w:cs="Times New Roman"/>
                <w:bCs/>
                <w:sz w:val="24"/>
                <w:szCs w:val="24"/>
              </w:rPr>
            </w:pPr>
            <w:r w:rsidRPr="7B01767A" w:rsidR="71387354">
              <w:rPr>
                <w:rFonts w:ascii="Times New Roman" w:hAnsi="Times New Roman" w:cs="Times New Roman"/>
                <w:sz w:val="24"/>
                <w:szCs w:val="24"/>
              </w:rPr>
              <w:t>18 CFR 153.106(c) Semi-Annual Operational Reports</w:t>
            </w:r>
            <w:r>
              <w:rPr>
                <w:rFonts w:ascii="Times New Roman" w:hAnsi="Times New Roman" w:cs="Times New Roman"/>
                <w:b/>
                <w:bCs/>
                <w:sz w:val="24"/>
                <w:szCs w:val="24"/>
                <w:vertAlign w:val="superscript"/>
              </w:rPr>
              <w:footnoteReference w:id="24"/>
            </w:r>
          </w:p>
        </w:tc>
        <w:tc>
          <w:tcPr>
            <w:tcW w:w="749" w:type="pct"/>
            <w:tcBorders>
              <w:top w:val="single" w:sz="4" w:space="0" w:color="auto"/>
              <w:left w:val="single" w:sz="4" w:space="0" w:color="auto"/>
              <w:bottom w:val="single" w:sz="4" w:space="0" w:color="auto"/>
              <w:right w:val="single" w:sz="4" w:space="0" w:color="auto"/>
            </w:tcBorders>
          </w:tcPr>
          <w:p w:rsidR="00483B53" w:rsidRPr="00EA4B61" w:rsidP="00483B53" w14:paraId="6FAF79BF"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25</w:t>
            </w:r>
          </w:p>
        </w:tc>
        <w:tc>
          <w:tcPr>
            <w:tcW w:w="742" w:type="pct"/>
            <w:tcBorders>
              <w:top w:val="single" w:sz="4" w:space="0" w:color="auto"/>
              <w:left w:val="single" w:sz="4" w:space="0" w:color="auto"/>
              <w:bottom w:val="single" w:sz="4" w:space="0" w:color="auto"/>
              <w:right w:val="single" w:sz="4" w:space="0" w:color="auto"/>
            </w:tcBorders>
          </w:tcPr>
          <w:p w:rsidR="00483B53" w:rsidRPr="00EA4B61" w:rsidP="00483B53" w14:paraId="39DE82C2"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w:t>
            </w:r>
          </w:p>
        </w:tc>
        <w:tc>
          <w:tcPr>
            <w:tcW w:w="689" w:type="pct"/>
            <w:tcBorders>
              <w:top w:val="single" w:sz="4" w:space="0" w:color="auto"/>
              <w:left w:val="single" w:sz="4" w:space="0" w:color="auto"/>
              <w:bottom w:val="single" w:sz="4" w:space="0" w:color="auto"/>
              <w:right w:val="single" w:sz="4" w:space="0" w:color="auto"/>
            </w:tcBorders>
          </w:tcPr>
          <w:p w:rsidR="00483B53" w:rsidRPr="00EA4B61" w:rsidP="00483B53" w14:paraId="284B1562"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50</w:t>
            </w:r>
          </w:p>
        </w:tc>
        <w:tc>
          <w:tcPr>
            <w:tcW w:w="649" w:type="pct"/>
            <w:tcBorders>
              <w:top w:val="single" w:sz="4" w:space="0" w:color="auto"/>
              <w:left w:val="single" w:sz="4" w:space="0" w:color="auto"/>
              <w:bottom w:val="single" w:sz="4" w:space="0" w:color="auto"/>
              <w:right w:val="single" w:sz="4" w:space="0" w:color="auto"/>
            </w:tcBorders>
          </w:tcPr>
          <w:p w:rsidR="00483B53" w:rsidRPr="00EA4B61" w:rsidP="00483B53" w14:paraId="63802053"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25 hrs.;</w:t>
            </w:r>
          </w:p>
          <w:p w:rsidR="00483B53" w:rsidRPr="00EA4B61" w:rsidP="00483B53" w14:paraId="4564F42E"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$2,550</w:t>
            </w:r>
          </w:p>
        </w:tc>
        <w:tc>
          <w:tcPr>
            <w:tcW w:w="662" w:type="pct"/>
            <w:tcBorders>
              <w:top w:val="single" w:sz="4" w:space="0" w:color="auto"/>
              <w:left w:val="single" w:sz="4" w:space="0" w:color="auto"/>
              <w:bottom w:val="single" w:sz="4" w:space="0" w:color="auto"/>
              <w:right w:val="single" w:sz="4" w:space="0" w:color="auto"/>
            </w:tcBorders>
          </w:tcPr>
          <w:p w:rsidR="00483B53" w:rsidRPr="00EA4B61" w:rsidP="00483B53" w14:paraId="4CF8755B"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1,250 hrs.;</w:t>
            </w:r>
          </w:p>
          <w:p w:rsidR="00483B53" w:rsidRPr="00EA4B61" w:rsidP="00483B53" w14:paraId="72BB0C6E"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$127,500</w:t>
            </w:r>
          </w:p>
        </w:tc>
        <w:tc>
          <w:tcPr>
            <w:tcW w:w="699" w:type="pct"/>
            <w:tcBorders>
              <w:top w:val="single" w:sz="4" w:space="0" w:color="auto"/>
              <w:left w:val="single" w:sz="4" w:space="0" w:color="auto"/>
              <w:bottom w:val="single" w:sz="4" w:space="0" w:color="auto"/>
              <w:right w:val="single" w:sz="4" w:space="0" w:color="auto"/>
            </w:tcBorders>
          </w:tcPr>
          <w:p w:rsidR="00483B53" w:rsidRPr="00EA4B61" w:rsidP="00483B53" w14:paraId="0CD8D924"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$5,100</w:t>
            </w:r>
          </w:p>
        </w:tc>
      </w:tr>
      <w:tr w14:paraId="3FF9B3D3" w14:textId="77777777" w:rsidTr="7B01767A">
        <w:tblPrEx>
          <w:tblW w:w="5077" w:type="pct"/>
          <w:jc w:val="center"/>
          <w:tblLook w:val="01E0"/>
        </w:tblPrEx>
        <w:trPr>
          <w:cantSplit/>
          <w:trHeight w:val="485"/>
          <w:jc w:val="center"/>
        </w:trPr>
        <w:tc>
          <w:tcPr>
            <w:tcW w:w="810" w:type="pct"/>
            <w:tcBorders>
              <w:top w:val="single" w:sz="4" w:space="0" w:color="auto"/>
              <w:left w:val="single" w:sz="4" w:space="0" w:color="auto"/>
              <w:bottom w:val="single" w:sz="4" w:space="0" w:color="auto"/>
              <w:right w:val="single" w:sz="4" w:space="0" w:color="auto"/>
            </w:tcBorders>
            <w:hideMark/>
          </w:tcPr>
          <w:p w:rsidR="00483B53" w:rsidRPr="00EA4B61" w:rsidP="00483B53" w14:paraId="3696A86E"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(impacted collection activities)</w:t>
            </w:r>
          </w:p>
        </w:tc>
        <w:tc>
          <w:tcPr>
            <w:tcW w:w="7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4CC85735" w14:textId="77777777">
            <w:pPr>
              <w:spacing w:after="0" w:line="240" w:lineRule="auto"/>
              <w:rPr>
                <w:rFonts w:ascii="Times New Roman" w:hAnsi="Times New Roman" w:cs="Times New Roman"/>
                <w:b/>
                <w:bCs/>
                <w:sz w:val="24"/>
                <w:szCs w:val="24"/>
              </w:rPr>
            </w:pPr>
          </w:p>
        </w:tc>
        <w:tc>
          <w:tcPr>
            <w:tcW w:w="7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3CC65E87" w14:textId="77777777">
            <w:pPr>
              <w:spacing w:after="0" w:line="240" w:lineRule="auto"/>
              <w:rPr>
                <w:rFonts w:ascii="Times New Roman" w:hAnsi="Times New Roman" w:cs="Times New Roman"/>
                <w:bCs/>
                <w:sz w:val="24"/>
                <w:szCs w:val="24"/>
              </w:rPr>
            </w:pPr>
          </w:p>
        </w:tc>
        <w:tc>
          <w:tcPr>
            <w:tcW w:w="689" w:type="pct"/>
            <w:tcBorders>
              <w:top w:val="single" w:sz="4" w:space="0" w:color="auto"/>
              <w:left w:val="single" w:sz="4" w:space="0" w:color="auto"/>
              <w:bottom w:val="single" w:sz="4" w:space="0" w:color="auto"/>
              <w:right w:val="single" w:sz="4" w:space="0" w:color="auto"/>
            </w:tcBorders>
            <w:hideMark/>
          </w:tcPr>
          <w:p w:rsidR="00483B53" w:rsidRPr="00EA4B61" w:rsidP="00483B53" w14:paraId="21252574"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69</w:t>
            </w:r>
          </w:p>
        </w:tc>
        <w:tc>
          <w:tcPr>
            <w:tcW w:w="6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291AA6C3" w14:textId="77777777">
            <w:pPr>
              <w:spacing w:after="0" w:line="240" w:lineRule="auto"/>
              <w:rPr>
                <w:rFonts w:ascii="Times New Roman" w:hAnsi="Times New Roman" w:cs="Times New Roman"/>
                <w:bCs/>
                <w:sz w:val="24"/>
                <w:szCs w:val="24"/>
              </w:rPr>
            </w:pPr>
          </w:p>
        </w:tc>
        <w:tc>
          <w:tcPr>
            <w:tcW w:w="662" w:type="pct"/>
            <w:tcBorders>
              <w:top w:val="single" w:sz="4" w:space="0" w:color="auto"/>
              <w:left w:val="single" w:sz="4" w:space="0" w:color="auto"/>
              <w:bottom w:val="single" w:sz="4" w:space="0" w:color="auto"/>
              <w:right w:val="single" w:sz="4" w:space="0" w:color="auto"/>
            </w:tcBorders>
            <w:hideMark/>
          </w:tcPr>
          <w:p w:rsidR="00483B53" w:rsidRPr="00EA4B61" w:rsidP="00483B53" w14:paraId="7E7C5596"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1,426 hrs.; $145,452</w:t>
            </w:r>
          </w:p>
        </w:tc>
        <w:tc>
          <w:tcPr>
            <w:tcW w:w="6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02EC5807" w14:textId="77777777">
            <w:pPr>
              <w:spacing w:after="0" w:line="240" w:lineRule="auto"/>
              <w:rPr>
                <w:rFonts w:ascii="Times New Roman" w:hAnsi="Times New Roman" w:cs="Times New Roman"/>
                <w:b/>
                <w:bCs/>
                <w:sz w:val="24"/>
                <w:szCs w:val="24"/>
              </w:rPr>
            </w:pPr>
          </w:p>
        </w:tc>
      </w:tr>
    </w:tbl>
    <w:p w:rsidR="00483B53" w:rsidRPr="00EA4B61" w:rsidP="00483B53" w14:paraId="697470BB" w14:textId="77777777">
      <w:pPr>
        <w:spacing w:after="0" w:line="240" w:lineRule="auto"/>
        <w:rPr>
          <w:rFonts w:ascii="Times New Roman" w:hAnsi="Times New Roman" w:cs="Times New Roman"/>
          <w:bCs/>
          <w:sz w:val="24"/>
          <w:szCs w:val="24"/>
        </w:rPr>
      </w:pPr>
    </w:p>
    <w:p w:rsidR="00483B53" w:rsidRPr="00EA4B61" w:rsidP="00483B53" w14:paraId="3315A6ED" w14:textId="4CDD8B77">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Title:</w:t>
      </w:r>
      <w:r w:rsidRPr="00EA4B61">
        <w:rPr>
          <w:rFonts w:ascii="Times New Roman" w:hAnsi="Times New Roman" w:cs="Times New Roman"/>
          <w:bCs/>
          <w:sz w:val="24"/>
          <w:szCs w:val="24"/>
        </w:rPr>
        <w:t xml:space="preserve">  FERC-577:  Natural Gas Facilities: Environmental Review and Compliance.</w:t>
      </w:r>
    </w:p>
    <w:p w:rsidR="00865F07" w:rsidRPr="00EA4B61" w:rsidP="00483B53" w14:paraId="7B87370D" w14:textId="77777777">
      <w:pPr>
        <w:spacing w:after="0" w:line="240" w:lineRule="auto"/>
        <w:rPr>
          <w:rFonts w:ascii="Times New Roman" w:hAnsi="Times New Roman" w:cs="Times New Roman"/>
          <w:bCs/>
          <w:i/>
          <w:sz w:val="24"/>
          <w:szCs w:val="24"/>
        </w:rPr>
      </w:pPr>
    </w:p>
    <w:p w:rsidR="00483B53" w:rsidRPr="00EA4B61" w:rsidP="00483B53" w14:paraId="713A891F" w14:textId="08A6A150">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Respondents:</w:t>
      </w:r>
      <w:r w:rsidRPr="00EA4B61">
        <w:rPr>
          <w:rFonts w:ascii="Times New Roman" w:hAnsi="Times New Roman" w:cs="Times New Roman"/>
          <w:bCs/>
          <w:sz w:val="24"/>
          <w:szCs w:val="24"/>
        </w:rPr>
        <w:t xml:space="preserve">  Companies seeking authorization to site, design, construct, operate, or modify LNG facilities.</w:t>
      </w:r>
    </w:p>
    <w:p w:rsidR="00865F07" w:rsidRPr="00EA4B61" w:rsidP="00483B53" w14:paraId="71ECAE15" w14:textId="77777777">
      <w:pPr>
        <w:spacing w:after="0" w:line="240" w:lineRule="auto"/>
        <w:rPr>
          <w:rFonts w:ascii="Times New Roman" w:hAnsi="Times New Roman" w:cs="Times New Roman"/>
          <w:bCs/>
          <w:i/>
          <w:sz w:val="24"/>
          <w:szCs w:val="24"/>
        </w:rPr>
      </w:pPr>
    </w:p>
    <w:p w:rsidR="00483B53" w:rsidRPr="00EA4B61" w:rsidP="00483B53" w14:paraId="6DAB4E5D" w14:textId="22A6BEA6">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Frequency of Responses:</w:t>
      </w:r>
      <w:r w:rsidRPr="00EA4B61">
        <w:rPr>
          <w:rFonts w:ascii="Times New Roman" w:hAnsi="Times New Roman" w:cs="Times New Roman"/>
          <w:bCs/>
          <w:sz w:val="24"/>
          <w:szCs w:val="24"/>
        </w:rPr>
        <w:t xml:space="preserve">  Ongoing.  Companies file the necessary information</w:t>
      </w:r>
    </w:p>
    <w:p w:rsidR="00865F07" w:rsidRPr="00EA4B61" w:rsidP="00483B53" w14:paraId="496251BD" w14:textId="77777777">
      <w:pPr>
        <w:spacing w:after="0" w:line="240" w:lineRule="auto"/>
        <w:rPr>
          <w:rFonts w:ascii="Times New Roman" w:hAnsi="Times New Roman" w:cs="Times New Roman"/>
          <w:bCs/>
          <w:i/>
          <w:sz w:val="24"/>
          <w:szCs w:val="24"/>
        </w:rPr>
      </w:pPr>
    </w:p>
    <w:p w:rsidR="00483B53" w:rsidRPr="00EA4B61" w:rsidP="00483B53" w14:paraId="37A8E262" w14:textId="6AC602B2">
      <w:pPr>
        <w:spacing w:after="0" w:line="240" w:lineRule="auto"/>
        <w:rPr>
          <w:rFonts w:ascii="Times New Roman" w:hAnsi="Times New Roman" w:cs="Times New Roman"/>
          <w:bCs/>
          <w:sz w:val="24"/>
          <w:szCs w:val="24"/>
        </w:rPr>
      </w:pPr>
      <w:r w:rsidRPr="00EA4B61">
        <w:rPr>
          <w:rFonts w:ascii="Times New Roman" w:hAnsi="Times New Roman" w:cs="Times New Roman"/>
          <w:bCs/>
          <w:i/>
          <w:iCs/>
          <w:sz w:val="24"/>
          <w:szCs w:val="24"/>
        </w:rPr>
        <w:t>Proposed Change:</w:t>
      </w:r>
      <w:r w:rsidRPr="00EA4B61">
        <w:rPr>
          <w:rFonts w:ascii="Times New Roman" w:hAnsi="Times New Roman" w:cs="Times New Roman"/>
          <w:bCs/>
          <w:sz w:val="24"/>
          <w:szCs w:val="24"/>
        </w:rPr>
        <w:t xml:space="preserve">  The Commission estimates that this NOPR would reduce the number of companies’ environmental review and compliance submissions by 3 (from 107 to 104) as a result of companies shifting to using the blanket certificate program.  This would result in a burden reduction of 9,289 hours and would also significantly decrease the time before a facilities or infrastructure improvement could be implemented enabling the company to reap the benefits of the improvement more quickly (e.g., additional revenue or decreased costs). </w:t>
      </w:r>
    </w:p>
    <w:p w:rsidR="00865F07" w:rsidRPr="00EA4B61" w:rsidP="00483B53" w14:paraId="23E7B9DF" w14:textId="77777777">
      <w:pPr>
        <w:spacing w:after="0" w:line="240" w:lineRule="auto"/>
        <w:rPr>
          <w:rFonts w:ascii="Times New Roman" w:hAnsi="Times New Roman" w:cs="Times New Roman"/>
          <w:bCs/>
          <w:i/>
          <w:sz w:val="24"/>
          <w:szCs w:val="24"/>
        </w:rPr>
      </w:pPr>
    </w:p>
    <w:p w:rsidR="00483B53" w:rsidRPr="00EA4B61" w:rsidP="00483B53" w14:paraId="6501ABC1" w14:textId="05944355">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 xml:space="preserve">Public Reporting Burden: </w:t>
      </w:r>
      <w:r w:rsidRPr="00EA4B61">
        <w:rPr>
          <w:rFonts w:ascii="Times New Roman" w:hAnsi="Times New Roman" w:cs="Times New Roman"/>
          <w:bCs/>
          <w:sz w:val="24"/>
          <w:szCs w:val="24"/>
        </w:rPr>
        <w:t>The Commission estimates burden and cost as follows:</w:t>
      </w: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5"/>
        <w:gridCol w:w="1330"/>
        <w:gridCol w:w="1261"/>
        <w:gridCol w:w="1171"/>
        <w:gridCol w:w="1772"/>
        <w:gridCol w:w="1621"/>
        <w:gridCol w:w="1395"/>
      </w:tblGrid>
      <w:tr w14:paraId="42C9FFDD" w14:textId="77777777" w:rsidTr="7B01767A">
        <w:tblPrEx>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638"/>
          <w:jc w:val="center"/>
        </w:trPr>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0C27095F" w14:textId="77777777">
            <w:pPr>
              <w:spacing w:after="0" w:line="240" w:lineRule="auto"/>
              <w:rPr>
                <w:rFonts w:ascii="Times New Roman" w:hAnsi="Times New Roman" w:cs="Times New Roman"/>
                <w:b/>
                <w:bCs/>
                <w:sz w:val="24"/>
                <w:szCs w:val="24"/>
              </w:rPr>
            </w:pPr>
          </w:p>
        </w:tc>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509F3776"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Number of Respondents</w:t>
            </w:r>
          </w:p>
          <w:p w:rsidR="00483B53" w:rsidRPr="00EA4B61" w:rsidP="00483B53" w14:paraId="071F7B51"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(1)</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5DCA96E9"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Number of Responses Per Respondent</w:t>
            </w:r>
          </w:p>
          <w:p w:rsidR="00483B53" w:rsidRPr="00EA4B61" w:rsidP="00483B53" w14:paraId="400C433C"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(2)</w:t>
            </w:r>
          </w:p>
        </w:tc>
        <w:tc>
          <w:tcPr>
            <w:tcW w:w="11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317C1F6D"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Number of Responses</w:t>
            </w:r>
          </w:p>
          <w:p w:rsidR="00483B53" w:rsidRPr="00EA4B61" w:rsidP="00483B53" w14:paraId="01CE6F25"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(1) * (2) = (3)</w:t>
            </w:r>
          </w:p>
        </w:tc>
        <w:tc>
          <w:tcPr>
            <w:tcW w:w="17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678A8A0C"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Average Burden Hours &amp; Average Cost per Response ($) (rounded)</w:t>
            </w:r>
          </w:p>
          <w:p w:rsidR="00483B53" w:rsidRPr="00EA4B61" w:rsidP="00483B53" w14:paraId="48DEE3A0"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(4)</w:t>
            </w: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29CF45DF"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Annual Burden Hours &amp; Total Annual Cost ($) (rounded)</w:t>
            </w:r>
          </w:p>
          <w:p w:rsidR="00483B53" w:rsidRPr="00EA4B61" w:rsidP="00483B53" w14:paraId="0FB84033"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(3) * (4) = (5)</w:t>
            </w:r>
          </w:p>
        </w:tc>
        <w:tc>
          <w:tcPr>
            <w:tcW w:w="1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2A83A33E"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Cost per Respondent ($) (rounded)</w:t>
            </w:r>
          </w:p>
          <w:p w:rsidR="00483B53" w:rsidRPr="00EA4B61" w:rsidP="00483B53" w14:paraId="171A5CA4" w14:textId="77777777">
            <w:pPr>
              <w:spacing w:after="0" w:line="240" w:lineRule="auto"/>
              <w:rPr>
                <w:rFonts w:ascii="Times New Roman" w:hAnsi="Times New Roman" w:cs="Times New Roman"/>
                <w:b/>
                <w:bCs/>
                <w:sz w:val="24"/>
                <w:szCs w:val="24"/>
              </w:rPr>
            </w:pPr>
          </w:p>
          <w:p w:rsidR="00483B53" w:rsidRPr="00EA4B61" w:rsidP="00483B53" w14:paraId="6960AE42" w14:textId="77777777">
            <w:pPr>
              <w:spacing w:after="0" w:line="240" w:lineRule="auto"/>
              <w:rPr>
                <w:rFonts w:ascii="Times New Roman" w:hAnsi="Times New Roman" w:cs="Times New Roman"/>
                <w:b/>
                <w:bCs/>
                <w:sz w:val="24"/>
                <w:szCs w:val="24"/>
              </w:rPr>
            </w:pPr>
          </w:p>
          <w:p w:rsidR="00483B53" w:rsidRPr="00EA4B61" w:rsidP="00483B53" w14:paraId="3D09FA09"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(5) ÷ (1) = (6)</w:t>
            </w:r>
          </w:p>
        </w:tc>
      </w:tr>
      <w:tr w14:paraId="64BCC52F" w14:textId="77777777" w:rsidTr="7B01767A">
        <w:tblPrEx>
          <w:tblW w:w="10255" w:type="dxa"/>
          <w:jc w:val="center"/>
          <w:tblLayout w:type="fixed"/>
          <w:tblLook w:val="01E0"/>
        </w:tblPrEx>
        <w:trPr>
          <w:trHeight w:val="300"/>
          <w:jc w:val="center"/>
        </w:trPr>
        <w:tc>
          <w:tcPr>
            <w:tcW w:w="1705" w:type="dxa"/>
            <w:tcBorders>
              <w:top w:val="single" w:sz="4" w:space="0" w:color="auto"/>
              <w:left w:val="single" w:sz="4" w:space="0" w:color="auto"/>
              <w:bottom w:val="single" w:sz="4" w:space="0" w:color="auto"/>
              <w:right w:val="single" w:sz="4" w:space="0" w:color="auto"/>
            </w:tcBorders>
            <w:vAlign w:val="bottom"/>
            <w:hideMark/>
          </w:tcPr>
          <w:p w:rsidR="00483B53" w:rsidRPr="00EA4B61" w:rsidP="00483B53" w14:paraId="5A699DE5" w14:textId="77777777">
            <w:pPr>
              <w:spacing w:after="0" w:line="240" w:lineRule="auto"/>
              <w:rPr>
                <w:rFonts w:ascii="Times New Roman" w:hAnsi="Times New Roman" w:cs="Times New Roman"/>
                <w:bCs/>
                <w:sz w:val="24"/>
                <w:szCs w:val="24"/>
              </w:rPr>
            </w:pPr>
            <w:r w:rsidRPr="7B01767A" w:rsidR="71387354">
              <w:rPr>
                <w:rFonts w:ascii="Times New Roman" w:hAnsi="Times New Roman" w:cs="Times New Roman"/>
                <w:sz w:val="24"/>
                <w:szCs w:val="24"/>
              </w:rPr>
              <w:t>Companies’ Environmental Review and Compliance</w:t>
            </w:r>
            <w:r>
              <w:rPr>
                <w:rFonts w:ascii="Times New Roman" w:hAnsi="Times New Roman" w:cs="Times New Roman"/>
                <w:b/>
                <w:bCs/>
                <w:sz w:val="24"/>
                <w:szCs w:val="24"/>
                <w:vertAlign w:val="superscript"/>
              </w:rPr>
              <w:footnoteReference w:id="25"/>
            </w:r>
            <w:r w:rsidRPr="7B01767A" w:rsidR="71387354">
              <w:rPr>
                <w:rFonts w:ascii="Times New Roman" w:hAnsi="Times New Roman" w:cs="Times New Roman"/>
                <w:sz w:val="24"/>
                <w:szCs w:val="24"/>
                <w:vertAlign w:val="superscript"/>
              </w:rPr>
              <w:t xml:space="preserve"> </w:t>
            </w:r>
            <w:r w:rsidRPr="7B01767A" w:rsidR="71387354">
              <w:rPr>
                <w:rFonts w:ascii="Times New Roman" w:hAnsi="Times New Roman" w:cs="Times New Roman"/>
                <w:sz w:val="24"/>
                <w:szCs w:val="24"/>
              </w:rPr>
              <w:t xml:space="preserve">(18 CFR Parts 2, 153, 157, and 380) </w:t>
            </w:r>
          </w:p>
        </w:tc>
        <w:tc>
          <w:tcPr>
            <w:tcW w:w="1330" w:type="dxa"/>
            <w:tcBorders>
              <w:top w:val="single" w:sz="4" w:space="0" w:color="auto"/>
              <w:left w:val="single" w:sz="4" w:space="0" w:color="auto"/>
              <w:bottom w:val="single" w:sz="4" w:space="0" w:color="auto"/>
              <w:right w:val="single" w:sz="4" w:space="0" w:color="auto"/>
            </w:tcBorders>
            <w:hideMark/>
          </w:tcPr>
          <w:p w:rsidR="00483B53" w:rsidRPr="00EA4B61" w:rsidP="00483B53" w14:paraId="20DB4784"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104</w:t>
            </w:r>
          </w:p>
        </w:tc>
        <w:tc>
          <w:tcPr>
            <w:tcW w:w="1261" w:type="dxa"/>
            <w:tcBorders>
              <w:top w:val="single" w:sz="4" w:space="0" w:color="auto"/>
              <w:left w:val="single" w:sz="4" w:space="0" w:color="auto"/>
              <w:bottom w:val="single" w:sz="4" w:space="0" w:color="auto"/>
              <w:right w:val="single" w:sz="4" w:space="0" w:color="auto"/>
            </w:tcBorders>
            <w:hideMark/>
          </w:tcPr>
          <w:p w:rsidR="00483B53" w:rsidRPr="00EA4B61" w:rsidP="00483B53" w14:paraId="175346F5"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16</w:t>
            </w:r>
          </w:p>
        </w:tc>
        <w:tc>
          <w:tcPr>
            <w:tcW w:w="1171" w:type="dxa"/>
            <w:tcBorders>
              <w:top w:val="single" w:sz="4" w:space="0" w:color="auto"/>
              <w:left w:val="single" w:sz="4" w:space="0" w:color="auto"/>
              <w:bottom w:val="single" w:sz="4" w:space="0" w:color="auto"/>
              <w:right w:val="single" w:sz="4" w:space="0" w:color="auto"/>
            </w:tcBorders>
            <w:hideMark/>
          </w:tcPr>
          <w:p w:rsidR="00483B53" w:rsidRPr="00EA4B61" w:rsidP="00483B53" w14:paraId="70D5DABA"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1,664</w:t>
            </w:r>
          </w:p>
        </w:tc>
        <w:tc>
          <w:tcPr>
            <w:tcW w:w="1772" w:type="dxa"/>
            <w:tcBorders>
              <w:top w:val="single" w:sz="4" w:space="0" w:color="auto"/>
              <w:left w:val="single" w:sz="4" w:space="0" w:color="auto"/>
              <w:bottom w:val="single" w:sz="4" w:space="0" w:color="auto"/>
              <w:right w:val="single" w:sz="4" w:space="0" w:color="auto"/>
            </w:tcBorders>
            <w:hideMark/>
          </w:tcPr>
          <w:p w:rsidR="00483B53" w:rsidRPr="00EA4B61" w:rsidP="00483B53" w14:paraId="5734F479"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193.52 hours; $19,932.56</w:t>
            </w:r>
          </w:p>
        </w:tc>
        <w:tc>
          <w:tcPr>
            <w:tcW w:w="1621" w:type="dxa"/>
            <w:tcBorders>
              <w:top w:val="single" w:sz="4" w:space="0" w:color="auto"/>
              <w:left w:val="single" w:sz="4" w:space="0" w:color="auto"/>
              <w:bottom w:val="single" w:sz="4" w:space="0" w:color="auto"/>
              <w:right w:val="single" w:sz="4" w:space="0" w:color="auto"/>
            </w:tcBorders>
            <w:hideMark/>
          </w:tcPr>
          <w:p w:rsidR="00483B53" w:rsidRPr="00EA4B61" w:rsidP="00483B53" w14:paraId="2593BD2B"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322,017 hours; $32,845,763</w:t>
            </w:r>
          </w:p>
        </w:tc>
        <w:tc>
          <w:tcPr>
            <w:tcW w:w="1395" w:type="dxa"/>
            <w:tcBorders>
              <w:top w:val="single" w:sz="4" w:space="0" w:color="auto"/>
              <w:left w:val="single" w:sz="4" w:space="0" w:color="auto"/>
              <w:bottom w:val="single" w:sz="4" w:space="0" w:color="auto"/>
              <w:right w:val="single" w:sz="4" w:space="0" w:color="auto"/>
            </w:tcBorders>
            <w:hideMark/>
          </w:tcPr>
          <w:p w:rsidR="00483B53" w:rsidRPr="00EA4B61" w:rsidP="00483B53" w14:paraId="2FCCF416"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$318,921</w:t>
            </w:r>
          </w:p>
        </w:tc>
      </w:tr>
      <w:tr w14:paraId="22A1A3CA" w14:textId="77777777" w:rsidTr="7B01767A">
        <w:tblPrEx>
          <w:tblW w:w="10255" w:type="dxa"/>
          <w:jc w:val="center"/>
          <w:tblLayout w:type="fixed"/>
          <w:tblLook w:val="01E0"/>
        </w:tblPrEx>
        <w:trPr>
          <w:trHeight w:val="300"/>
          <w:jc w:val="center"/>
        </w:trPr>
        <w:tc>
          <w:tcPr>
            <w:tcW w:w="1705" w:type="dxa"/>
            <w:tcBorders>
              <w:top w:val="single" w:sz="4" w:space="0" w:color="auto"/>
              <w:left w:val="single" w:sz="4" w:space="0" w:color="auto"/>
              <w:bottom w:val="single" w:sz="4" w:space="0" w:color="auto"/>
              <w:right w:val="single" w:sz="4" w:space="0" w:color="auto"/>
            </w:tcBorders>
            <w:vAlign w:val="bottom"/>
            <w:hideMark/>
          </w:tcPr>
          <w:p w:rsidR="00483B53" w:rsidRPr="00EA4B61" w:rsidP="00483B53" w14:paraId="38E58A12"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(impacted collection activities)</w:t>
            </w:r>
          </w:p>
        </w:tc>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58EEA0E4" w14:textId="77777777">
            <w:pPr>
              <w:spacing w:after="0" w:line="240" w:lineRule="auto"/>
              <w:rPr>
                <w:rFonts w:ascii="Times New Roman" w:hAnsi="Times New Roman" w:cs="Times New Roman"/>
                <w:b/>
                <w:bCs/>
                <w:sz w:val="24"/>
                <w:szCs w:val="24"/>
              </w:rPr>
            </w:pP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559F2830" w14:textId="77777777">
            <w:pPr>
              <w:spacing w:after="0" w:line="240" w:lineRule="auto"/>
              <w:rPr>
                <w:rFonts w:ascii="Times New Roman" w:hAnsi="Times New Roman" w:cs="Times New Roman"/>
                <w:b/>
                <w:bCs/>
                <w:sz w:val="24"/>
                <w:szCs w:val="24"/>
              </w:rPr>
            </w:pPr>
          </w:p>
        </w:tc>
        <w:tc>
          <w:tcPr>
            <w:tcW w:w="1171" w:type="dxa"/>
            <w:tcBorders>
              <w:top w:val="single" w:sz="4" w:space="0" w:color="auto"/>
              <w:left w:val="single" w:sz="4" w:space="0" w:color="auto"/>
              <w:bottom w:val="single" w:sz="4" w:space="0" w:color="auto"/>
              <w:right w:val="single" w:sz="4" w:space="0" w:color="auto"/>
            </w:tcBorders>
            <w:hideMark/>
          </w:tcPr>
          <w:p w:rsidR="00483B53" w:rsidRPr="00EA4B61" w:rsidP="00483B53" w14:paraId="55D59FB7"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1,664</w:t>
            </w:r>
          </w:p>
        </w:tc>
        <w:tc>
          <w:tcPr>
            <w:tcW w:w="17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7F5D06FE" w14:textId="77777777">
            <w:pPr>
              <w:spacing w:after="0" w:line="240" w:lineRule="auto"/>
              <w:rPr>
                <w:rFonts w:ascii="Times New Roman" w:hAnsi="Times New Roman" w:cs="Times New Roman"/>
                <w:b/>
                <w:bCs/>
                <w:sz w:val="24"/>
                <w:szCs w:val="24"/>
              </w:rPr>
            </w:pPr>
          </w:p>
        </w:tc>
        <w:tc>
          <w:tcPr>
            <w:tcW w:w="1621" w:type="dxa"/>
            <w:tcBorders>
              <w:top w:val="single" w:sz="4" w:space="0" w:color="auto"/>
              <w:left w:val="single" w:sz="4" w:space="0" w:color="auto"/>
              <w:bottom w:val="single" w:sz="4" w:space="0" w:color="auto"/>
              <w:right w:val="single" w:sz="4" w:space="0" w:color="auto"/>
            </w:tcBorders>
            <w:hideMark/>
          </w:tcPr>
          <w:p w:rsidR="00483B53" w:rsidRPr="00EA4B61" w:rsidP="00483B53" w14:paraId="2EE24479"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322,017 hours; $32,845,763</w:t>
            </w:r>
          </w:p>
        </w:tc>
        <w:tc>
          <w:tcPr>
            <w:tcW w:w="1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396995B9" w14:textId="77777777">
            <w:pPr>
              <w:spacing w:after="0" w:line="240" w:lineRule="auto"/>
              <w:rPr>
                <w:rFonts w:ascii="Times New Roman" w:hAnsi="Times New Roman" w:cs="Times New Roman"/>
                <w:b/>
                <w:bCs/>
                <w:sz w:val="24"/>
                <w:szCs w:val="24"/>
              </w:rPr>
            </w:pPr>
          </w:p>
        </w:tc>
      </w:tr>
    </w:tbl>
    <w:p w:rsidR="00483B53" w:rsidRPr="00EA4B61" w:rsidP="00AA08B2" w14:paraId="70187DCE" w14:textId="2E153E19">
      <w:pPr>
        <w:spacing w:after="0" w:line="240" w:lineRule="auto"/>
        <w:rPr>
          <w:rFonts w:ascii="Times New Roman" w:hAnsi="Times New Roman" w:cs="Times New Roman"/>
          <w:bCs/>
          <w:sz w:val="24"/>
          <w:szCs w:val="24"/>
        </w:rPr>
      </w:pPr>
    </w:p>
    <w:p w:rsidR="00BE208D" w:rsidRPr="00EA4B61" w:rsidP="007F701C" w14:paraId="6470EA6F" w14:textId="77777777">
      <w:pPr>
        <w:pStyle w:val="FootnoteText"/>
        <w:numPr>
          <w:ilvl w:val="0"/>
          <w:numId w:val="4"/>
        </w:numPr>
        <w:ind w:left="0" w:firstLine="0"/>
        <w:rPr>
          <w:rFonts w:cs="Times New Roman"/>
          <w:sz w:val="24"/>
          <w:szCs w:val="24"/>
        </w:rPr>
      </w:pPr>
      <w:r w:rsidRPr="00EA4B61">
        <w:rPr>
          <w:rFonts w:cs="Times New Roman"/>
          <w:b/>
          <w:sz w:val="24"/>
          <w:szCs w:val="24"/>
        </w:rPr>
        <w:t>ESTIMATE OF THE TOTAL ANNUAL COST BURDEN TO RESPONDENTS</w:t>
      </w:r>
    </w:p>
    <w:p w:rsidR="00BE208D" w:rsidRPr="00EA4B61" w:rsidP="00BE208D" w14:paraId="5ADE8069" w14:textId="77777777">
      <w:pPr>
        <w:pStyle w:val="FootnoteText"/>
        <w:rPr>
          <w:rFonts w:cs="Times New Roman"/>
          <w:b/>
          <w:sz w:val="24"/>
          <w:szCs w:val="24"/>
        </w:rPr>
      </w:pPr>
    </w:p>
    <w:p w:rsidR="00BE208D" w:rsidRPr="00EA4B61" w:rsidP="00BE208D" w14:paraId="24F11F0D" w14:textId="5ABB90FB">
      <w:pPr>
        <w:pStyle w:val="FootnoteText"/>
        <w:rPr>
          <w:rFonts w:cs="Times New Roman"/>
          <w:sz w:val="24"/>
          <w:szCs w:val="24"/>
        </w:rPr>
      </w:pPr>
      <w:r w:rsidRPr="00EA4B61">
        <w:rPr>
          <w:rFonts w:cs="Times New Roman"/>
          <w:sz w:val="24"/>
          <w:szCs w:val="24"/>
        </w:rPr>
        <w:t xml:space="preserve">There are no non-labor start-up costs. </w:t>
      </w:r>
      <w:r w:rsidR="002B6FDC">
        <w:rPr>
          <w:rFonts w:cs="Times New Roman"/>
          <w:sz w:val="24"/>
          <w:szCs w:val="24"/>
        </w:rPr>
        <w:t xml:space="preserve"> </w:t>
      </w:r>
      <w:r w:rsidRPr="00EA4B61">
        <w:rPr>
          <w:rFonts w:cs="Times New Roman"/>
          <w:sz w:val="24"/>
          <w:szCs w:val="24"/>
        </w:rPr>
        <w:t>All costs are related to burden hours and are addressed in Questions #12 and #15.</w:t>
      </w:r>
    </w:p>
    <w:p w:rsidR="00BE208D" w:rsidRPr="00EA4B61" w:rsidP="00BE208D" w14:paraId="51410692" w14:textId="77777777">
      <w:pPr>
        <w:pStyle w:val="FootnoteText"/>
        <w:rPr>
          <w:rFonts w:cs="Times New Roman"/>
          <w:sz w:val="24"/>
          <w:szCs w:val="24"/>
        </w:rPr>
      </w:pPr>
    </w:p>
    <w:p w:rsidR="00BE208D" w:rsidRPr="00EA4B61" w:rsidP="007F701C" w14:paraId="46A5E881" w14:textId="77777777">
      <w:pPr>
        <w:pStyle w:val="FootnoteText"/>
        <w:numPr>
          <w:ilvl w:val="0"/>
          <w:numId w:val="4"/>
        </w:numPr>
        <w:ind w:left="0" w:firstLine="0"/>
        <w:rPr>
          <w:rFonts w:cs="Times New Roman"/>
          <w:b/>
          <w:sz w:val="24"/>
          <w:szCs w:val="24"/>
        </w:rPr>
      </w:pPr>
      <w:r w:rsidRPr="00EA4B61">
        <w:rPr>
          <w:rFonts w:cs="Times New Roman"/>
          <w:b/>
          <w:sz w:val="24"/>
          <w:szCs w:val="24"/>
        </w:rPr>
        <w:t>ESTIMATED ANNUALIZED COST TO FEDERAL GOVERNMENT</w:t>
      </w:r>
    </w:p>
    <w:p w:rsidR="00BE208D" w:rsidRPr="00EA4B61" w:rsidP="00BE208D" w14:paraId="65D5720E" w14:textId="77777777">
      <w:pPr>
        <w:pStyle w:val="FootnoteText"/>
        <w:rPr>
          <w:rFonts w:cs="Times New Roman"/>
          <w:b/>
          <w:sz w:val="24"/>
          <w:szCs w:val="24"/>
        </w:rPr>
      </w:pPr>
    </w:p>
    <w:p w:rsidR="6A7D771D" w:rsidRPr="00EA4B61" w:rsidP="750D58D3" w14:paraId="144894F1" w14:textId="6F9C603F">
      <w:pPr>
        <w:pStyle w:val="FootnoteText"/>
        <w:rPr>
          <w:rFonts w:cs="Times New Roman"/>
          <w:sz w:val="24"/>
          <w:szCs w:val="24"/>
        </w:rPr>
      </w:pPr>
      <w:r w:rsidRPr="00EA4B61">
        <w:rPr>
          <w:rFonts w:cs="Times New Roman"/>
          <w:sz w:val="24"/>
          <w:szCs w:val="24"/>
        </w:rPr>
        <w:t>The estimate of the cost for analysis and processing of filings is based on salaries and benefits for professional and clerical support.  The Commission</w:t>
      </w:r>
      <w:r w:rsidRPr="00EA4B61" w:rsidR="0D41896F">
        <w:rPr>
          <w:rFonts w:cs="Times New Roman"/>
          <w:sz w:val="24"/>
          <w:szCs w:val="24"/>
        </w:rPr>
        <w:t xml:space="preserve"> also</w:t>
      </w:r>
      <w:r w:rsidRPr="00EA4B61">
        <w:rPr>
          <w:rFonts w:cs="Times New Roman"/>
          <w:sz w:val="24"/>
          <w:szCs w:val="24"/>
        </w:rPr>
        <w:t xml:space="preserve"> incurs costs associated with obtaining OMB clearance for the FERC-</w:t>
      </w:r>
      <w:r w:rsidRPr="00EA4B61" w:rsidR="004A7645">
        <w:rPr>
          <w:rFonts w:cs="Times New Roman"/>
          <w:sz w:val="24"/>
          <w:szCs w:val="24"/>
        </w:rPr>
        <w:t>537</w:t>
      </w:r>
      <w:r w:rsidRPr="00EA4B61">
        <w:rPr>
          <w:rFonts w:cs="Times New Roman"/>
          <w:sz w:val="24"/>
          <w:szCs w:val="24"/>
        </w:rPr>
        <w:t xml:space="preserve"> information collection under the Paperwork Reduction Act (PRA). </w:t>
      </w:r>
      <w:r w:rsidR="00F23308">
        <w:rPr>
          <w:rFonts w:cs="Times New Roman"/>
          <w:sz w:val="24"/>
          <w:szCs w:val="24"/>
        </w:rPr>
        <w:t xml:space="preserve"> </w:t>
      </w:r>
      <w:r w:rsidRPr="00EA4B61">
        <w:rPr>
          <w:rFonts w:cs="Times New Roman"/>
          <w:sz w:val="24"/>
          <w:szCs w:val="24"/>
        </w:rPr>
        <w:t>The PRA Administrative Cost is a federal cost associated with preparing, issuing, and submitting materials necessary to comply with the PRA for any vehicle (including a rulemaking) used to create, modify, extend, or discontinue an information collection.  This average annual cost includes requests for extensions, all associated rulemakings and orders, other changes to the collection, and associated publications in the Federal Register.</w:t>
      </w:r>
    </w:p>
    <w:p w:rsidR="750D58D3" w:rsidRPr="00EA4B61" w:rsidP="750D58D3" w14:paraId="0F815044" w14:textId="51D714E9">
      <w:pPr>
        <w:pStyle w:val="FootnoteText"/>
        <w:rPr>
          <w:rFonts w:cs="Times New Roman"/>
          <w:sz w:val="24"/>
          <w:szCs w:val="24"/>
        </w:rPr>
      </w:pPr>
    </w:p>
    <w:tbl>
      <w:tblPr>
        <w:tblStyle w:val="TableGrid"/>
        <w:tblW w:w="9360" w:type="dxa"/>
        <w:tblBorders>
          <w:top w:val="single" w:sz="6" w:space="0" w:color="auto"/>
          <w:left w:val="single" w:sz="6" w:space="0" w:color="auto"/>
          <w:bottom w:val="single" w:sz="6" w:space="0" w:color="auto"/>
          <w:right w:val="single" w:sz="6" w:space="0" w:color="auto"/>
        </w:tblBorders>
        <w:tblLayout w:type="fixed"/>
        <w:tblLook w:val="0000"/>
      </w:tblPr>
      <w:tblGrid>
        <w:gridCol w:w="3180"/>
        <w:gridCol w:w="3195"/>
        <w:gridCol w:w="2985"/>
      </w:tblGrid>
      <w:tr w14:paraId="5812C500" w14:textId="77777777" w:rsidTr="7B01767A">
        <w:tblPrEx>
          <w:tblW w:w="9360" w:type="dxa"/>
          <w:tblBorders>
            <w:top w:val="single" w:sz="6" w:space="0" w:color="auto"/>
            <w:left w:val="single" w:sz="6" w:space="0" w:color="auto"/>
            <w:bottom w:val="single" w:sz="6" w:space="0" w:color="auto"/>
            <w:right w:val="single" w:sz="6" w:space="0" w:color="auto"/>
          </w:tblBorders>
          <w:tblLayout w:type="fixed"/>
          <w:tblLook w:val="0000"/>
        </w:tblPrEx>
        <w:trPr>
          <w:trHeight w:val="55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tcPr>
          <w:p w:rsidR="167EF469" w:rsidRPr="00EA4B61" w:rsidP="167EF469" w14:paraId="694E4848" w14:textId="0C3FA28C">
            <w:pPr>
              <w:spacing w:line="259" w:lineRule="auto"/>
              <w:rPr>
                <w:rFonts w:ascii="Times New Roman" w:eastAsia="Times New Roman" w:hAnsi="Times New Roman" w:cs="Times New Roman"/>
                <w:b/>
                <w:bCs/>
                <w:color w:val="000000" w:themeColor="text1"/>
                <w:sz w:val="24"/>
                <w:szCs w:val="24"/>
              </w:rPr>
            </w:pPr>
            <w:r w:rsidRPr="00EA4B61">
              <w:rPr>
                <w:rFonts w:ascii="Times New Roman" w:eastAsia="Times New Roman" w:hAnsi="Times New Roman" w:cs="Times New Roman"/>
                <w:b/>
                <w:bCs/>
                <w:color w:val="000000" w:themeColor="text1"/>
                <w:sz w:val="24"/>
                <w:szCs w:val="24"/>
              </w:rPr>
              <w:t>FERC-537</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vAlign w:val="bottom"/>
          </w:tcPr>
          <w:p w:rsidR="167EF469" w:rsidRPr="00EA4B61" w:rsidP="003F0F1C" w14:paraId="7B37E5B1" w14:textId="4D454155">
            <w:pPr>
              <w:jc w:val="center"/>
              <w:rPr>
                <w:rFonts w:ascii="Times New Roman" w:eastAsia="Times New Roman" w:hAnsi="Times New Roman" w:cs="Times New Roman"/>
                <w:color w:val="000000" w:themeColor="text1"/>
                <w:sz w:val="24"/>
                <w:szCs w:val="24"/>
              </w:rPr>
            </w:pPr>
            <w:r w:rsidRPr="00EA4B61" w:rsidR="5DB2C70F">
              <w:rPr>
                <w:rFonts w:ascii="Times New Roman" w:eastAsia="Times New Roman" w:hAnsi="Times New Roman" w:cs="Times New Roman"/>
                <w:b/>
                <w:bCs/>
                <w:color w:val="000000" w:themeColor="text1"/>
                <w:sz w:val="24"/>
                <w:szCs w:val="24"/>
              </w:rPr>
              <w:t>Number of Employees (FTE)</w:t>
            </w:r>
            <w:r>
              <w:rPr>
                <w:rStyle w:val="FootnoteReference"/>
                <w:rFonts w:eastAsia="Times New Roman"/>
                <w:color w:val="000000" w:themeColor="text1"/>
                <w:sz w:val="24"/>
                <w:szCs w:val="24"/>
              </w:rPr>
              <w:footnoteReference w:id="26"/>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vAlign w:val="bottom"/>
          </w:tcPr>
          <w:p w:rsidR="167EF469" w:rsidRPr="00EA4B61" w:rsidP="003F0F1C" w14:paraId="2A73BAF4" w14:textId="77777777">
            <w:pPr>
              <w:jc w:val="center"/>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Estimated Annual Federal</w:t>
            </w:r>
          </w:p>
          <w:p w:rsidR="167EF469" w:rsidRPr="00EA4B61" w:rsidP="003F0F1C" w14:paraId="34D7DBA9" w14:textId="77777777">
            <w:pPr>
              <w:jc w:val="center"/>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Cost</w:t>
            </w:r>
          </w:p>
        </w:tc>
      </w:tr>
      <w:tr w14:paraId="5E5E8DDA" w14:textId="77777777" w:rsidTr="7B01767A">
        <w:tblPrEx>
          <w:tblW w:w="9360" w:type="dxa"/>
          <w:tblLayout w:type="fixed"/>
          <w:tblLook w:val="0000"/>
        </w:tblPrEx>
        <w:trPr>
          <w:trHeight w:val="55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167EF469" w:rsidRPr="00EA4B61" w:rsidP="167EF469" w14:paraId="631C6C56"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Analysis and Processing of filings </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vAlign w:val="bottom"/>
          </w:tcPr>
          <w:p w:rsidR="167EF469" w:rsidRPr="00EA4B61" w:rsidP="167EF469" w14:paraId="54750931" w14:textId="11D84631">
            <w:pPr>
              <w:spacing w:line="259" w:lineRule="auto"/>
              <w:ind w:right="62"/>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4</w:t>
            </w:r>
            <w:r w:rsidRPr="00EA4B61" w:rsidR="005103B4">
              <w:rPr>
                <w:rFonts w:ascii="Times New Roman" w:eastAsia="Times New Roman" w:hAnsi="Times New Roman" w:cs="Times New Roman"/>
                <w:color w:val="000000" w:themeColor="text1"/>
                <w:sz w:val="24"/>
                <w:szCs w:val="24"/>
              </w:rPr>
              <w:t xml:space="preserve"> </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vAlign w:val="bottom"/>
          </w:tcPr>
          <w:p w:rsidR="167EF469" w:rsidRPr="00EA4B61" w:rsidP="167EF469" w14:paraId="28EE707F" w14:textId="5645F5AD">
            <w:pPr>
              <w:spacing w:line="259" w:lineRule="auto"/>
              <w:ind w:right="60"/>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w:t>
            </w:r>
            <w:r w:rsidRPr="00EA4B61" w:rsidR="009064C2">
              <w:rPr>
                <w:rFonts w:ascii="Times New Roman" w:eastAsia="Times New Roman" w:hAnsi="Times New Roman" w:cs="Times New Roman"/>
                <w:color w:val="000000" w:themeColor="text1"/>
                <w:sz w:val="24"/>
                <w:szCs w:val="24"/>
              </w:rPr>
              <w:t>852,012</w:t>
            </w:r>
          </w:p>
        </w:tc>
      </w:tr>
      <w:tr w14:paraId="77FC8C3E" w14:textId="77777777" w:rsidTr="7B01767A">
        <w:tblPrEx>
          <w:tblW w:w="9360" w:type="dxa"/>
          <w:tblLayout w:type="fixed"/>
          <w:tblLook w:val="0000"/>
        </w:tblPrEx>
        <w:trPr>
          <w:trHeight w:val="28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167EF469" w:rsidRPr="00EA4B61" w:rsidP="167EF469" w14:paraId="6C74DC9A"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PRA Administrative Cost </w:t>
            </w:r>
          </w:p>
        </w:tc>
        <w:tc>
          <w:tcPr>
            <w:tcW w:w="31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top w:w="45" w:type="dxa"/>
              <w:left w:w="105" w:type="dxa"/>
              <w:right w:w="45" w:type="dxa"/>
            </w:tcMar>
            <w:vAlign w:val="center"/>
          </w:tcPr>
          <w:p w:rsidR="167EF469" w:rsidRPr="00EA4B61" w:rsidP="167EF469" w14:paraId="5A3FFC2D" w14:textId="77777777">
            <w:pPr>
              <w:spacing w:line="259" w:lineRule="auto"/>
              <w:ind w:right="2"/>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 </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167EF469" w:rsidRPr="00EA4B61" w:rsidP="167EF469" w14:paraId="63BA2A7B" w14:textId="525456EE">
            <w:pPr>
              <w:spacing w:line="259" w:lineRule="auto"/>
              <w:ind w:right="60"/>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w:t>
            </w:r>
            <w:r w:rsidR="00162D0B">
              <w:rPr>
                <w:rFonts w:ascii="Times New Roman" w:eastAsia="Times New Roman" w:hAnsi="Times New Roman" w:cs="Times New Roman"/>
                <w:color w:val="000000" w:themeColor="text1"/>
                <w:sz w:val="24"/>
                <w:szCs w:val="24"/>
              </w:rPr>
              <w:t>8,404</w:t>
            </w:r>
          </w:p>
        </w:tc>
      </w:tr>
      <w:tr w14:paraId="5BB71379" w14:textId="77777777" w:rsidTr="7B01767A">
        <w:tblPrEx>
          <w:tblW w:w="9360" w:type="dxa"/>
          <w:tblLayout w:type="fixed"/>
          <w:tblLook w:val="0000"/>
        </w:tblPrEx>
        <w:trPr>
          <w:trHeight w:val="270"/>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167EF469" w:rsidRPr="00EA4B61" w:rsidP="167EF469" w14:paraId="2E9D2561"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 xml:space="preserve">FERC Total </w:t>
            </w:r>
          </w:p>
        </w:tc>
        <w:tc>
          <w:tcPr>
            <w:tcW w:w="3195" w:type="dxa"/>
            <w:vMerge/>
            <w:vAlign w:val="center"/>
          </w:tcPr>
          <w:p w:rsidR="00A63904" w:rsidRPr="00EA4B61" w14:paraId="5DAFC1A5" w14:textId="77777777">
            <w:pPr>
              <w:rPr>
                <w:rFonts w:ascii="Times New Roman" w:hAnsi="Times New Roman" w:cs="Times New Roman"/>
                <w:sz w:val="24"/>
                <w:szCs w:val="24"/>
              </w:rPr>
            </w:pP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167EF469" w:rsidRPr="00EA4B61" w:rsidP="167EF469" w14:paraId="3AA4B4C1" w14:textId="77181071">
            <w:pPr>
              <w:spacing w:line="259" w:lineRule="auto"/>
              <w:ind w:right="60"/>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w:t>
            </w:r>
            <w:r w:rsidRPr="00EA4B61" w:rsidR="00AA739F">
              <w:rPr>
                <w:rFonts w:ascii="Times New Roman" w:eastAsia="Times New Roman" w:hAnsi="Times New Roman" w:cs="Times New Roman"/>
                <w:color w:val="000000" w:themeColor="text1"/>
                <w:sz w:val="24"/>
                <w:szCs w:val="24"/>
              </w:rPr>
              <w:t>860,416</w:t>
            </w:r>
          </w:p>
        </w:tc>
      </w:tr>
    </w:tbl>
    <w:p w:rsidR="00BD6E39" w:rsidRPr="00EA4B61" w:rsidP="00BD6E39" w14:paraId="1972EE1D" w14:textId="77777777">
      <w:pPr>
        <w:pStyle w:val="FootnoteText"/>
        <w:rPr>
          <w:rFonts w:cs="Times New Roman"/>
          <w:b/>
          <w:bCs/>
          <w:sz w:val="24"/>
          <w:szCs w:val="24"/>
        </w:rPr>
      </w:pPr>
    </w:p>
    <w:tbl>
      <w:tblPr>
        <w:tblStyle w:val="TableGrid"/>
        <w:tblW w:w="9360" w:type="dxa"/>
        <w:tblBorders>
          <w:top w:val="single" w:sz="6" w:space="0" w:color="auto"/>
          <w:left w:val="single" w:sz="6" w:space="0" w:color="auto"/>
          <w:bottom w:val="single" w:sz="6" w:space="0" w:color="auto"/>
          <w:right w:val="single" w:sz="6" w:space="0" w:color="auto"/>
        </w:tblBorders>
        <w:tblLayout w:type="fixed"/>
        <w:tblLook w:val="0000"/>
      </w:tblPr>
      <w:tblGrid>
        <w:gridCol w:w="3180"/>
        <w:gridCol w:w="3195"/>
        <w:gridCol w:w="2985"/>
      </w:tblGrid>
      <w:tr w14:paraId="7922526D" w14:textId="77777777" w:rsidTr="00AB433D">
        <w:tblPrEx>
          <w:tblW w:w="9360" w:type="dxa"/>
          <w:tblBorders>
            <w:top w:val="single" w:sz="6" w:space="0" w:color="auto"/>
            <w:left w:val="single" w:sz="6" w:space="0" w:color="auto"/>
            <w:bottom w:val="single" w:sz="6" w:space="0" w:color="auto"/>
            <w:right w:val="single" w:sz="6" w:space="0" w:color="auto"/>
          </w:tblBorders>
          <w:tblLayout w:type="fixed"/>
          <w:tblLook w:val="0000"/>
        </w:tblPrEx>
        <w:trPr>
          <w:trHeight w:val="55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tcPr>
          <w:p w:rsidR="00AB433D" w:rsidRPr="00EA4B61" w14:paraId="4DCEE51C" w14:textId="3C105454">
            <w:pPr>
              <w:spacing w:line="259" w:lineRule="auto"/>
              <w:rPr>
                <w:rFonts w:ascii="Times New Roman" w:eastAsia="Times New Roman" w:hAnsi="Times New Roman" w:cs="Times New Roman"/>
                <w:b/>
                <w:bCs/>
                <w:color w:val="000000" w:themeColor="text1"/>
                <w:sz w:val="24"/>
                <w:szCs w:val="24"/>
              </w:rPr>
            </w:pPr>
            <w:r w:rsidRPr="00EA4B61">
              <w:rPr>
                <w:rFonts w:ascii="Times New Roman" w:eastAsia="Times New Roman" w:hAnsi="Times New Roman" w:cs="Times New Roman"/>
                <w:b/>
                <w:bCs/>
                <w:color w:val="000000" w:themeColor="text1"/>
                <w:sz w:val="24"/>
                <w:szCs w:val="24"/>
              </w:rPr>
              <w:t>FERC-539</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tcPr>
          <w:p w:rsidR="00AB433D" w:rsidRPr="00EA4B61" w:rsidP="00AB433D" w14:paraId="15383C31" w14:textId="4C33768F">
            <w:pPr>
              <w:jc w:val="center"/>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Number of Employees (FTE)</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vAlign w:val="bottom"/>
          </w:tcPr>
          <w:p w:rsidR="00AB433D" w:rsidRPr="00EA4B61" w14:paraId="2969CF30" w14:textId="77777777">
            <w:pPr>
              <w:jc w:val="center"/>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Estimated Annual Federal</w:t>
            </w:r>
          </w:p>
          <w:p w:rsidR="00AB433D" w:rsidRPr="00EA4B61" w14:paraId="5B3E1E6E" w14:textId="77777777">
            <w:pPr>
              <w:jc w:val="center"/>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Cost</w:t>
            </w:r>
          </w:p>
        </w:tc>
      </w:tr>
      <w:tr w14:paraId="3534ADA6" w14:textId="77777777">
        <w:tblPrEx>
          <w:tblW w:w="9360" w:type="dxa"/>
          <w:tblLayout w:type="fixed"/>
          <w:tblLook w:val="0000"/>
        </w:tblPrEx>
        <w:trPr>
          <w:trHeight w:val="55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34C11217"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Analysis and Processing of filings </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vAlign w:val="bottom"/>
          </w:tcPr>
          <w:p w:rsidR="00AB433D" w:rsidRPr="00EA4B61" w14:paraId="6DDFC4CF" w14:textId="6628D1BF">
            <w:pPr>
              <w:spacing w:line="259" w:lineRule="auto"/>
              <w:ind w:right="62"/>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3</w:t>
            </w:r>
            <w:r w:rsidRPr="00EA4B61">
              <w:rPr>
                <w:rFonts w:ascii="Times New Roman" w:eastAsia="Times New Roman" w:hAnsi="Times New Roman" w:cs="Times New Roman"/>
                <w:color w:val="000000" w:themeColor="text1"/>
                <w:sz w:val="24"/>
                <w:szCs w:val="24"/>
              </w:rPr>
              <w:t xml:space="preserve">.5 </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vAlign w:val="bottom"/>
          </w:tcPr>
          <w:p w:rsidR="00AB433D" w:rsidRPr="00EA4B61" w14:paraId="3C8E2BD7" w14:textId="499E020E">
            <w:pPr>
              <w:spacing w:line="259" w:lineRule="auto"/>
              <w:ind w:right="60"/>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w:t>
            </w:r>
            <w:r w:rsidRPr="00EA4B61" w:rsidR="000126D9">
              <w:rPr>
                <w:rFonts w:ascii="Times New Roman" w:eastAsia="Times New Roman" w:hAnsi="Times New Roman" w:cs="Times New Roman"/>
                <w:color w:val="000000" w:themeColor="text1"/>
                <w:sz w:val="24"/>
                <w:szCs w:val="24"/>
              </w:rPr>
              <w:t>745,511</w:t>
            </w:r>
          </w:p>
        </w:tc>
      </w:tr>
      <w:tr w14:paraId="67251E08" w14:textId="77777777">
        <w:tblPrEx>
          <w:tblW w:w="9360" w:type="dxa"/>
          <w:tblLayout w:type="fixed"/>
          <w:tblLook w:val="0000"/>
        </w:tblPrEx>
        <w:trPr>
          <w:trHeight w:val="28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40F68B47"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PRA Administrative Cost </w:t>
            </w:r>
          </w:p>
        </w:tc>
        <w:tc>
          <w:tcPr>
            <w:tcW w:w="31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top w:w="45" w:type="dxa"/>
              <w:left w:w="105" w:type="dxa"/>
              <w:right w:w="45" w:type="dxa"/>
            </w:tcMar>
            <w:vAlign w:val="center"/>
          </w:tcPr>
          <w:p w:rsidR="00AB433D" w:rsidRPr="00EA4B61" w14:paraId="4D49F1B1" w14:textId="77777777">
            <w:pPr>
              <w:spacing w:line="259" w:lineRule="auto"/>
              <w:ind w:right="2"/>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 </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28C9F768" w14:textId="54D8A003">
            <w:pPr>
              <w:spacing w:line="259" w:lineRule="auto"/>
              <w:ind w:right="60"/>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w:t>
            </w:r>
            <w:r w:rsidRPr="00EA4B61" w:rsidR="000126D9">
              <w:rPr>
                <w:rFonts w:ascii="Times New Roman" w:eastAsia="Times New Roman" w:hAnsi="Times New Roman" w:cs="Times New Roman"/>
                <w:color w:val="000000" w:themeColor="text1"/>
                <w:sz w:val="24"/>
                <w:szCs w:val="24"/>
              </w:rPr>
              <w:t>8,404</w:t>
            </w:r>
          </w:p>
        </w:tc>
      </w:tr>
      <w:tr w14:paraId="7BA4BD83" w14:textId="77777777">
        <w:tblPrEx>
          <w:tblW w:w="9360" w:type="dxa"/>
          <w:tblLayout w:type="fixed"/>
          <w:tblLook w:val="0000"/>
        </w:tblPrEx>
        <w:trPr>
          <w:trHeight w:val="270"/>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15FDFD2A"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 xml:space="preserve">FERC Total </w:t>
            </w:r>
          </w:p>
        </w:tc>
        <w:tc>
          <w:tcPr>
            <w:tcW w:w="3195" w:type="dxa"/>
            <w:vMerge/>
            <w:vAlign w:val="center"/>
          </w:tcPr>
          <w:p w:rsidR="00AB433D" w:rsidRPr="00EA4B61" w14:paraId="4BE5E915" w14:textId="77777777">
            <w:pPr>
              <w:rPr>
                <w:rFonts w:ascii="Times New Roman" w:hAnsi="Times New Roman" w:cs="Times New Roman"/>
                <w:sz w:val="24"/>
                <w:szCs w:val="24"/>
              </w:rPr>
            </w:pP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4E2BA6A4" w14:textId="780E6551">
            <w:pPr>
              <w:spacing w:line="259" w:lineRule="auto"/>
              <w:ind w:right="60"/>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w:t>
            </w:r>
            <w:r w:rsidRPr="00EA4B61" w:rsidR="009064C2">
              <w:rPr>
                <w:rFonts w:ascii="Times New Roman" w:eastAsia="Times New Roman" w:hAnsi="Times New Roman" w:cs="Times New Roman"/>
                <w:color w:val="000000" w:themeColor="text1"/>
                <w:sz w:val="24"/>
                <w:szCs w:val="24"/>
              </w:rPr>
              <w:t>753,915</w:t>
            </w:r>
          </w:p>
        </w:tc>
      </w:tr>
    </w:tbl>
    <w:p w:rsidR="00AB433D" w:rsidRPr="00EA4B61" w:rsidP="00BD6E39" w14:paraId="3FD33761" w14:textId="456EE566">
      <w:pPr>
        <w:pStyle w:val="FootnoteText"/>
        <w:rPr>
          <w:rFonts w:cs="Times New Roman"/>
          <w:b/>
          <w:bCs/>
          <w:sz w:val="24"/>
          <w:szCs w:val="24"/>
        </w:rPr>
      </w:pPr>
    </w:p>
    <w:p w:rsidR="00AA739F" w:rsidRPr="00EA4B61" w:rsidP="00BD6E39" w14:paraId="456A5707" w14:textId="77777777">
      <w:pPr>
        <w:pStyle w:val="FootnoteText"/>
        <w:rPr>
          <w:rFonts w:cs="Times New Roman"/>
          <w:b/>
          <w:bCs/>
          <w:sz w:val="24"/>
          <w:szCs w:val="24"/>
        </w:rPr>
      </w:pPr>
    </w:p>
    <w:tbl>
      <w:tblPr>
        <w:tblStyle w:val="TableGrid"/>
        <w:tblW w:w="9360" w:type="dxa"/>
        <w:tblBorders>
          <w:top w:val="single" w:sz="6" w:space="0" w:color="auto"/>
          <w:left w:val="single" w:sz="6" w:space="0" w:color="auto"/>
          <w:bottom w:val="single" w:sz="6" w:space="0" w:color="auto"/>
          <w:right w:val="single" w:sz="6" w:space="0" w:color="auto"/>
        </w:tblBorders>
        <w:tblLayout w:type="fixed"/>
        <w:tblLook w:val="0000"/>
      </w:tblPr>
      <w:tblGrid>
        <w:gridCol w:w="3180"/>
        <w:gridCol w:w="3195"/>
        <w:gridCol w:w="2985"/>
      </w:tblGrid>
      <w:tr w14:paraId="0C9C66E7" w14:textId="77777777" w:rsidTr="00AA739F">
        <w:tblPrEx>
          <w:tblW w:w="9360" w:type="dxa"/>
          <w:tblBorders>
            <w:top w:val="single" w:sz="6" w:space="0" w:color="auto"/>
            <w:left w:val="single" w:sz="6" w:space="0" w:color="auto"/>
            <w:bottom w:val="single" w:sz="6" w:space="0" w:color="auto"/>
            <w:right w:val="single" w:sz="6" w:space="0" w:color="auto"/>
          </w:tblBorders>
          <w:tblLayout w:type="fixed"/>
          <w:tblLook w:val="0000"/>
        </w:tblPrEx>
        <w:trPr>
          <w:trHeight w:val="55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tcPr>
          <w:p w:rsidR="00AB433D" w:rsidRPr="00EA4B61" w:rsidP="00AA739F" w14:paraId="7EB0DAD2" w14:textId="32DF1337">
            <w:pPr>
              <w:spacing w:line="259" w:lineRule="auto"/>
              <w:rPr>
                <w:rFonts w:ascii="Times New Roman" w:eastAsia="Times New Roman" w:hAnsi="Times New Roman" w:cs="Times New Roman"/>
                <w:b/>
                <w:bCs/>
                <w:color w:val="000000" w:themeColor="text1"/>
                <w:sz w:val="24"/>
                <w:szCs w:val="24"/>
              </w:rPr>
            </w:pPr>
            <w:r w:rsidRPr="00EA4B61">
              <w:rPr>
                <w:rFonts w:ascii="Times New Roman" w:eastAsia="Times New Roman" w:hAnsi="Times New Roman" w:cs="Times New Roman"/>
                <w:b/>
                <w:bCs/>
                <w:color w:val="000000" w:themeColor="text1"/>
                <w:sz w:val="24"/>
                <w:szCs w:val="24"/>
              </w:rPr>
              <w:t>FERC-577</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tcPr>
          <w:p w:rsidR="00AB433D" w:rsidRPr="00EA4B61" w:rsidP="00AA739F" w14:paraId="61C79B47" w14:textId="02BC99BF">
            <w:pPr>
              <w:rPr>
                <w:rFonts w:ascii="Times New Roman" w:eastAsia="Times New Roman" w:hAnsi="Times New Roman" w:cs="Times New Roman"/>
                <w:b/>
                <w:bCs/>
                <w:color w:val="000000" w:themeColor="text1"/>
                <w:sz w:val="24"/>
                <w:szCs w:val="24"/>
              </w:rPr>
            </w:pPr>
            <w:r w:rsidRPr="00EA4B61">
              <w:rPr>
                <w:rFonts w:ascii="Times New Roman" w:eastAsia="Times New Roman" w:hAnsi="Times New Roman" w:cs="Times New Roman"/>
                <w:b/>
                <w:bCs/>
                <w:color w:val="000000" w:themeColor="text1"/>
                <w:sz w:val="24"/>
                <w:szCs w:val="24"/>
              </w:rPr>
              <w:t>Number of Employees (FTE)</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tcPr>
          <w:p w:rsidR="00AB433D" w:rsidRPr="00EA4B61" w:rsidP="00AA739F" w14:paraId="419CEFB3" w14:textId="77777777">
            <w:pPr>
              <w:rPr>
                <w:rFonts w:ascii="Times New Roman" w:eastAsia="Times New Roman" w:hAnsi="Times New Roman" w:cs="Times New Roman"/>
                <w:b/>
                <w:bCs/>
                <w:color w:val="000000" w:themeColor="text1"/>
                <w:sz w:val="24"/>
                <w:szCs w:val="24"/>
              </w:rPr>
            </w:pPr>
            <w:r w:rsidRPr="00EA4B61">
              <w:rPr>
                <w:rFonts w:ascii="Times New Roman" w:eastAsia="Times New Roman" w:hAnsi="Times New Roman" w:cs="Times New Roman"/>
                <w:b/>
                <w:bCs/>
                <w:color w:val="000000" w:themeColor="text1"/>
                <w:sz w:val="24"/>
                <w:szCs w:val="24"/>
              </w:rPr>
              <w:t>Estimated Annual Federal</w:t>
            </w:r>
          </w:p>
          <w:p w:rsidR="00AB433D" w:rsidRPr="00EA4B61" w:rsidP="00AA739F" w14:paraId="3CA47800" w14:textId="77777777">
            <w:pPr>
              <w:rPr>
                <w:rFonts w:ascii="Times New Roman" w:eastAsia="Times New Roman" w:hAnsi="Times New Roman" w:cs="Times New Roman"/>
                <w:b/>
                <w:bCs/>
                <w:color w:val="000000" w:themeColor="text1"/>
                <w:sz w:val="24"/>
                <w:szCs w:val="24"/>
              </w:rPr>
            </w:pPr>
            <w:r w:rsidRPr="00EA4B61">
              <w:rPr>
                <w:rFonts w:ascii="Times New Roman" w:eastAsia="Times New Roman" w:hAnsi="Times New Roman" w:cs="Times New Roman"/>
                <w:b/>
                <w:bCs/>
                <w:color w:val="000000" w:themeColor="text1"/>
                <w:sz w:val="24"/>
                <w:szCs w:val="24"/>
              </w:rPr>
              <w:t>Cost</w:t>
            </w:r>
          </w:p>
        </w:tc>
      </w:tr>
      <w:tr w14:paraId="647FEC80" w14:textId="77777777">
        <w:tblPrEx>
          <w:tblW w:w="9360" w:type="dxa"/>
          <w:tblLayout w:type="fixed"/>
          <w:tblLook w:val="0000"/>
        </w:tblPrEx>
        <w:trPr>
          <w:trHeight w:val="55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672469A8"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Analysis and Processing of filings </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vAlign w:val="bottom"/>
          </w:tcPr>
          <w:p w:rsidR="00AB433D" w:rsidRPr="00EA4B61" w14:paraId="7AF645A4" w14:textId="5FAC933C">
            <w:pPr>
              <w:spacing w:line="259" w:lineRule="auto"/>
              <w:ind w:right="62"/>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1</w:t>
            </w:r>
            <w:r w:rsidRPr="00EA4B61">
              <w:rPr>
                <w:rFonts w:ascii="Times New Roman" w:eastAsia="Times New Roman" w:hAnsi="Times New Roman" w:cs="Times New Roman"/>
                <w:color w:val="000000" w:themeColor="text1"/>
                <w:sz w:val="24"/>
                <w:szCs w:val="24"/>
              </w:rPr>
              <w:t xml:space="preserve"> </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vAlign w:val="bottom"/>
          </w:tcPr>
          <w:p w:rsidR="00AB433D" w:rsidRPr="00EA4B61" w14:paraId="54DAAF32" w14:textId="2285A4CE">
            <w:pPr>
              <w:spacing w:line="259" w:lineRule="auto"/>
              <w:ind w:right="60"/>
              <w:jc w:val="right"/>
              <w:rPr>
                <w:rFonts w:ascii="Times New Roman" w:eastAsia="Times New Roman" w:hAnsi="Times New Roman" w:cs="Times New Roman"/>
                <w:color w:val="000000" w:themeColor="text1"/>
                <w:sz w:val="24"/>
                <w:szCs w:val="24"/>
              </w:rPr>
            </w:pPr>
            <w:r w:rsidRPr="00A336CF">
              <w:rPr>
                <w:rFonts w:ascii="Times New Roman" w:eastAsia="Times New Roman" w:hAnsi="Times New Roman" w:cs="Times New Roman"/>
                <w:color w:val="000000" w:themeColor="text1"/>
                <w:sz w:val="24"/>
                <w:szCs w:val="24"/>
              </w:rPr>
              <w:t>$213,003</w:t>
            </w:r>
          </w:p>
        </w:tc>
      </w:tr>
      <w:tr w14:paraId="218164E5" w14:textId="77777777">
        <w:tblPrEx>
          <w:tblW w:w="9360" w:type="dxa"/>
          <w:tblLayout w:type="fixed"/>
          <w:tblLook w:val="0000"/>
        </w:tblPrEx>
        <w:trPr>
          <w:trHeight w:val="28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1AA0D474"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PRA Administrative Cost </w:t>
            </w:r>
          </w:p>
        </w:tc>
        <w:tc>
          <w:tcPr>
            <w:tcW w:w="31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top w:w="45" w:type="dxa"/>
              <w:left w:w="105" w:type="dxa"/>
              <w:right w:w="45" w:type="dxa"/>
            </w:tcMar>
            <w:vAlign w:val="center"/>
          </w:tcPr>
          <w:p w:rsidR="00AB433D" w:rsidRPr="00EA4B61" w14:paraId="27031379" w14:textId="77777777">
            <w:pPr>
              <w:spacing w:line="259" w:lineRule="auto"/>
              <w:ind w:right="2"/>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 </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3C0EDEAD" w14:textId="12389F47">
            <w:pPr>
              <w:spacing w:line="259" w:lineRule="auto"/>
              <w:ind w:right="60"/>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w:t>
            </w:r>
            <w:r w:rsidR="003533E9">
              <w:rPr>
                <w:rFonts w:ascii="Times New Roman" w:eastAsia="Times New Roman" w:hAnsi="Times New Roman" w:cs="Times New Roman"/>
                <w:color w:val="000000" w:themeColor="text1"/>
                <w:sz w:val="24"/>
                <w:szCs w:val="24"/>
              </w:rPr>
              <w:t>8,404</w:t>
            </w:r>
          </w:p>
        </w:tc>
      </w:tr>
      <w:tr w14:paraId="4A643BF4" w14:textId="77777777">
        <w:tblPrEx>
          <w:tblW w:w="9360" w:type="dxa"/>
          <w:tblLayout w:type="fixed"/>
          <w:tblLook w:val="0000"/>
        </w:tblPrEx>
        <w:trPr>
          <w:trHeight w:val="270"/>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7C087B0E"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 xml:space="preserve">FERC Total </w:t>
            </w:r>
          </w:p>
        </w:tc>
        <w:tc>
          <w:tcPr>
            <w:tcW w:w="3195" w:type="dxa"/>
            <w:vMerge/>
            <w:vAlign w:val="center"/>
          </w:tcPr>
          <w:p w:rsidR="00AB433D" w:rsidRPr="00EA4B61" w14:paraId="6C65CE6E" w14:textId="77777777">
            <w:pPr>
              <w:rPr>
                <w:rFonts w:ascii="Times New Roman" w:hAnsi="Times New Roman" w:cs="Times New Roman"/>
                <w:sz w:val="24"/>
                <w:szCs w:val="24"/>
              </w:rPr>
            </w:pP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18AD4607" w14:textId="4EDC7FCC">
            <w:pPr>
              <w:spacing w:line="259" w:lineRule="auto"/>
              <w:ind w:right="60"/>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r w:rsidR="003533E9">
              <w:rPr>
                <w:rFonts w:ascii="Times New Roman" w:eastAsia="Times New Roman" w:hAnsi="Times New Roman" w:cs="Times New Roman"/>
                <w:color w:val="000000" w:themeColor="text1"/>
                <w:sz w:val="24"/>
                <w:szCs w:val="24"/>
              </w:rPr>
              <w:t>221,407</w:t>
            </w:r>
          </w:p>
        </w:tc>
      </w:tr>
    </w:tbl>
    <w:p w:rsidR="00AB433D" w:rsidRPr="00EA4B61" w:rsidP="00BD6E39" w14:paraId="18E4056D" w14:textId="77777777">
      <w:pPr>
        <w:pStyle w:val="FootnoteText"/>
        <w:rPr>
          <w:rFonts w:cs="Times New Roman"/>
          <w:b/>
          <w:bCs/>
          <w:sz w:val="24"/>
          <w:szCs w:val="24"/>
        </w:rPr>
      </w:pPr>
    </w:p>
    <w:p w:rsidR="00AB433D" w:rsidRPr="00EA4B61" w:rsidP="00BD6E39" w14:paraId="792403DF" w14:textId="77777777">
      <w:pPr>
        <w:pStyle w:val="FootnoteText"/>
        <w:rPr>
          <w:rFonts w:cs="Times New Roman"/>
          <w:b/>
          <w:bCs/>
          <w:sz w:val="24"/>
          <w:szCs w:val="24"/>
        </w:rPr>
      </w:pPr>
    </w:p>
    <w:p w:rsidR="00BE208D" w:rsidRPr="00EA4B61" w:rsidP="00BD6E39" w14:paraId="69258A40" w14:textId="77777777">
      <w:pPr>
        <w:pStyle w:val="FootnoteText"/>
        <w:numPr>
          <w:ilvl w:val="0"/>
          <w:numId w:val="4"/>
        </w:numPr>
        <w:ind w:left="0" w:firstLine="0"/>
        <w:rPr>
          <w:rFonts w:cs="Times New Roman"/>
          <w:b/>
          <w:sz w:val="24"/>
          <w:szCs w:val="24"/>
        </w:rPr>
      </w:pPr>
      <w:r w:rsidRPr="00EA4B61">
        <w:rPr>
          <w:rFonts w:cs="Times New Roman"/>
          <w:b/>
          <w:sz w:val="24"/>
          <w:szCs w:val="24"/>
        </w:rPr>
        <w:t>REASONS FOR CHANGES IN BURDEN INCLUDING THE NEED FOR ANY INCREASE</w:t>
      </w:r>
    </w:p>
    <w:p w:rsidR="00BE208D" w:rsidRPr="00EA4B61" w:rsidP="00BE208D" w14:paraId="6035B089" w14:textId="77777777">
      <w:pPr>
        <w:pStyle w:val="FootnoteText"/>
        <w:rPr>
          <w:rFonts w:cs="Times New Roman"/>
          <w:b/>
          <w:sz w:val="24"/>
          <w:szCs w:val="24"/>
        </w:rPr>
      </w:pPr>
    </w:p>
    <w:p w:rsidR="00074345" w:rsidRPr="00EA4B61" w:rsidP="00074345" w14:paraId="4647429D" w14:textId="655EE3BC">
      <w:pPr>
        <w:pStyle w:val="FootnoteText"/>
        <w:rPr>
          <w:rFonts w:cs="Times New Roman"/>
          <w:sz w:val="24"/>
          <w:szCs w:val="24"/>
        </w:rPr>
      </w:pPr>
      <w:r>
        <w:rPr>
          <w:rFonts w:cs="Times New Roman"/>
          <w:sz w:val="24"/>
          <w:szCs w:val="24"/>
        </w:rPr>
        <w:t>T</w:t>
      </w:r>
      <w:r w:rsidRPr="00EA4B61" w:rsidR="00B06A23">
        <w:rPr>
          <w:rFonts w:cs="Times New Roman"/>
          <w:sz w:val="24"/>
          <w:szCs w:val="24"/>
        </w:rPr>
        <w:t>h</w:t>
      </w:r>
      <w:r>
        <w:rPr>
          <w:rFonts w:cs="Times New Roman"/>
          <w:sz w:val="24"/>
          <w:szCs w:val="24"/>
        </w:rPr>
        <w:t>e</w:t>
      </w:r>
      <w:r w:rsidRPr="00EA4B61" w:rsidR="00B06A23">
        <w:rPr>
          <w:rFonts w:cs="Times New Roman"/>
          <w:sz w:val="24"/>
          <w:szCs w:val="24"/>
        </w:rPr>
        <w:t xml:space="preserve"> </w:t>
      </w:r>
      <w:r w:rsidR="00B06A23">
        <w:rPr>
          <w:rFonts w:cs="Times New Roman"/>
          <w:sz w:val="24"/>
          <w:szCs w:val="24"/>
        </w:rPr>
        <w:t xml:space="preserve">NOPR </w:t>
      </w:r>
      <w:r>
        <w:rPr>
          <w:rFonts w:cs="Times New Roman"/>
          <w:sz w:val="24"/>
          <w:szCs w:val="24"/>
        </w:rPr>
        <w:t xml:space="preserve">proposes to </w:t>
      </w:r>
      <w:r w:rsidRPr="00B06A23" w:rsidR="00B06A23">
        <w:rPr>
          <w:rFonts w:cs="Times New Roman"/>
          <w:sz w:val="24"/>
          <w:szCs w:val="24"/>
        </w:rPr>
        <w:t xml:space="preserve">establish procedures for authorizing activities at LNG plants without a case-specific authorization order from the Commission.  </w:t>
      </w:r>
      <w:r w:rsidRPr="00EA4B61" w:rsidR="005103B4">
        <w:rPr>
          <w:rFonts w:cs="Times New Roman"/>
          <w:sz w:val="24"/>
          <w:szCs w:val="24"/>
        </w:rPr>
        <w:t xml:space="preserve">As a result, these proposals would reduce the number of full applications and reporting burden. </w:t>
      </w:r>
    </w:p>
    <w:p w:rsidR="00995631" w:rsidRPr="00EA4B61" w:rsidP="00995631" w14:paraId="28A5D279" w14:textId="77777777">
      <w:pPr>
        <w:pStyle w:val="FootnoteText"/>
        <w:rPr>
          <w:rFonts w:cs="Times New Roman"/>
          <w:sz w:val="24"/>
          <w:szCs w:val="24"/>
        </w:rPr>
      </w:pPr>
    </w:p>
    <w:p w:rsidR="00995631" w:rsidRPr="00EA4B61" w:rsidP="00995631" w14:paraId="7C883FA6" w14:textId="77777777">
      <w:pPr>
        <w:pStyle w:val="FootnoteText"/>
        <w:rPr>
          <w:rFonts w:cs="Times New Roman"/>
          <w:sz w:val="24"/>
          <w:szCs w:val="24"/>
        </w:rPr>
      </w:pPr>
      <w:r w:rsidRPr="00EA4B61">
        <w:rPr>
          <w:rFonts w:cs="Times New Roman"/>
          <w:sz w:val="24"/>
          <w:szCs w:val="24"/>
        </w:rPr>
        <w:t>The following table shows the total burden of the new collection of information.  The format, labels, and definitions of the table follow the ROCIS submission system’s “Information Collection Request Summary of Burden” for the metadata.</w:t>
      </w:r>
    </w:p>
    <w:p w:rsidR="005E454A" w:rsidRPr="00EA4B61" w:rsidP="005E454A" w14:paraId="4A5F1245" w14:textId="77777777">
      <w:pPr>
        <w:pStyle w:val="FootnoteText"/>
        <w:rPr>
          <w:rFonts w:cs="Times New Roman"/>
          <w:b/>
          <w:sz w:val="24"/>
          <w:szCs w:val="24"/>
        </w:rPr>
      </w:pPr>
    </w:p>
    <w:p w:rsidR="008E4F33" w:rsidRPr="00EA4B61" w:rsidP="005E454A" w14:paraId="27E5DFE2" w14:textId="5F80BD9C">
      <w:pPr>
        <w:pStyle w:val="FootnoteText"/>
        <w:rPr>
          <w:rFonts w:cs="Times New Roman"/>
          <w:b/>
          <w:sz w:val="24"/>
          <w:szCs w:val="24"/>
        </w:rPr>
      </w:pPr>
      <w:r w:rsidRPr="00EA4B61">
        <w:rPr>
          <w:rFonts w:cs="Times New Roman"/>
          <w:b/>
          <w:sz w:val="24"/>
          <w:szCs w:val="24"/>
        </w:rPr>
        <w:t>FERC-537</w:t>
      </w:r>
    </w:p>
    <w:tbl>
      <w:tblPr>
        <w:tblStyle w:val="TableGrid"/>
        <w:tblW w:w="0" w:type="auto"/>
        <w:tblLook w:val="04A0"/>
      </w:tblPr>
      <w:tblGrid>
        <w:gridCol w:w="1870"/>
        <w:gridCol w:w="1870"/>
        <w:gridCol w:w="1870"/>
        <w:gridCol w:w="1870"/>
        <w:gridCol w:w="1870"/>
      </w:tblGrid>
      <w:tr w14:paraId="0E3C26FA" w14:textId="77777777" w:rsidTr="750D58D3">
        <w:tblPrEx>
          <w:tblW w:w="0" w:type="auto"/>
          <w:tblLook w:val="04A0"/>
        </w:tblPrEx>
        <w:tc>
          <w:tcPr>
            <w:tcW w:w="1870" w:type="dxa"/>
            <w:shd w:val="clear" w:color="auto" w:fill="D9D9D9" w:themeFill="background1" w:themeFillShade="D9"/>
            <w:vAlign w:val="bottom"/>
          </w:tcPr>
          <w:p w:rsidR="005E454A" w:rsidRPr="00EA4B61" w:rsidP="005E454A" w14:paraId="3C4CADF2" w14:textId="34012AA5">
            <w:pPr>
              <w:pStyle w:val="FootnoteText"/>
              <w:rPr>
                <w:rFonts w:cs="Times New Roman"/>
                <w:b/>
                <w:sz w:val="24"/>
                <w:szCs w:val="24"/>
              </w:rPr>
            </w:pPr>
          </w:p>
        </w:tc>
        <w:tc>
          <w:tcPr>
            <w:tcW w:w="1870" w:type="dxa"/>
            <w:shd w:val="clear" w:color="auto" w:fill="D9D9D9" w:themeFill="background1" w:themeFillShade="D9"/>
            <w:vAlign w:val="bottom"/>
          </w:tcPr>
          <w:p w:rsidR="005E454A" w:rsidRPr="00EA4B61" w:rsidP="750D58D3" w14:paraId="64B9DE53" w14:textId="432A3001">
            <w:pPr>
              <w:pStyle w:val="FootnoteText"/>
              <w:jc w:val="center"/>
              <w:rPr>
                <w:rFonts w:cs="Times New Roman"/>
                <w:b/>
                <w:bCs/>
                <w:sz w:val="24"/>
                <w:szCs w:val="24"/>
              </w:rPr>
            </w:pPr>
            <w:r w:rsidRPr="00EA4B61">
              <w:rPr>
                <w:rFonts w:cs="Times New Roman"/>
                <w:b/>
                <w:bCs/>
                <w:sz w:val="24"/>
                <w:szCs w:val="24"/>
              </w:rPr>
              <w:t>Total Request</w:t>
            </w:r>
          </w:p>
        </w:tc>
        <w:tc>
          <w:tcPr>
            <w:tcW w:w="1870" w:type="dxa"/>
            <w:shd w:val="clear" w:color="auto" w:fill="D9D9D9" w:themeFill="background1" w:themeFillShade="D9"/>
            <w:vAlign w:val="bottom"/>
          </w:tcPr>
          <w:p w:rsidR="005E454A" w:rsidRPr="00EA4B61" w:rsidP="00C55184" w14:paraId="499305F2" w14:textId="43A0249A">
            <w:pPr>
              <w:pStyle w:val="FootnoteText"/>
              <w:jc w:val="center"/>
              <w:rPr>
                <w:rFonts w:cs="Times New Roman"/>
                <w:b/>
                <w:sz w:val="24"/>
                <w:szCs w:val="24"/>
              </w:rPr>
            </w:pPr>
            <w:r w:rsidRPr="00EA4B61">
              <w:rPr>
                <w:rFonts w:cs="Times New Roman"/>
                <w:b/>
                <w:sz w:val="24"/>
                <w:szCs w:val="24"/>
              </w:rPr>
              <w:t>Previously Approved</w:t>
            </w:r>
            <w:r w:rsidRPr="00EA4B61" w:rsidR="00C55184">
              <w:rPr>
                <w:rFonts w:cs="Times New Roman"/>
                <w:b/>
                <w:sz w:val="24"/>
                <w:szCs w:val="24"/>
              </w:rPr>
              <w:t xml:space="preserve"> </w:t>
            </w:r>
          </w:p>
        </w:tc>
        <w:tc>
          <w:tcPr>
            <w:tcW w:w="1870" w:type="dxa"/>
            <w:shd w:val="clear" w:color="auto" w:fill="D9D9D9" w:themeFill="background1" w:themeFillShade="D9"/>
            <w:vAlign w:val="bottom"/>
          </w:tcPr>
          <w:p w:rsidR="005E454A" w:rsidRPr="00EA4B61" w:rsidP="00C55184" w14:paraId="2857EF0E" w14:textId="77777777">
            <w:pPr>
              <w:pStyle w:val="FootnoteText"/>
              <w:jc w:val="center"/>
              <w:rPr>
                <w:rFonts w:cs="Times New Roman"/>
                <w:b/>
                <w:sz w:val="24"/>
                <w:szCs w:val="24"/>
              </w:rPr>
            </w:pPr>
            <w:r w:rsidRPr="00EA4B61">
              <w:rPr>
                <w:rFonts w:cs="Times New Roman"/>
                <w:b/>
                <w:sz w:val="24"/>
                <w:szCs w:val="24"/>
              </w:rPr>
              <w:t>Change Due to Adjustment in Estimate</w:t>
            </w:r>
          </w:p>
        </w:tc>
        <w:tc>
          <w:tcPr>
            <w:tcW w:w="1870" w:type="dxa"/>
            <w:shd w:val="clear" w:color="auto" w:fill="D9D9D9" w:themeFill="background1" w:themeFillShade="D9"/>
            <w:vAlign w:val="bottom"/>
          </w:tcPr>
          <w:p w:rsidR="005E454A" w:rsidRPr="00EA4B61" w:rsidP="00C55184" w14:paraId="507AB344" w14:textId="77777777">
            <w:pPr>
              <w:pStyle w:val="FootnoteText"/>
              <w:jc w:val="center"/>
              <w:rPr>
                <w:rFonts w:cs="Times New Roman"/>
                <w:b/>
                <w:sz w:val="24"/>
                <w:szCs w:val="24"/>
              </w:rPr>
            </w:pPr>
            <w:r w:rsidRPr="00EA4B61">
              <w:rPr>
                <w:rFonts w:cs="Times New Roman"/>
                <w:b/>
                <w:sz w:val="24"/>
                <w:szCs w:val="24"/>
              </w:rPr>
              <w:t>Change Due to Agency Discretion</w:t>
            </w:r>
          </w:p>
        </w:tc>
      </w:tr>
      <w:tr w14:paraId="40575AFF" w14:textId="77777777" w:rsidTr="750D58D3">
        <w:tblPrEx>
          <w:tblW w:w="0" w:type="auto"/>
          <w:tblLook w:val="04A0"/>
        </w:tblPrEx>
        <w:tc>
          <w:tcPr>
            <w:tcW w:w="1870" w:type="dxa"/>
            <w:vAlign w:val="bottom"/>
          </w:tcPr>
          <w:p w:rsidR="005E454A" w:rsidRPr="00EA4B61" w:rsidP="005E454A" w14:paraId="34AFEE2F" w14:textId="77777777">
            <w:pPr>
              <w:pStyle w:val="FootnoteText"/>
              <w:rPr>
                <w:rFonts w:cs="Times New Roman"/>
                <w:bCs/>
                <w:sz w:val="24"/>
                <w:szCs w:val="24"/>
              </w:rPr>
            </w:pPr>
            <w:r w:rsidRPr="00EA4B61">
              <w:rPr>
                <w:rFonts w:cs="Times New Roman"/>
                <w:bCs/>
                <w:sz w:val="24"/>
                <w:szCs w:val="24"/>
              </w:rPr>
              <w:t>Annual Number of Responses</w:t>
            </w:r>
          </w:p>
        </w:tc>
        <w:tc>
          <w:tcPr>
            <w:tcW w:w="1870" w:type="dxa"/>
            <w:vAlign w:val="bottom"/>
          </w:tcPr>
          <w:p w:rsidR="005E454A" w:rsidRPr="00EA4B61" w:rsidP="750D58D3" w14:paraId="5C513EBD" w14:textId="389E40EC">
            <w:pPr>
              <w:pStyle w:val="FootnoteText"/>
              <w:jc w:val="right"/>
              <w:rPr>
                <w:rFonts w:cs="Times New Roman"/>
                <w:sz w:val="24"/>
                <w:szCs w:val="24"/>
              </w:rPr>
            </w:pPr>
            <w:r w:rsidRPr="00EA4B61">
              <w:rPr>
                <w:rFonts w:cs="Times New Roman"/>
                <w:sz w:val="24"/>
                <w:szCs w:val="24"/>
              </w:rPr>
              <w:t>442</w:t>
            </w:r>
          </w:p>
        </w:tc>
        <w:tc>
          <w:tcPr>
            <w:tcW w:w="1870" w:type="dxa"/>
            <w:vAlign w:val="bottom"/>
          </w:tcPr>
          <w:p w:rsidR="005E454A" w:rsidRPr="00EA4B61" w:rsidP="00E40B2B" w14:paraId="33E0C54F" w14:textId="2FB4B82C">
            <w:pPr>
              <w:pStyle w:val="FootnoteText"/>
              <w:jc w:val="right"/>
              <w:rPr>
                <w:rFonts w:cs="Times New Roman"/>
                <w:bCs/>
                <w:sz w:val="24"/>
                <w:szCs w:val="24"/>
              </w:rPr>
            </w:pPr>
            <w:r w:rsidRPr="00EA4B61">
              <w:rPr>
                <w:rFonts w:cs="Times New Roman"/>
                <w:bCs/>
                <w:sz w:val="24"/>
                <w:szCs w:val="24"/>
              </w:rPr>
              <w:t>444</w:t>
            </w:r>
          </w:p>
        </w:tc>
        <w:tc>
          <w:tcPr>
            <w:tcW w:w="1870" w:type="dxa"/>
            <w:vAlign w:val="bottom"/>
          </w:tcPr>
          <w:p w:rsidR="005E454A" w:rsidRPr="00EA4B61" w:rsidP="00E40B2B" w14:paraId="50FE29B6"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5E454A" w:rsidRPr="00EA4B61" w:rsidP="750D58D3" w14:paraId="419305EE" w14:textId="57AA4652">
            <w:pPr>
              <w:pStyle w:val="FootnoteText"/>
              <w:jc w:val="right"/>
              <w:rPr>
                <w:rFonts w:cs="Times New Roman"/>
                <w:sz w:val="24"/>
                <w:szCs w:val="24"/>
              </w:rPr>
            </w:pPr>
            <w:r w:rsidRPr="00EA4B61">
              <w:rPr>
                <w:rFonts w:cs="Times New Roman"/>
                <w:sz w:val="24"/>
                <w:szCs w:val="24"/>
              </w:rPr>
              <w:t>-2</w:t>
            </w:r>
          </w:p>
        </w:tc>
      </w:tr>
      <w:tr w14:paraId="241F48B5" w14:textId="77777777" w:rsidTr="750D58D3">
        <w:tblPrEx>
          <w:tblW w:w="0" w:type="auto"/>
          <w:tblLook w:val="04A0"/>
        </w:tblPrEx>
        <w:tc>
          <w:tcPr>
            <w:tcW w:w="1870" w:type="dxa"/>
          </w:tcPr>
          <w:p w:rsidR="00C55184" w:rsidRPr="00EA4B61" w:rsidP="00C55184" w14:paraId="724AB2D0" w14:textId="77777777">
            <w:pPr>
              <w:pStyle w:val="FootnoteText"/>
              <w:rPr>
                <w:rFonts w:cs="Times New Roman"/>
                <w:bCs/>
                <w:sz w:val="24"/>
                <w:szCs w:val="24"/>
              </w:rPr>
            </w:pPr>
            <w:r w:rsidRPr="00EA4B61">
              <w:rPr>
                <w:rFonts w:cs="Times New Roman"/>
                <w:bCs/>
                <w:sz w:val="24"/>
                <w:szCs w:val="24"/>
              </w:rPr>
              <w:t>Annual Time Burden (Hrs.)</w:t>
            </w:r>
          </w:p>
        </w:tc>
        <w:tc>
          <w:tcPr>
            <w:tcW w:w="1870" w:type="dxa"/>
            <w:vAlign w:val="bottom"/>
          </w:tcPr>
          <w:p w:rsidR="00C55184" w:rsidRPr="00EA4B61" w:rsidP="00C55184" w14:paraId="36BACF06" w14:textId="7DE13FBB">
            <w:pPr>
              <w:pStyle w:val="FootnoteText"/>
              <w:jc w:val="right"/>
              <w:rPr>
                <w:rFonts w:cs="Times New Roman"/>
                <w:sz w:val="24"/>
                <w:szCs w:val="24"/>
              </w:rPr>
            </w:pPr>
            <w:r w:rsidRPr="00EA4B61">
              <w:rPr>
                <w:rFonts w:cs="Times New Roman"/>
                <w:sz w:val="24"/>
                <w:szCs w:val="24"/>
              </w:rPr>
              <w:t>48,395</w:t>
            </w:r>
          </w:p>
        </w:tc>
        <w:tc>
          <w:tcPr>
            <w:tcW w:w="1870" w:type="dxa"/>
            <w:vAlign w:val="bottom"/>
          </w:tcPr>
          <w:p w:rsidR="00C55184" w:rsidRPr="00EA4B61" w:rsidP="00C55184" w14:paraId="37A4DD97" w14:textId="4D45F48D">
            <w:pPr>
              <w:pStyle w:val="FootnoteText"/>
              <w:jc w:val="right"/>
              <w:rPr>
                <w:rFonts w:cs="Times New Roman"/>
                <w:bCs/>
                <w:sz w:val="24"/>
                <w:szCs w:val="24"/>
              </w:rPr>
            </w:pPr>
            <w:r w:rsidRPr="00EA4B61">
              <w:rPr>
                <w:rFonts w:cs="Times New Roman"/>
                <w:bCs/>
                <w:sz w:val="24"/>
                <w:szCs w:val="24"/>
              </w:rPr>
              <w:t>49,090</w:t>
            </w:r>
          </w:p>
        </w:tc>
        <w:tc>
          <w:tcPr>
            <w:tcW w:w="1870" w:type="dxa"/>
            <w:vAlign w:val="bottom"/>
          </w:tcPr>
          <w:p w:rsidR="00C55184" w:rsidRPr="00EA4B61" w:rsidP="167EF469" w14:paraId="4AD5BD7A"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C55184" w:rsidRPr="00EA4B61" w:rsidP="00C55184" w14:paraId="04D2C013" w14:textId="7C41307C">
            <w:pPr>
              <w:pStyle w:val="FootnoteText"/>
              <w:jc w:val="right"/>
              <w:rPr>
                <w:rFonts w:cs="Times New Roman"/>
                <w:sz w:val="24"/>
                <w:szCs w:val="24"/>
              </w:rPr>
            </w:pPr>
            <w:r w:rsidRPr="00EA4B61">
              <w:rPr>
                <w:rFonts w:cs="Times New Roman"/>
                <w:sz w:val="24"/>
                <w:szCs w:val="24"/>
              </w:rPr>
              <w:t>-</w:t>
            </w:r>
            <w:r w:rsidRPr="00EA4B61" w:rsidR="007B398A">
              <w:rPr>
                <w:rFonts w:cs="Times New Roman"/>
                <w:sz w:val="24"/>
                <w:szCs w:val="24"/>
              </w:rPr>
              <w:t>695</w:t>
            </w:r>
          </w:p>
        </w:tc>
      </w:tr>
      <w:tr w14:paraId="0C5C8627" w14:textId="77777777" w:rsidTr="750D58D3">
        <w:tblPrEx>
          <w:tblW w:w="0" w:type="auto"/>
          <w:tblLook w:val="04A0"/>
        </w:tblPrEx>
        <w:tc>
          <w:tcPr>
            <w:tcW w:w="1870" w:type="dxa"/>
          </w:tcPr>
          <w:p w:rsidR="00C55184" w:rsidRPr="00EA4B61" w:rsidP="00C55184" w14:paraId="5F351D3F" w14:textId="77777777">
            <w:pPr>
              <w:pStyle w:val="FootnoteText"/>
              <w:rPr>
                <w:rFonts w:cs="Times New Roman"/>
                <w:bCs/>
                <w:sz w:val="24"/>
                <w:szCs w:val="24"/>
              </w:rPr>
            </w:pPr>
            <w:r w:rsidRPr="00EA4B61">
              <w:rPr>
                <w:rFonts w:cs="Times New Roman"/>
                <w:bCs/>
                <w:sz w:val="24"/>
                <w:szCs w:val="24"/>
              </w:rPr>
              <w:t>Annual Cost Burden ($)</w:t>
            </w:r>
          </w:p>
        </w:tc>
        <w:tc>
          <w:tcPr>
            <w:tcW w:w="1870" w:type="dxa"/>
            <w:vAlign w:val="bottom"/>
          </w:tcPr>
          <w:p w:rsidR="00C55184" w:rsidRPr="00EA4B61" w:rsidP="00C55184" w14:paraId="13AFDD65" w14:textId="77777777">
            <w:pPr>
              <w:pStyle w:val="FootnoteText"/>
              <w:jc w:val="right"/>
              <w:rPr>
                <w:rFonts w:cs="Times New Roman"/>
                <w:bCs/>
                <w:sz w:val="24"/>
                <w:szCs w:val="24"/>
              </w:rPr>
            </w:pPr>
            <w:r w:rsidRPr="00EA4B61">
              <w:rPr>
                <w:rFonts w:cs="Times New Roman"/>
                <w:bCs/>
                <w:sz w:val="24"/>
                <w:szCs w:val="24"/>
              </w:rPr>
              <w:t>$</w:t>
            </w:r>
            <w:r w:rsidRPr="00EA4B61" w:rsidR="003526D4">
              <w:rPr>
                <w:rFonts w:cs="Times New Roman"/>
                <w:bCs/>
                <w:sz w:val="24"/>
                <w:szCs w:val="24"/>
              </w:rPr>
              <w:t>0</w:t>
            </w:r>
          </w:p>
        </w:tc>
        <w:tc>
          <w:tcPr>
            <w:tcW w:w="1870" w:type="dxa"/>
            <w:vAlign w:val="bottom"/>
          </w:tcPr>
          <w:p w:rsidR="00C55184" w:rsidRPr="00EA4B61" w:rsidP="00C55184" w14:paraId="5CCD278F" w14:textId="77777777">
            <w:pPr>
              <w:pStyle w:val="FootnoteText"/>
              <w:jc w:val="right"/>
              <w:rPr>
                <w:rFonts w:cs="Times New Roman"/>
                <w:bCs/>
                <w:sz w:val="24"/>
                <w:szCs w:val="24"/>
              </w:rPr>
            </w:pPr>
            <w:r w:rsidRPr="00EA4B61">
              <w:rPr>
                <w:rFonts w:cs="Times New Roman"/>
                <w:bCs/>
                <w:sz w:val="24"/>
                <w:szCs w:val="24"/>
              </w:rPr>
              <w:t>$</w:t>
            </w:r>
            <w:r w:rsidRPr="00EA4B61" w:rsidR="003526D4">
              <w:rPr>
                <w:rFonts w:cs="Times New Roman"/>
                <w:bCs/>
                <w:sz w:val="24"/>
                <w:szCs w:val="24"/>
              </w:rPr>
              <w:t>0</w:t>
            </w:r>
          </w:p>
        </w:tc>
        <w:tc>
          <w:tcPr>
            <w:tcW w:w="1870" w:type="dxa"/>
            <w:vAlign w:val="bottom"/>
          </w:tcPr>
          <w:p w:rsidR="00C55184" w:rsidRPr="00EA4B61" w:rsidP="167EF469" w14:paraId="457377CF"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C55184" w:rsidRPr="00EA4B61" w:rsidP="00C55184" w14:paraId="79C81863" w14:textId="77777777">
            <w:pPr>
              <w:pStyle w:val="FootnoteText"/>
              <w:jc w:val="right"/>
              <w:rPr>
                <w:rFonts w:cs="Times New Roman"/>
                <w:bCs/>
                <w:sz w:val="24"/>
                <w:szCs w:val="24"/>
              </w:rPr>
            </w:pPr>
            <w:r w:rsidRPr="00EA4B61">
              <w:rPr>
                <w:rFonts w:cs="Times New Roman"/>
                <w:bCs/>
                <w:sz w:val="24"/>
                <w:szCs w:val="24"/>
              </w:rPr>
              <w:t>$0</w:t>
            </w:r>
          </w:p>
        </w:tc>
      </w:tr>
    </w:tbl>
    <w:p w:rsidR="00BE208D" w:rsidP="00BE208D" w14:paraId="54934721" w14:textId="77777777">
      <w:pPr>
        <w:pStyle w:val="FootnoteText"/>
        <w:rPr>
          <w:rFonts w:cs="Times New Roman"/>
          <w:b/>
          <w:sz w:val="24"/>
          <w:szCs w:val="24"/>
        </w:rPr>
      </w:pPr>
    </w:p>
    <w:p w:rsidR="00F42DF6" w:rsidRPr="00EA4B61" w:rsidP="00BE208D" w14:paraId="56E70100" w14:textId="77777777">
      <w:pPr>
        <w:pStyle w:val="FootnoteText"/>
        <w:rPr>
          <w:rFonts w:cs="Times New Roman"/>
          <w:b/>
          <w:sz w:val="24"/>
          <w:szCs w:val="24"/>
        </w:rPr>
      </w:pPr>
    </w:p>
    <w:p w:rsidR="00AD1E9D" w:rsidRPr="00EA4B61" w:rsidP="00BE208D" w14:paraId="2FE628C8" w14:textId="134569FA">
      <w:pPr>
        <w:pStyle w:val="FootnoteText"/>
        <w:rPr>
          <w:rFonts w:cs="Times New Roman"/>
          <w:b/>
          <w:sz w:val="24"/>
          <w:szCs w:val="24"/>
        </w:rPr>
      </w:pPr>
      <w:r w:rsidRPr="00EA4B61">
        <w:rPr>
          <w:rFonts w:cs="Times New Roman"/>
          <w:b/>
          <w:sz w:val="24"/>
          <w:szCs w:val="24"/>
        </w:rPr>
        <w:t>FERC-539</w:t>
      </w:r>
    </w:p>
    <w:tbl>
      <w:tblPr>
        <w:tblStyle w:val="TableGrid"/>
        <w:tblW w:w="0" w:type="auto"/>
        <w:tblLook w:val="04A0"/>
      </w:tblPr>
      <w:tblGrid>
        <w:gridCol w:w="1870"/>
        <w:gridCol w:w="1870"/>
        <w:gridCol w:w="1870"/>
        <w:gridCol w:w="1870"/>
        <w:gridCol w:w="1870"/>
      </w:tblGrid>
      <w:tr w14:paraId="5A825E7C" w14:textId="77777777">
        <w:tblPrEx>
          <w:tblW w:w="0" w:type="auto"/>
          <w:tblLook w:val="04A0"/>
        </w:tblPrEx>
        <w:tc>
          <w:tcPr>
            <w:tcW w:w="1870" w:type="dxa"/>
            <w:shd w:val="clear" w:color="auto" w:fill="D9D9D9" w:themeFill="background1" w:themeFillShade="D9"/>
            <w:vAlign w:val="bottom"/>
          </w:tcPr>
          <w:p w:rsidR="003D6EBA" w:rsidRPr="00EA4B61" w14:paraId="1028AEDF" w14:textId="67FA957A">
            <w:pPr>
              <w:pStyle w:val="FootnoteText"/>
              <w:rPr>
                <w:rFonts w:cs="Times New Roman"/>
                <w:b/>
                <w:sz w:val="24"/>
                <w:szCs w:val="24"/>
              </w:rPr>
            </w:pPr>
          </w:p>
        </w:tc>
        <w:tc>
          <w:tcPr>
            <w:tcW w:w="1870" w:type="dxa"/>
            <w:shd w:val="clear" w:color="auto" w:fill="D9D9D9" w:themeFill="background1" w:themeFillShade="D9"/>
            <w:vAlign w:val="bottom"/>
          </w:tcPr>
          <w:p w:rsidR="003D6EBA" w:rsidRPr="00EA4B61" w14:paraId="03C94AAD" w14:textId="1B07DA07">
            <w:pPr>
              <w:pStyle w:val="FootnoteText"/>
              <w:jc w:val="center"/>
              <w:rPr>
                <w:rFonts w:cs="Times New Roman"/>
                <w:b/>
                <w:bCs/>
                <w:sz w:val="24"/>
                <w:szCs w:val="24"/>
              </w:rPr>
            </w:pPr>
            <w:r w:rsidRPr="00EA4B61">
              <w:rPr>
                <w:rFonts w:cs="Times New Roman"/>
                <w:b/>
                <w:bCs/>
                <w:sz w:val="24"/>
                <w:szCs w:val="24"/>
              </w:rPr>
              <w:t>Total Request</w:t>
            </w:r>
          </w:p>
        </w:tc>
        <w:tc>
          <w:tcPr>
            <w:tcW w:w="1870" w:type="dxa"/>
            <w:shd w:val="clear" w:color="auto" w:fill="D9D9D9" w:themeFill="background1" w:themeFillShade="D9"/>
            <w:vAlign w:val="bottom"/>
          </w:tcPr>
          <w:p w:rsidR="003D6EBA" w:rsidRPr="00EA4B61" w14:paraId="5C428206" w14:textId="7E8AC440">
            <w:pPr>
              <w:pStyle w:val="FootnoteText"/>
              <w:jc w:val="center"/>
              <w:rPr>
                <w:rFonts w:cs="Times New Roman"/>
                <w:b/>
                <w:sz w:val="24"/>
                <w:szCs w:val="24"/>
              </w:rPr>
            </w:pPr>
            <w:r w:rsidRPr="00EA4B61">
              <w:rPr>
                <w:rFonts w:cs="Times New Roman"/>
                <w:b/>
                <w:sz w:val="24"/>
                <w:szCs w:val="24"/>
              </w:rPr>
              <w:t>Previously Approved</w:t>
            </w:r>
          </w:p>
        </w:tc>
        <w:tc>
          <w:tcPr>
            <w:tcW w:w="1870" w:type="dxa"/>
            <w:shd w:val="clear" w:color="auto" w:fill="D9D9D9" w:themeFill="background1" w:themeFillShade="D9"/>
            <w:vAlign w:val="bottom"/>
          </w:tcPr>
          <w:p w:rsidR="003D6EBA" w:rsidRPr="00EA4B61" w14:paraId="7E82FC57" w14:textId="77777777">
            <w:pPr>
              <w:pStyle w:val="FootnoteText"/>
              <w:jc w:val="center"/>
              <w:rPr>
                <w:rFonts w:cs="Times New Roman"/>
                <w:b/>
                <w:sz w:val="24"/>
                <w:szCs w:val="24"/>
              </w:rPr>
            </w:pPr>
            <w:r w:rsidRPr="00EA4B61">
              <w:rPr>
                <w:rFonts w:cs="Times New Roman"/>
                <w:b/>
                <w:sz w:val="24"/>
                <w:szCs w:val="24"/>
              </w:rPr>
              <w:t>Change Due to Adjustment in Estimate</w:t>
            </w:r>
          </w:p>
        </w:tc>
        <w:tc>
          <w:tcPr>
            <w:tcW w:w="1870" w:type="dxa"/>
            <w:shd w:val="clear" w:color="auto" w:fill="D9D9D9" w:themeFill="background1" w:themeFillShade="D9"/>
            <w:vAlign w:val="bottom"/>
          </w:tcPr>
          <w:p w:rsidR="003D6EBA" w:rsidRPr="00EA4B61" w14:paraId="02177F7C" w14:textId="77777777">
            <w:pPr>
              <w:pStyle w:val="FootnoteText"/>
              <w:jc w:val="center"/>
              <w:rPr>
                <w:rFonts w:cs="Times New Roman"/>
                <w:b/>
                <w:sz w:val="24"/>
                <w:szCs w:val="24"/>
              </w:rPr>
            </w:pPr>
            <w:r w:rsidRPr="00EA4B61">
              <w:rPr>
                <w:rFonts w:cs="Times New Roman"/>
                <w:b/>
                <w:sz w:val="24"/>
                <w:szCs w:val="24"/>
              </w:rPr>
              <w:t>Change Due to Agency Discretion</w:t>
            </w:r>
          </w:p>
        </w:tc>
      </w:tr>
      <w:tr w14:paraId="695213CF" w14:textId="77777777">
        <w:tblPrEx>
          <w:tblW w:w="0" w:type="auto"/>
          <w:tblLook w:val="04A0"/>
        </w:tblPrEx>
        <w:tc>
          <w:tcPr>
            <w:tcW w:w="1870" w:type="dxa"/>
            <w:vAlign w:val="bottom"/>
          </w:tcPr>
          <w:p w:rsidR="003D6EBA" w:rsidRPr="00EA4B61" w14:paraId="566F9BDB" w14:textId="77777777">
            <w:pPr>
              <w:pStyle w:val="FootnoteText"/>
              <w:rPr>
                <w:rFonts w:cs="Times New Roman"/>
                <w:bCs/>
                <w:sz w:val="24"/>
                <w:szCs w:val="24"/>
              </w:rPr>
            </w:pPr>
            <w:r w:rsidRPr="00EA4B61">
              <w:rPr>
                <w:rFonts w:cs="Times New Roman"/>
                <w:bCs/>
                <w:sz w:val="24"/>
                <w:szCs w:val="24"/>
              </w:rPr>
              <w:t>Annual Number of Responses</w:t>
            </w:r>
          </w:p>
        </w:tc>
        <w:tc>
          <w:tcPr>
            <w:tcW w:w="1870" w:type="dxa"/>
            <w:vAlign w:val="bottom"/>
          </w:tcPr>
          <w:p w:rsidR="003D6EBA" w:rsidRPr="00EA4B61" w14:paraId="12BB051E" w14:textId="02E1EEC3">
            <w:pPr>
              <w:pStyle w:val="FootnoteText"/>
              <w:jc w:val="right"/>
              <w:rPr>
                <w:rFonts w:cs="Times New Roman"/>
                <w:sz w:val="24"/>
                <w:szCs w:val="24"/>
              </w:rPr>
            </w:pPr>
            <w:r w:rsidRPr="00EA4B61">
              <w:rPr>
                <w:rFonts w:cs="Times New Roman"/>
                <w:sz w:val="24"/>
                <w:szCs w:val="24"/>
              </w:rPr>
              <w:t>69</w:t>
            </w:r>
          </w:p>
        </w:tc>
        <w:tc>
          <w:tcPr>
            <w:tcW w:w="1870" w:type="dxa"/>
            <w:vAlign w:val="bottom"/>
          </w:tcPr>
          <w:p w:rsidR="003D6EBA" w:rsidRPr="00EA4B61" w14:paraId="2BBFFA3C" w14:textId="0A9D6743">
            <w:pPr>
              <w:pStyle w:val="FootnoteText"/>
              <w:jc w:val="right"/>
              <w:rPr>
                <w:rFonts w:cs="Times New Roman"/>
                <w:bCs/>
                <w:sz w:val="24"/>
                <w:szCs w:val="24"/>
              </w:rPr>
            </w:pPr>
            <w:r w:rsidRPr="00EA4B61">
              <w:rPr>
                <w:rFonts w:cs="Times New Roman"/>
                <w:bCs/>
                <w:sz w:val="24"/>
                <w:szCs w:val="24"/>
              </w:rPr>
              <w:t>12</w:t>
            </w:r>
          </w:p>
        </w:tc>
        <w:tc>
          <w:tcPr>
            <w:tcW w:w="1870" w:type="dxa"/>
            <w:vAlign w:val="bottom"/>
          </w:tcPr>
          <w:p w:rsidR="003D6EBA" w:rsidRPr="00EA4B61" w14:paraId="7EEF9B52"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3D6EBA" w:rsidRPr="00EA4B61" w14:paraId="49269C96" w14:textId="6546D68B">
            <w:pPr>
              <w:pStyle w:val="FootnoteText"/>
              <w:jc w:val="right"/>
              <w:rPr>
                <w:rFonts w:cs="Times New Roman"/>
                <w:sz w:val="24"/>
                <w:szCs w:val="24"/>
              </w:rPr>
            </w:pPr>
            <w:r w:rsidRPr="00EA4B61">
              <w:rPr>
                <w:rFonts w:cs="Times New Roman"/>
                <w:sz w:val="24"/>
                <w:szCs w:val="24"/>
              </w:rPr>
              <w:t>57</w:t>
            </w:r>
          </w:p>
        </w:tc>
      </w:tr>
      <w:tr w14:paraId="7E5648B4" w14:textId="77777777">
        <w:tblPrEx>
          <w:tblW w:w="0" w:type="auto"/>
          <w:tblLook w:val="04A0"/>
        </w:tblPrEx>
        <w:tc>
          <w:tcPr>
            <w:tcW w:w="1870" w:type="dxa"/>
          </w:tcPr>
          <w:p w:rsidR="003D6EBA" w:rsidRPr="00EA4B61" w14:paraId="0CCEECEE" w14:textId="77777777">
            <w:pPr>
              <w:pStyle w:val="FootnoteText"/>
              <w:rPr>
                <w:rFonts w:cs="Times New Roman"/>
                <w:bCs/>
                <w:sz w:val="24"/>
                <w:szCs w:val="24"/>
              </w:rPr>
            </w:pPr>
            <w:r w:rsidRPr="00EA4B61">
              <w:rPr>
                <w:rFonts w:cs="Times New Roman"/>
                <w:bCs/>
                <w:sz w:val="24"/>
                <w:szCs w:val="24"/>
              </w:rPr>
              <w:t>Annual Time Burden (Hrs.)</w:t>
            </w:r>
          </w:p>
        </w:tc>
        <w:tc>
          <w:tcPr>
            <w:tcW w:w="1870" w:type="dxa"/>
            <w:vAlign w:val="bottom"/>
          </w:tcPr>
          <w:p w:rsidR="003D6EBA" w:rsidRPr="00EA4B61" w14:paraId="79641C2E" w14:textId="29116C3A">
            <w:pPr>
              <w:pStyle w:val="FootnoteText"/>
              <w:jc w:val="right"/>
              <w:rPr>
                <w:rFonts w:cs="Times New Roman"/>
                <w:sz w:val="24"/>
                <w:szCs w:val="24"/>
              </w:rPr>
            </w:pPr>
            <w:r w:rsidRPr="00EA4B61">
              <w:rPr>
                <w:rFonts w:cs="Times New Roman"/>
                <w:sz w:val="24"/>
                <w:szCs w:val="24"/>
              </w:rPr>
              <w:t>1,426</w:t>
            </w:r>
          </w:p>
        </w:tc>
        <w:tc>
          <w:tcPr>
            <w:tcW w:w="1870" w:type="dxa"/>
            <w:vAlign w:val="bottom"/>
          </w:tcPr>
          <w:p w:rsidR="003D6EBA" w:rsidRPr="00EA4B61" w14:paraId="109A19FC" w14:textId="6384D4B5">
            <w:pPr>
              <w:pStyle w:val="FootnoteText"/>
              <w:jc w:val="right"/>
              <w:rPr>
                <w:rFonts w:cs="Times New Roman"/>
                <w:bCs/>
                <w:sz w:val="24"/>
                <w:szCs w:val="24"/>
              </w:rPr>
            </w:pPr>
            <w:r w:rsidRPr="00EA4B61">
              <w:rPr>
                <w:rFonts w:cs="Times New Roman"/>
                <w:bCs/>
                <w:sz w:val="24"/>
                <w:szCs w:val="24"/>
              </w:rPr>
              <w:t>180</w:t>
            </w:r>
          </w:p>
        </w:tc>
        <w:tc>
          <w:tcPr>
            <w:tcW w:w="1870" w:type="dxa"/>
            <w:vAlign w:val="bottom"/>
          </w:tcPr>
          <w:p w:rsidR="003D6EBA" w:rsidRPr="00EA4B61" w14:paraId="02E38309"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3D6EBA" w:rsidRPr="00EA4B61" w14:paraId="6D26A35E" w14:textId="1570A79D">
            <w:pPr>
              <w:pStyle w:val="FootnoteText"/>
              <w:jc w:val="right"/>
              <w:rPr>
                <w:rFonts w:cs="Times New Roman"/>
                <w:sz w:val="24"/>
                <w:szCs w:val="24"/>
              </w:rPr>
            </w:pPr>
            <w:r w:rsidRPr="00EA4B61">
              <w:rPr>
                <w:rFonts w:cs="Times New Roman"/>
                <w:sz w:val="24"/>
                <w:szCs w:val="24"/>
              </w:rPr>
              <w:t>1,246</w:t>
            </w:r>
          </w:p>
        </w:tc>
      </w:tr>
      <w:tr w14:paraId="1318401C" w14:textId="77777777">
        <w:tblPrEx>
          <w:tblW w:w="0" w:type="auto"/>
          <w:tblLook w:val="04A0"/>
        </w:tblPrEx>
        <w:tc>
          <w:tcPr>
            <w:tcW w:w="1870" w:type="dxa"/>
          </w:tcPr>
          <w:p w:rsidR="003D6EBA" w:rsidRPr="00EA4B61" w14:paraId="4F302663" w14:textId="77777777">
            <w:pPr>
              <w:pStyle w:val="FootnoteText"/>
              <w:rPr>
                <w:rFonts w:cs="Times New Roman"/>
                <w:bCs/>
                <w:sz w:val="24"/>
                <w:szCs w:val="24"/>
              </w:rPr>
            </w:pPr>
            <w:r w:rsidRPr="00EA4B61">
              <w:rPr>
                <w:rFonts w:cs="Times New Roman"/>
                <w:bCs/>
                <w:sz w:val="24"/>
                <w:szCs w:val="24"/>
              </w:rPr>
              <w:t>Annual Cost Burden ($)</w:t>
            </w:r>
          </w:p>
        </w:tc>
        <w:tc>
          <w:tcPr>
            <w:tcW w:w="1870" w:type="dxa"/>
            <w:vAlign w:val="bottom"/>
          </w:tcPr>
          <w:p w:rsidR="003D6EBA" w:rsidRPr="00EA4B61" w14:paraId="053D8DB1"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3D6EBA" w:rsidRPr="00EA4B61" w14:paraId="25717E18"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3D6EBA" w:rsidRPr="00EA4B61" w14:paraId="0DFF1A71"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3D6EBA" w:rsidRPr="00EA4B61" w14:paraId="0EA60B9D" w14:textId="77777777">
            <w:pPr>
              <w:pStyle w:val="FootnoteText"/>
              <w:jc w:val="right"/>
              <w:rPr>
                <w:rFonts w:cs="Times New Roman"/>
                <w:bCs/>
                <w:sz w:val="24"/>
                <w:szCs w:val="24"/>
              </w:rPr>
            </w:pPr>
            <w:r w:rsidRPr="00EA4B61">
              <w:rPr>
                <w:rFonts w:cs="Times New Roman"/>
                <w:bCs/>
                <w:sz w:val="24"/>
                <w:szCs w:val="24"/>
              </w:rPr>
              <w:t>$0</w:t>
            </w:r>
          </w:p>
        </w:tc>
      </w:tr>
    </w:tbl>
    <w:p w:rsidR="008E4F33" w:rsidRPr="00EA4B61" w:rsidP="00BE208D" w14:paraId="15FAF349" w14:textId="77777777">
      <w:pPr>
        <w:pStyle w:val="FootnoteText"/>
        <w:rPr>
          <w:rFonts w:cs="Times New Roman"/>
          <w:b/>
          <w:sz w:val="24"/>
          <w:szCs w:val="24"/>
        </w:rPr>
      </w:pPr>
    </w:p>
    <w:p w:rsidR="003D6EBA" w:rsidRPr="00EA4B61" w:rsidP="00BE208D" w14:paraId="41AED1AB" w14:textId="17D65EAE">
      <w:pPr>
        <w:pStyle w:val="FootnoteText"/>
        <w:rPr>
          <w:rFonts w:cs="Times New Roman"/>
          <w:b/>
          <w:sz w:val="24"/>
          <w:szCs w:val="24"/>
        </w:rPr>
      </w:pPr>
      <w:r w:rsidRPr="00EA4B61">
        <w:rPr>
          <w:rFonts w:cs="Times New Roman"/>
          <w:b/>
          <w:sz w:val="24"/>
          <w:szCs w:val="24"/>
        </w:rPr>
        <w:t>FERC-577</w:t>
      </w:r>
    </w:p>
    <w:tbl>
      <w:tblPr>
        <w:tblStyle w:val="TableGrid"/>
        <w:tblW w:w="0" w:type="auto"/>
        <w:tblLook w:val="04A0"/>
      </w:tblPr>
      <w:tblGrid>
        <w:gridCol w:w="1870"/>
        <w:gridCol w:w="1870"/>
        <w:gridCol w:w="1870"/>
        <w:gridCol w:w="1870"/>
        <w:gridCol w:w="1870"/>
      </w:tblGrid>
      <w:tr w14:paraId="67833403" w14:textId="77777777">
        <w:tblPrEx>
          <w:tblW w:w="0" w:type="auto"/>
          <w:tblLook w:val="04A0"/>
        </w:tblPrEx>
        <w:tc>
          <w:tcPr>
            <w:tcW w:w="1870" w:type="dxa"/>
            <w:shd w:val="clear" w:color="auto" w:fill="D9D9D9" w:themeFill="background1" w:themeFillShade="D9"/>
            <w:vAlign w:val="bottom"/>
          </w:tcPr>
          <w:p w:rsidR="003D6EBA" w:rsidRPr="00EA4B61" w14:paraId="620C8348" w14:textId="58A4B924">
            <w:pPr>
              <w:pStyle w:val="FootnoteText"/>
              <w:rPr>
                <w:rFonts w:cs="Times New Roman"/>
                <w:b/>
                <w:sz w:val="24"/>
                <w:szCs w:val="24"/>
              </w:rPr>
            </w:pPr>
          </w:p>
        </w:tc>
        <w:tc>
          <w:tcPr>
            <w:tcW w:w="1870" w:type="dxa"/>
            <w:shd w:val="clear" w:color="auto" w:fill="D9D9D9" w:themeFill="background1" w:themeFillShade="D9"/>
            <w:vAlign w:val="bottom"/>
          </w:tcPr>
          <w:p w:rsidR="003D6EBA" w:rsidRPr="00EA4B61" w14:paraId="15155A18" w14:textId="2B17A9AE">
            <w:pPr>
              <w:pStyle w:val="FootnoteText"/>
              <w:jc w:val="center"/>
              <w:rPr>
                <w:rFonts w:cs="Times New Roman"/>
                <w:b/>
                <w:bCs/>
                <w:sz w:val="24"/>
                <w:szCs w:val="24"/>
              </w:rPr>
            </w:pPr>
            <w:r w:rsidRPr="00EA4B61">
              <w:rPr>
                <w:rFonts w:cs="Times New Roman"/>
                <w:b/>
                <w:bCs/>
                <w:sz w:val="24"/>
                <w:szCs w:val="24"/>
              </w:rPr>
              <w:t>Total Request</w:t>
            </w:r>
          </w:p>
        </w:tc>
        <w:tc>
          <w:tcPr>
            <w:tcW w:w="1870" w:type="dxa"/>
            <w:shd w:val="clear" w:color="auto" w:fill="D9D9D9" w:themeFill="background1" w:themeFillShade="D9"/>
            <w:vAlign w:val="bottom"/>
          </w:tcPr>
          <w:p w:rsidR="003D6EBA" w:rsidRPr="00EA4B61" w14:paraId="6F2E04A3" w14:textId="3087FE5C">
            <w:pPr>
              <w:pStyle w:val="FootnoteText"/>
              <w:jc w:val="center"/>
              <w:rPr>
                <w:rFonts w:cs="Times New Roman"/>
                <w:b/>
                <w:sz w:val="24"/>
                <w:szCs w:val="24"/>
              </w:rPr>
            </w:pPr>
            <w:r w:rsidRPr="00EA4B61">
              <w:rPr>
                <w:rFonts w:cs="Times New Roman"/>
                <w:b/>
                <w:sz w:val="24"/>
                <w:szCs w:val="24"/>
              </w:rPr>
              <w:t>Previously Approved</w:t>
            </w:r>
          </w:p>
        </w:tc>
        <w:tc>
          <w:tcPr>
            <w:tcW w:w="1870" w:type="dxa"/>
            <w:shd w:val="clear" w:color="auto" w:fill="D9D9D9" w:themeFill="background1" w:themeFillShade="D9"/>
            <w:vAlign w:val="bottom"/>
          </w:tcPr>
          <w:p w:rsidR="003D6EBA" w:rsidRPr="00EA4B61" w14:paraId="5374CAB7" w14:textId="77777777">
            <w:pPr>
              <w:pStyle w:val="FootnoteText"/>
              <w:jc w:val="center"/>
              <w:rPr>
                <w:rFonts w:cs="Times New Roman"/>
                <w:b/>
                <w:sz w:val="24"/>
                <w:szCs w:val="24"/>
              </w:rPr>
            </w:pPr>
            <w:r w:rsidRPr="00EA4B61">
              <w:rPr>
                <w:rFonts w:cs="Times New Roman"/>
                <w:b/>
                <w:sz w:val="24"/>
                <w:szCs w:val="24"/>
              </w:rPr>
              <w:t>Change Due to Adjustment in Estimate</w:t>
            </w:r>
          </w:p>
        </w:tc>
        <w:tc>
          <w:tcPr>
            <w:tcW w:w="1870" w:type="dxa"/>
            <w:shd w:val="clear" w:color="auto" w:fill="D9D9D9" w:themeFill="background1" w:themeFillShade="D9"/>
            <w:vAlign w:val="bottom"/>
          </w:tcPr>
          <w:p w:rsidR="003D6EBA" w:rsidRPr="00EA4B61" w14:paraId="42919EBB" w14:textId="77777777">
            <w:pPr>
              <w:pStyle w:val="FootnoteText"/>
              <w:jc w:val="center"/>
              <w:rPr>
                <w:rFonts w:cs="Times New Roman"/>
                <w:b/>
                <w:sz w:val="24"/>
                <w:szCs w:val="24"/>
              </w:rPr>
            </w:pPr>
            <w:r w:rsidRPr="00EA4B61">
              <w:rPr>
                <w:rFonts w:cs="Times New Roman"/>
                <w:b/>
                <w:sz w:val="24"/>
                <w:szCs w:val="24"/>
              </w:rPr>
              <w:t>Change Due to Agency Discretion</w:t>
            </w:r>
          </w:p>
        </w:tc>
      </w:tr>
      <w:tr w14:paraId="05FDD40E" w14:textId="77777777">
        <w:tblPrEx>
          <w:tblW w:w="0" w:type="auto"/>
          <w:tblLook w:val="04A0"/>
        </w:tblPrEx>
        <w:tc>
          <w:tcPr>
            <w:tcW w:w="1870" w:type="dxa"/>
            <w:vAlign w:val="bottom"/>
          </w:tcPr>
          <w:p w:rsidR="003D6EBA" w:rsidRPr="00EA4B61" w14:paraId="2F6F4D41" w14:textId="77777777">
            <w:pPr>
              <w:pStyle w:val="FootnoteText"/>
              <w:rPr>
                <w:rFonts w:cs="Times New Roman"/>
                <w:bCs/>
                <w:sz w:val="24"/>
                <w:szCs w:val="24"/>
              </w:rPr>
            </w:pPr>
            <w:r w:rsidRPr="00EA4B61">
              <w:rPr>
                <w:rFonts w:cs="Times New Roman"/>
                <w:bCs/>
                <w:sz w:val="24"/>
                <w:szCs w:val="24"/>
              </w:rPr>
              <w:t>Annual Number of Responses</w:t>
            </w:r>
          </w:p>
        </w:tc>
        <w:tc>
          <w:tcPr>
            <w:tcW w:w="1870" w:type="dxa"/>
            <w:vAlign w:val="bottom"/>
          </w:tcPr>
          <w:p w:rsidR="003D6EBA" w:rsidRPr="00EA4B61" w14:paraId="5BF37B3F" w14:textId="4FD671D0">
            <w:pPr>
              <w:pStyle w:val="FootnoteText"/>
              <w:jc w:val="right"/>
              <w:rPr>
                <w:rFonts w:cs="Times New Roman"/>
                <w:sz w:val="24"/>
                <w:szCs w:val="24"/>
              </w:rPr>
            </w:pPr>
            <w:r w:rsidRPr="00EA4B61">
              <w:rPr>
                <w:rFonts w:cs="Times New Roman"/>
                <w:sz w:val="24"/>
                <w:szCs w:val="24"/>
              </w:rPr>
              <w:t>25,280</w:t>
            </w:r>
          </w:p>
        </w:tc>
        <w:tc>
          <w:tcPr>
            <w:tcW w:w="1870" w:type="dxa"/>
            <w:vAlign w:val="bottom"/>
          </w:tcPr>
          <w:p w:rsidR="003D6EBA" w:rsidRPr="00EA4B61" w14:paraId="26CC086A" w14:textId="0060B308">
            <w:pPr>
              <w:pStyle w:val="FootnoteText"/>
              <w:jc w:val="right"/>
              <w:rPr>
                <w:rFonts w:cs="Times New Roman"/>
                <w:bCs/>
                <w:sz w:val="24"/>
                <w:szCs w:val="24"/>
              </w:rPr>
            </w:pPr>
            <w:r w:rsidRPr="00EA4B61">
              <w:rPr>
                <w:rFonts w:cs="Times New Roman"/>
                <w:bCs/>
                <w:sz w:val="24"/>
                <w:szCs w:val="24"/>
              </w:rPr>
              <w:t>25,328</w:t>
            </w:r>
          </w:p>
        </w:tc>
        <w:tc>
          <w:tcPr>
            <w:tcW w:w="1870" w:type="dxa"/>
            <w:vAlign w:val="bottom"/>
          </w:tcPr>
          <w:p w:rsidR="003D6EBA" w:rsidRPr="00EA4B61" w14:paraId="7C6B8CE4"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3D6EBA" w:rsidRPr="00EA4B61" w14:paraId="4509047C" w14:textId="04ED7593">
            <w:pPr>
              <w:pStyle w:val="FootnoteText"/>
              <w:jc w:val="right"/>
              <w:rPr>
                <w:rFonts w:cs="Times New Roman"/>
                <w:sz w:val="24"/>
                <w:szCs w:val="24"/>
              </w:rPr>
            </w:pPr>
            <w:r w:rsidRPr="00EA4B61">
              <w:rPr>
                <w:rFonts w:cs="Times New Roman"/>
                <w:sz w:val="24"/>
                <w:szCs w:val="24"/>
              </w:rPr>
              <w:t>-48</w:t>
            </w:r>
          </w:p>
        </w:tc>
      </w:tr>
      <w:tr w14:paraId="1F255209" w14:textId="77777777">
        <w:tblPrEx>
          <w:tblW w:w="0" w:type="auto"/>
          <w:tblLook w:val="04A0"/>
        </w:tblPrEx>
        <w:tc>
          <w:tcPr>
            <w:tcW w:w="1870" w:type="dxa"/>
          </w:tcPr>
          <w:p w:rsidR="003D6EBA" w:rsidRPr="00EA4B61" w14:paraId="75BCC9BE" w14:textId="77777777">
            <w:pPr>
              <w:pStyle w:val="FootnoteText"/>
              <w:rPr>
                <w:rFonts w:cs="Times New Roman"/>
                <w:bCs/>
                <w:sz w:val="24"/>
                <w:szCs w:val="24"/>
              </w:rPr>
            </w:pPr>
            <w:r w:rsidRPr="00EA4B61">
              <w:rPr>
                <w:rFonts w:cs="Times New Roman"/>
                <w:bCs/>
                <w:sz w:val="24"/>
                <w:szCs w:val="24"/>
              </w:rPr>
              <w:t>Annual Time Burden (Hrs.)</w:t>
            </w:r>
          </w:p>
        </w:tc>
        <w:tc>
          <w:tcPr>
            <w:tcW w:w="1870" w:type="dxa"/>
            <w:vAlign w:val="bottom"/>
          </w:tcPr>
          <w:p w:rsidR="003D6EBA" w:rsidRPr="00EA4B61" w14:paraId="669461C0" w14:textId="1D3D5F19">
            <w:pPr>
              <w:pStyle w:val="FootnoteText"/>
              <w:jc w:val="right"/>
              <w:rPr>
                <w:rFonts w:cs="Times New Roman"/>
                <w:sz w:val="24"/>
                <w:szCs w:val="24"/>
              </w:rPr>
            </w:pPr>
            <w:r w:rsidRPr="00EA4B61">
              <w:rPr>
                <w:rFonts w:cs="Times New Roman"/>
                <w:sz w:val="24"/>
                <w:szCs w:val="24"/>
              </w:rPr>
              <w:t>312,728</w:t>
            </w:r>
          </w:p>
        </w:tc>
        <w:tc>
          <w:tcPr>
            <w:tcW w:w="1870" w:type="dxa"/>
            <w:vAlign w:val="bottom"/>
          </w:tcPr>
          <w:p w:rsidR="003D6EBA" w:rsidRPr="00EA4B61" w14:paraId="6576F9F5" w14:textId="2E76F7E5">
            <w:pPr>
              <w:pStyle w:val="FootnoteText"/>
              <w:jc w:val="right"/>
              <w:rPr>
                <w:rFonts w:cs="Times New Roman"/>
                <w:bCs/>
                <w:sz w:val="24"/>
                <w:szCs w:val="24"/>
              </w:rPr>
            </w:pPr>
            <w:r w:rsidRPr="00EA4B61">
              <w:rPr>
                <w:rFonts w:cs="Times New Roman"/>
                <w:bCs/>
                <w:sz w:val="24"/>
                <w:szCs w:val="24"/>
              </w:rPr>
              <w:t>378,538</w:t>
            </w:r>
          </w:p>
        </w:tc>
        <w:tc>
          <w:tcPr>
            <w:tcW w:w="1870" w:type="dxa"/>
            <w:vAlign w:val="bottom"/>
          </w:tcPr>
          <w:p w:rsidR="003D6EBA" w:rsidRPr="00EA4B61" w14:paraId="20602BD5"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3D6EBA" w:rsidRPr="00EA4B61" w14:paraId="247E5F93" w14:textId="2647A489">
            <w:pPr>
              <w:pStyle w:val="FootnoteText"/>
              <w:jc w:val="right"/>
              <w:rPr>
                <w:rFonts w:cs="Times New Roman"/>
                <w:sz w:val="24"/>
                <w:szCs w:val="24"/>
              </w:rPr>
            </w:pPr>
            <w:r w:rsidRPr="00EA4B61">
              <w:rPr>
                <w:rFonts w:cs="Times New Roman"/>
                <w:sz w:val="24"/>
                <w:szCs w:val="24"/>
              </w:rPr>
              <w:t>-65,810</w:t>
            </w:r>
          </w:p>
        </w:tc>
      </w:tr>
      <w:tr w14:paraId="46086D2C" w14:textId="77777777">
        <w:tblPrEx>
          <w:tblW w:w="0" w:type="auto"/>
          <w:tblLook w:val="04A0"/>
        </w:tblPrEx>
        <w:tc>
          <w:tcPr>
            <w:tcW w:w="1870" w:type="dxa"/>
          </w:tcPr>
          <w:p w:rsidR="003D6EBA" w:rsidRPr="00EA4B61" w14:paraId="75C8EF9E" w14:textId="77777777">
            <w:pPr>
              <w:pStyle w:val="FootnoteText"/>
              <w:rPr>
                <w:rFonts w:cs="Times New Roman"/>
                <w:bCs/>
                <w:sz w:val="24"/>
                <w:szCs w:val="24"/>
              </w:rPr>
            </w:pPr>
            <w:r w:rsidRPr="00EA4B61">
              <w:rPr>
                <w:rFonts w:cs="Times New Roman"/>
                <w:bCs/>
                <w:sz w:val="24"/>
                <w:szCs w:val="24"/>
              </w:rPr>
              <w:t>Annual Cost Burden ($)</w:t>
            </w:r>
          </w:p>
        </w:tc>
        <w:tc>
          <w:tcPr>
            <w:tcW w:w="1870" w:type="dxa"/>
            <w:vAlign w:val="bottom"/>
          </w:tcPr>
          <w:p w:rsidR="003D6EBA" w:rsidRPr="00EA4B61" w14:paraId="389D8420"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3D6EBA" w:rsidRPr="00EA4B61" w14:paraId="0DE27FB1"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3D6EBA" w:rsidRPr="00EA4B61" w14:paraId="45496864"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3D6EBA" w:rsidRPr="00EA4B61" w14:paraId="2C369BEC" w14:textId="77777777">
            <w:pPr>
              <w:pStyle w:val="FootnoteText"/>
              <w:jc w:val="right"/>
              <w:rPr>
                <w:rFonts w:cs="Times New Roman"/>
                <w:bCs/>
                <w:sz w:val="24"/>
                <w:szCs w:val="24"/>
              </w:rPr>
            </w:pPr>
            <w:r w:rsidRPr="00EA4B61">
              <w:rPr>
                <w:rFonts w:cs="Times New Roman"/>
                <w:bCs/>
                <w:sz w:val="24"/>
                <w:szCs w:val="24"/>
              </w:rPr>
              <w:t>$0</w:t>
            </w:r>
          </w:p>
        </w:tc>
      </w:tr>
    </w:tbl>
    <w:p w:rsidR="003D6EBA" w:rsidRPr="00EA4B61" w:rsidP="00BE208D" w14:paraId="311DDF4E" w14:textId="77777777">
      <w:pPr>
        <w:pStyle w:val="FootnoteText"/>
        <w:rPr>
          <w:rFonts w:cs="Times New Roman"/>
          <w:b/>
          <w:sz w:val="24"/>
          <w:szCs w:val="24"/>
        </w:rPr>
      </w:pPr>
    </w:p>
    <w:p w:rsidR="003D6EBA" w:rsidRPr="00EA4B61" w:rsidP="00BE208D" w14:paraId="1516362A" w14:textId="0CD322C7">
      <w:pPr>
        <w:pStyle w:val="FootnoteText"/>
        <w:rPr>
          <w:rFonts w:cs="Times New Roman"/>
          <w:bCs/>
          <w:sz w:val="24"/>
          <w:szCs w:val="24"/>
        </w:rPr>
      </w:pPr>
      <w:r w:rsidRPr="00EA4B61">
        <w:rPr>
          <w:rFonts w:cs="Times New Roman"/>
          <w:b/>
          <w:sz w:val="24"/>
          <w:szCs w:val="24"/>
        </w:rPr>
        <w:t>Combined</w:t>
      </w:r>
    </w:p>
    <w:tbl>
      <w:tblPr>
        <w:tblStyle w:val="TableGrid"/>
        <w:tblW w:w="0" w:type="auto"/>
        <w:tblLook w:val="04A0"/>
      </w:tblPr>
      <w:tblGrid>
        <w:gridCol w:w="1870"/>
        <w:gridCol w:w="1870"/>
        <w:gridCol w:w="1870"/>
        <w:gridCol w:w="1870"/>
        <w:gridCol w:w="1870"/>
      </w:tblGrid>
      <w:tr w14:paraId="61624FCF" w14:textId="77777777">
        <w:tblPrEx>
          <w:tblW w:w="0" w:type="auto"/>
          <w:tblLook w:val="04A0"/>
        </w:tblPrEx>
        <w:tc>
          <w:tcPr>
            <w:tcW w:w="1870" w:type="dxa"/>
            <w:shd w:val="clear" w:color="auto" w:fill="D9D9D9" w:themeFill="background1" w:themeFillShade="D9"/>
            <w:vAlign w:val="bottom"/>
          </w:tcPr>
          <w:p w:rsidR="00DB1C5C" w:rsidRPr="00EA4B61" w14:paraId="5510659D" w14:textId="597F89B7">
            <w:pPr>
              <w:pStyle w:val="FootnoteText"/>
              <w:rPr>
                <w:rFonts w:cs="Times New Roman"/>
                <w:b/>
                <w:sz w:val="24"/>
                <w:szCs w:val="24"/>
              </w:rPr>
            </w:pPr>
          </w:p>
        </w:tc>
        <w:tc>
          <w:tcPr>
            <w:tcW w:w="1870" w:type="dxa"/>
            <w:shd w:val="clear" w:color="auto" w:fill="D9D9D9" w:themeFill="background1" w:themeFillShade="D9"/>
            <w:vAlign w:val="bottom"/>
          </w:tcPr>
          <w:p w:rsidR="00DB1C5C" w:rsidRPr="00EA4B61" w14:paraId="71170F19" w14:textId="49F3B2BB">
            <w:pPr>
              <w:pStyle w:val="FootnoteText"/>
              <w:jc w:val="center"/>
              <w:rPr>
                <w:rFonts w:cs="Times New Roman"/>
                <w:b/>
                <w:bCs/>
                <w:sz w:val="24"/>
                <w:szCs w:val="24"/>
              </w:rPr>
            </w:pPr>
            <w:r w:rsidRPr="00EA4B61">
              <w:rPr>
                <w:rFonts w:cs="Times New Roman"/>
                <w:b/>
                <w:bCs/>
                <w:sz w:val="24"/>
                <w:szCs w:val="24"/>
              </w:rPr>
              <w:t>Total Request</w:t>
            </w:r>
          </w:p>
        </w:tc>
        <w:tc>
          <w:tcPr>
            <w:tcW w:w="1870" w:type="dxa"/>
            <w:shd w:val="clear" w:color="auto" w:fill="D9D9D9" w:themeFill="background1" w:themeFillShade="D9"/>
            <w:vAlign w:val="bottom"/>
          </w:tcPr>
          <w:p w:rsidR="00DB1C5C" w:rsidRPr="00EA4B61" w14:paraId="1CAB34D6" w14:textId="5C350D63">
            <w:pPr>
              <w:pStyle w:val="FootnoteText"/>
              <w:jc w:val="center"/>
              <w:rPr>
                <w:rFonts w:cs="Times New Roman"/>
                <w:b/>
                <w:sz w:val="24"/>
                <w:szCs w:val="24"/>
              </w:rPr>
            </w:pPr>
            <w:r w:rsidRPr="00EA4B61">
              <w:rPr>
                <w:rFonts w:cs="Times New Roman"/>
                <w:b/>
                <w:sz w:val="24"/>
                <w:szCs w:val="24"/>
              </w:rPr>
              <w:t>Previously Approved</w:t>
            </w:r>
          </w:p>
        </w:tc>
        <w:tc>
          <w:tcPr>
            <w:tcW w:w="1870" w:type="dxa"/>
            <w:shd w:val="clear" w:color="auto" w:fill="D9D9D9" w:themeFill="background1" w:themeFillShade="D9"/>
            <w:vAlign w:val="bottom"/>
          </w:tcPr>
          <w:p w:rsidR="00DB1C5C" w:rsidRPr="00EA4B61" w14:paraId="6F16A7DE" w14:textId="77777777">
            <w:pPr>
              <w:pStyle w:val="FootnoteText"/>
              <w:jc w:val="center"/>
              <w:rPr>
                <w:rFonts w:cs="Times New Roman"/>
                <w:b/>
                <w:sz w:val="24"/>
                <w:szCs w:val="24"/>
              </w:rPr>
            </w:pPr>
            <w:r w:rsidRPr="00EA4B61">
              <w:rPr>
                <w:rFonts w:cs="Times New Roman"/>
                <w:b/>
                <w:sz w:val="24"/>
                <w:szCs w:val="24"/>
              </w:rPr>
              <w:t>Change Due to Adjustment in Estimate</w:t>
            </w:r>
          </w:p>
        </w:tc>
        <w:tc>
          <w:tcPr>
            <w:tcW w:w="1870" w:type="dxa"/>
            <w:shd w:val="clear" w:color="auto" w:fill="D9D9D9" w:themeFill="background1" w:themeFillShade="D9"/>
            <w:vAlign w:val="bottom"/>
          </w:tcPr>
          <w:p w:rsidR="00DB1C5C" w:rsidRPr="00EA4B61" w14:paraId="5332DD58" w14:textId="77777777">
            <w:pPr>
              <w:pStyle w:val="FootnoteText"/>
              <w:jc w:val="center"/>
              <w:rPr>
                <w:rFonts w:cs="Times New Roman"/>
                <w:b/>
                <w:sz w:val="24"/>
                <w:szCs w:val="24"/>
              </w:rPr>
            </w:pPr>
            <w:r w:rsidRPr="00EA4B61">
              <w:rPr>
                <w:rFonts w:cs="Times New Roman"/>
                <w:b/>
                <w:sz w:val="24"/>
                <w:szCs w:val="24"/>
              </w:rPr>
              <w:t>Change Due to Agency Discretion</w:t>
            </w:r>
          </w:p>
        </w:tc>
      </w:tr>
      <w:tr w14:paraId="50052827" w14:textId="77777777">
        <w:tblPrEx>
          <w:tblW w:w="0" w:type="auto"/>
          <w:tblLook w:val="04A0"/>
        </w:tblPrEx>
        <w:tc>
          <w:tcPr>
            <w:tcW w:w="1870" w:type="dxa"/>
            <w:vAlign w:val="bottom"/>
          </w:tcPr>
          <w:p w:rsidR="00DB1C5C" w:rsidRPr="00EA4B61" w14:paraId="139CA60C" w14:textId="77777777">
            <w:pPr>
              <w:pStyle w:val="FootnoteText"/>
              <w:rPr>
                <w:rFonts w:cs="Times New Roman"/>
                <w:bCs/>
                <w:sz w:val="24"/>
                <w:szCs w:val="24"/>
              </w:rPr>
            </w:pPr>
            <w:r w:rsidRPr="00EA4B61">
              <w:rPr>
                <w:rFonts w:cs="Times New Roman"/>
                <w:bCs/>
                <w:sz w:val="24"/>
                <w:szCs w:val="24"/>
              </w:rPr>
              <w:t>Annual Number of Responses</w:t>
            </w:r>
          </w:p>
        </w:tc>
        <w:tc>
          <w:tcPr>
            <w:tcW w:w="1870" w:type="dxa"/>
            <w:vAlign w:val="bottom"/>
          </w:tcPr>
          <w:p w:rsidR="00DB1C5C" w:rsidRPr="00EA4B61" w14:paraId="7B9AD8C5" w14:textId="5BE87772">
            <w:pPr>
              <w:pStyle w:val="FootnoteText"/>
              <w:jc w:val="right"/>
              <w:rPr>
                <w:rFonts w:cs="Times New Roman"/>
                <w:sz w:val="24"/>
                <w:szCs w:val="24"/>
              </w:rPr>
            </w:pPr>
            <w:r w:rsidRPr="00EA4B61">
              <w:rPr>
                <w:rFonts w:cs="Times New Roman"/>
                <w:sz w:val="24"/>
                <w:szCs w:val="24"/>
              </w:rPr>
              <w:t>25,791</w:t>
            </w:r>
          </w:p>
        </w:tc>
        <w:tc>
          <w:tcPr>
            <w:tcW w:w="1870" w:type="dxa"/>
            <w:vAlign w:val="bottom"/>
          </w:tcPr>
          <w:p w:rsidR="00DB1C5C" w:rsidRPr="00EA4B61" w14:paraId="7E7B0987" w14:textId="64C03AB0">
            <w:pPr>
              <w:pStyle w:val="FootnoteText"/>
              <w:jc w:val="right"/>
              <w:rPr>
                <w:rFonts w:cs="Times New Roman"/>
                <w:bCs/>
                <w:sz w:val="24"/>
                <w:szCs w:val="24"/>
              </w:rPr>
            </w:pPr>
            <w:r w:rsidRPr="00EA4B61">
              <w:rPr>
                <w:rFonts w:cs="Times New Roman"/>
                <w:bCs/>
                <w:sz w:val="24"/>
                <w:szCs w:val="24"/>
              </w:rPr>
              <w:t>25,784</w:t>
            </w:r>
          </w:p>
        </w:tc>
        <w:tc>
          <w:tcPr>
            <w:tcW w:w="1870" w:type="dxa"/>
            <w:vAlign w:val="bottom"/>
          </w:tcPr>
          <w:p w:rsidR="00DB1C5C" w:rsidRPr="00EA4B61" w14:paraId="51298BEF"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DB1C5C" w:rsidRPr="00EA4B61" w14:paraId="41EA2E75" w14:textId="2ADF4BE7">
            <w:pPr>
              <w:pStyle w:val="FootnoteText"/>
              <w:jc w:val="right"/>
              <w:rPr>
                <w:rFonts w:cs="Times New Roman"/>
                <w:sz w:val="24"/>
                <w:szCs w:val="24"/>
              </w:rPr>
            </w:pPr>
            <w:r w:rsidRPr="00EA4B61">
              <w:rPr>
                <w:rFonts w:cs="Times New Roman"/>
                <w:sz w:val="24"/>
                <w:szCs w:val="24"/>
              </w:rPr>
              <w:t>7</w:t>
            </w:r>
          </w:p>
        </w:tc>
      </w:tr>
      <w:tr w14:paraId="57EC4981" w14:textId="77777777">
        <w:tblPrEx>
          <w:tblW w:w="0" w:type="auto"/>
          <w:tblLook w:val="04A0"/>
        </w:tblPrEx>
        <w:tc>
          <w:tcPr>
            <w:tcW w:w="1870" w:type="dxa"/>
          </w:tcPr>
          <w:p w:rsidR="00DB1C5C" w:rsidRPr="00EA4B61" w14:paraId="70E23E5A" w14:textId="77777777">
            <w:pPr>
              <w:pStyle w:val="FootnoteText"/>
              <w:rPr>
                <w:rFonts w:cs="Times New Roman"/>
                <w:bCs/>
                <w:sz w:val="24"/>
                <w:szCs w:val="24"/>
              </w:rPr>
            </w:pPr>
            <w:r w:rsidRPr="00EA4B61">
              <w:rPr>
                <w:rFonts w:cs="Times New Roman"/>
                <w:bCs/>
                <w:sz w:val="24"/>
                <w:szCs w:val="24"/>
              </w:rPr>
              <w:t>Annual Time Burden (Hrs.)</w:t>
            </w:r>
          </w:p>
        </w:tc>
        <w:tc>
          <w:tcPr>
            <w:tcW w:w="1870" w:type="dxa"/>
            <w:vAlign w:val="bottom"/>
          </w:tcPr>
          <w:p w:rsidR="00DB1C5C" w:rsidRPr="00EA4B61" w14:paraId="327EE8E6" w14:textId="44039018">
            <w:pPr>
              <w:pStyle w:val="FootnoteText"/>
              <w:jc w:val="right"/>
              <w:rPr>
                <w:rFonts w:cs="Times New Roman"/>
                <w:sz w:val="24"/>
                <w:szCs w:val="24"/>
              </w:rPr>
            </w:pPr>
            <w:r w:rsidRPr="00EA4B61">
              <w:rPr>
                <w:rFonts w:cs="Times New Roman"/>
                <w:sz w:val="24"/>
                <w:szCs w:val="24"/>
              </w:rPr>
              <w:t>3</w:t>
            </w:r>
            <w:r w:rsidRPr="00EA4B61" w:rsidR="00B87B32">
              <w:rPr>
                <w:rFonts w:cs="Times New Roman"/>
                <w:sz w:val="24"/>
                <w:szCs w:val="24"/>
              </w:rPr>
              <w:t>62,549</w:t>
            </w:r>
          </w:p>
        </w:tc>
        <w:tc>
          <w:tcPr>
            <w:tcW w:w="1870" w:type="dxa"/>
            <w:vAlign w:val="bottom"/>
          </w:tcPr>
          <w:p w:rsidR="00DB1C5C" w:rsidRPr="00EA4B61" w14:paraId="49B9901A" w14:textId="4A7D6878">
            <w:pPr>
              <w:pStyle w:val="FootnoteText"/>
              <w:jc w:val="right"/>
              <w:rPr>
                <w:rFonts w:cs="Times New Roman"/>
                <w:bCs/>
                <w:sz w:val="24"/>
                <w:szCs w:val="24"/>
              </w:rPr>
            </w:pPr>
            <w:r w:rsidRPr="00EA4B61">
              <w:rPr>
                <w:rFonts w:cs="Times New Roman"/>
                <w:bCs/>
                <w:sz w:val="24"/>
                <w:szCs w:val="24"/>
              </w:rPr>
              <w:t>427,808</w:t>
            </w:r>
          </w:p>
        </w:tc>
        <w:tc>
          <w:tcPr>
            <w:tcW w:w="1870" w:type="dxa"/>
            <w:vAlign w:val="bottom"/>
          </w:tcPr>
          <w:p w:rsidR="00DB1C5C" w:rsidRPr="00EA4B61" w14:paraId="6EDA1966"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DB1C5C" w:rsidRPr="00EA4B61" w14:paraId="400D43BC" w14:textId="0B7470B6">
            <w:pPr>
              <w:pStyle w:val="FootnoteText"/>
              <w:jc w:val="right"/>
              <w:rPr>
                <w:rFonts w:cs="Times New Roman"/>
                <w:sz w:val="24"/>
                <w:szCs w:val="24"/>
              </w:rPr>
            </w:pPr>
            <w:r w:rsidRPr="00EA4B61">
              <w:rPr>
                <w:rFonts w:cs="Times New Roman"/>
                <w:sz w:val="24"/>
                <w:szCs w:val="24"/>
              </w:rPr>
              <w:t>-65,</w:t>
            </w:r>
            <w:r w:rsidRPr="00EA4B61" w:rsidR="00B87B32">
              <w:rPr>
                <w:rFonts w:cs="Times New Roman"/>
                <w:sz w:val="24"/>
                <w:szCs w:val="24"/>
              </w:rPr>
              <w:t>259</w:t>
            </w:r>
          </w:p>
        </w:tc>
      </w:tr>
      <w:tr w14:paraId="1D86E833" w14:textId="77777777">
        <w:tblPrEx>
          <w:tblW w:w="0" w:type="auto"/>
          <w:tblLook w:val="04A0"/>
        </w:tblPrEx>
        <w:tc>
          <w:tcPr>
            <w:tcW w:w="1870" w:type="dxa"/>
          </w:tcPr>
          <w:p w:rsidR="00DB1C5C" w:rsidRPr="00EA4B61" w14:paraId="1ECCBB46" w14:textId="77777777">
            <w:pPr>
              <w:pStyle w:val="FootnoteText"/>
              <w:rPr>
                <w:rFonts w:cs="Times New Roman"/>
                <w:bCs/>
                <w:sz w:val="24"/>
                <w:szCs w:val="24"/>
              </w:rPr>
            </w:pPr>
            <w:r w:rsidRPr="00EA4B61">
              <w:rPr>
                <w:rFonts w:cs="Times New Roman"/>
                <w:bCs/>
                <w:sz w:val="24"/>
                <w:szCs w:val="24"/>
              </w:rPr>
              <w:t>Annual Cost Burden ($)</w:t>
            </w:r>
          </w:p>
        </w:tc>
        <w:tc>
          <w:tcPr>
            <w:tcW w:w="1870" w:type="dxa"/>
            <w:vAlign w:val="bottom"/>
          </w:tcPr>
          <w:p w:rsidR="00DB1C5C" w:rsidRPr="00EA4B61" w14:paraId="2F392500"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DB1C5C" w:rsidRPr="00EA4B61" w14:paraId="3E4D5029"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DB1C5C" w:rsidRPr="00EA4B61" w14:paraId="37090299"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DB1C5C" w:rsidRPr="00EA4B61" w14:paraId="6FB568EB" w14:textId="77777777">
            <w:pPr>
              <w:pStyle w:val="FootnoteText"/>
              <w:jc w:val="right"/>
              <w:rPr>
                <w:rFonts w:cs="Times New Roman"/>
                <w:bCs/>
                <w:sz w:val="24"/>
                <w:szCs w:val="24"/>
              </w:rPr>
            </w:pPr>
            <w:r w:rsidRPr="00EA4B61">
              <w:rPr>
                <w:rFonts w:cs="Times New Roman"/>
                <w:bCs/>
                <w:sz w:val="24"/>
                <w:szCs w:val="24"/>
              </w:rPr>
              <w:t>$0</w:t>
            </w:r>
          </w:p>
        </w:tc>
      </w:tr>
    </w:tbl>
    <w:p w:rsidR="00DB1C5C" w:rsidRPr="00EA4B61" w:rsidP="00BE208D" w14:paraId="43F9967B" w14:textId="77777777">
      <w:pPr>
        <w:pStyle w:val="FootnoteText"/>
        <w:rPr>
          <w:rFonts w:cs="Times New Roman"/>
          <w:b/>
          <w:sz w:val="24"/>
          <w:szCs w:val="24"/>
        </w:rPr>
      </w:pPr>
    </w:p>
    <w:p w:rsidR="003D6EBA" w:rsidRPr="00EA4B61" w:rsidP="00BE208D" w14:paraId="554A7F7C" w14:textId="77777777">
      <w:pPr>
        <w:pStyle w:val="FootnoteText"/>
        <w:rPr>
          <w:rFonts w:cs="Times New Roman"/>
          <w:b/>
          <w:sz w:val="24"/>
          <w:szCs w:val="24"/>
        </w:rPr>
      </w:pPr>
    </w:p>
    <w:p w:rsidR="00BE208D" w:rsidRPr="00EA4B61" w:rsidP="00EA59F7" w14:paraId="311CA956" w14:textId="77777777">
      <w:pPr>
        <w:pStyle w:val="FootnoteText"/>
        <w:numPr>
          <w:ilvl w:val="0"/>
          <w:numId w:val="4"/>
        </w:numPr>
        <w:ind w:left="0" w:firstLine="0"/>
        <w:rPr>
          <w:rFonts w:cs="Times New Roman"/>
          <w:b/>
          <w:sz w:val="24"/>
          <w:szCs w:val="24"/>
        </w:rPr>
      </w:pPr>
      <w:r w:rsidRPr="00EA4B61">
        <w:rPr>
          <w:rFonts w:cs="Times New Roman"/>
          <w:b/>
          <w:sz w:val="24"/>
          <w:szCs w:val="24"/>
        </w:rPr>
        <w:t>TIME SCHEDULE FOR PUBLICATION OF DATA</w:t>
      </w:r>
    </w:p>
    <w:p w:rsidR="00BE208D" w:rsidRPr="00EA4B61" w:rsidP="00BE208D" w14:paraId="339914BF" w14:textId="77777777">
      <w:pPr>
        <w:pStyle w:val="FootnoteText"/>
        <w:rPr>
          <w:rFonts w:cs="Times New Roman"/>
          <w:b/>
          <w:sz w:val="24"/>
          <w:szCs w:val="24"/>
        </w:rPr>
      </w:pPr>
    </w:p>
    <w:p w:rsidR="00BE208D" w:rsidRPr="00EA4B61" w:rsidP="00BE208D" w14:paraId="12BDA853" w14:textId="77777777">
      <w:pPr>
        <w:pStyle w:val="FootnoteText"/>
        <w:rPr>
          <w:rFonts w:cs="Times New Roman"/>
          <w:sz w:val="24"/>
          <w:szCs w:val="24"/>
        </w:rPr>
      </w:pPr>
      <w:r w:rsidRPr="00EA4B61">
        <w:rPr>
          <w:rFonts w:cs="Times New Roman"/>
          <w:sz w:val="24"/>
          <w:szCs w:val="24"/>
        </w:rPr>
        <w:t>There are no publications for the collections of information.</w:t>
      </w:r>
    </w:p>
    <w:p w:rsidR="00BE208D" w:rsidRPr="00EA4B61" w:rsidP="00BE208D" w14:paraId="10EF2FD4" w14:textId="77777777">
      <w:pPr>
        <w:rPr>
          <w:rFonts w:ascii="Times New Roman" w:hAnsi="Times New Roman" w:cs="Times New Roman"/>
          <w:sz w:val="24"/>
          <w:szCs w:val="24"/>
        </w:rPr>
      </w:pPr>
    </w:p>
    <w:p w:rsidR="00BE208D" w:rsidRPr="00EA4B61" w:rsidP="00EA59F7" w14:paraId="430A89EB" w14:textId="77777777">
      <w:pPr>
        <w:pStyle w:val="FootnoteText"/>
        <w:numPr>
          <w:ilvl w:val="0"/>
          <w:numId w:val="4"/>
        </w:numPr>
        <w:ind w:left="0" w:firstLine="0"/>
        <w:rPr>
          <w:rFonts w:cs="Times New Roman"/>
          <w:b/>
          <w:sz w:val="24"/>
          <w:szCs w:val="24"/>
        </w:rPr>
      </w:pPr>
      <w:r w:rsidRPr="00EA4B61">
        <w:rPr>
          <w:rFonts w:cs="Times New Roman"/>
          <w:b/>
          <w:sz w:val="24"/>
          <w:szCs w:val="24"/>
        </w:rPr>
        <w:t>DISPLAY OF EXPIRATION DATES</w:t>
      </w:r>
    </w:p>
    <w:p w:rsidR="00BE208D" w:rsidRPr="00EA4B61" w:rsidP="00BE208D" w14:paraId="0659D52A" w14:textId="77777777">
      <w:pPr>
        <w:pStyle w:val="FootnoteText"/>
        <w:rPr>
          <w:rFonts w:cs="Times New Roman"/>
          <w:b/>
          <w:sz w:val="24"/>
          <w:szCs w:val="24"/>
        </w:rPr>
      </w:pPr>
    </w:p>
    <w:p w:rsidR="00650E76" w:rsidRPr="00EA4B61" w:rsidP="00650E76" w14:paraId="3F53691A" w14:textId="3C5015B7">
      <w:pPr>
        <w:pStyle w:val="FootnoteText"/>
        <w:rPr>
          <w:rFonts w:cs="Times New Roman"/>
          <w:bCs/>
          <w:sz w:val="24"/>
          <w:szCs w:val="24"/>
        </w:rPr>
      </w:pPr>
      <w:r w:rsidRPr="00EA4B61">
        <w:rPr>
          <w:rFonts w:cs="Times New Roman"/>
          <w:sz w:val="24"/>
          <w:szCs w:val="24"/>
        </w:rPr>
        <w:t xml:space="preserve">The expiration date for </w:t>
      </w:r>
      <w:r w:rsidRPr="00EA4B61" w:rsidR="00C60C5E">
        <w:rPr>
          <w:rFonts w:cs="Times New Roman"/>
          <w:sz w:val="24"/>
          <w:szCs w:val="24"/>
        </w:rPr>
        <w:t>these collections</w:t>
      </w:r>
      <w:r w:rsidRPr="00EA4B61">
        <w:rPr>
          <w:rFonts w:cs="Times New Roman"/>
          <w:sz w:val="24"/>
          <w:szCs w:val="24"/>
        </w:rPr>
        <w:t xml:space="preserve"> will not change as a result of the </w:t>
      </w:r>
      <w:r w:rsidR="00A441C4">
        <w:rPr>
          <w:rFonts w:cs="Times New Roman"/>
          <w:sz w:val="24"/>
          <w:szCs w:val="24"/>
        </w:rPr>
        <w:t>NOPR</w:t>
      </w:r>
      <w:r w:rsidRPr="00EA4B61">
        <w:rPr>
          <w:rFonts w:cs="Times New Roman"/>
          <w:sz w:val="24"/>
          <w:szCs w:val="24"/>
        </w:rPr>
        <w:t xml:space="preserve">.  </w:t>
      </w:r>
      <w:r w:rsidRPr="00EA4B61" w:rsidR="00C21703">
        <w:rPr>
          <w:rFonts w:cs="Times New Roman"/>
          <w:sz w:val="24"/>
          <w:szCs w:val="24"/>
        </w:rPr>
        <w:t>The OMB expiration date is posted on </w:t>
      </w:r>
      <w:hyperlink r:id="rId12" w:tgtFrame="_blank" w:history="1">
        <w:r w:rsidR="005F52C8">
          <w:rPr>
            <w:rStyle w:val="Hyperlink"/>
            <w:rFonts w:cs="Times New Roman"/>
            <w:sz w:val="24"/>
            <w:szCs w:val="24"/>
          </w:rPr>
          <w:t>https://www.ferc.gov/information-collections</w:t>
        </w:r>
      </w:hyperlink>
      <w:r w:rsidRPr="00EA4B61" w:rsidR="00C21703">
        <w:rPr>
          <w:rFonts w:cs="Times New Roman"/>
          <w:sz w:val="24"/>
          <w:szCs w:val="24"/>
        </w:rPr>
        <w:t>. </w:t>
      </w:r>
    </w:p>
    <w:p w:rsidR="008459C5" w:rsidRPr="00EA4B61" w14:paraId="7DF3D0CD" w14:textId="3B567D0F">
      <w:pPr>
        <w:rPr>
          <w:rFonts w:ascii="Times New Roman" w:hAnsi="Times New Roman" w:cs="Times New Roman"/>
          <w:b/>
          <w:bCs/>
          <w:sz w:val="24"/>
          <w:szCs w:val="24"/>
        </w:rPr>
      </w:pPr>
    </w:p>
    <w:p w:rsidR="00BE208D" w:rsidRPr="00EA4B61" w:rsidP="00EA59F7" w14:paraId="0D9E37D2" w14:textId="77777777">
      <w:pPr>
        <w:pStyle w:val="FootnoteText"/>
        <w:numPr>
          <w:ilvl w:val="0"/>
          <w:numId w:val="4"/>
        </w:numPr>
        <w:ind w:left="0" w:firstLine="0"/>
        <w:rPr>
          <w:rFonts w:cs="Times New Roman"/>
          <w:b/>
          <w:sz w:val="24"/>
          <w:szCs w:val="24"/>
        </w:rPr>
      </w:pPr>
      <w:r w:rsidRPr="00EA4B61">
        <w:rPr>
          <w:rFonts w:cs="Times New Roman"/>
          <w:b/>
          <w:sz w:val="24"/>
          <w:szCs w:val="24"/>
        </w:rPr>
        <w:t>EXCEPTIONS TO THE CERTIFICATION STATEMENT</w:t>
      </w:r>
    </w:p>
    <w:p w:rsidR="00BE208D" w:rsidRPr="00EA4B61" w:rsidP="00BE208D" w14:paraId="09D023C5" w14:textId="77777777">
      <w:pPr>
        <w:pStyle w:val="FootnoteText"/>
        <w:rPr>
          <w:rFonts w:cs="Times New Roman"/>
          <w:b/>
          <w:sz w:val="24"/>
          <w:szCs w:val="24"/>
        </w:rPr>
      </w:pPr>
    </w:p>
    <w:p w:rsidR="00BE208D" w:rsidRPr="00C67918" w:rsidP="00BE208D" w14:paraId="10F9040D" w14:textId="77777777">
      <w:pPr>
        <w:pStyle w:val="FootnoteText"/>
        <w:rPr>
          <w:rFonts w:cs="Times New Roman"/>
          <w:sz w:val="24"/>
          <w:szCs w:val="24"/>
        </w:rPr>
      </w:pPr>
      <w:r w:rsidRPr="00EA4B61">
        <w:rPr>
          <w:rFonts w:cs="Times New Roman"/>
          <w:sz w:val="24"/>
          <w:szCs w:val="24"/>
        </w:rPr>
        <w:t>There are no exceptions.</w:t>
      </w:r>
    </w:p>
    <w:sectPr>
      <w:headerReference w:type="default" r:id="rId13"/>
      <w:footerReference w:type="default" r:id="rId1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55352"/>
      <w:docPartObj>
        <w:docPartGallery w:val="Page Numbers (Bottom of Page)"/>
        <w:docPartUnique/>
      </w:docPartObj>
    </w:sdtPr>
    <w:sdtEndPr>
      <w:rPr>
        <w:noProof/>
      </w:rPr>
    </w:sdtEndPr>
    <w:sdtContent>
      <w:p w:rsidR="005B7349" w14:paraId="1DD2F5BB" w14:textId="77777777">
        <w:pPr>
          <w:pStyle w:val="Footer"/>
          <w:jc w:val="right"/>
        </w:pPr>
        <w:r w:rsidRPr="00935B86">
          <w:rPr>
            <w:rFonts w:ascii="Times New Roman" w:hAnsi="Times New Roman" w:cs="Times New Roman"/>
            <w:sz w:val="24"/>
            <w:szCs w:val="24"/>
          </w:rPr>
          <w:fldChar w:fldCharType="begin"/>
        </w:r>
        <w:r w:rsidRPr="00935B86">
          <w:rPr>
            <w:rFonts w:ascii="Times New Roman" w:hAnsi="Times New Roman" w:cs="Times New Roman"/>
            <w:sz w:val="24"/>
            <w:szCs w:val="24"/>
          </w:rPr>
          <w:instrText xml:space="preserve"> PAGE   \* MERGEFORMAT </w:instrText>
        </w:r>
        <w:r w:rsidRPr="00935B86">
          <w:rPr>
            <w:rFonts w:ascii="Times New Roman" w:hAnsi="Times New Roman" w:cs="Times New Roman"/>
            <w:sz w:val="24"/>
            <w:szCs w:val="24"/>
          </w:rPr>
          <w:fldChar w:fldCharType="separate"/>
        </w:r>
        <w:r w:rsidRPr="00935B86">
          <w:rPr>
            <w:rFonts w:ascii="Times New Roman" w:hAnsi="Times New Roman" w:cs="Times New Roman"/>
            <w:sz w:val="24"/>
            <w:szCs w:val="24"/>
          </w:rPr>
          <w:t>2</w:t>
        </w:r>
        <w:r w:rsidRPr="00935B86">
          <w:rPr>
            <w:rFonts w:ascii="Times New Roman" w:hAnsi="Times New Roman" w:cs="Times New Roman"/>
            <w:sz w:val="24"/>
            <w:szCs w:val="24"/>
          </w:rPr>
          <w:fldChar w:fldCharType="end"/>
        </w:r>
      </w:p>
    </w:sdtContent>
  </w:sdt>
  <w:p w:rsidR="044B1A6E" w:rsidP="044B1A6E" w14:paraId="4129D9B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06596" w:rsidP="00515F23" w14:paraId="70CDF3FA" w14:textId="77777777">
      <w:pPr>
        <w:spacing w:after="0" w:line="240" w:lineRule="auto"/>
      </w:pPr>
      <w:r>
        <w:separator/>
      </w:r>
    </w:p>
  </w:footnote>
  <w:footnote w:type="continuationSeparator" w:id="1">
    <w:p w:rsidR="00106596" w:rsidP="00515F23" w14:paraId="61A4067B" w14:textId="77777777">
      <w:pPr>
        <w:spacing w:after="0" w:line="240" w:lineRule="auto"/>
      </w:pPr>
      <w:r>
        <w:continuationSeparator/>
      </w:r>
    </w:p>
  </w:footnote>
  <w:footnote w:type="continuationNotice" w:id="2">
    <w:p w:rsidR="00106596" w14:paraId="563F6608" w14:textId="77777777">
      <w:pPr>
        <w:spacing w:after="0" w:line="240" w:lineRule="auto"/>
      </w:pPr>
    </w:p>
  </w:footnote>
  <w:footnote w:id="3">
    <w:p w:rsidR="008F2223" w:rsidP="008F2223" w14:paraId="02928103" w14:textId="77777777">
      <w:pPr>
        <w:pStyle w:val="FootnoteText"/>
      </w:pPr>
      <w:r>
        <w:rPr>
          <w:rStyle w:val="FootnoteReference"/>
        </w:rPr>
        <w:footnoteRef/>
      </w:r>
      <w:r>
        <w:t xml:space="preserve"> </w:t>
      </w:r>
      <w:r w:rsidRPr="003E56BA">
        <w:t>15 U.S.C. 717b</w:t>
      </w:r>
      <w:r>
        <w:t>; 717f.</w:t>
      </w:r>
    </w:p>
  </w:footnote>
  <w:footnote w:id="4">
    <w:p w:rsidR="00314F15" w:rsidRPr="00402205" w:rsidP="00314F15" w14:paraId="60EBABED" w14:textId="04F87225">
      <w:pPr>
        <w:pStyle w:val="FootnoteText"/>
      </w:pPr>
      <w:r>
        <w:rPr>
          <w:rStyle w:val="FootnoteReference"/>
        </w:rPr>
        <w:footnoteRef/>
      </w:r>
      <w:r>
        <w:t xml:space="preserve"> </w:t>
      </w:r>
      <w:r w:rsidRPr="00935B86" w:rsidR="001F4BAA">
        <w:t>18 CFR</w:t>
      </w:r>
      <w:r>
        <w:rPr>
          <w:i/>
          <w:iCs/>
        </w:rPr>
        <w:t xml:space="preserve"> </w:t>
      </w:r>
      <w:r>
        <w:t>157.203(b), 157.208(a), (e).</w:t>
      </w:r>
    </w:p>
  </w:footnote>
  <w:footnote w:id="5">
    <w:p w:rsidR="00314F15" w:rsidP="00314F15" w14:paraId="4C2F804F" w14:textId="77777777">
      <w:pPr>
        <w:pStyle w:val="FootnoteText"/>
      </w:pPr>
      <w:r>
        <w:rPr>
          <w:rStyle w:val="FootnoteReference"/>
        </w:rPr>
        <w:footnoteRef/>
      </w:r>
      <w:r>
        <w:t xml:space="preserve"> </w:t>
      </w:r>
      <w:r>
        <w:rPr>
          <w:i/>
          <w:iCs/>
        </w:rPr>
        <w:t xml:space="preserve">Id. </w:t>
      </w:r>
      <w:r>
        <w:t>157.203(c), 157.208(b).</w:t>
      </w:r>
    </w:p>
  </w:footnote>
  <w:footnote w:id="6">
    <w:p w:rsidR="00174136" w:rsidP="00174136" w14:paraId="276837E4" w14:textId="304241C9">
      <w:pPr>
        <w:pStyle w:val="FootnoteText"/>
        <w:widowControl/>
      </w:pPr>
      <w:r>
        <w:rPr>
          <w:rStyle w:val="FootnoteReference"/>
        </w:rPr>
        <w:footnoteRef/>
      </w:r>
      <w:r>
        <w:t xml:space="preserve"> </w:t>
      </w:r>
      <w:r w:rsidRPr="00C424C7">
        <w:t>15 U</w:t>
      </w:r>
      <w:r>
        <w:t>.</w:t>
      </w:r>
      <w:r w:rsidRPr="00C424C7">
        <w:t>S</w:t>
      </w:r>
      <w:r>
        <w:t>.</w:t>
      </w:r>
      <w:r w:rsidRPr="00C424C7">
        <w:t>C</w:t>
      </w:r>
      <w:r>
        <w:t>.</w:t>
      </w:r>
      <w:r w:rsidRPr="00C424C7">
        <w:t xml:space="preserve"> 717b(a)</w:t>
      </w:r>
      <w:r w:rsidRPr="005C4FFC">
        <w:t>.</w:t>
      </w:r>
    </w:p>
  </w:footnote>
  <w:footnote w:id="7">
    <w:p w:rsidR="00174136" w:rsidP="00174136" w14:paraId="6434E597" w14:textId="589DBE7D">
      <w:pPr>
        <w:pStyle w:val="FootnoteText"/>
        <w:widowControl/>
      </w:pPr>
      <w:r>
        <w:rPr>
          <w:rStyle w:val="FootnoteReference"/>
        </w:rPr>
        <w:footnoteRef/>
      </w:r>
      <w:r>
        <w:t xml:space="preserve"> </w:t>
      </w:r>
      <w:r w:rsidRPr="00742B5F">
        <w:t xml:space="preserve">15 </w:t>
      </w:r>
      <w:r>
        <w:t>U.S.C.</w:t>
      </w:r>
      <w:r w:rsidRPr="00742B5F">
        <w:t xml:space="preserve"> </w:t>
      </w:r>
      <w:r>
        <w:t>7</w:t>
      </w:r>
      <w:r w:rsidRPr="00742B5F">
        <w:t>17b(e)(</w:t>
      </w:r>
      <w:r>
        <w:t>1</w:t>
      </w:r>
      <w:r w:rsidRPr="00742B5F">
        <w:t>)</w:t>
      </w:r>
      <w:r>
        <w:t>.  LNG terminal is defined as:  “</w:t>
      </w:r>
      <w:r w:rsidRPr="00B763F3">
        <w:t>all natural gas facilities located onshore or in State waters that are used to receive, unload, load, store, transport, gasify, liquefy, or process natural gas that is imported to the United States . . . , exported to a foreign country . . . , or transported in interstate commerce by waterborne vessel, but does not include</w:t>
      </w:r>
      <w:r>
        <w:t xml:space="preserve"> </w:t>
      </w:r>
      <w:r w:rsidRPr="000476FD">
        <w:t>(A) waterborne vessels used to deliver natural gas to or from any such facility; or (B) any pipeline or storage facility subject to the jurisdiction of the Commission under [section 7].</w:t>
      </w:r>
      <w:r>
        <w:t xml:space="preserve">”  </w:t>
      </w:r>
      <w:r w:rsidRPr="002A2061">
        <w:rPr>
          <w:i/>
          <w:iCs/>
        </w:rPr>
        <w:t>Id.</w:t>
      </w:r>
      <w:r w:rsidRPr="00742B5F">
        <w:t xml:space="preserve"> 717</w:t>
      </w:r>
      <w:r>
        <w:t xml:space="preserve">a(11).  </w:t>
      </w:r>
    </w:p>
  </w:footnote>
  <w:footnote w:id="8">
    <w:p w:rsidR="00174136" w:rsidP="00174136" w14:paraId="5C58C1CC" w14:textId="77777777">
      <w:pPr>
        <w:pStyle w:val="FootnoteText"/>
      </w:pPr>
      <w:r>
        <w:rPr>
          <w:rStyle w:val="FootnoteReference"/>
        </w:rPr>
        <w:footnoteRef/>
      </w:r>
      <w:r>
        <w:t xml:space="preserve"> </w:t>
      </w:r>
      <w:r>
        <w:rPr>
          <w:i/>
          <w:iCs/>
        </w:rPr>
        <w:t>Id.</w:t>
      </w:r>
      <w:r w:rsidRPr="00A141C3">
        <w:rPr>
          <w:szCs w:val="26"/>
        </w:rPr>
        <w:t xml:space="preserve"> 717f(c)(1)(A)</w:t>
      </w:r>
      <w:r>
        <w:rPr>
          <w:szCs w:val="26"/>
        </w:rPr>
        <w:t>.</w:t>
      </w:r>
    </w:p>
  </w:footnote>
  <w:footnote w:id="9">
    <w:p w:rsidR="00174136" w:rsidP="00174136" w14:paraId="540F972F" w14:textId="77777777">
      <w:pPr>
        <w:pStyle w:val="FootnoteText"/>
      </w:pPr>
      <w:r>
        <w:rPr>
          <w:rStyle w:val="FootnoteReference"/>
        </w:rPr>
        <w:footnoteRef/>
      </w:r>
      <w:r>
        <w:t xml:space="preserve"> </w:t>
      </w:r>
      <w:r w:rsidRPr="002A2061">
        <w:rPr>
          <w:i/>
          <w:iCs/>
        </w:rPr>
        <w:t>Id.</w:t>
      </w:r>
      <w:r w:rsidRPr="00E20459">
        <w:t xml:space="preserve"> 717b(a)</w:t>
      </w:r>
      <w:r w:rsidRPr="00641843">
        <w:t>, </w:t>
      </w:r>
      <w:r>
        <w:t>717b</w:t>
      </w:r>
      <w:r w:rsidRPr="00E20459">
        <w:t>(e)(3)</w:t>
      </w:r>
      <w:r>
        <w:t>, 717f(e)</w:t>
      </w:r>
      <w:r w:rsidRPr="00641843">
        <w:t xml:space="preserve">. </w:t>
      </w:r>
      <w:r>
        <w:t xml:space="preserve"> </w:t>
      </w:r>
      <w:r w:rsidRPr="00641843">
        <w:t>For a discussion of the Commission</w:t>
      </w:r>
      <w:r>
        <w:t>’</w:t>
      </w:r>
      <w:r w:rsidRPr="00641843">
        <w:t>s authority to condition its approvals of</w:t>
      </w:r>
      <w:r>
        <w:t xml:space="preserve"> </w:t>
      </w:r>
      <w:r w:rsidRPr="00E20459">
        <w:t>LNG</w:t>
      </w:r>
      <w:r>
        <w:t xml:space="preserve"> </w:t>
      </w:r>
      <w:r w:rsidRPr="00397F74">
        <w:t>plants</w:t>
      </w:r>
      <w:r w:rsidRPr="00641843">
        <w:t xml:space="preserve"> under section 3 of the NGA, </w:t>
      </w:r>
      <w:r w:rsidRPr="00E20459">
        <w:rPr>
          <w:i/>
          <w:iCs/>
        </w:rPr>
        <w:t>see, e.g.</w:t>
      </w:r>
      <w:r w:rsidRPr="00641843">
        <w:t>, </w:t>
      </w:r>
      <w:r w:rsidRPr="00155E2A">
        <w:rPr>
          <w:i/>
          <w:iCs/>
        </w:rPr>
        <w:t>Distrigas Corp. v. FPC</w:t>
      </w:r>
      <w:r w:rsidRPr="00E20459">
        <w:t>, 495 F.2d 1057, 1063-64 (D.C. Cir. 1974)</w:t>
      </w:r>
      <w:r w:rsidRPr="00641843">
        <w:t>, </w:t>
      </w:r>
      <w:r w:rsidRPr="00641843">
        <w:rPr>
          <w:i/>
          <w:iCs/>
        </w:rPr>
        <w:t>cert. denied</w:t>
      </w:r>
      <w:r w:rsidRPr="00641843">
        <w:t>,</w:t>
      </w:r>
      <w:r>
        <w:t xml:space="preserve"> </w:t>
      </w:r>
      <w:r w:rsidRPr="00E20459">
        <w:t>419 U.S. 834 (1974)</w:t>
      </w:r>
      <w:r w:rsidRPr="00641843">
        <w:t>; </w:t>
      </w:r>
      <w:r w:rsidRPr="00155E2A">
        <w:rPr>
          <w:i/>
          <w:iCs/>
        </w:rPr>
        <w:t>Dynegy LNG Prod. Terminal, L.P.</w:t>
      </w:r>
      <w:r w:rsidRPr="00E20459">
        <w:t>, 97 FERC ¶ 61,231 (2001)</w:t>
      </w:r>
      <w:r>
        <w:t>.</w:t>
      </w:r>
    </w:p>
  </w:footnote>
  <w:footnote w:id="10">
    <w:p w:rsidR="00174136" w:rsidP="00174136" w14:paraId="2B3C951A" w14:textId="77777777">
      <w:pPr>
        <w:pStyle w:val="FootnoteText"/>
      </w:pPr>
      <w:r>
        <w:rPr>
          <w:rStyle w:val="FootnoteReference"/>
        </w:rPr>
        <w:footnoteRef/>
      </w:r>
      <w:r>
        <w:t xml:space="preserve"> </w:t>
      </w:r>
      <w:r w:rsidRPr="00B85633">
        <w:t xml:space="preserve">LNG projects occurring during operation may include:  safety system installations, existing equipment upgrades or replacements, emissions controls, system modifications to enable integration with non-jurisdictional activities (helium extraction or offsite carbon capture and sequestration), uprates, extra power generation, and new LNG trains, storage tanks, or loading berths.  </w:t>
      </w:r>
    </w:p>
  </w:footnote>
  <w:footnote w:id="11">
    <w:p w:rsidR="009C0003" w:rsidP="009C0003" w14:paraId="3C77D313" w14:textId="77777777">
      <w:pPr>
        <w:pStyle w:val="FootnoteText"/>
      </w:pPr>
      <w:r>
        <w:rPr>
          <w:rStyle w:val="FootnoteReference"/>
        </w:rPr>
        <w:footnoteRef/>
      </w:r>
      <w:r>
        <w:t xml:space="preserve"> </w:t>
      </w:r>
      <w:r w:rsidRPr="00DE6230">
        <w:t>13 CFR 121.101</w:t>
      </w:r>
      <w:r>
        <w:t xml:space="preserve">; NAICS Association, </w:t>
      </w:r>
      <w:r w:rsidRPr="004428F0">
        <w:t>488999</w:t>
      </w:r>
      <w:r>
        <w:t xml:space="preserve"> - </w:t>
      </w:r>
      <w:r w:rsidRPr="001B0EF9">
        <w:t>All Other Support Activities for Transportation</w:t>
      </w:r>
      <w:r>
        <w:t xml:space="preserve">, </w:t>
      </w:r>
      <w:r w:rsidRPr="00741015">
        <w:t>https://www.naics.com/naics-code-description/?v=2022&amp;code=221210</w:t>
      </w:r>
      <w:r w:rsidRPr="00364E98">
        <w:t>.</w:t>
      </w:r>
    </w:p>
  </w:footnote>
  <w:footnote w:id="12">
    <w:p w:rsidR="002C2F62" w:rsidP="002C2F62" w14:paraId="340134DA" w14:textId="22862C34">
      <w:pPr>
        <w:pStyle w:val="FootnoteText"/>
      </w:pPr>
      <w:r>
        <w:rPr>
          <w:rStyle w:val="FootnoteReference"/>
        </w:rPr>
        <w:footnoteRef/>
      </w:r>
      <w:r>
        <w:t xml:space="preserve"> </w:t>
      </w:r>
      <w:r w:rsidRPr="00F40EE2">
        <w:rPr>
          <w:i/>
          <w:iCs/>
        </w:rPr>
        <w:t>Authorizations for Certain Activities at Liquefied Natural Gas Plants</w:t>
      </w:r>
      <w:r w:rsidRPr="00F40EE2">
        <w:t xml:space="preserve">, 193 FERC ¶ 61,141 (2025).  </w:t>
      </w:r>
    </w:p>
  </w:footnote>
  <w:footnote w:id="13">
    <w:p w:rsidR="002C2F62" w:rsidP="002C2F62" w14:paraId="2D5555EE" w14:textId="77777777">
      <w:pPr>
        <w:pStyle w:val="FootnoteText"/>
      </w:pPr>
      <w:r>
        <w:rPr>
          <w:rStyle w:val="FootnoteReference"/>
        </w:rPr>
        <w:footnoteRef/>
      </w:r>
      <w:r>
        <w:t xml:space="preserve"> 90 FR 53251 (Nov. 25, 2025).</w:t>
      </w:r>
    </w:p>
  </w:footnote>
  <w:footnote w:id="14">
    <w:p w:rsidR="002C2F62" w:rsidP="002C2F62" w14:paraId="284E6D12" w14:textId="77777777">
      <w:pPr>
        <w:pStyle w:val="FootnoteText"/>
      </w:pPr>
      <w:r>
        <w:rPr>
          <w:rStyle w:val="FootnoteReference"/>
        </w:rPr>
        <w:footnoteRef/>
      </w:r>
      <w:r>
        <w:t xml:space="preserve"> </w:t>
      </w:r>
      <w:r w:rsidRPr="00A53C33">
        <w:t>The Commission also received motions to intervene from Atmos Energy Corp., Symmetry Energy Solutions, and the Maryland Office of the Attorney General.</w:t>
      </w:r>
    </w:p>
  </w:footnote>
  <w:footnote w:id="15">
    <w:p w:rsidR="7B01767A" w14:paraId="2B37D877" w14:textId="3D69223C">
      <w:pPr>
        <w:bidi w:val="0"/>
        <w:rPr>
          <w:b w:val="0"/>
          <w:bCs w:val="0"/>
        </w:rPr>
      </w:pPr>
      <w:r w:rsidRPr="7B01767A">
        <w:rPr>
          <w:vertAlign w:val="superscript"/>
        </w:rPr>
        <w:footnoteRef/>
      </w:r>
      <w:r>
        <w:t xml:space="preserve"> </w:t>
      </w:r>
      <w:r>
        <w:rPr>
          <w:b w:val="0"/>
          <w:bCs w:val="0"/>
        </w:rPr>
        <w:t>The comments are a</w:t>
      </w:r>
      <w:r>
        <w:rPr>
          <w:b w:val="0"/>
          <w:bCs w:val="0"/>
        </w:rPr>
        <w:t xml:space="preserve">vailable at eLibrary at </w:t>
      </w:r>
      <w:hyperlink r:id="rId1">
        <w:r w:rsidRPr="7B01767A">
          <w:rPr>
            <w:rStyle w:val="Hyperlink"/>
            <w:b w:val="0"/>
            <w:bCs w:val="0"/>
          </w:rPr>
          <w:t>https://elibrary.ferc.gov/eLibrary/search</w:t>
        </w:r>
      </w:hyperlink>
      <w:r>
        <w:rPr>
          <w:b w:val="0"/>
          <w:bCs w:val="0"/>
        </w:rPr>
        <w:t xml:space="preserve"> by searching for the docket ID RM26-2.</w:t>
      </w:r>
    </w:p>
  </w:footnote>
  <w:footnote w:id="16">
    <w:p w:rsidR="00483B53" w:rsidP="00483B53" w14:paraId="587430B1" w14:textId="538D2DC6">
      <w:pPr>
        <w:pStyle w:val="FootnoteText"/>
      </w:pPr>
      <w:r>
        <w:rPr>
          <w:rStyle w:val="FootnoteReference"/>
        </w:rPr>
        <w:footnoteRef/>
      </w:r>
      <w:r w:rsidR="7B01767A">
        <w:t xml:space="preserve"> </w:t>
      </w:r>
      <w:r w:rsidRPr="7B01767A" w:rsidR="7B01767A">
        <w:rPr>
          <w:i/>
          <w:iCs/>
        </w:rPr>
        <w:t>Revisions to the Blanket Certificate Program</w:t>
      </w:r>
      <w:r w:rsidRPr="00BC577E" w:rsidR="7B01767A">
        <w:rPr>
          <w:szCs w:val="26"/>
        </w:rPr>
        <w:t xml:space="preserve">, </w:t>
      </w:r>
      <w:r w:rsidRPr="00BC577E" w:rsidR="7B01767A">
        <w:t xml:space="preserve">91 FR </w:t>
      </w:r>
      <w:r w:rsidR="7B01767A">
        <w:t>31371</w:t>
      </w:r>
      <w:r w:rsidR="7B01767A">
        <w:t>,</w:t>
      </w:r>
      <w:r w:rsidR="7B01767A">
        <w:t xml:space="preserve"> 195 FERC ¶ 61,128.</w:t>
      </w:r>
    </w:p>
  </w:footnote>
  <w:footnote w:id="17">
    <w:p w:rsidR="00483B53" w:rsidP="00483B53" w14:paraId="7C7CE664" w14:textId="77777777">
      <w:pPr>
        <w:pStyle w:val="FootnoteText"/>
      </w:pPr>
      <w:r>
        <w:rPr>
          <w:rStyle w:val="FootnoteReference"/>
        </w:rPr>
        <w:footnoteRef/>
      </w:r>
      <w:r>
        <w:t xml:space="preserve"> </w:t>
      </w:r>
      <w:r w:rsidRPr="0072543F">
        <w:rPr>
          <w:szCs w:val="26"/>
        </w:rPr>
        <w:t>Burden is defined as the total time, effort, or</w:t>
      </w:r>
      <w:r>
        <w:t xml:space="preserve"> </w:t>
      </w:r>
      <w:r w:rsidRPr="0072543F">
        <w:rPr>
          <w:szCs w:val="26"/>
        </w:rPr>
        <w:t>financial resources expended by persons to</w:t>
      </w:r>
      <w:r>
        <w:t xml:space="preserve"> </w:t>
      </w:r>
      <w:r w:rsidRPr="0072543F">
        <w:rPr>
          <w:szCs w:val="26"/>
        </w:rPr>
        <w:t>generate, maintain, retain, disclose, or provide</w:t>
      </w:r>
      <w:r>
        <w:t xml:space="preserve"> </w:t>
      </w:r>
      <w:r w:rsidRPr="0072543F">
        <w:rPr>
          <w:szCs w:val="26"/>
        </w:rPr>
        <w:t xml:space="preserve">information to or for a </w:t>
      </w:r>
      <w:r>
        <w:rPr>
          <w:szCs w:val="26"/>
        </w:rPr>
        <w:t>F</w:t>
      </w:r>
      <w:r w:rsidRPr="0072543F">
        <w:rPr>
          <w:szCs w:val="26"/>
        </w:rPr>
        <w:t xml:space="preserve">ederal agency. </w:t>
      </w:r>
      <w:r>
        <w:rPr>
          <w:szCs w:val="26"/>
        </w:rPr>
        <w:t xml:space="preserve"> </w:t>
      </w:r>
      <w:r w:rsidRPr="0072543F">
        <w:rPr>
          <w:szCs w:val="26"/>
        </w:rPr>
        <w:t>For further</w:t>
      </w:r>
      <w:r>
        <w:t xml:space="preserve"> </w:t>
      </w:r>
      <w:r w:rsidRPr="0072543F">
        <w:rPr>
          <w:szCs w:val="26"/>
        </w:rPr>
        <w:t>explanation of what is included in the information</w:t>
      </w:r>
      <w:r>
        <w:t xml:space="preserve"> </w:t>
      </w:r>
      <w:r w:rsidRPr="007E5BCC">
        <w:t>collection burden, refer to 5 CFR 1320.3.</w:t>
      </w:r>
    </w:p>
  </w:footnote>
  <w:footnote w:id="18">
    <w:p w:rsidR="00483B53" w:rsidP="00483B53" w14:paraId="5E9F8057" w14:textId="77777777">
      <w:pPr>
        <w:pStyle w:val="FootnoteText"/>
        <w:rPr>
          <w:szCs w:val="26"/>
        </w:rPr>
      </w:pPr>
      <w:r>
        <w:rPr>
          <w:rStyle w:val="FootnoteReference"/>
          <w:szCs w:val="26"/>
        </w:rPr>
        <w:footnoteRef/>
      </w:r>
      <w:r>
        <w:rPr>
          <w:szCs w:val="26"/>
        </w:rPr>
        <w:t xml:space="preserve"> Commission staff estimates that the industry’s hourly cost for wages plus benefits is similar to the Commission’s $102 FY 2026 average hourly cost for wages and benefits.</w:t>
      </w:r>
    </w:p>
  </w:footnote>
  <w:footnote w:id="19">
    <w:p w:rsidR="00483B53" w:rsidRPr="0072543F" w:rsidP="00483B53" w14:paraId="280B66BE" w14:textId="77777777">
      <w:pPr>
        <w:pStyle w:val="FootnoteText"/>
        <w:rPr>
          <w:szCs w:val="26"/>
        </w:rPr>
      </w:pPr>
      <w:r>
        <w:rPr>
          <w:rStyle w:val="FootnoteReference"/>
          <w:szCs w:val="26"/>
        </w:rPr>
        <w:footnoteRef/>
      </w:r>
      <w:r>
        <w:rPr>
          <w:szCs w:val="26"/>
        </w:rPr>
        <w:t xml:space="preserve"> Each of the figures in this column are rounded to the nearest dollar.</w:t>
      </w:r>
    </w:p>
  </w:footnote>
  <w:footnote w:id="20">
    <w:p w:rsidR="00483B53" w:rsidP="00483B53" w14:paraId="58715865" w14:textId="7977AE47">
      <w:pPr>
        <w:pStyle w:val="FootnoteText"/>
      </w:pPr>
      <w:r>
        <w:rPr>
          <w:rStyle w:val="FootnoteReference"/>
        </w:rPr>
        <w:footnoteRef/>
      </w:r>
      <w:r>
        <w:t xml:space="preserve"> This </w:t>
      </w:r>
      <w:r w:rsidRPr="00A441C4" w:rsidR="00A441C4">
        <w:t>NOPR</w:t>
      </w:r>
      <w:r w:rsidRPr="00A441C4" w:rsidR="00A441C4">
        <w:t xml:space="preserve"> </w:t>
      </w:r>
      <w:r>
        <w:t>would reduce the number of applications.  There is no proposed impact on the other parts of this collection.</w:t>
      </w:r>
    </w:p>
  </w:footnote>
  <w:footnote w:id="21">
    <w:p w:rsidR="00483B53" w:rsidP="00483B53" w14:paraId="0F58FE93" w14:textId="77777777">
      <w:pPr>
        <w:pStyle w:val="FootnoteText"/>
      </w:pPr>
      <w:r>
        <w:rPr>
          <w:rStyle w:val="FootnoteReference"/>
        </w:rPr>
        <w:footnoteRef/>
      </w:r>
      <w:r>
        <w:t xml:space="preserve"> Described above in the estimated impacts to the FERC-537 information collection.</w:t>
      </w:r>
    </w:p>
  </w:footnote>
  <w:footnote w:id="22">
    <w:p w:rsidR="00483B53" w:rsidP="00483B53" w14:paraId="642B05BF" w14:textId="77777777">
      <w:pPr>
        <w:pStyle w:val="FootnoteText"/>
        <w:rPr>
          <w:szCs w:val="26"/>
        </w:rPr>
      </w:pPr>
      <w:r>
        <w:rPr>
          <w:rStyle w:val="FootnoteReference"/>
          <w:szCs w:val="26"/>
        </w:rPr>
        <w:footnoteRef/>
      </w:r>
      <w:r>
        <w:rPr>
          <w:szCs w:val="26"/>
        </w:rPr>
        <w:t xml:space="preserve"> Commission staff estimates that the industry’s hourly cost for wages plus benefits is similar to the Commission’s $102 FY 2026 average hourly cost for wages and benefits.</w:t>
      </w:r>
    </w:p>
  </w:footnote>
  <w:footnote w:id="23">
    <w:p w:rsidR="00483B53" w:rsidP="00483B53" w14:paraId="61886101" w14:textId="77777777">
      <w:pPr>
        <w:pStyle w:val="FootnoteText"/>
      </w:pPr>
      <w:r>
        <w:rPr>
          <w:rStyle w:val="FootnoteReference"/>
        </w:rPr>
        <w:footnoteRef/>
      </w:r>
      <w:r>
        <w:t xml:space="preserve"> After the initial applications in the first 3 years, t</w:t>
      </w:r>
      <w:r w:rsidRPr="00416799">
        <w:t>he Commission</w:t>
      </w:r>
      <w:r>
        <w:t xml:space="preserve"> anticipates that there will only be a new application when a new company enters the market.  </w:t>
      </w:r>
      <w:r w:rsidRPr="00416799">
        <w:t>The Commission</w:t>
      </w:r>
      <w:r>
        <w:t xml:space="preserve"> estimates this as 1 application every 3 years.</w:t>
      </w:r>
    </w:p>
  </w:footnote>
  <w:footnote w:id="24">
    <w:p w:rsidR="00483B53" w:rsidP="00483B53" w14:paraId="47FE3D6D" w14:textId="0A90F18E">
      <w:pPr>
        <w:pStyle w:val="FootnoteText"/>
      </w:pPr>
      <w:r>
        <w:rPr>
          <w:rStyle w:val="FootnoteReference"/>
        </w:rPr>
        <w:footnoteRef/>
      </w:r>
      <w:r>
        <w:t xml:space="preserve"> These semi-annual operational reports are already required as part of each company’s authorization under section 3 </w:t>
      </w:r>
      <w:r w:rsidR="003539B1">
        <w:t xml:space="preserve">or 7 </w:t>
      </w:r>
      <w:r>
        <w:t xml:space="preserve">of the NGA.  </w:t>
      </w:r>
      <w:r w:rsidRPr="00416799">
        <w:t>The Commission</w:t>
      </w:r>
      <w:r>
        <w:t xml:space="preserve"> is incorporating this requirement into the regulations and documenting that shift with this information collection.</w:t>
      </w:r>
    </w:p>
  </w:footnote>
  <w:footnote w:id="25">
    <w:p w:rsidR="00483B53" w:rsidRPr="009E38AE" w:rsidP="00483B53" w14:paraId="7F87652C" w14:textId="77777777">
      <w:pPr>
        <w:pStyle w:val="FootnoteText"/>
        <w:rPr>
          <w:szCs w:val="26"/>
        </w:rPr>
      </w:pPr>
      <w:r>
        <w:rPr>
          <w:rStyle w:val="FootnoteReference"/>
        </w:rPr>
        <w:footnoteRef/>
      </w:r>
      <w:r>
        <w:t xml:space="preserve"> This is the number of estimated companies anticipated to file environmental related information.  This is based on previous </w:t>
      </w:r>
      <w:r w:rsidRPr="006C5C42">
        <w:rPr>
          <w:szCs w:val="26"/>
        </w:rPr>
        <w:t>years</w:t>
      </w:r>
      <w:r>
        <w:rPr>
          <w:szCs w:val="26"/>
        </w:rPr>
        <w:t>’</w:t>
      </w:r>
      <w:r w:rsidRPr="006C5C42">
        <w:rPr>
          <w:szCs w:val="26"/>
        </w:rPr>
        <w:t xml:space="preserve"> responses combined with tre</w:t>
      </w:r>
      <w:r>
        <w:rPr>
          <w:szCs w:val="26"/>
        </w:rPr>
        <w:t>n</w:t>
      </w:r>
      <w:r w:rsidRPr="006C5C42">
        <w:rPr>
          <w:szCs w:val="26"/>
        </w:rPr>
        <w:t>d information.</w:t>
      </w:r>
    </w:p>
  </w:footnote>
  <w:footnote w:id="26">
    <w:p w:rsidR="001013C6" w14:paraId="74E83331" w14:textId="03EF9A7C">
      <w:pPr>
        <w:pStyle w:val="FootnoteText"/>
      </w:pPr>
      <w:r>
        <w:rPr>
          <w:rStyle w:val="FootnoteReference"/>
        </w:rPr>
        <w:footnoteRef/>
      </w:r>
      <w:r>
        <w:t xml:space="preserve"> </w:t>
      </w:r>
      <w:r w:rsidR="00B13FC6">
        <w:t xml:space="preserve">The </w:t>
      </w:r>
      <w:r w:rsidRPr="006941C3" w:rsidR="00B13FC6">
        <w:rPr>
          <w:szCs w:val="26"/>
        </w:rPr>
        <w:t>Commission’s FY 2026 average cost for wages and benefits</w:t>
      </w:r>
      <w:r w:rsidR="00B13FC6">
        <w:rPr>
          <w:szCs w:val="26"/>
        </w:rPr>
        <w:t xml:space="preserve"> is </w:t>
      </w:r>
      <w:r w:rsidRPr="006941C3" w:rsidR="00B13FC6">
        <w:rPr>
          <w:szCs w:val="26"/>
        </w:rPr>
        <w:t>$102</w:t>
      </w:r>
      <w:r w:rsidR="00B13FC6">
        <w:rPr>
          <w:szCs w:val="26"/>
        </w:rPr>
        <w:t>/</w:t>
      </w:r>
      <w:r w:rsidR="007C09CE">
        <w:rPr>
          <w:szCs w:val="26"/>
        </w:rPr>
        <w:t>hr or $213,003 annually.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3BA9" w:rsidP="00C43BA9" w14:paraId="6ABE700D" w14:textId="6852DBE8">
    <w:pPr>
      <w:pStyle w:val="Header"/>
      <w:rPr>
        <w:rFonts w:ascii="Times New Roman" w:hAnsi="Times New Roman"/>
        <w:sz w:val="26"/>
      </w:rPr>
    </w:pPr>
    <w:r w:rsidRPr="00C43BA9">
      <w:rPr>
        <w:rFonts w:ascii="Times New Roman" w:hAnsi="Times New Roman"/>
        <w:sz w:val="26"/>
      </w:rPr>
      <w:t>FERC-5</w:t>
    </w:r>
    <w:r w:rsidR="00CA146A">
      <w:rPr>
        <w:rFonts w:ascii="Times New Roman" w:hAnsi="Times New Roman"/>
        <w:sz w:val="26"/>
      </w:rPr>
      <w:t>3</w:t>
    </w:r>
    <w:r w:rsidRPr="00C43BA9">
      <w:rPr>
        <w:rFonts w:ascii="Times New Roman" w:hAnsi="Times New Roman"/>
        <w:sz w:val="26"/>
      </w:rPr>
      <w:t>7</w:t>
    </w:r>
    <w:r w:rsidR="00C45ECF">
      <w:rPr>
        <w:rFonts w:ascii="Times New Roman" w:hAnsi="Times New Roman"/>
        <w:sz w:val="26"/>
      </w:rPr>
      <w:t>, FERC-539, FERC-577</w:t>
    </w:r>
    <w:r w:rsidRPr="00C43BA9">
      <w:rPr>
        <w:rFonts w:ascii="Times New Roman" w:hAnsi="Times New Roman"/>
        <w:sz w:val="26"/>
      </w:rPr>
      <w:t xml:space="preserve"> (</w:t>
    </w:r>
    <w:r w:rsidR="004874D9">
      <w:rPr>
        <w:rFonts w:ascii="Times New Roman" w:hAnsi="Times New Roman"/>
        <w:sz w:val="26"/>
      </w:rPr>
      <w:t xml:space="preserve">OMB No. </w:t>
    </w:r>
    <w:r w:rsidRPr="00C43BA9">
      <w:rPr>
        <w:rFonts w:ascii="Times New Roman" w:hAnsi="Times New Roman"/>
        <w:sz w:val="26"/>
      </w:rPr>
      <w:t>1902-0</w:t>
    </w:r>
    <w:r w:rsidR="00CA146A">
      <w:rPr>
        <w:rFonts w:ascii="Times New Roman" w:hAnsi="Times New Roman"/>
        <w:sz w:val="26"/>
      </w:rPr>
      <w:t>060</w:t>
    </w:r>
    <w:r w:rsidR="00451FA5">
      <w:rPr>
        <w:rFonts w:ascii="Times New Roman" w:hAnsi="Times New Roman"/>
        <w:sz w:val="26"/>
      </w:rPr>
      <w:t>, 1902-0062, 1902-</w:t>
    </w:r>
    <w:r w:rsidR="00760D0E">
      <w:rPr>
        <w:rFonts w:ascii="Times New Roman" w:hAnsi="Times New Roman"/>
        <w:sz w:val="26"/>
      </w:rPr>
      <w:t>0128</w:t>
    </w:r>
    <w:r w:rsidRPr="00C43BA9">
      <w:rPr>
        <w:rFonts w:ascii="Times New Roman" w:hAnsi="Times New Roman"/>
        <w:sz w:val="26"/>
      </w:rPr>
      <w:t>)</w:t>
    </w:r>
  </w:p>
  <w:p w:rsidR="004874D9" w:rsidP="506CCA6A" w14:paraId="32798FC4" w14:textId="00A5B17C">
    <w:pPr>
      <w:pStyle w:val="Header"/>
      <w:rPr>
        <w:rFonts w:ascii="Times New Roman" w:eastAsia="Calibri" w:hAnsi="Times New Roman" w:cs="Arial"/>
        <w:sz w:val="26"/>
        <w:szCs w:val="26"/>
      </w:rPr>
    </w:pPr>
    <w:r w:rsidRPr="506CCA6A">
      <w:rPr>
        <w:rFonts w:ascii="Times New Roman" w:hAnsi="Times New Roman"/>
        <w:sz w:val="26"/>
        <w:szCs w:val="26"/>
      </w:rPr>
      <w:t xml:space="preserve">Docket No. </w:t>
    </w:r>
    <w:r w:rsidRPr="506CCA6A">
      <w:rPr>
        <w:rFonts w:ascii="Times New Roman" w:eastAsia="Calibri" w:hAnsi="Times New Roman" w:cs="Arial"/>
        <w:sz w:val="26"/>
        <w:szCs w:val="26"/>
      </w:rPr>
      <w:t>RM2</w:t>
    </w:r>
    <w:r w:rsidR="00760D0E">
      <w:rPr>
        <w:rFonts w:ascii="Times New Roman" w:eastAsia="Calibri" w:hAnsi="Times New Roman" w:cs="Arial"/>
        <w:sz w:val="26"/>
        <w:szCs w:val="26"/>
      </w:rPr>
      <w:t>6</w:t>
    </w:r>
    <w:r w:rsidRPr="506CCA6A">
      <w:rPr>
        <w:rFonts w:ascii="Times New Roman" w:eastAsia="Calibri" w:hAnsi="Times New Roman" w:cs="Arial"/>
        <w:sz w:val="26"/>
        <w:szCs w:val="26"/>
      </w:rPr>
      <w:t>-2-00</w:t>
    </w:r>
    <w:r w:rsidR="0084053B">
      <w:rPr>
        <w:rFonts w:ascii="Times New Roman" w:eastAsia="Calibri" w:hAnsi="Times New Roman" w:cs="Arial"/>
        <w:sz w:val="26"/>
        <w:szCs w:val="26"/>
      </w:rPr>
      <w:t>1</w:t>
    </w:r>
  </w:p>
  <w:p w:rsidR="00124CD5" w:rsidP="00C43BA9" w14:paraId="26DD9776" w14:textId="77777777">
    <w:pPr>
      <w:pStyle w:val="Header"/>
      <w:rPr>
        <w:rFonts w:ascii="Times New Roman" w:hAnsi="Times New Roman"/>
        <w:sz w:val="26"/>
      </w:rPr>
    </w:pPr>
  </w:p>
  <w:p w:rsidR="00515F23" w14:paraId="42E028A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849EC"/>
    <w:multiLevelType w:val="hybridMultilevel"/>
    <w:tmpl w:val="1BB8A858"/>
    <w:lvl w:ilvl="0">
      <w:start w:val="1"/>
      <w:numFmt w:val="bullet"/>
      <w:lvlText w:val=""/>
      <w:lvlJc w:val="left"/>
      <w:pPr>
        <w:tabs>
          <w:tab w:val="num" w:pos="720"/>
        </w:tabs>
        <w:ind w:left="0" w:firstLine="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28F5612"/>
    <w:multiLevelType w:val="hybridMultilevel"/>
    <w:tmpl w:val="642C6A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6E75DC"/>
    <w:multiLevelType w:val="hybridMultilevel"/>
    <w:tmpl w:val="AF5E43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39029B7"/>
    <w:multiLevelType w:val="hybridMultilevel"/>
    <w:tmpl w:val="173C9922"/>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6890BE4"/>
    <w:multiLevelType w:val="hybridMultilevel"/>
    <w:tmpl w:val="248EB982"/>
    <w:lvl w:ilvl="0">
      <w:start w:val="1"/>
      <w:numFmt w:val="bullet"/>
      <w:lvlText w:val=""/>
      <w:lvlJc w:val="left"/>
      <w:pPr>
        <w:tabs>
          <w:tab w:val="num" w:pos="720"/>
        </w:tabs>
        <w:ind w:left="0" w:firstLine="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81D291D"/>
    <w:multiLevelType w:val="hybridMultilevel"/>
    <w:tmpl w:val="D73A5506"/>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2E824CD"/>
    <w:multiLevelType w:val="hybridMultilevel"/>
    <w:tmpl w:val="311C7E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3882AEB"/>
    <w:multiLevelType w:val="hybridMultilevel"/>
    <w:tmpl w:val="E12CEEDA"/>
    <w:lvl w:ilvl="0">
      <w:start w:val="9"/>
      <w:numFmt w:val="decimal"/>
      <w:lvlText w:val="%1."/>
      <w:lvlJc w:val="left"/>
      <w:pPr>
        <w:ind w:left="360" w:hanging="360"/>
      </w:pPr>
      <w:rPr>
        <w:rFonts w:hint="default"/>
        <w:b/>
      </w:rPr>
    </w:lvl>
    <w:lvl w:ilvl="1" w:tentative="1">
      <w:start w:val="1"/>
      <w:numFmt w:val="lowerLetter"/>
      <w:lvlText w:val="%2."/>
      <w:lvlJc w:val="left"/>
      <w:pPr>
        <w:ind w:left="3420" w:hanging="360"/>
      </w:pPr>
    </w:lvl>
    <w:lvl w:ilvl="2" w:tentative="1">
      <w:start w:val="1"/>
      <w:numFmt w:val="lowerRoman"/>
      <w:lvlText w:val="%3."/>
      <w:lvlJc w:val="right"/>
      <w:pPr>
        <w:ind w:left="4140" w:hanging="180"/>
      </w:pPr>
    </w:lvl>
    <w:lvl w:ilvl="3" w:tentative="1">
      <w:start w:val="1"/>
      <w:numFmt w:val="decimal"/>
      <w:lvlText w:val="%4."/>
      <w:lvlJc w:val="left"/>
      <w:pPr>
        <w:ind w:left="4860" w:hanging="360"/>
      </w:pPr>
    </w:lvl>
    <w:lvl w:ilvl="4" w:tentative="1">
      <w:start w:val="1"/>
      <w:numFmt w:val="lowerLetter"/>
      <w:lvlText w:val="%5."/>
      <w:lvlJc w:val="left"/>
      <w:pPr>
        <w:ind w:left="5580" w:hanging="360"/>
      </w:pPr>
    </w:lvl>
    <w:lvl w:ilvl="5" w:tentative="1">
      <w:start w:val="1"/>
      <w:numFmt w:val="lowerRoman"/>
      <w:lvlText w:val="%6."/>
      <w:lvlJc w:val="right"/>
      <w:pPr>
        <w:ind w:left="6300" w:hanging="180"/>
      </w:pPr>
    </w:lvl>
    <w:lvl w:ilvl="6" w:tentative="1">
      <w:start w:val="1"/>
      <w:numFmt w:val="decimal"/>
      <w:lvlText w:val="%7."/>
      <w:lvlJc w:val="left"/>
      <w:pPr>
        <w:ind w:left="7020" w:hanging="360"/>
      </w:pPr>
    </w:lvl>
    <w:lvl w:ilvl="7" w:tentative="1">
      <w:start w:val="1"/>
      <w:numFmt w:val="lowerLetter"/>
      <w:lvlText w:val="%8."/>
      <w:lvlJc w:val="left"/>
      <w:pPr>
        <w:ind w:left="7740" w:hanging="360"/>
      </w:pPr>
    </w:lvl>
    <w:lvl w:ilvl="8" w:tentative="1">
      <w:start w:val="1"/>
      <w:numFmt w:val="lowerRoman"/>
      <w:lvlText w:val="%9."/>
      <w:lvlJc w:val="right"/>
      <w:pPr>
        <w:ind w:left="8460" w:hanging="180"/>
      </w:pPr>
    </w:lvl>
  </w:abstractNum>
  <w:abstractNum w:abstractNumId="8">
    <w:nsid w:val="49B03C6D"/>
    <w:multiLevelType w:val="hybridMultilevel"/>
    <w:tmpl w:val="E33871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FCC1895"/>
    <w:multiLevelType w:val="hybridMultilevel"/>
    <w:tmpl w:val="632C2E0E"/>
    <w:lvl w:ilvl="0">
      <w:start w:val="1"/>
      <w:numFmt w:val="decimal"/>
      <w:lvlText w:val="%1."/>
      <w:lvlJc w:val="left"/>
      <w:pPr>
        <w:ind w:left="234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144BF0"/>
    <w:multiLevelType w:val="hybridMultilevel"/>
    <w:tmpl w:val="FF003A20"/>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90B3DDE"/>
    <w:multiLevelType w:val="hybridMultilevel"/>
    <w:tmpl w:val="3CD29E0A"/>
    <w:lvl w:ilvl="0">
      <w:start w:val="1"/>
      <w:numFmt w:val="bullet"/>
      <w:lvlText w:val=""/>
      <w:lvlJc w:val="left"/>
      <w:pPr>
        <w:ind w:left="783" w:hanging="360"/>
      </w:pPr>
      <w:rPr>
        <w:rFonts w:ascii="Symbol" w:hAnsi="Symbol" w:hint="default"/>
      </w:rPr>
    </w:lvl>
    <w:lvl w:ilvl="1">
      <w:start w:val="1"/>
      <w:numFmt w:val="bullet"/>
      <w:lvlText w:val="o"/>
      <w:lvlJc w:val="left"/>
      <w:pPr>
        <w:ind w:left="1503" w:hanging="360"/>
      </w:pPr>
      <w:rPr>
        <w:rFonts w:ascii="Courier New" w:hAnsi="Courier New" w:cs="Courier New" w:hint="default"/>
      </w:rPr>
    </w:lvl>
    <w:lvl w:ilvl="2">
      <w:start w:val="1"/>
      <w:numFmt w:val="bullet"/>
      <w:lvlText w:val=""/>
      <w:lvlJc w:val="left"/>
      <w:pPr>
        <w:ind w:left="2223" w:hanging="360"/>
      </w:pPr>
      <w:rPr>
        <w:rFonts w:ascii="Wingdings" w:hAnsi="Wingdings" w:hint="default"/>
      </w:rPr>
    </w:lvl>
    <w:lvl w:ilvl="3">
      <w:start w:val="1"/>
      <w:numFmt w:val="bullet"/>
      <w:lvlText w:val=""/>
      <w:lvlJc w:val="left"/>
      <w:pPr>
        <w:ind w:left="2943" w:hanging="360"/>
      </w:pPr>
      <w:rPr>
        <w:rFonts w:ascii="Symbol" w:hAnsi="Symbol" w:hint="default"/>
      </w:rPr>
    </w:lvl>
    <w:lvl w:ilvl="4">
      <w:start w:val="1"/>
      <w:numFmt w:val="bullet"/>
      <w:lvlText w:val="o"/>
      <w:lvlJc w:val="left"/>
      <w:pPr>
        <w:ind w:left="3663" w:hanging="360"/>
      </w:pPr>
      <w:rPr>
        <w:rFonts w:ascii="Courier New" w:hAnsi="Courier New" w:cs="Courier New" w:hint="default"/>
      </w:rPr>
    </w:lvl>
    <w:lvl w:ilvl="5">
      <w:start w:val="1"/>
      <w:numFmt w:val="bullet"/>
      <w:lvlText w:val=""/>
      <w:lvlJc w:val="left"/>
      <w:pPr>
        <w:ind w:left="4383" w:hanging="360"/>
      </w:pPr>
      <w:rPr>
        <w:rFonts w:ascii="Wingdings" w:hAnsi="Wingdings" w:hint="default"/>
      </w:rPr>
    </w:lvl>
    <w:lvl w:ilvl="6">
      <w:start w:val="1"/>
      <w:numFmt w:val="bullet"/>
      <w:lvlText w:val=""/>
      <w:lvlJc w:val="left"/>
      <w:pPr>
        <w:ind w:left="5103" w:hanging="360"/>
      </w:pPr>
      <w:rPr>
        <w:rFonts w:ascii="Symbol" w:hAnsi="Symbol" w:hint="default"/>
      </w:rPr>
    </w:lvl>
    <w:lvl w:ilvl="7">
      <w:start w:val="1"/>
      <w:numFmt w:val="bullet"/>
      <w:lvlText w:val="o"/>
      <w:lvlJc w:val="left"/>
      <w:pPr>
        <w:ind w:left="5823" w:hanging="360"/>
      </w:pPr>
      <w:rPr>
        <w:rFonts w:ascii="Courier New" w:hAnsi="Courier New" w:cs="Courier New" w:hint="default"/>
      </w:rPr>
    </w:lvl>
    <w:lvl w:ilvl="8">
      <w:start w:val="1"/>
      <w:numFmt w:val="bullet"/>
      <w:lvlText w:val=""/>
      <w:lvlJc w:val="left"/>
      <w:pPr>
        <w:ind w:left="6543" w:hanging="360"/>
      </w:pPr>
      <w:rPr>
        <w:rFonts w:ascii="Wingdings" w:hAnsi="Wingdings" w:hint="default"/>
      </w:rPr>
    </w:lvl>
  </w:abstractNum>
  <w:abstractNum w:abstractNumId="12">
    <w:nsid w:val="726F5771"/>
    <w:multiLevelType w:val="hybridMultilevel"/>
    <w:tmpl w:val="CFA8ECA4"/>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9A86C93"/>
    <w:multiLevelType w:val="hybridMultilevel"/>
    <w:tmpl w:val="1B0AC2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199214">
    <w:abstractNumId w:val="9"/>
  </w:num>
  <w:num w:numId="2" w16cid:durableId="2114741592">
    <w:abstractNumId w:val="8"/>
  </w:num>
  <w:num w:numId="3" w16cid:durableId="1028262870">
    <w:abstractNumId w:val="6"/>
  </w:num>
  <w:num w:numId="4" w16cid:durableId="188875347">
    <w:abstractNumId w:val="7"/>
  </w:num>
  <w:num w:numId="5" w16cid:durableId="1531185835">
    <w:abstractNumId w:val="1"/>
  </w:num>
  <w:num w:numId="6" w16cid:durableId="1252662422">
    <w:abstractNumId w:val="5"/>
  </w:num>
  <w:num w:numId="7" w16cid:durableId="1691952479">
    <w:abstractNumId w:val="12"/>
  </w:num>
  <w:num w:numId="8" w16cid:durableId="14945659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8631197">
    <w:abstractNumId w:val="11"/>
  </w:num>
  <w:num w:numId="10" w16cid:durableId="1737168653">
    <w:abstractNumId w:val="2"/>
  </w:num>
  <w:num w:numId="11" w16cid:durableId="1270891150">
    <w:abstractNumId w:val="4"/>
  </w:num>
  <w:num w:numId="12" w16cid:durableId="565183489">
    <w:abstractNumId w:val="10"/>
  </w:num>
  <w:num w:numId="13" w16cid:durableId="407002034">
    <w:abstractNumId w:val="0"/>
  </w:num>
  <w:num w:numId="14" w16cid:durableId="2275700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F72"/>
    <w:rsid w:val="00000A06"/>
    <w:rsid w:val="00000CCF"/>
    <w:rsid w:val="00005AE8"/>
    <w:rsid w:val="00011A13"/>
    <w:rsid w:val="00011E13"/>
    <w:rsid w:val="000126D9"/>
    <w:rsid w:val="00022B31"/>
    <w:rsid w:val="00032AD1"/>
    <w:rsid w:val="00033142"/>
    <w:rsid w:val="000424B5"/>
    <w:rsid w:val="00045162"/>
    <w:rsid w:val="00045ED2"/>
    <w:rsid w:val="000476FD"/>
    <w:rsid w:val="00047BE2"/>
    <w:rsid w:val="0005218A"/>
    <w:rsid w:val="00055650"/>
    <w:rsid w:val="00057508"/>
    <w:rsid w:val="000620C6"/>
    <w:rsid w:val="00074345"/>
    <w:rsid w:val="00075DBB"/>
    <w:rsid w:val="00075E63"/>
    <w:rsid w:val="00076607"/>
    <w:rsid w:val="00081CC6"/>
    <w:rsid w:val="00087839"/>
    <w:rsid w:val="000A2386"/>
    <w:rsid w:val="000A369A"/>
    <w:rsid w:val="000A392C"/>
    <w:rsid w:val="000B6716"/>
    <w:rsid w:val="000B6B0C"/>
    <w:rsid w:val="000C4780"/>
    <w:rsid w:val="000C62B3"/>
    <w:rsid w:val="000D1A46"/>
    <w:rsid w:val="000D3E5F"/>
    <w:rsid w:val="000E06AD"/>
    <w:rsid w:val="000E0C98"/>
    <w:rsid w:val="000E6BEC"/>
    <w:rsid w:val="000E7ECB"/>
    <w:rsid w:val="000F24A6"/>
    <w:rsid w:val="000F58EA"/>
    <w:rsid w:val="001003F4"/>
    <w:rsid w:val="00101346"/>
    <w:rsid w:val="001013C6"/>
    <w:rsid w:val="00103037"/>
    <w:rsid w:val="001055D8"/>
    <w:rsid w:val="001063E1"/>
    <w:rsid w:val="00106596"/>
    <w:rsid w:val="0010695B"/>
    <w:rsid w:val="001112E8"/>
    <w:rsid w:val="001210F3"/>
    <w:rsid w:val="00121557"/>
    <w:rsid w:val="00124CD5"/>
    <w:rsid w:val="0012688C"/>
    <w:rsid w:val="00127B92"/>
    <w:rsid w:val="001319EE"/>
    <w:rsid w:val="00136176"/>
    <w:rsid w:val="001402C6"/>
    <w:rsid w:val="00141A14"/>
    <w:rsid w:val="00144548"/>
    <w:rsid w:val="00144D45"/>
    <w:rsid w:val="00146127"/>
    <w:rsid w:val="00147521"/>
    <w:rsid w:val="00150E5B"/>
    <w:rsid w:val="00151528"/>
    <w:rsid w:val="00154074"/>
    <w:rsid w:val="00155E2A"/>
    <w:rsid w:val="00161F55"/>
    <w:rsid w:val="00162D0B"/>
    <w:rsid w:val="0016374A"/>
    <w:rsid w:val="0016701A"/>
    <w:rsid w:val="001708BD"/>
    <w:rsid w:val="00172B39"/>
    <w:rsid w:val="00173B8A"/>
    <w:rsid w:val="00174136"/>
    <w:rsid w:val="00175FD4"/>
    <w:rsid w:val="00184F3E"/>
    <w:rsid w:val="00186247"/>
    <w:rsid w:val="00193FF7"/>
    <w:rsid w:val="001973DF"/>
    <w:rsid w:val="00197A33"/>
    <w:rsid w:val="00197FA5"/>
    <w:rsid w:val="001A2AB8"/>
    <w:rsid w:val="001A4F58"/>
    <w:rsid w:val="001A7ACE"/>
    <w:rsid w:val="001B0EF9"/>
    <w:rsid w:val="001B3E85"/>
    <w:rsid w:val="001B3EB9"/>
    <w:rsid w:val="001B737A"/>
    <w:rsid w:val="001C044E"/>
    <w:rsid w:val="001C3061"/>
    <w:rsid w:val="001C33BC"/>
    <w:rsid w:val="001D7536"/>
    <w:rsid w:val="001E198E"/>
    <w:rsid w:val="001E2A0B"/>
    <w:rsid w:val="001E4380"/>
    <w:rsid w:val="001E4E7B"/>
    <w:rsid w:val="001F4BAA"/>
    <w:rsid w:val="001F5D78"/>
    <w:rsid w:val="00205E0D"/>
    <w:rsid w:val="00211E66"/>
    <w:rsid w:val="00215DE3"/>
    <w:rsid w:val="00223A27"/>
    <w:rsid w:val="002251E3"/>
    <w:rsid w:val="00234743"/>
    <w:rsid w:val="00241FF2"/>
    <w:rsid w:val="00245569"/>
    <w:rsid w:val="00245CEF"/>
    <w:rsid w:val="00250E23"/>
    <w:rsid w:val="00253C29"/>
    <w:rsid w:val="00256BD0"/>
    <w:rsid w:val="0026501F"/>
    <w:rsid w:val="002761A6"/>
    <w:rsid w:val="00280026"/>
    <w:rsid w:val="0028058A"/>
    <w:rsid w:val="00291597"/>
    <w:rsid w:val="00291AE6"/>
    <w:rsid w:val="00291D75"/>
    <w:rsid w:val="00297AB1"/>
    <w:rsid w:val="002A2061"/>
    <w:rsid w:val="002B1068"/>
    <w:rsid w:val="002B4F17"/>
    <w:rsid w:val="002B6FDC"/>
    <w:rsid w:val="002B7606"/>
    <w:rsid w:val="002C160E"/>
    <w:rsid w:val="002C2337"/>
    <w:rsid w:val="002C2F62"/>
    <w:rsid w:val="002D2080"/>
    <w:rsid w:val="002D3AC8"/>
    <w:rsid w:val="002E0122"/>
    <w:rsid w:val="002E58B9"/>
    <w:rsid w:val="002E7A26"/>
    <w:rsid w:val="002F09DB"/>
    <w:rsid w:val="002F2842"/>
    <w:rsid w:val="002F7716"/>
    <w:rsid w:val="0030154E"/>
    <w:rsid w:val="003105D1"/>
    <w:rsid w:val="003111F3"/>
    <w:rsid w:val="00311EF3"/>
    <w:rsid w:val="00314F15"/>
    <w:rsid w:val="00315C5A"/>
    <w:rsid w:val="00315FFC"/>
    <w:rsid w:val="0032633C"/>
    <w:rsid w:val="00327140"/>
    <w:rsid w:val="003343B4"/>
    <w:rsid w:val="00340C9B"/>
    <w:rsid w:val="00343911"/>
    <w:rsid w:val="00344709"/>
    <w:rsid w:val="00350050"/>
    <w:rsid w:val="00351110"/>
    <w:rsid w:val="003526D4"/>
    <w:rsid w:val="003533E9"/>
    <w:rsid w:val="003539B1"/>
    <w:rsid w:val="003559BD"/>
    <w:rsid w:val="00363654"/>
    <w:rsid w:val="00364BED"/>
    <w:rsid w:val="00364E98"/>
    <w:rsid w:val="00387168"/>
    <w:rsid w:val="00387338"/>
    <w:rsid w:val="00387382"/>
    <w:rsid w:val="00391C45"/>
    <w:rsid w:val="00394442"/>
    <w:rsid w:val="0039478C"/>
    <w:rsid w:val="00397F74"/>
    <w:rsid w:val="003A382B"/>
    <w:rsid w:val="003A47A7"/>
    <w:rsid w:val="003B32DB"/>
    <w:rsid w:val="003B4940"/>
    <w:rsid w:val="003B7B20"/>
    <w:rsid w:val="003D4330"/>
    <w:rsid w:val="003D5A37"/>
    <w:rsid w:val="003D6EBA"/>
    <w:rsid w:val="003D7B29"/>
    <w:rsid w:val="003E56BA"/>
    <w:rsid w:val="003F0F1C"/>
    <w:rsid w:val="003F52F0"/>
    <w:rsid w:val="003F5737"/>
    <w:rsid w:val="00402205"/>
    <w:rsid w:val="0040581C"/>
    <w:rsid w:val="004124E9"/>
    <w:rsid w:val="00416799"/>
    <w:rsid w:val="004176AB"/>
    <w:rsid w:val="00423FBD"/>
    <w:rsid w:val="00441A36"/>
    <w:rsid w:val="004428F0"/>
    <w:rsid w:val="0044295F"/>
    <w:rsid w:val="00444F5B"/>
    <w:rsid w:val="00444FEE"/>
    <w:rsid w:val="0044677E"/>
    <w:rsid w:val="004516F5"/>
    <w:rsid w:val="00451FA5"/>
    <w:rsid w:val="00453471"/>
    <w:rsid w:val="00454439"/>
    <w:rsid w:val="00454C67"/>
    <w:rsid w:val="00460755"/>
    <w:rsid w:val="00464F16"/>
    <w:rsid w:val="00466539"/>
    <w:rsid w:val="004678C7"/>
    <w:rsid w:val="00472F90"/>
    <w:rsid w:val="0047523B"/>
    <w:rsid w:val="004766F9"/>
    <w:rsid w:val="00476BD3"/>
    <w:rsid w:val="00483B53"/>
    <w:rsid w:val="004867CD"/>
    <w:rsid w:val="004874D9"/>
    <w:rsid w:val="00495D67"/>
    <w:rsid w:val="00496CD0"/>
    <w:rsid w:val="004A231E"/>
    <w:rsid w:val="004A7645"/>
    <w:rsid w:val="004B493A"/>
    <w:rsid w:val="004B5F80"/>
    <w:rsid w:val="004C2360"/>
    <w:rsid w:val="004C5ADA"/>
    <w:rsid w:val="004C7042"/>
    <w:rsid w:val="004C7CF9"/>
    <w:rsid w:val="004E12C4"/>
    <w:rsid w:val="004E76D8"/>
    <w:rsid w:val="004F1F5C"/>
    <w:rsid w:val="004F2674"/>
    <w:rsid w:val="004F3C63"/>
    <w:rsid w:val="00501880"/>
    <w:rsid w:val="005103B4"/>
    <w:rsid w:val="00512061"/>
    <w:rsid w:val="0051412C"/>
    <w:rsid w:val="00514EF5"/>
    <w:rsid w:val="00515F23"/>
    <w:rsid w:val="00521E9E"/>
    <w:rsid w:val="00522D26"/>
    <w:rsid w:val="00526595"/>
    <w:rsid w:val="005273FC"/>
    <w:rsid w:val="00531E18"/>
    <w:rsid w:val="00532FE9"/>
    <w:rsid w:val="00543BEE"/>
    <w:rsid w:val="00544E6B"/>
    <w:rsid w:val="0054649E"/>
    <w:rsid w:val="00552482"/>
    <w:rsid w:val="00552824"/>
    <w:rsid w:val="00556080"/>
    <w:rsid w:val="00561FE3"/>
    <w:rsid w:val="00563DB2"/>
    <w:rsid w:val="005746AF"/>
    <w:rsid w:val="00575B36"/>
    <w:rsid w:val="00575D4E"/>
    <w:rsid w:val="00576A0E"/>
    <w:rsid w:val="00582196"/>
    <w:rsid w:val="00582CF2"/>
    <w:rsid w:val="00582EAB"/>
    <w:rsid w:val="005866D1"/>
    <w:rsid w:val="005931D5"/>
    <w:rsid w:val="005A427C"/>
    <w:rsid w:val="005A60EB"/>
    <w:rsid w:val="005A6302"/>
    <w:rsid w:val="005B1622"/>
    <w:rsid w:val="005B1635"/>
    <w:rsid w:val="005B17E0"/>
    <w:rsid w:val="005B2FC1"/>
    <w:rsid w:val="005B7349"/>
    <w:rsid w:val="005C24A9"/>
    <w:rsid w:val="005C4FFC"/>
    <w:rsid w:val="005E454A"/>
    <w:rsid w:val="005F1A96"/>
    <w:rsid w:val="005F22B3"/>
    <w:rsid w:val="005F3E59"/>
    <w:rsid w:val="005F52C8"/>
    <w:rsid w:val="00600290"/>
    <w:rsid w:val="00604CDE"/>
    <w:rsid w:val="00605945"/>
    <w:rsid w:val="006065CF"/>
    <w:rsid w:val="00607901"/>
    <w:rsid w:val="00610A32"/>
    <w:rsid w:val="006143F1"/>
    <w:rsid w:val="00621500"/>
    <w:rsid w:val="00626D20"/>
    <w:rsid w:val="0063596D"/>
    <w:rsid w:val="006367AA"/>
    <w:rsid w:val="00641843"/>
    <w:rsid w:val="00650E76"/>
    <w:rsid w:val="0065325D"/>
    <w:rsid w:val="00655E2F"/>
    <w:rsid w:val="0066003C"/>
    <w:rsid w:val="0066731B"/>
    <w:rsid w:val="00671383"/>
    <w:rsid w:val="00682605"/>
    <w:rsid w:val="00682FCE"/>
    <w:rsid w:val="006936E6"/>
    <w:rsid w:val="006941C3"/>
    <w:rsid w:val="006A1F5F"/>
    <w:rsid w:val="006A37E8"/>
    <w:rsid w:val="006A69D3"/>
    <w:rsid w:val="006A759D"/>
    <w:rsid w:val="006B0407"/>
    <w:rsid w:val="006B287F"/>
    <w:rsid w:val="006C5C42"/>
    <w:rsid w:val="006D09C5"/>
    <w:rsid w:val="006D0C9F"/>
    <w:rsid w:val="006D13C6"/>
    <w:rsid w:val="006D71D7"/>
    <w:rsid w:val="006F65D8"/>
    <w:rsid w:val="006F7766"/>
    <w:rsid w:val="00704F36"/>
    <w:rsid w:val="00714565"/>
    <w:rsid w:val="007211DF"/>
    <w:rsid w:val="0072216E"/>
    <w:rsid w:val="0072543F"/>
    <w:rsid w:val="007277E3"/>
    <w:rsid w:val="00731BC0"/>
    <w:rsid w:val="00731F1A"/>
    <w:rsid w:val="00741015"/>
    <w:rsid w:val="0074213A"/>
    <w:rsid w:val="00742B5F"/>
    <w:rsid w:val="00742C91"/>
    <w:rsid w:val="0074532B"/>
    <w:rsid w:val="00747C6B"/>
    <w:rsid w:val="00760D0E"/>
    <w:rsid w:val="00765AE1"/>
    <w:rsid w:val="0077430C"/>
    <w:rsid w:val="00774568"/>
    <w:rsid w:val="00775EA1"/>
    <w:rsid w:val="0078319B"/>
    <w:rsid w:val="007838FA"/>
    <w:rsid w:val="00783C18"/>
    <w:rsid w:val="00785319"/>
    <w:rsid w:val="00787114"/>
    <w:rsid w:val="00790857"/>
    <w:rsid w:val="00794C74"/>
    <w:rsid w:val="007A0DAA"/>
    <w:rsid w:val="007A7B19"/>
    <w:rsid w:val="007B1B7E"/>
    <w:rsid w:val="007B398A"/>
    <w:rsid w:val="007C0690"/>
    <w:rsid w:val="007C09CE"/>
    <w:rsid w:val="007C3270"/>
    <w:rsid w:val="007D5E93"/>
    <w:rsid w:val="007E15D4"/>
    <w:rsid w:val="007E4BF7"/>
    <w:rsid w:val="007E5BCC"/>
    <w:rsid w:val="007E6872"/>
    <w:rsid w:val="007E74E0"/>
    <w:rsid w:val="007F2345"/>
    <w:rsid w:val="007F3BFD"/>
    <w:rsid w:val="007F5D54"/>
    <w:rsid w:val="007F6DD1"/>
    <w:rsid w:val="007F701C"/>
    <w:rsid w:val="007F7FEC"/>
    <w:rsid w:val="008013AF"/>
    <w:rsid w:val="00803043"/>
    <w:rsid w:val="00803505"/>
    <w:rsid w:val="00807C14"/>
    <w:rsid w:val="00823CF3"/>
    <w:rsid w:val="00830594"/>
    <w:rsid w:val="008375B1"/>
    <w:rsid w:val="00837CD5"/>
    <w:rsid w:val="0084053B"/>
    <w:rsid w:val="0084538C"/>
    <w:rsid w:val="008459C5"/>
    <w:rsid w:val="0084667D"/>
    <w:rsid w:val="008504A3"/>
    <w:rsid w:val="00861D33"/>
    <w:rsid w:val="008651E2"/>
    <w:rsid w:val="00865303"/>
    <w:rsid w:val="00865F07"/>
    <w:rsid w:val="00870B44"/>
    <w:rsid w:val="008846EA"/>
    <w:rsid w:val="008871CE"/>
    <w:rsid w:val="00892566"/>
    <w:rsid w:val="00895AB4"/>
    <w:rsid w:val="00895C3F"/>
    <w:rsid w:val="00896AE8"/>
    <w:rsid w:val="008A1D0E"/>
    <w:rsid w:val="008A68C5"/>
    <w:rsid w:val="008A725E"/>
    <w:rsid w:val="008A7C5E"/>
    <w:rsid w:val="008B3F72"/>
    <w:rsid w:val="008B6D41"/>
    <w:rsid w:val="008C23B6"/>
    <w:rsid w:val="008C3A3E"/>
    <w:rsid w:val="008C729D"/>
    <w:rsid w:val="008D09ED"/>
    <w:rsid w:val="008D4F1A"/>
    <w:rsid w:val="008E2B8F"/>
    <w:rsid w:val="008E4F33"/>
    <w:rsid w:val="008F2223"/>
    <w:rsid w:val="008F6DDF"/>
    <w:rsid w:val="0090225F"/>
    <w:rsid w:val="009023DE"/>
    <w:rsid w:val="009032C9"/>
    <w:rsid w:val="009064C2"/>
    <w:rsid w:val="00910373"/>
    <w:rsid w:val="009106AE"/>
    <w:rsid w:val="00920352"/>
    <w:rsid w:val="0092039E"/>
    <w:rsid w:val="00932C86"/>
    <w:rsid w:val="00932CEA"/>
    <w:rsid w:val="00935B86"/>
    <w:rsid w:val="00936254"/>
    <w:rsid w:val="00940C3B"/>
    <w:rsid w:val="009414F0"/>
    <w:rsid w:val="00947E73"/>
    <w:rsid w:val="009607D0"/>
    <w:rsid w:val="0096080F"/>
    <w:rsid w:val="00975B38"/>
    <w:rsid w:val="0097613B"/>
    <w:rsid w:val="00981CF9"/>
    <w:rsid w:val="00981FEA"/>
    <w:rsid w:val="00984FCC"/>
    <w:rsid w:val="00985B12"/>
    <w:rsid w:val="0099057E"/>
    <w:rsid w:val="0099408A"/>
    <w:rsid w:val="00995631"/>
    <w:rsid w:val="009A3F35"/>
    <w:rsid w:val="009A6140"/>
    <w:rsid w:val="009B0800"/>
    <w:rsid w:val="009B1541"/>
    <w:rsid w:val="009B5063"/>
    <w:rsid w:val="009C0003"/>
    <w:rsid w:val="009C1F12"/>
    <w:rsid w:val="009C4AFC"/>
    <w:rsid w:val="009C7B3F"/>
    <w:rsid w:val="009D0568"/>
    <w:rsid w:val="009D06ED"/>
    <w:rsid w:val="009D0DAE"/>
    <w:rsid w:val="009D5886"/>
    <w:rsid w:val="009E38AE"/>
    <w:rsid w:val="009E51EA"/>
    <w:rsid w:val="009F484A"/>
    <w:rsid w:val="00A007AE"/>
    <w:rsid w:val="00A01420"/>
    <w:rsid w:val="00A02F96"/>
    <w:rsid w:val="00A061E8"/>
    <w:rsid w:val="00A0644E"/>
    <w:rsid w:val="00A0671A"/>
    <w:rsid w:val="00A077A0"/>
    <w:rsid w:val="00A107B1"/>
    <w:rsid w:val="00A141C3"/>
    <w:rsid w:val="00A25A46"/>
    <w:rsid w:val="00A336CF"/>
    <w:rsid w:val="00A34230"/>
    <w:rsid w:val="00A40447"/>
    <w:rsid w:val="00A41375"/>
    <w:rsid w:val="00A441C4"/>
    <w:rsid w:val="00A445B8"/>
    <w:rsid w:val="00A53C33"/>
    <w:rsid w:val="00A53EB0"/>
    <w:rsid w:val="00A5630D"/>
    <w:rsid w:val="00A60E16"/>
    <w:rsid w:val="00A6117A"/>
    <w:rsid w:val="00A613DC"/>
    <w:rsid w:val="00A62E8B"/>
    <w:rsid w:val="00A63904"/>
    <w:rsid w:val="00A702A7"/>
    <w:rsid w:val="00A709A1"/>
    <w:rsid w:val="00A808DB"/>
    <w:rsid w:val="00A84C49"/>
    <w:rsid w:val="00A921AB"/>
    <w:rsid w:val="00A92A3A"/>
    <w:rsid w:val="00A92E6F"/>
    <w:rsid w:val="00A92F11"/>
    <w:rsid w:val="00A946AB"/>
    <w:rsid w:val="00AA0664"/>
    <w:rsid w:val="00AA08B2"/>
    <w:rsid w:val="00AA1040"/>
    <w:rsid w:val="00AA1B4D"/>
    <w:rsid w:val="00AA1C6B"/>
    <w:rsid w:val="00AA651F"/>
    <w:rsid w:val="00AA739F"/>
    <w:rsid w:val="00AB0E3E"/>
    <w:rsid w:val="00AB433D"/>
    <w:rsid w:val="00AB5492"/>
    <w:rsid w:val="00AC01EF"/>
    <w:rsid w:val="00AC3D71"/>
    <w:rsid w:val="00AC7C44"/>
    <w:rsid w:val="00AD17CC"/>
    <w:rsid w:val="00AD1E9D"/>
    <w:rsid w:val="00AD1F2A"/>
    <w:rsid w:val="00AD490A"/>
    <w:rsid w:val="00AD4E3A"/>
    <w:rsid w:val="00AD77F1"/>
    <w:rsid w:val="00AE1D27"/>
    <w:rsid w:val="00AE2E39"/>
    <w:rsid w:val="00AE428D"/>
    <w:rsid w:val="00AE5F0D"/>
    <w:rsid w:val="00B0044B"/>
    <w:rsid w:val="00B01463"/>
    <w:rsid w:val="00B017AE"/>
    <w:rsid w:val="00B020DC"/>
    <w:rsid w:val="00B06A23"/>
    <w:rsid w:val="00B06F29"/>
    <w:rsid w:val="00B07E6E"/>
    <w:rsid w:val="00B1373A"/>
    <w:rsid w:val="00B13FC6"/>
    <w:rsid w:val="00B24F8D"/>
    <w:rsid w:val="00B3103F"/>
    <w:rsid w:val="00B34D41"/>
    <w:rsid w:val="00B373DA"/>
    <w:rsid w:val="00B41BAD"/>
    <w:rsid w:val="00B437C6"/>
    <w:rsid w:val="00B50D3F"/>
    <w:rsid w:val="00B51664"/>
    <w:rsid w:val="00B52492"/>
    <w:rsid w:val="00B5613A"/>
    <w:rsid w:val="00B60F2F"/>
    <w:rsid w:val="00B66193"/>
    <w:rsid w:val="00B71135"/>
    <w:rsid w:val="00B72DBF"/>
    <w:rsid w:val="00B74C2F"/>
    <w:rsid w:val="00B752B4"/>
    <w:rsid w:val="00B763F3"/>
    <w:rsid w:val="00B85633"/>
    <w:rsid w:val="00B8628C"/>
    <w:rsid w:val="00B87B32"/>
    <w:rsid w:val="00B91D94"/>
    <w:rsid w:val="00B92470"/>
    <w:rsid w:val="00BA76F8"/>
    <w:rsid w:val="00BA7F01"/>
    <w:rsid w:val="00BB1A22"/>
    <w:rsid w:val="00BC04F1"/>
    <w:rsid w:val="00BC1C3E"/>
    <w:rsid w:val="00BC26D3"/>
    <w:rsid w:val="00BC577E"/>
    <w:rsid w:val="00BD0E52"/>
    <w:rsid w:val="00BD0E8F"/>
    <w:rsid w:val="00BD1C48"/>
    <w:rsid w:val="00BD6E39"/>
    <w:rsid w:val="00BE208D"/>
    <w:rsid w:val="00BE422D"/>
    <w:rsid w:val="00BE4231"/>
    <w:rsid w:val="00BF1C19"/>
    <w:rsid w:val="00BF4124"/>
    <w:rsid w:val="00BF747D"/>
    <w:rsid w:val="00C01E1F"/>
    <w:rsid w:val="00C047A2"/>
    <w:rsid w:val="00C05645"/>
    <w:rsid w:val="00C1315A"/>
    <w:rsid w:val="00C2033F"/>
    <w:rsid w:val="00C21703"/>
    <w:rsid w:val="00C2215A"/>
    <w:rsid w:val="00C22E60"/>
    <w:rsid w:val="00C23F84"/>
    <w:rsid w:val="00C2458B"/>
    <w:rsid w:val="00C26951"/>
    <w:rsid w:val="00C30945"/>
    <w:rsid w:val="00C323CE"/>
    <w:rsid w:val="00C323F5"/>
    <w:rsid w:val="00C37454"/>
    <w:rsid w:val="00C424C7"/>
    <w:rsid w:val="00C43BA9"/>
    <w:rsid w:val="00C45ECF"/>
    <w:rsid w:val="00C55184"/>
    <w:rsid w:val="00C55DEB"/>
    <w:rsid w:val="00C60C5E"/>
    <w:rsid w:val="00C60EB9"/>
    <w:rsid w:val="00C644C0"/>
    <w:rsid w:val="00C65D5D"/>
    <w:rsid w:val="00C67918"/>
    <w:rsid w:val="00C73D60"/>
    <w:rsid w:val="00C73E07"/>
    <w:rsid w:val="00C771A6"/>
    <w:rsid w:val="00C81E23"/>
    <w:rsid w:val="00C83F0D"/>
    <w:rsid w:val="00C845D4"/>
    <w:rsid w:val="00C95B04"/>
    <w:rsid w:val="00C96EFA"/>
    <w:rsid w:val="00CA146A"/>
    <w:rsid w:val="00CB0572"/>
    <w:rsid w:val="00CB2592"/>
    <w:rsid w:val="00CB2684"/>
    <w:rsid w:val="00CB5500"/>
    <w:rsid w:val="00CC2D1E"/>
    <w:rsid w:val="00CC547C"/>
    <w:rsid w:val="00CD32C8"/>
    <w:rsid w:val="00CE0537"/>
    <w:rsid w:val="00CE3F68"/>
    <w:rsid w:val="00CE4BB0"/>
    <w:rsid w:val="00CF0CAA"/>
    <w:rsid w:val="00CF3450"/>
    <w:rsid w:val="00D004A6"/>
    <w:rsid w:val="00D00CBE"/>
    <w:rsid w:val="00D00ED2"/>
    <w:rsid w:val="00D01B3E"/>
    <w:rsid w:val="00D055BD"/>
    <w:rsid w:val="00D1114A"/>
    <w:rsid w:val="00D13150"/>
    <w:rsid w:val="00D149CA"/>
    <w:rsid w:val="00D164AA"/>
    <w:rsid w:val="00D20301"/>
    <w:rsid w:val="00D2206D"/>
    <w:rsid w:val="00D35C30"/>
    <w:rsid w:val="00D37850"/>
    <w:rsid w:val="00D42F66"/>
    <w:rsid w:val="00D50EC0"/>
    <w:rsid w:val="00D615FD"/>
    <w:rsid w:val="00D65434"/>
    <w:rsid w:val="00D72C41"/>
    <w:rsid w:val="00D73517"/>
    <w:rsid w:val="00D73F63"/>
    <w:rsid w:val="00D742FC"/>
    <w:rsid w:val="00D75D99"/>
    <w:rsid w:val="00D80EFF"/>
    <w:rsid w:val="00D84B16"/>
    <w:rsid w:val="00D85156"/>
    <w:rsid w:val="00D91012"/>
    <w:rsid w:val="00D94578"/>
    <w:rsid w:val="00DA0FC2"/>
    <w:rsid w:val="00DA554C"/>
    <w:rsid w:val="00DB1242"/>
    <w:rsid w:val="00DB1C5C"/>
    <w:rsid w:val="00DB1FB4"/>
    <w:rsid w:val="00DB2326"/>
    <w:rsid w:val="00DC6A62"/>
    <w:rsid w:val="00DC73DA"/>
    <w:rsid w:val="00DC7783"/>
    <w:rsid w:val="00DE6230"/>
    <w:rsid w:val="00DE697D"/>
    <w:rsid w:val="00DF141E"/>
    <w:rsid w:val="00DF72AC"/>
    <w:rsid w:val="00DF77D6"/>
    <w:rsid w:val="00E00B84"/>
    <w:rsid w:val="00E01D7B"/>
    <w:rsid w:val="00E053CD"/>
    <w:rsid w:val="00E056C4"/>
    <w:rsid w:val="00E11A08"/>
    <w:rsid w:val="00E14DFD"/>
    <w:rsid w:val="00E20459"/>
    <w:rsid w:val="00E30320"/>
    <w:rsid w:val="00E356CF"/>
    <w:rsid w:val="00E40B2B"/>
    <w:rsid w:val="00E4130D"/>
    <w:rsid w:val="00E429B1"/>
    <w:rsid w:val="00E44F2B"/>
    <w:rsid w:val="00E4576B"/>
    <w:rsid w:val="00E509E4"/>
    <w:rsid w:val="00E50CBE"/>
    <w:rsid w:val="00E51B33"/>
    <w:rsid w:val="00E545E6"/>
    <w:rsid w:val="00E5784C"/>
    <w:rsid w:val="00E61F5B"/>
    <w:rsid w:val="00E624F5"/>
    <w:rsid w:val="00E66D3D"/>
    <w:rsid w:val="00E67CDB"/>
    <w:rsid w:val="00E71B2E"/>
    <w:rsid w:val="00E72EF3"/>
    <w:rsid w:val="00E976DB"/>
    <w:rsid w:val="00EA4B61"/>
    <w:rsid w:val="00EA59F7"/>
    <w:rsid w:val="00EB5138"/>
    <w:rsid w:val="00EC60DB"/>
    <w:rsid w:val="00EC7C6D"/>
    <w:rsid w:val="00EE13D5"/>
    <w:rsid w:val="00F13F72"/>
    <w:rsid w:val="00F17236"/>
    <w:rsid w:val="00F17CEA"/>
    <w:rsid w:val="00F2123A"/>
    <w:rsid w:val="00F23308"/>
    <w:rsid w:val="00F241C6"/>
    <w:rsid w:val="00F3100E"/>
    <w:rsid w:val="00F35B7E"/>
    <w:rsid w:val="00F37478"/>
    <w:rsid w:val="00F40EE2"/>
    <w:rsid w:val="00F42DF6"/>
    <w:rsid w:val="00F440EA"/>
    <w:rsid w:val="00F4723D"/>
    <w:rsid w:val="00F5313E"/>
    <w:rsid w:val="00F545F4"/>
    <w:rsid w:val="00F575FB"/>
    <w:rsid w:val="00F60F3B"/>
    <w:rsid w:val="00F621F6"/>
    <w:rsid w:val="00F625A1"/>
    <w:rsid w:val="00F6E135"/>
    <w:rsid w:val="00F82323"/>
    <w:rsid w:val="00F85E50"/>
    <w:rsid w:val="00F86C29"/>
    <w:rsid w:val="00F96B5B"/>
    <w:rsid w:val="00F9738B"/>
    <w:rsid w:val="00FA397C"/>
    <w:rsid w:val="00FA5A13"/>
    <w:rsid w:val="00FB3D34"/>
    <w:rsid w:val="00FB41C2"/>
    <w:rsid w:val="00FB5E9F"/>
    <w:rsid w:val="00FB74C4"/>
    <w:rsid w:val="00FB7525"/>
    <w:rsid w:val="00FC0168"/>
    <w:rsid w:val="00FD43DF"/>
    <w:rsid w:val="00FE921A"/>
    <w:rsid w:val="00FF1991"/>
    <w:rsid w:val="00FF41C7"/>
    <w:rsid w:val="0103F220"/>
    <w:rsid w:val="012E1B18"/>
    <w:rsid w:val="013088B6"/>
    <w:rsid w:val="013A5440"/>
    <w:rsid w:val="0183DC5B"/>
    <w:rsid w:val="01DBF2E3"/>
    <w:rsid w:val="02644133"/>
    <w:rsid w:val="026999ED"/>
    <w:rsid w:val="02AB5019"/>
    <w:rsid w:val="03CB3B80"/>
    <w:rsid w:val="044B1A6E"/>
    <w:rsid w:val="04DB9E88"/>
    <w:rsid w:val="05670BE1"/>
    <w:rsid w:val="0A1234B0"/>
    <w:rsid w:val="0AA60942"/>
    <w:rsid w:val="0AE92BE8"/>
    <w:rsid w:val="0B2B0485"/>
    <w:rsid w:val="0BD2DE0A"/>
    <w:rsid w:val="0C1F3CAE"/>
    <w:rsid w:val="0C530A7B"/>
    <w:rsid w:val="0CFE6394"/>
    <w:rsid w:val="0D41896F"/>
    <w:rsid w:val="0D561EAA"/>
    <w:rsid w:val="0DDE96BC"/>
    <w:rsid w:val="0E2FB3BA"/>
    <w:rsid w:val="0F7F29DB"/>
    <w:rsid w:val="0FB154CB"/>
    <w:rsid w:val="10710883"/>
    <w:rsid w:val="11144AB0"/>
    <w:rsid w:val="113FA037"/>
    <w:rsid w:val="115AAA3D"/>
    <w:rsid w:val="1248F24F"/>
    <w:rsid w:val="124F0EDE"/>
    <w:rsid w:val="1359C66E"/>
    <w:rsid w:val="13D573E9"/>
    <w:rsid w:val="1479C8A5"/>
    <w:rsid w:val="14DFBFA1"/>
    <w:rsid w:val="1529F1C3"/>
    <w:rsid w:val="155A3E63"/>
    <w:rsid w:val="15FA2ED7"/>
    <w:rsid w:val="167EF469"/>
    <w:rsid w:val="168B02AE"/>
    <w:rsid w:val="16E8C44D"/>
    <w:rsid w:val="17D9FDBE"/>
    <w:rsid w:val="1838BAEA"/>
    <w:rsid w:val="18B50540"/>
    <w:rsid w:val="19B650A8"/>
    <w:rsid w:val="1A992514"/>
    <w:rsid w:val="1AF2855F"/>
    <w:rsid w:val="1D98BCF2"/>
    <w:rsid w:val="1E06D281"/>
    <w:rsid w:val="1E92C8B6"/>
    <w:rsid w:val="1EA53CF7"/>
    <w:rsid w:val="1FC5F682"/>
    <w:rsid w:val="2005904E"/>
    <w:rsid w:val="2040B975"/>
    <w:rsid w:val="206155EE"/>
    <w:rsid w:val="22802BC1"/>
    <w:rsid w:val="22BBC5EB"/>
    <w:rsid w:val="245080D6"/>
    <w:rsid w:val="249967A5"/>
    <w:rsid w:val="24A81060"/>
    <w:rsid w:val="2579B9BA"/>
    <w:rsid w:val="26353806"/>
    <w:rsid w:val="274D1AA9"/>
    <w:rsid w:val="27D75940"/>
    <w:rsid w:val="28258DBF"/>
    <w:rsid w:val="29398F82"/>
    <w:rsid w:val="296F840D"/>
    <w:rsid w:val="2AC46AC2"/>
    <w:rsid w:val="2AF2C5BE"/>
    <w:rsid w:val="2CA03CFD"/>
    <w:rsid w:val="2DB6C0B4"/>
    <w:rsid w:val="2DFE069A"/>
    <w:rsid w:val="2E355A5B"/>
    <w:rsid w:val="2E5476B2"/>
    <w:rsid w:val="2E6CE73A"/>
    <w:rsid w:val="2E9FF842"/>
    <w:rsid w:val="2EA8FD28"/>
    <w:rsid w:val="2F3A9CA7"/>
    <w:rsid w:val="2F6CC2E3"/>
    <w:rsid w:val="3076A574"/>
    <w:rsid w:val="31241141"/>
    <w:rsid w:val="31590E4F"/>
    <w:rsid w:val="328A31D7"/>
    <w:rsid w:val="3313BB0E"/>
    <w:rsid w:val="34ABEF6A"/>
    <w:rsid w:val="34E01C17"/>
    <w:rsid w:val="350A3F0A"/>
    <w:rsid w:val="357186F7"/>
    <w:rsid w:val="39DE6D44"/>
    <w:rsid w:val="3D2681AF"/>
    <w:rsid w:val="3D797A6B"/>
    <w:rsid w:val="3DD4D204"/>
    <w:rsid w:val="3F70A265"/>
    <w:rsid w:val="410406E4"/>
    <w:rsid w:val="410C72C6"/>
    <w:rsid w:val="42263032"/>
    <w:rsid w:val="435105CE"/>
    <w:rsid w:val="44637E7C"/>
    <w:rsid w:val="45532A05"/>
    <w:rsid w:val="45E3917B"/>
    <w:rsid w:val="461CE589"/>
    <w:rsid w:val="4634C683"/>
    <w:rsid w:val="47153134"/>
    <w:rsid w:val="47F8A2B5"/>
    <w:rsid w:val="482F85EB"/>
    <w:rsid w:val="49368587"/>
    <w:rsid w:val="4A21609C"/>
    <w:rsid w:val="4AB4C6D1"/>
    <w:rsid w:val="4AC39618"/>
    <w:rsid w:val="4C16758A"/>
    <w:rsid w:val="4C7C26C9"/>
    <w:rsid w:val="4C900C46"/>
    <w:rsid w:val="4D268A5A"/>
    <w:rsid w:val="4D7C0ECC"/>
    <w:rsid w:val="4D838916"/>
    <w:rsid w:val="4DFB7EDF"/>
    <w:rsid w:val="4E547293"/>
    <w:rsid w:val="505E6CFA"/>
    <w:rsid w:val="506CCA6A"/>
    <w:rsid w:val="50D1C19F"/>
    <w:rsid w:val="51A4F7FE"/>
    <w:rsid w:val="520F598A"/>
    <w:rsid w:val="5210C718"/>
    <w:rsid w:val="5213A355"/>
    <w:rsid w:val="523435C2"/>
    <w:rsid w:val="52617AD9"/>
    <w:rsid w:val="526D9200"/>
    <w:rsid w:val="52C5AA75"/>
    <w:rsid w:val="54421866"/>
    <w:rsid w:val="54679C47"/>
    <w:rsid w:val="54DC98C0"/>
    <w:rsid w:val="558DA97E"/>
    <w:rsid w:val="55B948D6"/>
    <w:rsid w:val="55BE5B1F"/>
    <w:rsid w:val="56B5A1A6"/>
    <w:rsid w:val="56B903EB"/>
    <w:rsid w:val="5787527D"/>
    <w:rsid w:val="5793C938"/>
    <w:rsid w:val="5843DF1B"/>
    <w:rsid w:val="584B0F79"/>
    <w:rsid w:val="588EC44F"/>
    <w:rsid w:val="58A02E05"/>
    <w:rsid w:val="58C28093"/>
    <w:rsid w:val="58F5FBE1"/>
    <w:rsid w:val="598B9EFA"/>
    <w:rsid w:val="5AA20A77"/>
    <w:rsid w:val="5AE1FBDA"/>
    <w:rsid w:val="5B6B6BFC"/>
    <w:rsid w:val="5C147446"/>
    <w:rsid w:val="5C2D9CA3"/>
    <w:rsid w:val="5D37ADE7"/>
    <w:rsid w:val="5D3FE3CD"/>
    <w:rsid w:val="5D6C73F1"/>
    <w:rsid w:val="5DB2C70F"/>
    <w:rsid w:val="5DC96D04"/>
    <w:rsid w:val="5F0CBDBF"/>
    <w:rsid w:val="621354F0"/>
    <w:rsid w:val="6372DF31"/>
    <w:rsid w:val="64A549FE"/>
    <w:rsid w:val="664B7907"/>
    <w:rsid w:val="66D4CF6D"/>
    <w:rsid w:val="6713C76F"/>
    <w:rsid w:val="68067F53"/>
    <w:rsid w:val="689FA0E6"/>
    <w:rsid w:val="68A9D042"/>
    <w:rsid w:val="68D5B995"/>
    <w:rsid w:val="68FFC77B"/>
    <w:rsid w:val="6904F7E2"/>
    <w:rsid w:val="6A69B211"/>
    <w:rsid w:val="6A7D771D"/>
    <w:rsid w:val="6B10673A"/>
    <w:rsid w:val="6BC5DAD5"/>
    <w:rsid w:val="6CA6648F"/>
    <w:rsid w:val="6CEDDFCC"/>
    <w:rsid w:val="6DAB5452"/>
    <w:rsid w:val="6DF61501"/>
    <w:rsid w:val="6E3B7BF4"/>
    <w:rsid w:val="6EA10307"/>
    <w:rsid w:val="6EB91233"/>
    <w:rsid w:val="6FD905D7"/>
    <w:rsid w:val="6FE73EF1"/>
    <w:rsid w:val="702557D9"/>
    <w:rsid w:val="703CD368"/>
    <w:rsid w:val="70552093"/>
    <w:rsid w:val="70ACD453"/>
    <w:rsid w:val="70F55D3E"/>
    <w:rsid w:val="71387354"/>
    <w:rsid w:val="7154C5C1"/>
    <w:rsid w:val="715F8270"/>
    <w:rsid w:val="71816B4C"/>
    <w:rsid w:val="71AE0427"/>
    <w:rsid w:val="72033DA8"/>
    <w:rsid w:val="721159CE"/>
    <w:rsid w:val="73203C94"/>
    <w:rsid w:val="73586A81"/>
    <w:rsid w:val="7374742A"/>
    <w:rsid w:val="73D38B09"/>
    <w:rsid w:val="750D58D3"/>
    <w:rsid w:val="759F4597"/>
    <w:rsid w:val="760C5AE1"/>
    <w:rsid w:val="781250FE"/>
    <w:rsid w:val="78BBC145"/>
    <w:rsid w:val="7A9120C0"/>
    <w:rsid w:val="7B01767A"/>
    <w:rsid w:val="7B1284BA"/>
    <w:rsid w:val="7C2BD441"/>
    <w:rsid w:val="7DE53B4E"/>
    <w:rsid w:val="7EB726D1"/>
    <w:rsid w:val="7EF6C0EB"/>
    <w:rsid w:val="7F150501"/>
    <w:rsid w:val="7F196250"/>
    <w:rsid w:val="7F64393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2F1316E"/>
  <w15:chartTrackingRefBased/>
  <w15:docId w15:val="{AA09B254-D146-40E7-BE5E-1D5E55356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1C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F23"/>
  </w:style>
  <w:style w:type="paragraph" w:styleId="Footer">
    <w:name w:val="footer"/>
    <w:basedOn w:val="Normal"/>
    <w:link w:val="FooterChar"/>
    <w:uiPriority w:val="99"/>
    <w:unhideWhenUsed/>
    <w:rsid w:val="00515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F23"/>
  </w:style>
  <w:style w:type="paragraph" w:styleId="FootnoteText">
    <w:name w:val="footnote text"/>
    <w:aliases w:val="Footnote Text Char Char,Footnote Text Char Char Char,Footnote Text Char Char1,Footnote Text Char1,Footnote Text Char1 Char,Footnote Text Char1 Char Char Char1,Footnote Text Char2 Char,Footnote Text Char3,Footnote Text MRP,c,f,fn,ft,ft Char"/>
    <w:basedOn w:val="Normal"/>
    <w:link w:val="FootnoteTextChar"/>
    <w:uiPriority w:val="99"/>
    <w:unhideWhenUsed/>
    <w:rsid w:val="00291D75"/>
    <w:pPr>
      <w:widowControl w:val="0"/>
      <w:autoSpaceDE w:val="0"/>
      <w:autoSpaceDN w:val="0"/>
      <w:adjustRightInd w:val="0"/>
      <w:spacing w:after="0" w:line="240" w:lineRule="auto"/>
    </w:pPr>
    <w:rPr>
      <w:rFonts w:ascii="Times New Roman" w:hAnsi="Times New Roman"/>
      <w:sz w:val="20"/>
      <w:szCs w:val="20"/>
    </w:rPr>
  </w:style>
  <w:style w:type="character" w:customStyle="1" w:styleId="FootnoteTextChar">
    <w:name w:val="Footnote Text Char"/>
    <w:aliases w:val="Footnote Text Char Char Char Char,Footnote Text Char Char Char1,Footnote Text Char Char1 Char,Footnote Text Char1 Char Char,Footnote Text Char1 Char Char Char1 Char,Footnote Text Char1 Char1,Footnote Text Char2 Char Char,c Char,f Char"/>
    <w:basedOn w:val="DefaultParagraphFont"/>
    <w:link w:val="FootnoteText"/>
    <w:uiPriority w:val="99"/>
    <w:rsid w:val="00291D75"/>
    <w:rPr>
      <w:rFonts w:ascii="Times New Roman" w:hAnsi="Times New Roman"/>
      <w:sz w:val="20"/>
      <w:szCs w:val="20"/>
    </w:rPr>
  </w:style>
  <w:style w:type="character" w:styleId="FootnoteReference">
    <w:name w:val="footnote reference"/>
    <w:aliases w:val="(NECG) Footnote Reference,EIS Footnote Reference,FTPLK,Footnote Reference (EIS),Footnote reference (EA),Styl,Style 12,Style 13,Style 15,Style 17,Style 18,Style 19,Style 20,Style 28,Style 7,Style 8,Style 9,fnr,fr,fr1,fr2,fr3,o,o1,o2,o3"/>
    <w:basedOn w:val="DefaultParagraphFont"/>
    <w:unhideWhenUsed/>
    <w:qFormat/>
    <w:rsid w:val="00291D75"/>
    <w:rPr>
      <w:rFonts w:ascii="Times New Roman" w:hAnsi="Times New Roman" w:cs="Times New Roman"/>
      <w:b/>
      <w:sz w:val="26"/>
      <w:vertAlign w:val="superscript"/>
    </w:rPr>
  </w:style>
  <w:style w:type="character" w:styleId="Hyperlink">
    <w:name w:val="Hyperlink"/>
    <w:basedOn w:val="DefaultParagraphFont"/>
    <w:uiPriority w:val="99"/>
    <w:unhideWhenUsed/>
    <w:rsid w:val="00103037"/>
    <w:rPr>
      <w:color w:val="0563C1" w:themeColor="hyperlink"/>
      <w:u w:val="single"/>
    </w:rPr>
  </w:style>
  <w:style w:type="character" w:styleId="UnresolvedMention">
    <w:name w:val="Unresolved Mention"/>
    <w:basedOn w:val="DefaultParagraphFont"/>
    <w:uiPriority w:val="99"/>
    <w:semiHidden/>
    <w:unhideWhenUsed/>
    <w:rsid w:val="00103037"/>
    <w:rPr>
      <w:color w:val="605E5C"/>
      <w:shd w:val="clear" w:color="auto" w:fill="E1DFDD"/>
    </w:rPr>
  </w:style>
  <w:style w:type="character" w:styleId="FollowedHyperlink">
    <w:name w:val="FollowedHyperlink"/>
    <w:basedOn w:val="DefaultParagraphFont"/>
    <w:uiPriority w:val="99"/>
    <w:semiHidden/>
    <w:unhideWhenUsed/>
    <w:rsid w:val="00340C9B"/>
    <w:rPr>
      <w:color w:val="954F72" w:themeColor="followedHyperlink"/>
      <w:u w:val="single"/>
    </w:rPr>
  </w:style>
  <w:style w:type="table" w:styleId="TableGrid">
    <w:name w:val="Table Grid"/>
    <w:basedOn w:val="TableNormal"/>
    <w:uiPriority w:val="39"/>
    <w:rsid w:val="005E45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97AB1"/>
    <w:pPr>
      <w:spacing w:after="0" w:line="240" w:lineRule="auto"/>
    </w:pPr>
  </w:style>
  <w:style w:type="character" w:customStyle="1" w:styleId="CommentReference1">
    <w:name w:val="Comment Reference1"/>
    <w:basedOn w:val="DefaultParagraphFont"/>
    <w:semiHidden/>
    <w:unhideWhenUsed/>
    <w:rsid w:val="002F7716"/>
    <w:rPr>
      <w:sz w:val="16"/>
      <w:szCs w:val="16"/>
    </w:rPr>
  </w:style>
  <w:style w:type="paragraph" w:customStyle="1" w:styleId="CommentText1">
    <w:name w:val="Comment Text1"/>
    <w:basedOn w:val="Normal"/>
    <w:link w:val="CommentTextChar"/>
    <w:uiPriority w:val="99"/>
    <w:unhideWhenUsed/>
    <w:rsid w:val="002F7716"/>
    <w:pPr>
      <w:spacing w:line="240" w:lineRule="auto"/>
    </w:pPr>
    <w:rPr>
      <w:sz w:val="20"/>
      <w:szCs w:val="20"/>
    </w:rPr>
  </w:style>
  <w:style w:type="character" w:customStyle="1" w:styleId="CommentTextChar">
    <w:name w:val="Comment Text Char"/>
    <w:basedOn w:val="DefaultParagraphFont"/>
    <w:link w:val="CommentText1"/>
    <w:uiPriority w:val="99"/>
    <w:rsid w:val="002F7716"/>
    <w:rPr>
      <w:sz w:val="20"/>
      <w:szCs w:val="20"/>
    </w:rPr>
  </w:style>
  <w:style w:type="paragraph" w:customStyle="1" w:styleId="CommentSubject1">
    <w:name w:val="Comment Subject1"/>
    <w:basedOn w:val="CommentText1"/>
    <w:next w:val="CommentText1"/>
    <w:link w:val="CommentSubjectChar"/>
    <w:uiPriority w:val="99"/>
    <w:semiHidden/>
    <w:unhideWhenUsed/>
    <w:rsid w:val="002F7716"/>
    <w:rPr>
      <w:b/>
      <w:bCs/>
    </w:rPr>
  </w:style>
  <w:style w:type="character" w:customStyle="1" w:styleId="CommentSubjectChar">
    <w:name w:val="Comment Subject Char"/>
    <w:basedOn w:val="CommentTextChar"/>
    <w:link w:val="CommentSubject1"/>
    <w:uiPriority w:val="99"/>
    <w:semiHidden/>
    <w:rsid w:val="002F7716"/>
    <w:rPr>
      <w:b/>
      <w:bCs/>
      <w:sz w:val="20"/>
      <w:szCs w:val="20"/>
    </w:rPr>
  </w:style>
  <w:style w:type="character" w:styleId="Mention">
    <w:name w:val="Mention"/>
    <w:basedOn w:val="DefaultParagraphFont"/>
    <w:uiPriority w:val="99"/>
    <w:unhideWhenUsed/>
    <w:rsid w:val="002F7716"/>
    <w:rPr>
      <w:color w:val="2B579A"/>
      <w:shd w:val="clear" w:color="auto" w:fill="E1DFDD"/>
    </w:rPr>
  </w:style>
  <w:style w:type="paragraph" w:styleId="ListParagraph">
    <w:name w:val="List Paragraph"/>
    <w:basedOn w:val="Normal"/>
    <w:uiPriority w:val="34"/>
    <w:qFormat/>
    <w:rsid w:val="00512061"/>
    <w:pPr>
      <w:ind w:left="720"/>
      <w:contextualSpacing/>
    </w:pPr>
  </w:style>
  <w:style w:type="paragraph" w:customStyle="1" w:styleId="CommentText">
    <w:name w:val="Comment Text"/>
    <w:basedOn w:val="Normal"/>
    <w:link w:val="CommentTextChar2"/>
    <w:uiPriority w:val="99"/>
    <w:unhideWhenUsed/>
    <w:rsid w:val="009C0003"/>
    <w:pPr>
      <w:widowControl w:val="0"/>
      <w:spacing w:after="0" w:line="240" w:lineRule="auto"/>
    </w:pPr>
    <w:rPr>
      <w:rFonts w:ascii="Arial" w:hAnsi="Arial" w:cs="Arial"/>
      <w:sz w:val="20"/>
      <w:szCs w:val="20"/>
    </w:rPr>
  </w:style>
  <w:style w:type="character" w:customStyle="1" w:styleId="CommentTextChar1">
    <w:name w:val="Comment Text Char1"/>
    <w:basedOn w:val="DefaultParagraphFont"/>
    <w:uiPriority w:val="99"/>
    <w:semiHidden/>
    <w:rsid w:val="009C0003"/>
    <w:rPr>
      <w:sz w:val="20"/>
      <w:szCs w:val="20"/>
    </w:rPr>
  </w:style>
  <w:style w:type="character" w:customStyle="1" w:styleId="CommentReference">
    <w:name w:val="Comment Reference"/>
    <w:basedOn w:val="DefaultParagraphFont"/>
    <w:uiPriority w:val="99"/>
    <w:semiHidden/>
    <w:unhideWhenUsed/>
    <w:rsid w:val="009C0003"/>
    <w:rPr>
      <w:sz w:val="16"/>
      <w:szCs w:val="16"/>
    </w:rPr>
  </w:style>
  <w:style w:type="paragraph" w:customStyle="1" w:styleId="CommentSubject">
    <w:name w:val="Comment Subject"/>
    <w:basedOn w:val="CommentText"/>
    <w:next w:val="CommentText"/>
    <w:link w:val="CommentSubjectChar1"/>
    <w:uiPriority w:val="99"/>
    <w:semiHidden/>
    <w:unhideWhenUsed/>
    <w:rsid w:val="00A061E8"/>
    <w:pPr>
      <w:widowControl/>
      <w:spacing w:after="160"/>
    </w:pPr>
    <w:rPr>
      <w:rFonts w:asciiTheme="minorHAnsi" w:hAnsiTheme="minorHAnsi" w:cstheme="minorBidi"/>
      <w:b/>
      <w:bCs/>
    </w:rPr>
  </w:style>
  <w:style w:type="character" w:customStyle="1" w:styleId="CommentTextChar2">
    <w:name w:val="Comment Text Char2"/>
    <w:basedOn w:val="DefaultParagraphFont"/>
    <w:link w:val="CommentText"/>
    <w:uiPriority w:val="99"/>
    <w:rsid w:val="00A061E8"/>
    <w:rPr>
      <w:rFonts w:ascii="Arial" w:hAnsi="Arial" w:cs="Arial"/>
      <w:sz w:val="20"/>
      <w:szCs w:val="20"/>
    </w:rPr>
  </w:style>
  <w:style w:type="character" w:customStyle="1" w:styleId="CommentSubjectChar1">
    <w:name w:val="Comment Subject Char1"/>
    <w:basedOn w:val="CommentTextChar2"/>
    <w:link w:val="CommentSubject"/>
    <w:uiPriority w:val="99"/>
    <w:semiHidden/>
    <w:rsid w:val="00A061E8"/>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ferc.gov/legal/ceii-foia/ceii.asp" TargetMode="External" /><Relationship Id="rId11" Type="http://schemas.openxmlformats.org/officeDocument/2006/relationships/hyperlink" Target="http://www.ferc.gov/legal/ceii-foia/ceii/classes.asp" TargetMode="External" /><Relationship Id="rId12" Type="http://schemas.openxmlformats.org/officeDocument/2006/relationships/hyperlink" Target="https://www.ferc.gov/information-collections"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www.ferc.gov/docs-filing/efiling.asp"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elibrary.ferc.gov/eLibrary/search"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92A12D26BD054EAF7308A64C3FCB4C" ma:contentTypeVersion="8" ma:contentTypeDescription="Create a new document." ma:contentTypeScope="" ma:versionID="fd0c4adefb7ccba3149275f5b9dfc032">
  <xsd:schema xmlns:xsd="http://www.w3.org/2001/XMLSchema" xmlns:xs="http://www.w3.org/2001/XMLSchema" xmlns:p="http://schemas.microsoft.com/office/2006/metadata/properties" xmlns:ns2="5a7c6213-c3f8-4376-93f2-dc58e5c51d54" xmlns:ns3="7d39e18b-330b-455b-b1d2-f8885a4d610b" targetNamespace="http://schemas.microsoft.com/office/2006/metadata/properties" ma:root="true" ma:fieldsID="6322b8441fcd377c4a88bb2f6790f021" ns2:_="" ns3:_="">
    <xsd:import namespace="5a7c6213-c3f8-4376-93f2-dc58e5c51d54"/>
    <xsd:import namespace="7d39e18b-330b-455b-b1d2-f8885a4d610b"/>
    <xsd:element name="properties">
      <xsd:complexType>
        <xsd:sequence>
          <xsd:element name="documentManagement">
            <xsd:complexType>
              <xsd:all>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c6213-c3f8-4376-93f2-dc58e5c51d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39e18b-330b-455b-b1d2-f8885a4d610b" elementFormDefault="qualified">
    <xsd:import namespace="http://schemas.microsoft.com/office/2006/documentManagement/types"/>
    <xsd:import namespace="http://schemas.microsoft.com/office/infopath/2007/PartnerControls"/>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3E333A-DC3F-4F04-81DE-E46D65C88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c6213-c3f8-4376-93f2-dc58e5c51d54"/>
    <ds:schemaRef ds:uri="7d39e18b-330b-455b-b1d2-f8885a4d61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7A5596-B9FB-405D-849E-1564D9269BCC}">
  <ds:schemaRefs>
    <ds:schemaRef ds:uri="http://schemas.openxmlformats.org/officeDocument/2006/bibliography"/>
  </ds:schemaRefs>
</ds:datastoreItem>
</file>

<file path=customXml/itemProps3.xml><?xml version="1.0" encoding="utf-8"?>
<ds:datastoreItem xmlns:ds="http://schemas.openxmlformats.org/officeDocument/2006/customXml" ds:itemID="{96794DD5-2F27-444F-849E-31705D9D5DB8}">
  <ds:schemaRefs>
    <ds:schemaRef ds:uri="http://schemas.microsoft.com/sharepoint/v3/contenttype/forms"/>
  </ds:schemaRefs>
</ds:datastoreItem>
</file>

<file path=customXml/itemProps4.xml><?xml version="1.0" encoding="utf-8"?>
<ds:datastoreItem xmlns:ds="http://schemas.openxmlformats.org/officeDocument/2006/customXml" ds:itemID="{A107A1EE-5A06-42FE-B5CA-B2E67B7835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Sonneman</dc:creator>
  <cp:lastModifiedBy>Ken Ambrose</cp:lastModifiedBy>
  <cp:revision>285</cp:revision>
  <dcterms:created xsi:type="dcterms:W3CDTF">2026-05-27T23:25:00Z</dcterms:created>
  <dcterms:modified xsi:type="dcterms:W3CDTF">2026-10-20T14:30:19Z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#ff0000,13,Times New Roman</vt:lpwstr>
  </property>
  <property fmtid="{D5CDD505-2E9C-101B-9397-08002B2CF9AE}" pid="3" name="ClassificationContentMarkingHeaderShapeIds">
    <vt:lpwstr>3</vt:lpwstr>
  </property>
  <property fmtid="{D5CDD505-2E9C-101B-9397-08002B2CF9AE}" pid="4" name="ClassificationContentMarkingHeaderText">
    <vt:lpwstr>CUI</vt:lpwstr>
  </property>
  <property fmtid="{D5CDD505-2E9C-101B-9397-08002B2CF9AE}" pid="5" name="ContentTypeId">
    <vt:lpwstr>0x0101006492A12D26BD054EAF7308A64C3FCB4C</vt:lpwstr>
  </property>
  <property fmtid="{D5CDD505-2E9C-101B-9397-08002B2CF9AE}" pid="6" name="MediaServiceImageTags">
    <vt:lpwstr/>
  </property>
  <property fmtid="{D5CDD505-2E9C-101B-9397-08002B2CF9AE}" pid="7" name="MSIP_Label_bd24d06a-0e85-4d57-b1e0-ba34b1abc708_ActionId">
    <vt:lpwstr>6e5d1fdd-83d3-4490-9620-4121f9704dc2</vt:lpwstr>
  </property>
  <property fmtid="{D5CDD505-2E9C-101B-9397-08002B2CF9AE}" pid="8" name="MSIP_Label_bd24d06a-0e85-4d57-b1e0-ba34b1abc708_ContentBits">
    <vt:lpwstr>0</vt:lpwstr>
  </property>
  <property fmtid="{D5CDD505-2E9C-101B-9397-08002B2CF9AE}" pid="9" name="MSIP_Label_bd24d06a-0e85-4d57-b1e0-ba34b1abc708_Enabled">
    <vt:lpwstr>true</vt:lpwstr>
  </property>
  <property fmtid="{D5CDD505-2E9C-101B-9397-08002B2CF9AE}" pid="10" name="MSIP_Label_bd24d06a-0e85-4d57-b1e0-ba34b1abc708_Method">
    <vt:lpwstr>Privileged</vt:lpwstr>
  </property>
  <property fmtid="{D5CDD505-2E9C-101B-9397-08002B2CF9AE}" pid="11" name="MSIP_Label_bd24d06a-0e85-4d57-b1e0-ba34b1abc708_Name">
    <vt:lpwstr>bd24d06a-0e85-4d57-b1e0-ba34b1abc708</vt:lpwstr>
  </property>
  <property fmtid="{D5CDD505-2E9C-101B-9397-08002B2CF9AE}" pid="12" name="MSIP_Label_bd24d06a-0e85-4d57-b1e0-ba34b1abc708_SetDate">
    <vt:lpwstr>2026-05-27T14:25:30Z</vt:lpwstr>
  </property>
  <property fmtid="{D5CDD505-2E9C-101B-9397-08002B2CF9AE}" pid="13" name="MSIP_Label_bd24d06a-0e85-4d57-b1e0-ba34b1abc708_SiteId">
    <vt:lpwstr>19caa9e9-04ff-43fa-885f-d77fac387903</vt:lpwstr>
  </property>
  <property fmtid="{D5CDD505-2E9C-101B-9397-08002B2CF9AE}" pid="14" name="MSIP_Label_bd24d06a-0e85-4d57-b1e0-ba34b1abc708_Tag">
    <vt:lpwstr>10, 0, 1, 2</vt:lpwstr>
  </property>
</Properties>
</file>