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7666C" w:rsidRPr="007974E9" w:rsidP="0057666C" w14:paraId="202ABC0F" w14:textId="77777777">
      <w:pPr>
        <w:suppressAutoHyphens/>
        <w:spacing w:after="240"/>
        <w:jc w:val="center"/>
        <w:rPr>
          <w:sz w:val="24"/>
          <w:szCs w:val="24"/>
          <w:u w:val="single"/>
        </w:rPr>
      </w:pPr>
      <w:r w:rsidRPr="007974E9">
        <w:rPr>
          <w:sz w:val="24"/>
          <w:szCs w:val="24"/>
          <w:u w:val="single"/>
        </w:rPr>
        <w:t>SUPPORTING STATEMENT FOR NEW AND REVISED INFORMATION COLLECTIONS</w:t>
      </w:r>
    </w:p>
    <w:p w:rsidR="0057666C" w:rsidRPr="007974E9" w:rsidP="0057666C" w14:paraId="227D5EFF" w14:textId="77777777">
      <w:pPr>
        <w:suppressAutoHyphens/>
        <w:spacing w:after="240"/>
        <w:jc w:val="center"/>
        <w:rPr>
          <w:sz w:val="24"/>
          <w:szCs w:val="24"/>
          <w:u w:val="single"/>
        </w:rPr>
      </w:pPr>
      <w:r w:rsidRPr="007974E9">
        <w:rPr>
          <w:sz w:val="24"/>
          <w:szCs w:val="24"/>
          <w:u w:val="single"/>
        </w:rPr>
        <w:t>Process for Review of Swaps for Mandatory Clearing</w:t>
      </w:r>
    </w:p>
    <w:p w:rsidR="0057666C" w:rsidRPr="007974E9" w:rsidP="0057666C" w14:paraId="3EB2246B" w14:textId="77777777">
      <w:pPr>
        <w:tabs>
          <w:tab w:val="center" w:pos="4680"/>
        </w:tabs>
        <w:suppressAutoHyphens/>
        <w:spacing w:after="240"/>
        <w:jc w:val="center"/>
        <w:outlineLvl w:val="0"/>
        <w:rPr>
          <w:sz w:val="24"/>
          <w:szCs w:val="24"/>
          <w:u w:val="single"/>
        </w:rPr>
      </w:pPr>
      <w:r w:rsidRPr="007974E9">
        <w:rPr>
          <w:sz w:val="24"/>
          <w:szCs w:val="24"/>
          <w:u w:val="single"/>
        </w:rPr>
        <w:t>OMB CONTROL NUMBER 3038-0097</w:t>
      </w:r>
    </w:p>
    <w:p w:rsidR="0057666C" w:rsidRPr="003B2AD2" w:rsidP="0057666C" w14:paraId="532BF729" w14:textId="77777777">
      <w:pPr>
        <w:tabs>
          <w:tab w:val="left" w:pos="-720"/>
        </w:tabs>
        <w:suppressAutoHyphens/>
        <w:spacing w:after="240"/>
        <w:outlineLvl w:val="0"/>
        <w:rPr>
          <w:sz w:val="24"/>
          <w:szCs w:val="24"/>
        </w:rPr>
      </w:pPr>
      <w:r w:rsidRPr="003B2AD2">
        <w:rPr>
          <w:sz w:val="24"/>
          <w:szCs w:val="24"/>
          <w:u w:val="single"/>
        </w:rPr>
        <w:t>Justification</w:t>
      </w:r>
    </w:p>
    <w:p w:rsidR="0057666C" w:rsidP="0057666C" w14:paraId="58B5B503" w14:textId="77777777">
      <w:pPr>
        <w:tabs>
          <w:tab w:val="left" w:pos="-720"/>
          <w:tab w:val="left" w:pos="0"/>
        </w:tabs>
        <w:suppressAutoHyphens/>
        <w:spacing w:after="240"/>
        <w:ind w:left="720" w:hanging="720"/>
        <w:rPr>
          <w:sz w:val="24"/>
          <w:szCs w:val="24"/>
        </w:rPr>
      </w:pPr>
      <w:r w:rsidRPr="003B2AD2">
        <w:rPr>
          <w:sz w:val="24"/>
          <w:szCs w:val="24"/>
        </w:rPr>
        <w:t>1.</w:t>
      </w:r>
      <w:r w:rsidRPr="003B2AD2">
        <w:rPr>
          <w:sz w:val="24"/>
          <w:szCs w:val="24"/>
        </w:rPr>
        <w:tab/>
      </w:r>
      <w:r w:rsidRPr="003B2AD2">
        <w:rPr>
          <w:sz w:val="24"/>
          <w:szCs w:val="24"/>
          <w:u w:val="single"/>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sidRPr="003B2AD2">
        <w:rPr>
          <w:sz w:val="24"/>
          <w:szCs w:val="24"/>
        </w:rPr>
        <w:t>.</w:t>
      </w:r>
    </w:p>
    <w:p w:rsidR="0057666C" w:rsidRPr="003B2AD2" w:rsidP="0057666C" w14:paraId="4DEE1B1E" w14:textId="77777777">
      <w:pPr>
        <w:tabs>
          <w:tab w:val="left" w:pos="-720"/>
          <w:tab w:val="left" w:pos="0"/>
        </w:tabs>
        <w:suppressAutoHyphens/>
        <w:spacing w:after="240"/>
        <w:ind w:left="720"/>
        <w:rPr>
          <w:sz w:val="24"/>
          <w:szCs w:val="24"/>
        </w:rPr>
      </w:pPr>
      <w:r w:rsidRPr="00D92C7E">
        <w:rPr>
          <w:sz w:val="24"/>
          <w:szCs w:val="24"/>
        </w:rPr>
        <w:t>The Dodd-Frank Wall Street Reform and Consumer Protection Act amended Section 2(h) of the Commodity Exchange Act (“CEA”) to require any derivatives clearing organization (“DCO”) that wishes to accept a swap for clearing to be eligible to clear the swap and to submit the swap to the Commission for a determination as to whether the swap is required to be cleared.  The information collected is necessary for the Commission to conduct its review.</w:t>
      </w:r>
    </w:p>
    <w:p w:rsidR="0057666C" w:rsidP="0057666C" w14:paraId="42931E5F" w14:textId="77777777">
      <w:pPr>
        <w:tabs>
          <w:tab w:val="left" w:pos="-720"/>
        </w:tabs>
        <w:suppressAutoHyphens/>
        <w:spacing w:after="240"/>
        <w:ind w:left="720" w:hanging="720"/>
        <w:rPr>
          <w:sz w:val="24"/>
          <w:szCs w:val="24"/>
        </w:rPr>
      </w:pPr>
      <w:r w:rsidRPr="003B2AD2">
        <w:rPr>
          <w:sz w:val="24"/>
          <w:szCs w:val="24"/>
        </w:rPr>
        <w:t>2.</w:t>
      </w:r>
      <w:r w:rsidRPr="003B2AD2">
        <w:rPr>
          <w:sz w:val="24"/>
          <w:szCs w:val="24"/>
        </w:rPr>
        <w:tab/>
      </w:r>
      <w:r w:rsidRPr="003B2AD2">
        <w:rPr>
          <w:sz w:val="24"/>
          <w:szCs w:val="24"/>
          <w:u w:val="single"/>
        </w:rPr>
        <w:t>Indicate how, by whom, and for what purpose the dat</w:t>
      </w:r>
      <w:r>
        <w:rPr>
          <w:sz w:val="24"/>
          <w:szCs w:val="24"/>
          <w:u w:val="single"/>
        </w:rPr>
        <w:t>a</w:t>
      </w:r>
      <w:r w:rsidRPr="003B2AD2">
        <w:rPr>
          <w:sz w:val="24"/>
          <w:szCs w:val="24"/>
          <w:u w:val="single"/>
        </w:rPr>
        <w:t xml:space="preserve"> would be used.  Except for a new collection, indicate the actual use the agency has made of the information received from the current collection</w:t>
      </w:r>
      <w:r w:rsidRPr="003B2AD2">
        <w:rPr>
          <w:sz w:val="24"/>
          <w:szCs w:val="24"/>
        </w:rPr>
        <w:t>.</w:t>
      </w:r>
    </w:p>
    <w:p w:rsidR="0057666C" w:rsidRPr="003B2AD2" w:rsidP="0057666C" w14:paraId="2100FF80" w14:textId="77777777">
      <w:pPr>
        <w:tabs>
          <w:tab w:val="left" w:pos="-720"/>
          <w:tab w:val="left" w:pos="0"/>
        </w:tabs>
        <w:suppressAutoHyphens/>
        <w:spacing w:after="240"/>
        <w:ind w:left="720"/>
        <w:rPr>
          <w:sz w:val="24"/>
          <w:szCs w:val="24"/>
        </w:rPr>
      </w:pPr>
      <w:r w:rsidRPr="00E61873">
        <w:rPr>
          <w:sz w:val="24"/>
          <w:szCs w:val="24"/>
        </w:rPr>
        <w:t xml:space="preserve">The information collected </w:t>
      </w:r>
      <w:r>
        <w:rPr>
          <w:sz w:val="24"/>
          <w:szCs w:val="24"/>
        </w:rPr>
        <w:t>is</w:t>
      </w:r>
      <w:r w:rsidRPr="00E61873">
        <w:rPr>
          <w:sz w:val="24"/>
          <w:szCs w:val="24"/>
        </w:rPr>
        <w:t xml:space="preserve"> analyzed by Commission </w:t>
      </w:r>
      <w:r>
        <w:rPr>
          <w:sz w:val="24"/>
          <w:szCs w:val="24"/>
        </w:rPr>
        <w:t xml:space="preserve">staff </w:t>
      </w:r>
      <w:r w:rsidRPr="00E61873">
        <w:rPr>
          <w:sz w:val="24"/>
          <w:szCs w:val="24"/>
        </w:rPr>
        <w:t xml:space="preserve">to determine whether </w:t>
      </w:r>
      <w:r>
        <w:rPr>
          <w:sz w:val="24"/>
          <w:szCs w:val="24"/>
        </w:rPr>
        <w:t>a DCO that wishes to accept a swap for clearing is eligible to clear the swap and whether the swap should be required to be cleared</w:t>
      </w:r>
      <w:r w:rsidRPr="00E61873">
        <w:rPr>
          <w:sz w:val="24"/>
          <w:szCs w:val="24"/>
        </w:rPr>
        <w:t>.</w:t>
      </w:r>
    </w:p>
    <w:p w:rsidR="0057666C" w:rsidP="0057666C" w14:paraId="3E5694F0" w14:textId="77777777">
      <w:pPr>
        <w:tabs>
          <w:tab w:val="left" w:pos="-720"/>
          <w:tab w:val="left" w:pos="0"/>
        </w:tabs>
        <w:suppressAutoHyphens/>
        <w:spacing w:after="240"/>
        <w:ind w:left="720" w:hanging="720"/>
        <w:rPr>
          <w:sz w:val="24"/>
          <w:szCs w:val="24"/>
          <w:u w:val="single"/>
        </w:rPr>
      </w:pPr>
      <w:r w:rsidRPr="003B2AD2">
        <w:rPr>
          <w:sz w:val="24"/>
          <w:szCs w:val="24"/>
        </w:rPr>
        <w:t>3.</w:t>
      </w:r>
      <w:r w:rsidRPr="003B2AD2">
        <w:rPr>
          <w:sz w:val="24"/>
          <w:szCs w:val="24"/>
        </w:rPr>
        <w:tab/>
      </w:r>
      <w:r w:rsidRPr="003B2AD2">
        <w:rPr>
          <w:sz w:val="24"/>
          <w:szCs w:val="24"/>
          <w:u w:val="single"/>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7666C" w:rsidRPr="003B2AD2" w:rsidP="0057666C" w14:paraId="1A9C80F3" w14:textId="77777777">
      <w:pPr>
        <w:tabs>
          <w:tab w:val="left" w:pos="-720"/>
          <w:tab w:val="left" w:pos="0"/>
        </w:tabs>
        <w:suppressAutoHyphens/>
        <w:spacing w:after="240"/>
        <w:ind w:left="720"/>
        <w:rPr>
          <w:sz w:val="24"/>
          <w:szCs w:val="24"/>
        </w:rPr>
      </w:pPr>
      <w:r>
        <w:rPr>
          <w:sz w:val="24"/>
          <w:szCs w:val="24"/>
        </w:rPr>
        <w:t>The required information is required to be filed electronically.</w:t>
      </w:r>
    </w:p>
    <w:p w:rsidR="0057666C" w:rsidP="0057666C" w14:paraId="010BA1E1" w14:textId="77777777">
      <w:pPr>
        <w:tabs>
          <w:tab w:val="left" w:pos="-720"/>
          <w:tab w:val="left" w:pos="0"/>
        </w:tabs>
        <w:suppressAutoHyphens/>
        <w:spacing w:after="240"/>
        <w:ind w:left="720" w:hanging="720"/>
        <w:rPr>
          <w:sz w:val="24"/>
          <w:szCs w:val="24"/>
        </w:rPr>
      </w:pPr>
      <w:r w:rsidRPr="003B2AD2">
        <w:rPr>
          <w:sz w:val="24"/>
          <w:szCs w:val="24"/>
        </w:rPr>
        <w:t>4.</w:t>
      </w:r>
      <w:r w:rsidRPr="003B2AD2">
        <w:rPr>
          <w:sz w:val="24"/>
          <w:szCs w:val="24"/>
        </w:rPr>
        <w:tab/>
      </w:r>
      <w:r w:rsidRPr="003B2AD2">
        <w:rPr>
          <w:sz w:val="24"/>
          <w:szCs w:val="24"/>
          <w:u w:val="single"/>
        </w:rPr>
        <w:t>Describe efforts to identify duplication.  Show specifically why any similar information already available cannot be used or modified for use for the purposes described in Item 2 above</w:t>
      </w:r>
      <w:r w:rsidRPr="003B2AD2">
        <w:rPr>
          <w:sz w:val="24"/>
          <w:szCs w:val="24"/>
        </w:rPr>
        <w:t>.</w:t>
      </w:r>
    </w:p>
    <w:p w:rsidR="0057666C" w:rsidP="0057666C" w14:paraId="364DDFAC" w14:textId="77777777">
      <w:pPr>
        <w:tabs>
          <w:tab w:val="left" w:pos="-720"/>
          <w:tab w:val="left" w:pos="0"/>
        </w:tabs>
        <w:suppressAutoHyphens/>
        <w:spacing w:after="240"/>
        <w:ind w:left="720"/>
        <w:rPr>
          <w:sz w:val="24"/>
          <w:szCs w:val="24"/>
        </w:rPr>
      </w:pPr>
      <w:r>
        <w:rPr>
          <w:sz w:val="24"/>
          <w:szCs w:val="24"/>
        </w:rPr>
        <w:t>The required information is not already collected by the Commission for any other purpose, nor is it collected by any other agency, nor is the information available for public disclosure through any other source.</w:t>
      </w:r>
    </w:p>
    <w:p w:rsidR="0057666C" w:rsidP="0057666C" w14:paraId="648AA665" w14:textId="02F4C42A">
      <w:pPr>
        <w:tabs>
          <w:tab w:val="left" w:pos="-720"/>
          <w:tab w:val="left" w:pos="0"/>
        </w:tabs>
        <w:suppressAutoHyphens/>
        <w:spacing w:after="240"/>
        <w:ind w:left="720" w:hanging="720"/>
        <w:rPr>
          <w:sz w:val="24"/>
          <w:szCs w:val="24"/>
        </w:rPr>
      </w:pPr>
      <w:r w:rsidRPr="003B2AD2">
        <w:rPr>
          <w:sz w:val="24"/>
          <w:szCs w:val="24"/>
        </w:rPr>
        <w:t>5.</w:t>
      </w:r>
      <w:r w:rsidRPr="003B2AD2">
        <w:rPr>
          <w:sz w:val="24"/>
          <w:szCs w:val="24"/>
        </w:rPr>
        <w:tab/>
      </w:r>
      <w:r w:rsidRPr="003B2AD2">
        <w:rPr>
          <w:sz w:val="24"/>
          <w:szCs w:val="24"/>
          <w:u w:val="single"/>
        </w:rPr>
        <w:t>If the collection of information involves small business or other small</w:t>
      </w:r>
      <w:r w:rsidRPr="003B2AD2">
        <w:rPr>
          <w:sz w:val="24"/>
          <w:szCs w:val="24"/>
          <w:u w:val="single"/>
        </w:rPr>
        <w:t xml:space="preserve"> entities</w:t>
      </w:r>
      <w:r w:rsidRPr="003B2AD2">
        <w:rPr>
          <w:sz w:val="24"/>
          <w:szCs w:val="24"/>
          <w:u w:val="single"/>
        </w:rPr>
        <w:t>, describe the methods used to minimize burden</w:t>
      </w:r>
      <w:r w:rsidRPr="003B2AD2">
        <w:rPr>
          <w:sz w:val="24"/>
          <w:szCs w:val="24"/>
        </w:rPr>
        <w:t>.</w:t>
      </w:r>
    </w:p>
    <w:p w:rsidR="0057666C" w:rsidRPr="003B2AD2" w:rsidP="0057666C" w14:paraId="361E5EFD" w14:textId="77777777">
      <w:pPr>
        <w:tabs>
          <w:tab w:val="left" w:pos="-720"/>
          <w:tab w:val="left" w:pos="0"/>
        </w:tabs>
        <w:suppressAutoHyphens/>
        <w:spacing w:after="240"/>
        <w:ind w:left="720"/>
        <w:rPr>
          <w:sz w:val="24"/>
          <w:szCs w:val="24"/>
        </w:rPr>
      </w:pPr>
      <w:r>
        <w:rPr>
          <w:sz w:val="24"/>
          <w:szCs w:val="24"/>
        </w:rPr>
        <w:t>The required information does not involve any small businesses or other small entities.</w:t>
      </w:r>
    </w:p>
    <w:p w:rsidR="0057666C" w:rsidP="0057666C" w14:paraId="462ED1C6" w14:textId="77777777">
      <w:pPr>
        <w:tabs>
          <w:tab w:val="left" w:pos="-720"/>
          <w:tab w:val="left" w:pos="0"/>
        </w:tabs>
        <w:suppressAutoHyphens/>
        <w:spacing w:after="240"/>
        <w:ind w:left="720" w:hanging="720"/>
        <w:rPr>
          <w:sz w:val="24"/>
          <w:szCs w:val="24"/>
        </w:rPr>
      </w:pPr>
      <w:r w:rsidRPr="003B2AD2">
        <w:rPr>
          <w:sz w:val="24"/>
          <w:szCs w:val="24"/>
        </w:rPr>
        <w:t>6.</w:t>
      </w:r>
      <w:r w:rsidRPr="003B2AD2">
        <w:rPr>
          <w:sz w:val="24"/>
          <w:szCs w:val="24"/>
        </w:rPr>
        <w:tab/>
      </w:r>
      <w:r w:rsidRPr="003B2AD2">
        <w:rPr>
          <w:sz w:val="24"/>
          <w:szCs w:val="24"/>
          <w:u w:val="single"/>
        </w:rPr>
        <w:t>Describe the consequence to the Federal Program or policy</w:t>
      </w:r>
      <w:r>
        <w:rPr>
          <w:sz w:val="24"/>
          <w:szCs w:val="24"/>
          <w:u w:val="single"/>
        </w:rPr>
        <w:t xml:space="preserve"> </w:t>
      </w:r>
      <w:r w:rsidRPr="003B2AD2">
        <w:rPr>
          <w:sz w:val="24"/>
          <w:szCs w:val="24"/>
          <w:u w:val="single"/>
        </w:rPr>
        <w:t>activities if the collection were conducted less frequently as well as any technical or legal obstacles to reducing burden</w:t>
      </w:r>
      <w:r w:rsidRPr="003B2AD2">
        <w:rPr>
          <w:sz w:val="24"/>
          <w:szCs w:val="24"/>
        </w:rPr>
        <w:t>.</w:t>
      </w:r>
    </w:p>
    <w:p w:rsidR="0057666C" w:rsidRPr="003B2AD2" w:rsidP="0057666C" w14:paraId="0D3265CF" w14:textId="77777777">
      <w:pPr>
        <w:tabs>
          <w:tab w:val="left" w:pos="-720"/>
          <w:tab w:val="left" w:pos="0"/>
        </w:tabs>
        <w:suppressAutoHyphens/>
        <w:spacing w:after="240"/>
        <w:ind w:left="720"/>
        <w:rPr>
          <w:sz w:val="24"/>
          <w:szCs w:val="24"/>
        </w:rPr>
      </w:pPr>
      <w:r>
        <w:rPr>
          <w:sz w:val="24"/>
          <w:szCs w:val="24"/>
        </w:rPr>
        <w:t>T</w:t>
      </w:r>
      <w:r w:rsidRPr="00B35608">
        <w:rPr>
          <w:sz w:val="24"/>
          <w:szCs w:val="24"/>
        </w:rPr>
        <w:t xml:space="preserve">he collection </w:t>
      </w:r>
      <w:r>
        <w:rPr>
          <w:sz w:val="24"/>
          <w:szCs w:val="24"/>
        </w:rPr>
        <w:t>could not be</w:t>
      </w:r>
      <w:r w:rsidRPr="00B35608">
        <w:rPr>
          <w:sz w:val="24"/>
          <w:szCs w:val="24"/>
        </w:rPr>
        <w:t xml:space="preserve"> conducted less frequently</w:t>
      </w:r>
      <w:r>
        <w:rPr>
          <w:sz w:val="24"/>
          <w:szCs w:val="24"/>
        </w:rPr>
        <w:t>; a DCO is only required to make a one-time submission before it first accepts a swap for clearing</w:t>
      </w:r>
      <w:r w:rsidRPr="00B35608">
        <w:rPr>
          <w:sz w:val="24"/>
          <w:szCs w:val="24"/>
        </w:rPr>
        <w:t>.</w:t>
      </w:r>
    </w:p>
    <w:p w:rsidR="0057666C" w:rsidRPr="003B2AD2" w:rsidP="0057666C" w14:paraId="6178779C" w14:textId="77777777">
      <w:pPr>
        <w:tabs>
          <w:tab w:val="left" w:pos="-720"/>
          <w:tab w:val="left" w:pos="0"/>
        </w:tabs>
        <w:suppressAutoHyphens/>
        <w:spacing w:after="240"/>
        <w:ind w:left="720" w:hanging="720"/>
        <w:rPr>
          <w:sz w:val="24"/>
          <w:szCs w:val="24"/>
        </w:rPr>
      </w:pPr>
      <w:r w:rsidRPr="003B2AD2">
        <w:rPr>
          <w:sz w:val="24"/>
          <w:szCs w:val="24"/>
        </w:rPr>
        <w:t>7.</w:t>
      </w:r>
      <w:r w:rsidRPr="003B2AD2">
        <w:rPr>
          <w:sz w:val="24"/>
          <w:szCs w:val="24"/>
        </w:rPr>
        <w:tab/>
      </w:r>
      <w:r w:rsidRPr="003B2AD2">
        <w:rPr>
          <w:sz w:val="24"/>
          <w:szCs w:val="24"/>
          <w:u w:val="single"/>
        </w:rPr>
        <w:t>Explain any special circumstances that require the collection to be conducted in a manner</w:t>
      </w:r>
      <w:r w:rsidRPr="003B2AD2">
        <w:rPr>
          <w:sz w:val="24"/>
          <w:szCs w:val="24"/>
        </w:rPr>
        <w:t>:</w:t>
      </w:r>
    </w:p>
    <w:p w:rsidR="0057666C" w:rsidP="0057666C" w14:paraId="65918B77" w14:textId="77777777">
      <w:pPr>
        <w:tabs>
          <w:tab w:val="left" w:pos="-720"/>
          <w:tab w:val="left" w:pos="0"/>
          <w:tab w:val="left" w:pos="720"/>
        </w:tabs>
        <w:suppressAutoHyphens/>
        <w:spacing w:after="240"/>
        <w:ind w:left="1440"/>
        <w:rPr>
          <w:sz w:val="24"/>
          <w:szCs w:val="24"/>
        </w:rPr>
      </w:pPr>
      <w:r w:rsidRPr="003B2AD2">
        <w:rPr>
          <w:sz w:val="24"/>
          <w:szCs w:val="24"/>
          <w:u w:val="single"/>
        </w:rPr>
        <w:t>requiring respondents to report information to the agency more often than quarterly;</w:t>
      </w:r>
    </w:p>
    <w:p w:rsidR="0057666C" w:rsidRPr="003B2AD2" w:rsidP="0057666C" w14:paraId="1BA02E5F" w14:textId="77777777">
      <w:pPr>
        <w:tabs>
          <w:tab w:val="left" w:pos="-720"/>
        </w:tabs>
        <w:suppressAutoHyphens/>
        <w:spacing w:after="240"/>
        <w:ind w:left="1440"/>
        <w:rPr>
          <w:sz w:val="24"/>
          <w:szCs w:val="24"/>
        </w:rPr>
      </w:pPr>
      <w:r w:rsidRPr="00B35608">
        <w:rPr>
          <w:sz w:val="24"/>
          <w:szCs w:val="24"/>
        </w:rPr>
        <w:t xml:space="preserve">The regulations require </w:t>
      </w:r>
      <w:r>
        <w:rPr>
          <w:sz w:val="24"/>
          <w:szCs w:val="24"/>
        </w:rPr>
        <w:t xml:space="preserve">a </w:t>
      </w:r>
      <w:r w:rsidRPr="00B35608">
        <w:rPr>
          <w:sz w:val="24"/>
          <w:szCs w:val="24"/>
        </w:rPr>
        <w:t xml:space="preserve">DCO to </w:t>
      </w:r>
      <w:r>
        <w:rPr>
          <w:sz w:val="24"/>
          <w:szCs w:val="24"/>
        </w:rPr>
        <w:t xml:space="preserve">submit </w:t>
      </w:r>
      <w:r w:rsidRPr="00B35608">
        <w:rPr>
          <w:sz w:val="24"/>
          <w:szCs w:val="24"/>
        </w:rPr>
        <w:t xml:space="preserve">information </w:t>
      </w:r>
      <w:r>
        <w:rPr>
          <w:sz w:val="24"/>
          <w:szCs w:val="24"/>
        </w:rPr>
        <w:t>only when it decides to accept a swap for clearing.</w:t>
      </w:r>
    </w:p>
    <w:p w:rsidR="0057666C" w:rsidP="0057666C" w14:paraId="6B1FB9B1" w14:textId="77777777">
      <w:pPr>
        <w:tabs>
          <w:tab w:val="left" w:pos="-720"/>
          <w:tab w:val="left" w:pos="0"/>
          <w:tab w:val="left" w:pos="720"/>
        </w:tabs>
        <w:suppressAutoHyphens/>
        <w:spacing w:after="240"/>
        <w:ind w:left="1440"/>
        <w:rPr>
          <w:sz w:val="24"/>
          <w:szCs w:val="24"/>
          <w:u w:val="single"/>
        </w:rPr>
      </w:pPr>
      <w:r w:rsidRPr="003B2AD2">
        <w:rPr>
          <w:sz w:val="24"/>
          <w:szCs w:val="24"/>
          <w:u w:val="single"/>
        </w:rPr>
        <w:t>requiring respondents to prepare a written response to a collection of information in fewer than 30 days after receipt of it:</w:t>
      </w:r>
    </w:p>
    <w:p w:rsidR="0057666C" w:rsidRPr="00B35608" w:rsidP="0057666C" w14:paraId="3B23AA92" w14:textId="77777777">
      <w:pPr>
        <w:tabs>
          <w:tab w:val="left" w:pos="-720"/>
        </w:tabs>
        <w:suppressAutoHyphens/>
        <w:spacing w:after="240"/>
        <w:ind w:left="1440"/>
        <w:rPr>
          <w:sz w:val="24"/>
          <w:szCs w:val="24"/>
        </w:rPr>
      </w:pPr>
      <w:r>
        <w:rPr>
          <w:sz w:val="24"/>
          <w:szCs w:val="24"/>
        </w:rPr>
        <w:t>There is no deadline; a DCO does not have to submit information until it wants to accept a swap for clearing.</w:t>
      </w:r>
    </w:p>
    <w:p w:rsidR="0057666C" w:rsidP="0057666C" w14:paraId="625372D6" w14:textId="77777777">
      <w:pPr>
        <w:tabs>
          <w:tab w:val="left" w:pos="-720"/>
          <w:tab w:val="left" w:pos="0"/>
          <w:tab w:val="left" w:pos="720"/>
        </w:tabs>
        <w:suppressAutoHyphens/>
        <w:spacing w:after="240"/>
        <w:ind w:left="1440"/>
        <w:rPr>
          <w:sz w:val="24"/>
          <w:szCs w:val="24"/>
        </w:rPr>
      </w:pPr>
      <w:r w:rsidRPr="003B2AD2">
        <w:rPr>
          <w:sz w:val="24"/>
          <w:szCs w:val="24"/>
          <w:u w:val="single"/>
        </w:rPr>
        <w:t>requiring respondents to submit more that an original and two copies of any document</w:t>
      </w:r>
      <w:r w:rsidRPr="003B2AD2">
        <w:rPr>
          <w:sz w:val="24"/>
          <w:szCs w:val="24"/>
        </w:rPr>
        <w:t>;</w:t>
      </w:r>
    </w:p>
    <w:p w:rsidR="0057666C" w:rsidRPr="003B2AD2" w:rsidP="0057666C" w14:paraId="366966BE" w14:textId="77777777">
      <w:pPr>
        <w:tabs>
          <w:tab w:val="left" w:pos="-720"/>
        </w:tabs>
        <w:suppressAutoHyphens/>
        <w:spacing w:after="240"/>
        <w:ind w:left="1440"/>
        <w:rPr>
          <w:sz w:val="24"/>
          <w:szCs w:val="24"/>
        </w:rPr>
      </w:pPr>
      <w:r w:rsidRPr="00B35608">
        <w:rPr>
          <w:sz w:val="24"/>
          <w:szCs w:val="24"/>
        </w:rPr>
        <w:t>DCOs are required to submit only single copies of documents.</w:t>
      </w:r>
    </w:p>
    <w:p w:rsidR="0057666C" w:rsidP="0057666C" w14:paraId="04974930" w14:textId="77777777">
      <w:pPr>
        <w:tabs>
          <w:tab w:val="left" w:pos="-720"/>
          <w:tab w:val="left" w:pos="0"/>
          <w:tab w:val="left" w:pos="720"/>
        </w:tabs>
        <w:suppressAutoHyphens/>
        <w:spacing w:after="240"/>
        <w:ind w:left="1440"/>
        <w:rPr>
          <w:sz w:val="24"/>
          <w:szCs w:val="24"/>
        </w:rPr>
      </w:pPr>
      <w:r w:rsidRPr="003B2AD2">
        <w:rPr>
          <w:sz w:val="24"/>
          <w:szCs w:val="24"/>
          <w:u w:val="single"/>
        </w:rPr>
        <w:t>requiring respondents to retain records other than health, medical, government contract, grant-in-aid, or tax records, for more than three years</w:t>
      </w:r>
      <w:r w:rsidRPr="003B2AD2">
        <w:rPr>
          <w:sz w:val="24"/>
          <w:szCs w:val="24"/>
        </w:rPr>
        <w:t>;</w:t>
      </w:r>
    </w:p>
    <w:p w:rsidR="0057666C" w:rsidRPr="003B2AD2" w:rsidP="0057666C" w14:paraId="3ADF78D3" w14:textId="77777777">
      <w:pPr>
        <w:tabs>
          <w:tab w:val="left" w:pos="-720"/>
        </w:tabs>
        <w:suppressAutoHyphens/>
        <w:spacing w:after="240"/>
        <w:ind w:left="1440"/>
        <w:rPr>
          <w:sz w:val="24"/>
          <w:szCs w:val="24"/>
        </w:rPr>
      </w:pPr>
      <w:r>
        <w:rPr>
          <w:sz w:val="24"/>
          <w:szCs w:val="24"/>
        </w:rPr>
        <w:t xml:space="preserve">There is no recordkeeping requirement specific to this rule.  The CEA and </w:t>
      </w:r>
      <w:r w:rsidRPr="005F33D5">
        <w:rPr>
          <w:sz w:val="24"/>
          <w:szCs w:val="24"/>
        </w:rPr>
        <w:t xml:space="preserve">Commission Regulation 1.31(b) </w:t>
      </w:r>
      <w:r>
        <w:rPr>
          <w:sz w:val="24"/>
          <w:szCs w:val="24"/>
        </w:rPr>
        <w:t>require a</w:t>
      </w:r>
      <w:r w:rsidRPr="00B35608">
        <w:rPr>
          <w:sz w:val="24"/>
          <w:szCs w:val="24"/>
        </w:rPr>
        <w:t xml:space="preserve"> DCO to maintain records of all activities related to its business as a DCO in a form and manner that is acceptable to the Commission for a period of not less than 5 years.</w:t>
      </w:r>
    </w:p>
    <w:p w:rsidR="0057666C" w:rsidP="0057666C" w14:paraId="2A2B0DF2" w14:textId="77777777">
      <w:pPr>
        <w:tabs>
          <w:tab w:val="left" w:pos="-720"/>
          <w:tab w:val="left" w:pos="0"/>
          <w:tab w:val="left" w:pos="720"/>
        </w:tabs>
        <w:suppressAutoHyphens/>
        <w:spacing w:after="240"/>
        <w:ind w:left="1440"/>
        <w:rPr>
          <w:sz w:val="24"/>
          <w:szCs w:val="24"/>
        </w:rPr>
      </w:pPr>
      <w:r w:rsidRPr="003B2AD2">
        <w:rPr>
          <w:sz w:val="24"/>
          <w:szCs w:val="24"/>
          <w:u w:val="single"/>
        </w:rPr>
        <w:t>in connection with a statistical survey, that is not designed to produce valid and reliable results that can be generalized to the universe of study</w:t>
      </w:r>
      <w:r w:rsidRPr="003B2AD2">
        <w:rPr>
          <w:sz w:val="24"/>
          <w:szCs w:val="24"/>
        </w:rPr>
        <w:t>;</w:t>
      </w:r>
    </w:p>
    <w:p w:rsidR="0057666C" w:rsidRPr="003B2AD2" w:rsidP="0057666C" w14:paraId="50C2C7D7" w14:textId="77777777">
      <w:pPr>
        <w:tabs>
          <w:tab w:val="left" w:pos="-720"/>
        </w:tabs>
        <w:suppressAutoHyphens/>
        <w:spacing w:after="240"/>
        <w:ind w:left="1440"/>
        <w:rPr>
          <w:sz w:val="24"/>
          <w:szCs w:val="24"/>
        </w:rPr>
      </w:pPr>
      <w:r>
        <w:rPr>
          <w:sz w:val="24"/>
          <w:szCs w:val="24"/>
        </w:rPr>
        <w:t>No statistical surveys are involved.</w:t>
      </w:r>
    </w:p>
    <w:p w:rsidR="0057666C" w:rsidP="0057666C" w14:paraId="5B797585" w14:textId="77777777">
      <w:pPr>
        <w:tabs>
          <w:tab w:val="left" w:pos="-720"/>
          <w:tab w:val="left" w:pos="0"/>
          <w:tab w:val="left" w:pos="720"/>
        </w:tabs>
        <w:suppressAutoHyphens/>
        <w:spacing w:after="240"/>
        <w:ind w:left="1440"/>
        <w:rPr>
          <w:sz w:val="24"/>
          <w:szCs w:val="24"/>
        </w:rPr>
      </w:pPr>
      <w:r w:rsidRPr="003B2AD2">
        <w:rPr>
          <w:sz w:val="24"/>
          <w:szCs w:val="24"/>
          <w:u w:val="single"/>
        </w:rPr>
        <w:t>requiring the use of a statistical data classification that has not been reviewed and approved by OMB</w:t>
      </w:r>
      <w:r w:rsidRPr="003B2AD2">
        <w:rPr>
          <w:sz w:val="24"/>
          <w:szCs w:val="24"/>
        </w:rPr>
        <w:t>;</w:t>
      </w:r>
    </w:p>
    <w:p w:rsidR="0057666C" w:rsidRPr="003B2AD2" w:rsidP="0057666C" w14:paraId="5D9E572A" w14:textId="77777777">
      <w:pPr>
        <w:tabs>
          <w:tab w:val="left" w:pos="-720"/>
        </w:tabs>
        <w:suppressAutoHyphens/>
        <w:spacing w:after="240"/>
        <w:ind w:left="1440"/>
        <w:rPr>
          <w:sz w:val="24"/>
          <w:szCs w:val="24"/>
        </w:rPr>
      </w:pPr>
      <w:r>
        <w:rPr>
          <w:sz w:val="24"/>
          <w:szCs w:val="24"/>
        </w:rPr>
        <w:t>The requirements do not involve use of any statistical data classification.</w:t>
      </w:r>
    </w:p>
    <w:p w:rsidR="0057666C" w:rsidP="0057666C" w14:paraId="1E82DD06" w14:textId="77777777">
      <w:pPr>
        <w:tabs>
          <w:tab w:val="left" w:pos="-720"/>
          <w:tab w:val="left" w:pos="0"/>
          <w:tab w:val="left" w:pos="720"/>
        </w:tabs>
        <w:suppressAutoHyphens/>
        <w:spacing w:after="240"/>
        <w:ind w:left="1440"/>
        <w:rPr>
          <w:sz w:val="24"/>
          <w:szCs w:val="24"/>
          <w:u w:val="single"/>
        </w:rPr>
      </w:pPr>
      <w:r w:rsidRPr="003B2AD2">
        <w:rPr>
          <w:sz w:val="24"/>
          <w:szCs w:val="24"/>
          <w:u w:val="single"/>
        </w:rPr>
        <w:t xml:space="preserve">that includes a pledge of confidentiality that is not supported by authority established in statue or regulation, that is not supported by disclosure and data </w:t>
      </w:r>
      <w:r w:rsidRPr="003B2AD2">
        <w:rPr>
          <w:sz w:val="24"/>
          <w:szCs w:val="24"/>
          <w:u w:val="single"/>
        </w:rPr>
        <w:t>security policies that are consistent with the pledge, or which unnecessarily impedes sharing of data with other agencies for compatible confidential use; or</w:t>
      </w:r>
    </w:p>
    <w:p w:rsidR="0057666C" w:rsidRPr="003B2AD2" w:rsidP="0057666C" w14:paraId="1D65DED6" w14:textId="77777777">
      <w:pPr>
        <w:tabs>
          <w:tab w:val="left" w:pos="-720"/>
        </w:tabs>
        <w:suppressAutoHyphens/>
        <w:spacing w:after="240"/>
        <w:ind w:left="1440"/>
        <w:rPr>
          <w:sz w:val="24"/>
          <w:szCs w:val="24"/>
        </w:rPr>
      </w:pPr>
      <w:r>
        <w:rPr>
          <w:sz w:val="24"/>
          <w:szCs w:val="24"/>
        </w:rPr>
        <w:t>The requirements do not involve a pledge of confidentiality regarding the collection of data.</w:t>
      </w:r>
    </w:p>
    <w:p w:rsidR="0057666C" w:rsidP="0057666C" w14:paraId="68227F4C" w14:textId="77777777">
      <w:pPr>
        <w:tabs>
          <w:tab w:val="left" w:pos="-720"/>
          <w:tab w:val="left" w:pos="0"/>
          <w:tab w:val="left" w:pos="720"/>
        </w:tabs>
        <w:suppressAutoHyphens/>
        <w:spacing w:after="240"/>
        <w:ind w:left="1440"/>
        <w:rPr>
          <w:sz w:val="24"/>
          <w:szCs w:val="24"/>
        </w:rPr>
      </w:pPr>
      <w:r w:rsidRPr="003B2AD2">
        <w:rPr>
          <w:sz w:val="24"/>
          <w:szCs w:val="24"/>
          <w:u w:val="single"/>
        </w:rPr>
        <w:t>requiring respondents to submit proprietary trade secrets, or other confidential information unless the agency can demonstrate that it has instituted procedures to protect the information's confidentiality to the extent permitted by law</w:t>
      </w:r>
      <w:r w:rsidRPr="003B2AD2">
        <w:rPr>
          <w:sz w:val="24"/>
          <w:szCs w:val="24"/>
        </w:rPr>
        <w:t>.</w:t>
      </w:r>
    </w:p>
    <w:p w:rsidR="0057666C" w:rsidRPr="003B2AD2" w:rsidP="0057666C" w14:paraId="0E7A725C" w14:textId="77777777">
      <w:pPr>
        <w:tabs>
          <w:tab w:val="left" w:pos="-720"/>
        </w:tabs>
        <w:suppressAutoHyphens/>
        <w:spacing w:after="240"/>
        <w:ind w:left="1440"/>
        <w:rPr>
          <w:sz w:val="24"/>
          <w:szCs w:val="24"/>
        </w:rPr>
      </w:pPr>
      <w:r>
        <w:rPr>
          <w:sz w:val="24"/>
          <w:szCs w:val="24"/>
        </w:rPr>
        <w:t>The agency has procedures to protect the confidentiality of a respondent’s information set forth in 17 CFR Parts 145 and 147.</w:t>
      </w:r>
    </w:p>
    <w:p w:rsidR="0057666C" w:rsidP="0057666C" w14:paraId="0A81EE8B" w14:textId="77777777">
      <w:pPr>
        <w:tabs>
          <w:tab w:val="left" w:pos="-720"/>
          <w:tab w:val="left" w:pos="0"/>
        </w:tabs>
        <w:suppressAutoHyphens/>
        <w:spacing w:after="240"/>
        <w:ind w:left="720" w:hanging="720"/>
        <w:rPr>
          <w:sz w:val="24"/>
          <w:szCs w:val="24"/>
          <w:u w:val="single"/>
        </w:rPr>
      </w:pPr>
      <w:r w:rsidRPr="003B2AD2">
        <w:rPr>
          <w:sz w:val="24"/>
          <w:szCs w:val="24"/>
        </w:rPr>
        <w:t>8.</w:t>
      </w:r>
      <w:r w:rsidRPr="003B2AD2">
        <w:rPr>
          <w:sz w:val="24"/>
          <w:szCs w:val="24"/>
        </w:rPr>
        <w:tab/>
      </w:r>
      <w:r w:rsidRPr="003B2AD2">
        <w:rPr>
          <w:sz w:val="24"/>
          <w:szCs w:val="24"/>
          <w:u w:val="single"/>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E917FE" w:rsidP="00E917FE" w14:paraId="3127302A" w14:textId="0F8FB778">
      <w:pPr>
        <w:tabs>
          <w:tab w:val="left" w:pos="-720"/>
          <w:tab w:val="left" w:pos="0"/>
        </w:tabs>
        <w:suppressAutoHyphens/>
        <w:spacing w:after="240"/>
        <w:ind w:left="720"/>
        <w:rPr>
          <w:sz w:val="24"/>
          <w:szCs w:val="24"/>
        </w:rPr>
      </w:pPr>
      <w:r w:rsidRPr="00D16BA2">
        <w:rPr>
          <w:sz w:val="24"/>
          <w:szCs w:val="24"/>
        </w:rPr>
        <w:t xml:space="preserve">The </w:t>
      </w:r>
      <w:r w:rsidRPr="00087867">
        <w:rPr>
          <w:sz w:val="24"/>
          <w:szCs w:val="24"/>
        </w:rPr>
        <w:t xml:space="preserve">60-day </w:t>
      </w:r>
      <w:r w:rsidRPr="00087867">
        <w:rPr>
          <w:i/>
          <w:sz w:val="24"/>
          <w:szCs w:val="24"/>
        </w:rPr>
        <w:t>Federal Register</w:t>
      </w:r>
      <w:r w:rsidRPr="00087867">
        <w:rPr>
          <w:sz w:val="24"/>
          <w:szCs w:val="24"/>
        </w:rPr>
        <w:t xml:space="preserve"> notice soliciting public comments was published on Ju</w:t>
      </w:r>
      <w:r w:rsidRPr="00087867" w:rsidR="00087867">
        <w:rPr>
          <w:sz w:val="24"/>
          <w:szCs w:val="24"/>
        </w:rPr>
        <w:t>ly</w:t>
      </w:r>
      <w:r w:rsidRPr="00087867">
        <w:rPr>
          <w:sz w:val="24"/>
          <w:szCs w:val="24"/>
        </w:rPr>
        <w:t xml:space="preserve"> 28, 202</w:t>
      </w:r>
      <w:r w:rsidRPr="00087867" w:rsidR="00087867">
        <w:rPr>
          <w:sz w:val="24"/>
          <w:szCs w:val="24"/>
        </w:rPr>
        <w:t>6</w:t>
      </w:r>
      <w:r w:rsidRPr="00087867">
        <w:rPr>
          <w:sz w:val="24"/>
          <w:szCs w:val="24"/>
        </w:rPr>
        <w:t>.</w:t>
      </w:r>
      <w:r w:rsidRPr="00D16BA2">
        <w:rPr>
          <w:sz w:val="24"/>
          <w:szCs w:val="24"/>
        </w:rPr>
        <w:t xml:space="preserve">  </w:t>
      </w:r>
      <w:r w:rsidRPr="00087867">
        <w:rPr>
          <w:sz w:val="24"/>
          <w:szCs w:val="24"/>
        </w:rPr>
        <w:t xml:space="preserve">Agency Information Collection Activities: Notice of Intent to Renew Collection; 3038-0097; Process for Review of Swaps for Mandatory Clearing, </w:t>
      </w:r>
      <w:r w:rsidRPr="00087867" w:rsidR="00087867">
        <w:rPr>
          <w:sz w:val="24"/>
          <w:szCs w:val="24"/>
        </w:rPr>
        <w:t>91</w:t>
      </w:r>
      <w:r w:rsidRPr="00087867">
        <w:rPr>
          <w:sz w:val="24"/>
          <w:szCs w:val="24"/>
        </w:rPr>
        <w:t xml:space="preserve"> FR </w:t>
      </w:r>
      <w:r w:rsidRPr="00087867" w:rsidR="00087867">
        <w:rPr>
          <w:sz w:val="24"/>
          <w:szCs w:val="24"/>
        </w:rPr>
        <w:t>47225</w:t>
      </w:r>
      <w:r w:rsidRPr="00087867">
        <w:rPr>
          <w:sz w:val="24"/>
          <w:szCs w:val="24"/>
        </w:rPr>
        <w:t xml:space="preserve"> (Ju</w:t>
      </w:r>
      <w:r w:rsidRPr="00087867" w:rsidR="00087867">
        <w:rPr>
          <w:sz w:val="24"/>
          <w:szCs w:val="24"/>
        </w:rPr>
        <w:t>ly</w:t>
      </w:r>
      <w:r w:rsidRPr="00087867">
        <w:rPr>
          <w:sz w:val="24"/>
          <w:szCs w:val="24"/>
        </w:rPr>
        <w:t xml:space="preserve"> 28, 202</w:t>
      </w:r>
      <w:r w:rsidRPr="00087867" w:rsidR="00087867">
        <w:rPr>
          <w:sz w:val="24"/>
          <w:szCs w:val="24"/>
        </w:rPr>
        <w:t>6</w:t>
      </w:r>
      <w:r w:rsidRPr="00087867">
        <w:rPr>
          <w:sz w:val="24"/>
          <w:szCs w:val="24"/>
        </w:rPr>
        <w:t>).</w:t>
      </w:r>
    </w:p>
    <w:p w:rsidR="00E95BC2" w:rsidRPr="00E95BC2" w:rsidP="00E95BC2" w14:paraId="2085F0E2" w14:textId="36A5268E">
      <w:pPr>
        <w:tabs>
          <w:tab w:val="left" w:pos="-720"/>
          <w:tab w:val="left" w:pos="0"/>
        </w:tabs>
        <w:suppressAutoHyphens/>
        <w:spacing w:after="240"/>
        <w:ind w:left="720"/>
        <w:rPr>
          <w:sz w:val="24"/>
          <w:szCs w:val="24"/>
        </w:rPr>
      </w:pPr>
      <w:r w:rsidRPr="00E95BC2">
        <w:rPr>
          <w:sz w:val="24"/>
          <w:szCs w:val="24"/>
        </w:rPr>
        <w:t>The Commission received one comment from an anonymous submitter regarding its PRA burden estimates.</w:t>
      </w:r>
      <w:r>
        <w:rPr>
          <w:rStyle w:val="FootnoteReference"/>
          <w:sz w:val="24"/>
          <w:szCs w:val="24"/>
        </w:rPr>
        <w:footnoteReference w:id="2"/>
      </w:r>
      <w:r w:rsidRPr="00E95BC2">
        <w:rPr>
          <w:sz w:val="24"/>
          <w:szCs w:val="24"/>
        </w:rPr>
        <w:t xml:space="preserve">  The comment asked how the Commission modeled or concluded that each registered DCO will submit one swap submission per year at an estimated 40 hours per submission.  </w:t>
      </w:r>
    </w:p>
    <w:p w:rsidR="00E95BC2" w:rsidRPr="00E95BC2" w:rsidP="00E95BC2" w14:paraId="4D76DFA0" w14:textId="77777777">
      <w:pPr>
        <w:tabs>
          <w:tab w:val="left" w:pos="-720"/>
          <w:tab w:val="left" w:pos="0"/>
        </w:tabs>
        <w:suppressAutoHyphens/>
        <w:spacing w:after="240"/>
        <w:ind w:left="720"/>
        <w:rPr>
          <w:sz w:val="24"/>
          <w:szCs w:val="24"/>
        </w:rPr>
      </w:pPr>
      <w:r w:rsidRPr="00E95BC2">
        <w:rPr>
          <w:sz w:val="24"/>
          <w:szCs w:val="24"/>
        </w:rPr>
        <w:t xml:space="preserve">The Commission’s estimate of one submission per DCO per year is intended to account for variations in the number of swap submissions received by year by DCO.  Some DCOs may be required to file multiple swap submissions in connection with the launch of new clearing initiatives, while other DCOs may not file any swap submissions in a given year.  </w:t>
      </w:r>
    </w:p>
    <w:p w:rsidR="00E95BC2" w:rsidRPr="00E95BC2" w:rsidP="00E95BC2" w14:paraId="646DC893" w14:textId="4BAD9503">
      <w:pPr>
        <w:tabs>
          <w:tab w:val="left" w:pos="-720"/>
          <w:tab w:val="left" w:pos="0"/>
        </w:tabs>
        <w:suppressAutoHyphens/>
        <w:spacing w:after="240"/>
        <w:ind w:left="720"/>
        <w:rPr>
          <w:sz w:val="24"/>
          <w:szCs w:val="24"/>
        </w:rPr>
      </w:pPr>
      <w:r w:rsidRPr="00E95BC2">
        <w:rPr>
          <w:sz w:val="24"/>
          <w:szCs w:val="24"/>
        </w:rPr>
        <w:t xml:space="preserve">The Commission’s estimate of 40 hours per DCO submission is based on the Commission’s experience reviewing the submissions.  It considers the scope of topics the submissions must address, the level of detail typically provided by DCOs, the Commission’s possible engagement with DCOs regarding submissions, and the nature of the information that may be sought by Commission staff.  Generally, DCOs also have aggregated and presented information about new cleared swaps in other contexts, such as public marketing </w:t>
      </w:r>
      <w:r w:rsidRPr="00E95BC2">
        <w:rPr>
          <w:sz w:val="24"/>
          <w:szCs w:val="24"/>
        </w:rPr>
        <w:t>materials or as part of ongoing DCO supervision.</w:t>
      </w:r>
    </w:p>
    <w:p w:rsidR="00E95BC2" w:rsidP="00E95BC2" w14:paraId="179A8F5F" w14:textId="62B4AC3B">
      <w:pPr>
        <w:tabs>
          <w:tab w:val="left" w:pos="-720"/>
          <w:tab w:val="left" w:pos="0"/>
        </w:tabs>
        <w:suppressAutoHyphens/>
        <w:spacing w:after="240"/>
        <w:ind w:left="720"/>
        <w:rPr>
          <w:sz w:val="24"/>
          <w:szCs w:val="24"/>
        </w:rPr>
      </w:pPr>
      <w:r w:rsidRPr="00E95BC2">
        <w:rPr>
          <w:sz w:val="24"/>
          <w:szCs w:val="24"/>
        </w:rPr>
        <w:t xml:space="preserve">The comment also sought the Commission’s rationale for its estimate that the regulation does not entail separate operation and maintenance costs for DCOs.  The regulation requires only the provision of certain swap information that is part of other rule </w:t>
      </w:r>
      <w:r w:rsidRPr="00E95BC2">
        <w:rPr>
          <w:sz w:val="24"/>
          <w:szCs w:val="24"/>
        </w:rPr>
        <w:t>submissions done in the ordinary course of launching new cleared swap offerings.   DCOs typically comply with this regulation along with other required Commission reporting and notifications.</w:t>
      </w:r>
    </w:p>
    <w:p w:rsidR="0057666C" w:rsidP="0057666C" w14:paraId="30F2D64F" w14:textId="77777777">
      <w:pPr>
        <w:tabs>
          <w:tab w:val="left" w:pos="-720"/>
          <w:tab w:val="left" w:pos="0"/>
        </w:tabs>
        <w:suppressAutoHyphens/>
        <w:spacing w:after="240"/>
        <w:ind w:left="720"/>
        <w:rPr>
          <w:sz w:val="24"/>
          <w:szCs w:val="24"/>
          <w:u w:val="single"/>
        </w:rPr>
      </w:pPr>
      <w:r w:rsidRPr="003B2AD2">
        <w:rPr>
          <w:sz w:val="24"/>
          <w:szCs w:val="24"/>
          <w:u w:val="single"/>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57666C" w:rsidRPr="00F658F1" w:rsidP="0057666C" w14:paraId="6F1462C6" w14:textId="77777777">
      <w:pPr>
        <w:tabs>
          <w:tab w:val="left" w:pos="-720"/>
        </w:tabs>
        <w:suppressAutoHyphens/>
        <w:spacing w:after="240"/>
        <w:ind w:left="720"/>
        <w:rPr>
          <w:sz w:val="24"/>
          <w:szCs w:val="24"/>
        </w:rPr>
      </w:pPr>
      <w:r>
        <w:rPr>
          <w:sz w:val="24"/>
          <w:szCs w:val="24"/>
        </w:rPr>
        <w:t>The Commission’s regulations establishing the process by which the Commission will review swaps to determine whether the swaps are required to be cleared are found in part 39 of the Commission’s regulations.  Commission staff engages with persons outside the agency to discuss the clearing of swaps and the process requirements where appropriate, but there has been no discussion of the changing the requirements specifically.</w:t>
      </w:r>
    </w:p>
    <w:p w:rsidR="0057666C" w:rsidP="0057666C" w14:paraId="7C1E2A1B" w14:textId="77777777">
      <w:pPr>
        <w:tabs>
          <w:tab w:val="left" w:pos="-720"/>
          <w:tab w:val="left" w:pos="0"/>
        </w:tabs>
        <w:suppressAutoHyphens/>
        <w:spacing w:after="240"/>
        <w:ind w:left="720"/>
        <w:rPr>
          <w:sz w:val="24"/>
          <w:szCs w:val="24"/>
        </w:rPr>
      </w:pPr>
      <w:r w:rsidRPr="003B2AD2">
        <w:rPr>
          <w:sz w:val="24"/>
          <w:szCs w:val="24"/>
          <w:u w:val="single"/>
        </w:rPr>
        <w:t>Consultation with representatives of those from whom information is to be obtained or those who must compile records should occur at least once every three years—even if the collection of information activity is the same as in prior periods.  There may be circumstances that may preclude consultation in a specific situation.  These circumstances should be explained</w:t>
      </w:r>
      <w:r w:rsidRPr="003B2AD2">
        <w:rPr>
          <w:sz w:val="24"/>
          <w:szCs w:val="24"/>
        </w:rPr>
        <w:t>.</w:t>
      </w:r>
    </w:p>
    <w:p w:rsidR="0057666C" w:rsidRPr="003B2AD2" w:rsidP="0057666C" w14:paraId="2C424878" w14:textId="77777777">
      <w:pPr>
        <w:tabs>
          <w:tab w:val="left" w:pos="-720"/>
        </w:tabs>
        <w:suppressAutoHyphens/>
        <w:spacing w:after="240"/>
        <w:ind w:left="720"/>
        <w:rPr>
          <w:sz w:val="24"/>
          <w:szCs w:val="24"/>
        </w:rPr>
      </w:pPr>
      <w:r>
        <w:rPr>
          <w:sz w:val="24"/>
          <w:szCs w:val="24"/>
        </w:rPr>
        <w:t>No such circumstances are anticipated.</w:t>
      </w:r>
    </w:p>
    <w:p w:rsidR="0057666C" w:rsidP="0057666C" w14:paraId="05E2E469" w14:textId="77777777">
      <w:pPr>
        <w:keepNext/>
        <w:tabs>
          <w:tab w:val="left" w:pos="-720"/>
          <w:tab w:val="left" w:pos="0"/>
        </w:tabs>
        <w:suppressAutoHyphens/>
        <w:spacing w:after="240"/>
        <w:ind w:left="720" w:hanging="720"/>
        <w:rPr>
          <w:sz w:val="24"/>
          <w:szCs w:val="24"/>
        </w:rPr>
      </w:pPr>
      <w:r w:rsidRPr="003B2AD2">
        <w:rPr>
          <w:sz w:val="24"/>
          <w:szCs w:val="24"/>
        </w:rPr>
        <w:t>9.</w:t>
      </w:r>
      <w:r w:rsidRPr="003B2AD2">
        <w:rPr>
          <w:sz w:val="24"/>
          <w:szCs w:val="24"/>
        </w:rPr>
        <w:tab/>
      </w:r>
      <w:r w:rsidRPr="003B2AD2">
        <w:rPr>
          <w:sz w:val="24"/>
          <w:szCs w:val="24"/>
          <w:u w:val="single"/>
        </w:rPr>
        <w:t>Explain any decision to provide any payment or gift to respondents, other than remuneration of contractors or grantees</w:t>
      </w:r>
      <w:r w:rsidRPr="003B2AD2">
        <w:rPr>
          <w:sz w:val="24"/>
          <w:szCs w:val="24"/>
        </w:rPr>
        <w:t>.</w:t>
      </w:r>
    </w:p>
    <w:p w:rsidR="0057666C" w:rsidRPr="003B2AD2" w:rsidP="0057666C" w14:paraId="6C614830" w14:textId="77777777">
      <w:pPr>
        <w:keepNext/>
        <w:tabs>
          <w:tab w:val="left" w:pos="-720"/>
        </w:tabs>
        <w:suppressAutoHyphens/>
        <w:spacing w:after="240"/>
        <w:ind w:left="720"/>
        <w:rPr>
          <w:sz w:val="24"/>
          <w:szCs w:val="24"/>
        </w:rPr>
      </w:pPr>
      <w:r>
        <w:rPr>
          <w:sz w:val="24"/>
          <w:szCs w:val="24"/>
        </w:rPr>
        <w:t>This question does not apply.</w:t>
      </w:r>
    </w:p>
    <w:p w:rsidR="0057666C" w:rsidP="0057666C" w14:paraId="6B1B548B" w14:textId="77777777">
      <w:pPr>
        <w:tabs>
          <w:tab w:val="left" w:pos="-720"/>
          <w:tab w:val="left" w:pos="0"/>
        </w:tabs>
        <w:suppressAutoHyphens/>
        <w:spacing w:after="240"/>
        <w:ind w:left="720" w:hanging="720"/>
        <w:rPr>
          <w:sz w:val="24"/>
          <w:szCs w:val="24"/>
        </w:rPr>
      </w:pPr>
      <w:r w:rsidRPr="003B2AD2">
        <w:rPr>
          <w:sz w:val="24"/>
          <w:szCs w:val="24"/>
        </w:rPr>
        <w:t>10.</w:t>
      </w:r>
      <w:r w:rsidRPr="003B2AD2">
        <w:rPr>
          <w:sz w:val="24"/>
          <w:szCs w:val="24"/>
        </w:rPr>
        <w:tab/>
      </w:r>
      <w:r w:rsidRPr="003B2AD2">
        <w:rPr>
          <w:sz w:val="24"/>
          <w:szCs w:val="24"/>
          <w:u w:val="single"/>
        </w:rPr>
        <w:t>Describe any assurance of confidentiality provided to respondents and the basis for the assurance in statute, regulations, or agency policy</w:t>
      </w:r>
      <w:r w:rsidRPr="003B2AD2">
        <w:rPr>
          <w:sz w:val="24"/>
          <w:szCs w:val="24"/>
        </w:rPr>
        <w:t>.</w:t>
      </w:r>
    </w:p>
    <w:p w:rsidR="0057666C" w:rsidRPr="003B2AD2" w:rsidP="0057666C" w14:paraId="1287431F" w14:textId="48371B0B">
      <w:pPr>
        <w:tabs>
          <w:tab w:val="left" w:pos="-720"/>
        </w:tabs>
        <w:suppressAutoHyphens/>
        <w:spacing w:after="240"/>
        <w:ind w:left="720"/>
        <w:rPr>
          <w:sz w:val="24"/>
          <w:szCs w:val="24"/>
        </w:rPr>
      </w:pPr>
      <w:r>
        <w:rPr>
          <w:sz w:val="24"/>
          <w:szCs w:val="24"/>
        </w:rPr>
        <w:t xml:space="preserve">The Commission provides no assurance of confidentiality </w:t>
      </w:r>
      <w:r w:rsidR="00562063">
        <w:rPr>
          <w:sz w:val="24"/>
          <w:szCs w:val="24"/>
        </w:rPr>
        <w:t xml:space="preserve">beyond </w:t>
      </w:r>
      <w:r>
        <w:rPr>
          <w:sz w:val="24"/>
          <w:szCs w:val="24"/>
        </w:rPr>
        <w:t xml:space="preserve">that provided by the agency’s Freedom of Information Act regulations, 17 CFR Part 145. </w:t>
      </w:r>
      <w:r w:rsidRPr="006E0A29">
        <w:rPr>
          <w:sz w:val="24"/>
          <w:szCs w:val="24"/>
        </w:rPr>
        <w:t>The Commission fully complies with section 8(a)(1) of the Commodity Exchange Act, which strictly prohibits the Commission, unless specifically authorized by the Commodity Exchange Act, from making public “data and information that would separately disclose the business transactions or market positions of any person and trade secrets or names of customers.”  The Commission has procedures to protect the confidentiality of an applicant’s or registrant’s data.  These are set forth in the Commission’s regulation</w:t>
      </w:r>
      <w:r w:rsidRPr="006E0A29">
        <w:rPr>
          <w:sz w:val="24"/>
          <w:szCs w:val="24"/>
        </w:rPr>
        <w:t>s at parts 145 and 147 of title 17 of the Code of Federal Regulations.</w:t>
      </w:r>
    </w:p>
    <w:p w:rsidR="0057666C" w:rsidP="0057666C" w14:paraId="6A26C205" w14:textId="77777777">
      <w:pPr>
        <w:tabs>
          <w:tab w:val="left" w:pos="-720"/>
        </w:tabs>
        <w:suppressAutoHyphens/>
        <w:spacing w:after="240"/>
        <w:ind w:left="720" w:hanging="720"/>
        <w:rPr>
          <w:sz w:val="24"/>
          <w:szCs w:val="24"/>
        </w:rPr>
      </w:pPr>
      <w:r w:rsidRPr="003B2AD2">
        <w:rPr>
          <w:sz w:val="24"/>
          <w:szCs w:val="24"/>
        </w:rPr>
        <w:t>11.</w:t>
      </w:r>
      <w:r w:rsidRPr="003B2AD2">
        <w:rPr>
          <w:sz w:val="24"/>
          <w:szCs w:val="24"/>
        </w:rPr>
        <w:tab/>
      </w:r>
      <w:r w:rsidRPr="003B2AD2">
        <w:rPr>
          <w:sz w:val="24"/>
          <w:szCs w:val="24"/>
          <w:u w:val="single"/>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Pr="003B2AD2">
        <w:rPr>
          <w:sz w:val="24"/>
          <w:szCs w:val="24"/>
        </w:rPr>
        <w:t>.</w:t>
      </w:r>
    </w:p>
    <w:p w:rsidR="0057666C" w:rsidP="0057666C" w14:paraId="6BEE17C6" w14:textId="77777777">
      <w:pPr>
        <w:tabs>
          <w:tab w:val="left" w:pos="-720"/>
        </w:tabs>
        <w:suppressAutoHyphens/>
        <w:spacing w:after="240"/>
        <w:ind w:left="720"/>
        <w:rPr>
          <w:sz w:val="24"/>
          <w:szCs w:val="24"/>
        </w:rPr>
      </w:pPr>
      <w:r>
        <w:rPr>
          <w:sz w:val="24"/>
          <w:szCs w:val="24"/>
        </w:rPr>
        <w:t>This question does not apply.  None of the required information is sensitive, as that term is used in Question 11.</w:t>
      </w:r>
    </w:p>
    <w:p w:rsidR="0057666C" w:rsidRPr="00407EEC" w:rsidP="0057666C" w14:paraId="2812FE98" w14:textId="77777777">
      <w:pPr>
        <w:tabs>
          <w:tab w:val="left" w:pos="-720"/>
          <w:tab w:val="left" w:pos="0"/>
        </w:tabs>
        <w:suppressAutoHyphens/>
        <w:spacing w:after="240"/>
        <w:ind w:left="720" w:hanging="720"/>
        <w:rPr>
          <w:sz w:val="24"/>
          <w:szCs w:val="24"/>
        </w:rPr>
      </w:pPr>
      <w:r w:rsidRPr="003B2AD2">
        <w:rPr>
          <w:sz w:val="24"/>
          <w:szCs w:val="24"/>
        </w:rPr>
        <w:t>12.</w:t>
      </w:r>
      <w:r w:rsidRPr="003B2AD2">
        <w:rPr>
          <w:sz w:val="24"/>
          <w:szCs w:val="24"/>
        </w:rPr>
        <w:tab/>
      </w:r>
      <w:r w:rsidRPr="00407EEC">
        <w:rPr>
          <w:sz w:val="24"/>
          <w:szCs w:val="24"/>
          <w:u w:val="single"/>
        </w:rPr>
        <w:t>Provide estimates of the hour burden of the collection of information.  The Statement should</w:t>
      </w:r>
      <w:r w:rsidRPr="00407EEC">
        <w:rPr>
          <w:sz w:val="24"/>
          <w:szCs w:val="24"/>
        </w:rPr>
        <w:t>:</w:t>
      </w:r>
    </w:p>
    <w:p w:rsidR="0057666C" w:rsidRPr="0095346F" w:rsidP="0057666C" w14:paraId="7BBDC3D7" w14:textId="77777777">
      <w:pPr>
        <w:tabs>
          <w:tab w:val="left" w:pos="-720"/>
          <w:tab w:val="left" w:pos="0"/>
          <w:tab w:val="left" w:pos="720"/>
        </w:tabs>
        <w:suppressAutoHyphens/>
        <w:spacing w:after="240"/>
        <w:ind w:left="1440"/>
        <w:rPr>
          <w:sz w:val="24"/>
          <w:szCs w:val="24"/>
          <w:u w:val="single"/>
        </w:rPr>
      </w:pPr>
      <w:r w:rsidRPr="0095346F">
        <w:rPr>
          <w:sz w:val="24"/>
          <w:szCs w:val="24"/>
          <w:u w:val="single"/>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ten) of potential respondents is desirable.  If the hour burden on respondents is expected to vary widely because of differences in activity, size or complexity, show the range of estimated hour burden, and ex</w:t>
      </w:r>
      <w:r w:rsidRPr="0095346F">
        <w:rPr>
          <w:sz w:val="24"/>
          <w:szCs w:val="24"/>
          <w:u w:val="single"/>
        </w:rPr>
        <w:t>plain the reasons for the variance.  Generally, estimates should not include burden hours for customary and usual business practices.</w:t>
      </w:r>
    </w:p>
    <w:p w:rsidR="0057666C" w:rsidRPr="0095346F" w:rsidP="0057666C" w14:paraId="3A0EF8E8" w14:textId="5D3A6B01">
      <w:pPr>
        <w:tabs>
          <w:tab w:val="left" w:pos="-720"/>
          <w:tab w:val="left" w:pos="0"/>
          <w:tab w:val="left" w:pos="720"/>
        </w:tabs>
        <w:suppressAutoHyphens/>
        <w:spacing w:after="240"/>
        <w:ind w:left="1440"/>
        <w:rPr>
          <w:sz w:val="24"/>
          <w:szCs w:val="24"/>
          <w:u w:val="single"/>
        </w:rPr>
      </w:pPr>
      <w:r w:rsidRPr="0095346F">
        <w:rPr>
          <w:sz w:val="24"/>
          <w:szCs w:val="24"/>
          <w:u w:val="single"/>
        </w:rPr>
        <w:t>If the request for approval covers more than one form, provide separate hour burden estimates for each form and aggregate the hour burdens</w:t>
      </w:r>
      <w:r w:rsidRPr="0095346F">
        <w:rPr>
          <w:sz w:val="24"/>
          <w:szCs w:val="24"/>
          <w:u w:val="single"/>
        </w:rPr>
        <w:t>.</w:t>
      </w:r>
    </w:p>
    <w:p w:rsidR="0057666C" w:rsidRPr="0095346F" w:rsidP="0057666C" w14:paraId="6B6FA20A" w14:textId="77777777">
      <w:pPr>
        <w:tabs>
          <w:tab w:val="left" w:pos="-720"/>
          <w:tab w:val="left" w:pos="0"/>
          <w:tab w:val="left" w:pos="720"/>
        </w:tabs>
        <w:suppressAutoHyphens/>
        <w:spacing w:after="240"/>
        <w:ind w:left="1440"/>
        <w:rPr>
          <w:sz w:val="24"/>
          <w:szCs w:val="24"/>
          <w:u w:val="single"/>
        </w:rPr>
      </w:pPr>
      <w:r w:rsidRPr="0095346F">
        <w:rPr>
          <w:sz w:val="24"/>
          <w:szCs w:val="24"/>
          <w:u w:val="single"/>
        </w:rPr>
        <w:t>Provide estimates of annualized cost to respondents for the hours burdens for collections of information, identifying and using appropriate wage rate categories.  The cost of contracting out or paying outside parties for information collection activities should not be included here.  Instead, this cost should be included in Item 13.</w:t>
      </w:r>
    </w:p>
    <w:p w:rsidR="0057666C" w:rsidRPr="003B2AD2" w:rsidP="0057666C" w14:paraId="34A83798" w14:textId="623901F8">
      <w:pPr>
        <w:tabs>
          <w:tab w:val="left" w:pos="-720"/>
        </w:tabs>
        <w:suppressAutoHyphens/>
        <w:spacing w:after="240"/>
        <w:ind w:left="720"/>
        <w:rPr>
          <w:sz w:val="24"/>
          <w:szCs w:val="24"/>
        </w:rPr>
      </w:pPr>
      <w:r w:rsidRPr="00BD0FA7">
        <w:rPr>
          <w:sz w:val="24"/>
          <w:szCs w:val="24"/>
        </w:rPr>
        <w:t xml:space="preserve">See Attachment A.  The total number of respondents </w:t>
      </w:r>
      <w:r>
        <w:rPr>
          <w:sz w:val="24"/>
          <w:szCs w:val="24"/>
        </w:rPr>
        <w:t>is</w:t>
      </w:r>
      <w:r w:rsidRPr="00BD0FA7">
        <w:rPr>
          <w:sz w:val="24"/>
          <w:szCs w:val="24"/>
        </w:rPr>
        <w:t xml:space="preserve"> </w:t>
      </w:r>
      <w:r>
        <w:rPr>
          <w:sz w:val="24"/>
          <w:szCs w:val="24"/>
        </w:rPr>
        <w:t>24</w:t>
      </w:r>
      <w:r w:rsidRPr="00BD0FA7">
        <w:rPr>
          <w:sz w:val="24"/>
          <w:szCs w:val="24"/>
        </w:rPr>
        <w:t xml:space="preserve"> based on the current number of registered DCOs.</w:t>
      </w:r>
    </w:p>
    <w:p w:rsidR="0057666C" w:rsidRPr="003B2AD2" w:rsidP="0057666C" w14:paraId="346993AB" w14:textId="77777777">
      <w:pPr>
        <w:tabs>
          <w:tab w:val="left" w:pos="-720"/>
          <w:tab w:val="left" w:pos="0"/>
        </w:tabs>
        <w:suppressAutoHyphens/>
        <w:spacing w:after="240"/>
        <w:ind w:left="720" w:hanging="720"/>
        <w:rPr>
          <w:sz w:val="24"/>
          <w:szCs w:val="24"/>
        </w:rPr>
      </w:pPr>
      <w:r w:rsidRPr="003B2AD2">
        <w:rPr>
          <w:sz w:val="24"/>
          <w:szCs w:val="24"/>
        </w:rPr>
        <w:t>13.</w:t>
      </w:r>
      <w:r w:rsidRPr="003B2AD2">
        <w:rPr>
          <w:sz w:val="24"/>
          <w:szCs w:val="24"/>
        </w:rPr>
        <w:tab/>
      </w:r>
      <w:r w:rsidRPr="003B2AD2">
        <w:rPr>
          <w:sz w:val="24"/>
          <w:szCs w:val="24"/>
          <w:u w:val="single"/>
        </w:rPr>
        <w:t>Provide an estimate of the total annual cost burden to respondents or recordkeepers resulting f</w:t>
      </w:r>
      <w:r>
        <w:rPr>
          <w:sz w:val="24"/>
          <w:szCs w:val="24"/>
          <w:u w:val="single"/>
        </w:rPr>
        <w:t>r</w:t>
      </w:r>
      <w:r w:rsidRPr="003B2AD2">
        <w:rPr>
          <w:sz w:val="24"/>
          <w:szCs w:val="24"/>
          <w:u w:val="single"/>
        </w:rPr>
        <w:t>om the collection of information.  (Do not include the cost of any hour burden shown in Items 12 and 14)</w:t>
      </w:r>
      <w:r w:rsidRPr="003B2AD2">
        <w:rPr>
          <w:sz w:val="24"/>
          <w:szCs w:val="24"/>
        </w:rPr>
        <w:t>.</w:t>
      </w:r>
    </w:p>
    <w:p w:rsidR="0057666C" w:rsidRPr="0095346F" w:rsidP="0057666C" w14:paraId="5152CB9B" w14:textId="77777777">
      <w:pPr>
        <w:tabs>
          <w:tab w:val="left" w:pos="-720"/>
          <w:tab w:val="left" w:pos="0"/>
          <w:tab w:val="left" w:pos="720"/>
        </w:tabs>
        <w:suppressAutoHyphens/>
        <w:spacing w:after="240"/>
        <w:ind w:left="1440"/>
        <w:rPr>
          <w:sz w:val="24"/>
          <w:szCs w:val="24"/>
          <w:u w:val="single"/>
        </w:rPr>
      </w:pPr>
      <w:r w:rsidRPr="0095346F">
        <w:rPr>
          <w:sz w:val="24"/>
          <w:szCs w:val="24"/>
          <w:u w:val="single"/>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costs factors including system and technology acquisition, expected useful life of capital equipment</w:t>
      </w:r>
      <w:r w:rsidRPr="0095346F">
        <w:rPr>
          <w:sz w:val="24"/>
          <w:szCs w:val="24"/>
          <w:u w:val="single"/>
        </w:rPr>
        <w: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57666C" w:rsidRPr="0095346F" w:rsidP="0057666C" w14:paraId="7059D3E5" w14:textId="77777777">
      <w:pPr>
        <w:tabs>
          <w:tab w:val="left" w:pos="-720"/>
          <w:tab w:val="left" w:pos="0"/>
          <w:tab w:val="left" w:pos="720"/>
        </w:tabs>
        <w:suppressAutoHyphens/>
        <w:spacing w:after="240"/>
        <w:ind w:left="1440"/>
        <w:rPr>
          <w:sz w:val="24"/>
          <w:szCs w:val="24"/>
          <w:u w:val="single"/>
        </w:rPr>
      </w:pPr>
      <w:r w:rsidRPr="0095346F">
        <w:rPr>
          <w:sz w:val="24"/>
          <w:szCs w:val="24"/>
          <w:u w:val="single"/>
        </w:rPr>
        <w:t xml:space="preserve">If cost estimates are expected to vary widely, agencies should present ranges of cost burdens and explain the reasons for the variance.  The cost of purchasing or contracting out information collection services should be a part of this cost burden </w:t>
      </w:r>
      <w:r w:rsidRPr="0095346F">
        <w:rPr>
          <w:sz w:val="24"/>
          <w:szCs w:val="24"/>
          <w:u w:val="single"/>
        </w:rPr>
        <w:t xml:space="preserve">estimate, agencies may consult with a sample of respondents (fewer than ten), </w:t>
      </w:r>
      <w:r w:rsidRPr="0095346F">
        <w:rPr>
          <w:sz w:val="24"/>
          <w:szCs w:val="24"/>
          <w:u w:val="single"/>
        </w:rPr>
        <w:t>utilize the 60-day pre-OMB submission public comment process and use existing economic or regulatory impact analysis associated with the rulemaking containing the information collection, as appropriate.</w:t>
      </w:r>
    </w:p>
    <w:p w:rsidR="0057666C" w:rsidRPr="0095346F" w:rsidP="0057666C" w14:paraId="4122E92F" w14:textId="77777777">
      <w:pPr>
        <w:tabs>
          <w:tab w:val="left" w:pos="-720"/>
          <w:tab w:val="left" w:pos="0"/>
          <w:tab w:val="left" w:pos="720"/>
        </w:tabs>
        <w:suppressAutoHyphens/>
        <w:spacing w:after="240"/>
        <w:ind w:left="1440"/>
        <w:rPr>
          <w:sz w:val="24"/>
          <w:szCs w:val="24"/>
          <w:u w:val="single"/>
        </w:rPr>
      </w:pPr>
      <w:r w:rsidRPr="0095346F">
        <w:rPr>
          <w:sz w:val="24"/>
          <w:szCs w:val="24"/>
          <w:u w:val="single"/>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57666C" w:rsidRPr="003B2AD2" w:rsidP="0057666C" w14:paraId="7358869D" w14:textId="3895D026">
      <w:pPr>
        <w:tabs>
          <w:tab w:val="left" w:pos="-720"/>
        </w:tabs>
        <w:suppressAutoHyphens/>
        <w:spacing w:after="240"/>
        <w:ind w:left="720"/>
        <w:rPr>
          <w:sz w:val="24"/>
          <w:szCs w:val="24"/>
        </w:rPr>
      </w:pPr>
      <w:r w:rsidRPr="00CF1FA9">
        <w:rPr>
          <w:sz w:val="24"/>
          <w:szCs w:val="24"/>
        </w:rPr>
        <w:t>There are no capital costs or operating and maintenance costs associated with this collection.</w:t>
      </w:r>
    </w:p>
    <w:p w:rsidR="0057666C" w:rsidP="0057666C" w14:paraId="26312D5F" w14:textId="77777777">
      <w:pPr>
        <w:tabs>
          <w:tab w:val="left" w:pos="-720"/>
        </w:tabs>
        <w:suppressAutoHyphens/>
        <w:spacing w:after="240"/>
        <w:ind w:left="720" w:hanging="720"/>
        <w:rPr>
          <w:sz w:val="24"/>
          <w:szCs w:val="24"/>
        </w:rPr>
      </w:pPr>
      <w:r w:rsidRPr="003B2AD2">
        <w:rPr>
          <w:sz w:val="24"/>
          <w:szCs w:val="24"/>
        </w:rPr>
        <w:t>14.</w:t>
      </w:r>
      <w:r w:rsidRPr="003B2AD2">
        <w:rPr>
          <w:sz w:val="24"/>
          <w:szCs w:val="24"/>
        </w:rPr>
        <w:tab/>
      </w:r>
      <w:r w:rsidRPr="003B2AD2">
        <w:rPr>
          <w:sz w:val="24"/>
          <w:szCs w:val="24"/>
          <w:u w:val="single"/>
        </w:rPr>
        <w:t>Provide estimates of the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57666C" w:rsidRPr="003B2AD2" w:rsidP="0057666C" w14:paraId="47A66490" w14:textId="0C45B877">
      <w:pPr>
        <w:tabs>
          <w:tab w:val="left" w:pos="-720"/>
        </w:tabs>
        <w:suppressAutoHyphens/>
        <w:spacing w:after="240"/>
        <w:ind w:left="720"/>
        <w:rPr>
          <w:sz w:val="24"/>
          <w:szCs w:val="24"/>
        </w:rPr>
      </w:pPr>
      <w:r w:rsidRPr="00BD0FA7">
        <w:rPr>
          <w:sz w:val="24"/>
          <w:szCs w:val="24"/>
        </w:rPr>
        <w:t xml:space="preserve">The estimate of the cost to the government is about </w:t>
      </w:r>
      <w:r w:rsidR="0031795A">
        <w:rPr>
          <w:sz w:val="24"/>
          <w:szCs w:val="24"/>
        </w:rPr>
        <w:t>$</w:t>
      </w:r>
      <w:r w:rsidR="00A3480D">
        <w:rPr>
          <w:sz w:val="24"/>
          <w:szCs w:val="24"/>
        </w:rPr>
        <w:t>1,068.60</w:t>
      </w:r>
      <w:r w:rsidRPr="00BD0FA7">
        <w:rPr>
          <w:sz w:val="24"/>
          <w:szCs w:val="24"/>
        </w:rPr>
        <w:t xml:space="preserve"> per submission and </w:t>
      </w:r>
      <w:r w:rsidR="004B3AAC">
        <w:rPr>
          <w:sz w:val="24"/>
          <w:szCs w:val="24"/>
        </w:rPr>
        <w:t>$</w:t>
      </w:r>
      <w:r w:rsidR="00D8520E">
        <w:rPr>
          <w:sz w:val="24"/>
          <w:szCs w:val="24"/>
        </w:rPr>
        <w:t>25,646</w:t>
      </w:r>
      <w:r w:rsidRPr="00BD0FA7">
        <w:rPr>
          <w:sz w:val="24"/>
          <w:szCs w:val="24"/>
        </w:rPr>
        <w:t xml:space="preserve"> per year</w:t>
      </w:r>
      <w:r w:rsidR="007709D4">
        <w:rPr>
          <w:sz w:val="24"/>
          <w:szCs w:val="24"/>
        </w:rPr>
        <w:t xml:space="preserve"> (rounded)</w:t>
      </w:r>
      <w:r w:rsidRPr="00BD0FA7">
        <w:rPr>
          <w:sz w:val="24"/>
          <w:szCs w:val="24"/>
        </w:rPr>
        <w:t xml:space="preserve">, assuming the Commission receives, on average, </w:t>
      </w:r>
      <w:r w:rsidR="00A81F43">
        <w:rPr>
          <w:sz w:val="24"/>
          <w:szCs w:val="24"/>
        </w:rPr>
        <w:t>24</w:t>
      </w:r>
      <w:r w:rsidRPr="00BD0FA7" w:rsidR="00A81F43">
        <w:rPr>
          <w:sz w:val="24"/>
          <w:szCs w:val="24"/>
        </w:rPr>
        <w:t xml:space="preserve"> </w:t>
      </w:r>
      <w:r w:rsidRPr="00BD0FA7">
        <w:rPr>
          <w:sz w:val="24"/>
          <w:szCs w:val="24"/>
        </w:rPr>
        <w:t xml:space="preserve">submissions per year (an average of one per respondent).  This is primarily </w:t>
      </w:r>
      <w:r w:rsidRPr="00BD0FA7" w:rsidR="00F87A5C">
        <w:rPr>
          <w:sz w:val="24"/>
          <w:szCs w:val="24"/>
        </w:rPr>
        <w:t>salar</w:t>
      </w:r>
      <w:r w:rsidR="00F87A5C">
        <w:rPr>
          <w:sz w:val="24"/>
          <w:szCs w:val="24"/>
        </w:rPr>
        <w:t>y</w:t>
      </w:r>
      <w:r w:rsidRPr="00BD0FA7" w:rsidR="00F87A5C">
        <w:rPr>
          <w:sz w:val="24"/>
          <w:szCs w:val="24"/>
        </w:rPr>
        <w:t xml:space="preserve"> </w:t>
      </w:r>
      <w:r w:rsidRPr="00BD0FA7">
        <w:rPr>
          <w:sz w:val="24"/>
          <w:szCs w:val="24"/>
        </w:rPr>
        <w:t xml:space="preserve">for staff to analyze the information received, as follows: </w:t>
      </w:r>
      <w:r w:rsidR="005D04F2">
        <w:rPr>
          <w:sz w:val="24"/>
          <w:szCs w:val="24"/>
        </w:rPr>
        <w:t xml:space="preserve"> </w:t>
      </w:r>
      <w:r w:rsidRPr="00BD0FA7">
        <w:rPr>
          <w:sz w:val="24"/>
          <w:szCs w:val="24"/>
        </w:rPr>
        <w:t xml:space="preserve">One full time equivalent reviewing for 10 hours per submission at an average salary of </w:t>
      </w:r>
      <w:r w:rsidR="004809F0">
        <w:rPr>
          <w:sz w:val="24"/>
          <w:szCs w:val="24"/>
        </w:rPr>
        <w:t>$</w:t>
      </w:r>
      <w:r w:rsidR="004E55D9">
        <w:rPr>
          <w:sz w:val="24"/>
          <w:szCs w:val="24"/>
        </w:rPr>
        <w:t>106.86</w:t>
      </w:r>
      <w:r w:rsidRPr="00BD0FA7">
        <w:rPr>
          <w:sz w:val="24"/>
          <w:szCs w:val="24"/>
        </w:rPr>
        <w:t xml:space="preserve"> per hour.</w:t>
      </w:r>
      <w:r>
        <w:rPr>
          <w:rStyle w:val="FootnoteReference"/>
          <w:sz w:val="24"/>
          <w:szCs w:val="24"/>
        </w:rPr>
        <w:footnoteReference w:id="3"/>
      </w:r>
    </w:p>
    <w:p w:rsidR="0057666C" w:rsidP="0057666C" w14:paraId="556CB3FD" w14:textId="04C63813">
      <w:pPr>
        <w:tabs>
          <w:tab w:val="left" w:pos="-720"/>
          <w:tab w:val="left" w:pos="0"/>
        </w:tabs>
        <w:suppressAutoHyphens/>
        <w:spacing w:after="240"/>
        <w:ind w:left="720" w:hanging="720"/>
        <w:rPr>
          <w:sz w:val="24"/>
          <w:szCs w:val="24"/>
        </w:rPr>
      </w:pPr>
      <w:r w:rsidRPr="003B2AD2">
        <w:rPr>
          <w:sz w:val="24"/>
          <w:szCs w:val="24"/>
        </w:rPr>
        <w:t>15.</w:t>
      </w:r>
      <w:r w:rsidRPr="003B2AD2">
        <w:rPr>
          <w:sz w:val="24"/>
          <w:szCs w:val="24"/>
        </w:rPr>
        <w:tab/>
      </w:r>
      <w:r w:rsidRPr="003B2AD2">
        <w:rPr>
          <w:sz w:val="24"/>
          <w:szCs w:val="24"/>
          <w:u w:val="single"/>
        </w:rPr>
        <w:t>Explain the reasons for any program changes or adjustments</w:t>
      </w:r>
      <w:r w:rsidRPr="003B2AD2">
        <w:rPr>
          <w:sz w:val="24"/>
          <w:szCs w:val="24"/>
        </w:rPr>
        <w:t>.</w:t>
      </w:r>
    </w:p>
    <w:p w:rsidR="00185E58" w:rsidRPr="00E4062C" w:rsidP="002B344E" w14:paraId="2C8B7E4F" w14:textId="6EFAF389">
      <w:pPr>
        <w:pStyle w:val="BodyTextIndent"/>
        <w:spacing w:after="240"/>
        <w:ind w:left="720"/>
        <w:rPr>
          <w:sz w:val="24"/>
        </w:rPr>
      </w:pPr>
      <w:r>
        <w:rPr>
          <w:bCs/>
          <w:sz w:val="24"/>
        </w:rPr>
        <w:t xml:space="preserve">There are no program changes, but the Commission has updated its burden estimates based on changes in the total number of respondents and number of records subject to the collection.  As described in Attachment A, the total number of respondents for this renewal period is estimated to be </w:t>
      </w:r>
      <w:r w:rsidR="003D13AE">
        <w:rPr>
          <w:bCs/>
          <w:sz w:val="24"/>
        </w:rPr>
        <w:t>24</w:t>
      </w:r>
      <w:r>
        <w:rPr>
          <w:bCs/>
          <w:sz w:val="24"/>
        </w:rPr>
        <w:t xml:space="preserve"> (this represents an increase of </w:t>
      </w:r>
      <w:r w:rsidR="00DA0C0F">
        <w:rPr>
          <w:bCs/>
          <w:sz w:val="24"/>
        </w:rPr>
        <w:t>nine</w:t>
      </w:r>
      <w:r>
        <w:rPr>
          <w:bCs/>
          <w:sz w:val="24"/>
        </w:rPr>
        <w:t xml:space="preserve"> respondent</w:t>
      </w:r>
      <w:r w:rsidR="00DA0C0F">
        <w:rPr>
          <w:bCs/>
          <w:sz w:val="24"/>
        </w:rPr>
        <w:t>s</w:t>
      </w:r>
      <w:r>
        <w:rPr>
          <w:bCs/>
          <w:sz w:val="24"/>
        </w:rPr>
        <w:t xml:space="preserve"> from the previous estimate of </w:t>
      </w:r>
      <w:r w:rsidR="006A112C">
        <w:rPr>
          <w:bCs/>
          <w:sz w:val="24"/>
        </w:rPr>
        <w:t>fifteen</w:t>
      </w:r>
      <w:r>
        <w:rPr>
          <w:bCs/>
          <w:sz w:val="24"/>
        </w:rPr>
        <w:t xml:space="preserve">).  As a result of this increase, the overall burden of this collection has increased from </w:t>
      </w:r>
      <w:r w:rsidR="00394573">
        <w:rPr>
          <w:bCs/>
          <w:sz w:val="24"/>
        </w:rPr>
        <w:t>600</w:t>
      </w:r>
      <w:r>
        <w:rPr>
          <w:bCs/>
          <w:sz w:val="24"/>
        </w:rPr>
        <w:t xml:space="preserve"> annual burden hours to </w:t>
      </w:r>
      <w:r w:rsidR="00394573">
        <w:rPr>
          <w:bCs/>
          <w:sz w:val="24"/>
        </w:rPr>
        <w:t>960</w:t>
      </w:r>
      <w:r>
        <w:rPr>
          <w:bCs/>
          <w:sz w:val="24"/>
        </w:rPr>
        <w:t xml:space="preserve"> burden hours (an increase of </w:t>
      </w:r>
      <w:r w:rsidR="00651A3B">
        <w:rPr>
          <w:bCs/>
          <w:sz w:val="24"/>
        </w:rPr>
        <w:t>360</w:t>
      </w:r>
      <w:r>
        <w:rPr>
          <w:bCs/>
          <w:sz w:val="24"/>
        </w:rPr>
        <w:t xml:space="preserve"> hours).  The Commission has also updated its estimate of associated hourly labor costs using (a) updated Bureau of Labor Statistics wage rates, (b) a multiplier of 2.5 to account for retirement, health, and other benefits or compensation, as well as for office space, computer equipment support, and human resources support; and (c) a multiplier of 1.04977 to account for the change in the Consumer Price Index for Urban Wage-Earners and Clerical Workers from May 202</w:t>
      </w:r>
      <w:r w:rsidR="00D77343">
        <w:rPr>
          <w:bCs/>
          <w:sz w:val="24"/>
        </w:rPr>
        <w:t>5</w:t>
      </w:r>
      <w:r>
        <w:rPr>
          <w:bCs/>
          <w:sz w:val="24"/>
        </w:rPr>
        <w:t xml:space="preserve"> to Ma</w:t>
      </w:r>
      <w:r w:rsidR="00D77343">
        <w:rPr>
          <w:bCs/>
          <w:sz w:val="24"/>
        </w:rPr>
        <w:t>y</w:t>
      </w:r>
      <w:r>
        <w:rPr>
          <w:bCs/>
          <w:sz w:val="24"/>
        </w:rPr>
        <w:t xml:space="preserve"> 2026.  Accordingly, total annual burden hour costs has increased by $</w:t>
      </w:r>
      <w:r w:rsidR="00C96C65">
        <w:rPr>
          <w:bCs/>
          <w:sz w:val="24"/>
        </w:rPr>
        <w:t>158,559.60</w:t>
      </w:r>
      <w:r>
        <w:rPr>
          <w:bCs/>
          <w:sz w:val="24"/>
        </w:rPr>
        <w:t xml:space="preserve"> from $2</w:t>
      </w:r>
      <w:r w:rsidR="00065027">
        <w:rPr>
          <w:bCs/>
          <w:sz w:val="24"/>
        </w:rPr>
        <w:t>12,730</w:t>
      </w:r>
      <w:r>
        <w:rPr>
          <w:bCs/>
          <w:sz w:val="24"/>
        </w:rPr>
        <w:t xml:space="preserve"> to $</w:t>
      </w:r>
      <w:r w:rsidR="008E5E43">
        <w:rPr>
          <w:bCs/>
          <w:sz w:val="24"/>
        </w:rPr>
        <w:t>371,289.60</w:t>
      </w:r>
      <w:r>
        <w:rPr>
          <w:bCs/>
          <w:sz w:val="24"/>
        </w:rPr>
        <w:t xml:space="preserve">, due to an </w:t>
      </w:r>
      <w:r>
        <w:rPr>
          <w:bCs/>
          <w:sz w:val="24"/>
        </w:rPr>
        <w:t>increase in the estimated total average hour burden costs per respondent.</w:t>
      </w:r>
      <w:r w:rsidR="008340B9">
        <w:rPr>
          <w:bCs/>
          <w:sz w:val="24"/>
        </w:rPr>
        <w:t xml:space="preserve"> </w:t>
      </w:r>
      <w:r w:rsidR="008340B9">
        <w:rPr>
          <w:i/>
          <w:sz w:val="24"/>
        </w:rPr>
        <w:t xml:space="preserve">See </w:t>
      </w:r>
      <w:r w:rsidR="008340B9">
        <w:rPr>
          <w:sz w:val="24"/>
        </w:rPr>
        <w:t>Attachment A.</w:t>
      </w:r>
    </w:p>
    <w:p w:rsidR="0057666C" w:rsidP="0057666C" w14:paraId="67AC9B28" w14:textId="77777777">
      <w:pPr>
        <w:tabs>
          <w:tab w:val="left" w:pos="-720"/>
          <w:tab w:val="left" w:pos="0"/>
        </w:tabs>
        <w:suppressAutoHyphens/>
        <w:spacing w:after="240"/>
        <w:ind w:left="720" w:hanging="720"/>
        <w:rPr>
          <w:sz w:val="24"/>
          <w:szCs w:val="24"/>
        </w:rPr>
      </w:pPr>
      <w:r w:rsidRPr="003B2AD2">
        <w:rPr>
          <w:sz w:val="24"/>
          <w:szCs w:val="24"/>
        </w:rPr>
        <w:t>16.</w:t>
      </w:r>
      <w:r w:rsidRPr="003B2AD2">
        <w:rPr>
          <w:sz w:val="24"/>
          <w:szCs w:val="24"/>
        </w:rPr>
        <w:tab/>
      </w:r>
      <w:r w:rsidRPr="003B2AD2">
        <w:rPr>
          <w:sz w:val="24"/>
          <w:szCs w:val="24"/>
          <w:u w:val="single"/>
        </w:rPr>
        <w:t>For collection of information whose results are planned to be published for statistical use, outline plans for tabulation, statistical analysis, and publication.  Provide the time schedule for the entire project, including beginning and ending dates of the collection of information, completion of report, publication dates, and other actions</w:t>
      </w:r>
      <w:r w:rsidRPr="003B2AD2">
        <w:rPr>
          <w:sz w:val="24"/>
          <w:szCs w:val="24"/>
        </w:rPr>
        <w:t>.</w:t>
      </w:r>
    </w:p>
    <w:p w:rsidR="0057666C" w:rsidRPr="003B2AD2" w:rsidP="0057666C" w14:paraId="63C9480A" w14:textId="77777777">
      <w:pPr>
        <w:tabs>
          <w:tab w:val="left" w:pos="-720"/>
        </w:tabs>
        <w:suppressAutoHyphens/>
        <w:spacing w:after="240"/>
        <w:ind w:left="720"/>
        <w:rPr>
          <w:sz w:val="24"/>
          <w:szCs w:val="24"/>
        </w:rPr>
      </w:pPr>
      <w:r>
        <w:rPr>
          <w:sz w:val="24"/>
          <w:szCs w:val="24"/>
        </w:rPr>
        <w:t>This question does not apply.</w:t>
      </w:r>
    </w:p>
    <w:p w:rsidR="0057666C" w:rsidP="0057666C" w14:paraId="3BDD80CC" w14:textId="77777777">
      <w:pPr>
        <w:tabs>
          <w:tab w:val="left" w:pos="-720"/>
          <w:tab w:val="left" w:pos="0"/>
        </w:tabs>
        <w:suppressAutoHyphens/>
        <w:spacing w:after="240"/>
        <w:ind w:left="720" w:hanging="720"/>
        <w:rPr>
          <w:sz w:val="24"/>
          <w:szCs w:val="24"/>
        </w:rPr>
      </w:pPr>
      <w:r w:rsidRPr="003B2AD2">
        <w:rPr>
          <w:sz w:val="24"/>
          <w:szCs w:val="24"/>
        </w:rPr>
        <w:t>17.</w:t>
      </w:r>
      <w:r w:rsidRPr="003B2AD2">
        <w:rPr>
          <w:sz w:val="24"/>
          <w:szCs w:val="24"/>
        </w:rPr>
        <w:tab/>
      </w:r>
      <w:r w:rsidRPr="003B2AD2">
        <w:rPr>
          <w:sz w:val="24"/>
          <w:szCs w:val="24"/>
          <w:u w:val="single"/>
        </w:rPr>
        <w:t>If seeking approval to not display the expiration date for OMB approval of the information collection, explain the reasons that display would be inappropriate</w:t>
      </w:r>
      <w:r w:rsidRPr="003B2AD2">
        <w:rPr>
          <w:sz w:val="24"/>
          <w:szCs w:val="24"/>
        </w:rPr>
        <w:t>.</w:t>
      </w:r>
    </w:p>
    <w:p w:rsidR="0057666C" w:rsidRPr="003B2AD2" w:rsidP="0057666C" w14:paraId="3BA2F1CB" w14:textId="77777777">
      <w:pPr>
        <w:tabs>
          <w:tab w:val="left" w:pos="-720"/>
        </w:tabs>
        <w:suppressAutoHyphens/>
        <w:spacing w:after="240"/>
        <w:ind w:left="720"/>
        <w:rPr>
          <w:sz w:val="24"/>
          <w:szCs w:val="24"/>
        </w:rPr>
      </w:pPr>
      <w:r>
        <w:rPr>
          <w:sz w:val="24"/>
          <w:szCs w:val="24"/>
        </w:rPr>
        <w:t>This question does not apply.</w:t>
      </w:r>
    </w:p>
    <w:p w:rsidR="0057666C" w:rsidP="0057666C" w14:paraId="7522D0DC" w14:textId="1D7B5999">
      <w:pPr>
        <w:tabs>
          <w:tab w:val="left" w:pos="-720"/>
          <w:tab w:val="left" w:pos="0"/>
        </w:tabs>
        <w:suppressAutoHyphens/>
        <w:spacing w:after="240"/>
        <w:ind w:left="720" w:hanging="720"/>
        <w:rPr>
          <w:sz w:val="24"/>
          <w:szCs w:val="24"/>
        </w:rPr>
      </w:pPr>
      <w:r w:rsidRPr="003B2AD2">
        <w:rPr>
          <w:sz w:val="24"/>
          <w:szCs w:val="24"/>
        </w:rPr>
        <w:t>18.</w:t>
      </w:r>
      <w:r w:rsidRPr="003B2AD2">
        <w:rPr>
          <w:sz w:val="24"/>
          <w:szCs w:val="24"/>
        </w:rPr>
        <w:tab/>
      </w:r>
      <w:r w:rsidRPr="003B2AD2">
        <w:rPr>
          <w:sz w:val="24"/>
          <w:szCs w:val="24"/>
          <w:u w:val="single"/>
        </w:rPr>
        <w:t xml:space="preserve">Explain each exception to the certification statement identified in </w:t>
      </w:r>
      <w:r w:rsidR="00611E8E">
        <w:rPr>
          <w:sz w:val="24"/>
          <w:szCs w:val="24"/>
          <w:u w:val="single"/>
        </w:rPr>
        <w:t xml:space="preserve">the </w:t>
      </w:r>
      <w:r>
        <w:rPr>
          <w:sz w:val="24"/>
          <w:szCs w:val="24"/>
          <w:u w:val="single"/>
        </w:rPr>
        <w:t>“</w:t>
      </w:r>
      <w:r w:rsidRPr="003B2AD2">
        <w:rPr>
          <w:sz w:val="24"/>
          <w:szCs w:val="24"/>
          <w:u w:val="single"/>
        </w:rPr>
        <w:t>Certification for Paperwork Reduction Act Submissions</w:t>
      </w:r>
      <w:r w:rsidR="00611E8E">
        <w:rPr>
          <w:sz w:val="24"/>
          <w:szCs w:val="24"/>
          <w:u w:val="single"/>
        </w:rPr>
        <w:t>.</w:t>
      </w:r>
      <w:r>
        <w:rPr>
          <w:sz w:val="24"/>
          <w:szCs w:val="24"/>
          <w:u w:val="single"/>
        </w:rPr>
        <w:t>”</w:t>
      </w:r>
    </w:p>
    <w:p w:rsidR="0057666C" w:rsidP="0057666C" w14:paraId="53B37923" w14:textId="77777777">
      <w:pPr>
        <w:tabs>
          <w:tab w:val="left" w:pos="-720"/>
        </w:tabs>
        <w:suppressAutoHyphens/>
        <w:spacing w:after="240"/>
        <w:ind w:left="720"/>
        <w:rPr>
          <w:sz w:val="24"/>
          <w:szCs w:val="24"/>
        </w:rPr>
        <w:sectPr w:rsidSect="0057666C">
          <w:pgSz w:w="12240" w:h="15840"/>
          <w:pgMar w:top="1440" w:right="1440" w:bottom="1440" w:left="1440" w:header="720" w:footer="720" w:gutter="0"/>
          <w:cols w:space="720"/>
          <w:docGrid w:linePitch="360"/>
        </w:sectPr>
      </w:pPr>
      <w:r>
        <w:rPr>
          <w:sz w:val="24"/>
          <w:szCs w:val="24"/>
        </w:rPr>
        <w:t>This question does not apply.</w:t>
      </w:r>
    </w:p>
    <w:p w:rsidR="0057666C" w:rsidP="0057666C" w14:paraId="273B1F3D" w14:textId="77777777">
      <w:pPr>
        <w:jc w:val="center"/>
        <w:rPr>
          <w:sz w:val="24"/>
          <w:szCs w:val="24"/>
        </w:rPr>
      </w:pPr>
      <w:r>
        <w:rPr>
          <w:sz w:val="24"/>
          <w:szCs w:val="24"/>
        </w:rPr>
        <w:t>Attachment A</w:t>
      </w:r>
    </w:p>
    <w:p w:rsidR="0057666C" w:rsidP="0057666C" w14:paraId="222A33BD" w14:textId="77777777">
      <w:pPr>
        <w:spacing w:after="240"/>
        <w:jc w:val="center"/>
        <w:rPr>
          <w:sz w:val="24"/>
          <w:szCs w:val="24"/>
        </w:rPr>
      </w:pPr>
      <w:r w:rsidRPr="003B2AD2">
        <w:rPr>
          <w:sz w:val="24"/>
          <w:szCs w:val="24"/>
        </w:rPr>
        <w:t xml:space="preserve">OMB CONTROL NUMBER </w:t>
      </w:r>
      <w:r>
        <w:rPr>
          <w:sz w:val="24"/>
          <w:szCs w:val="24"/>
        </w:rPr>
        <w:t>3038-0097</w:t>
      </w:r>
    </w:p>
    <w:p w:rsidR="0057666C" w:rsidP="0057666C" w14:paraId="480FA590" w14:textId="77777777">
      <w:pPr>
        <w:jc w:val="center"/>
        <w:rPr>
          <w:sz w:val="24"/>
          <w:szCs w:val="24"/>
        </w:rPr>
      </w:pPr>
      <w:r>
        <w:rPr>
          <w:sz w:val="24"/>
          <w:szCs w:val="24"/>
        </w:rPr>
        <w:t>Swap Submissions</w:t>
      </w:r>
    </w:p>
    <w:p w:rsidR="0057666C" w:rsidP="0057666C" w14:paraId="1B4F5F3B" w14:textId="77777777">
      <w:pPr>
        <w:spacing w:after="360"/>
        <w:jc w:val="center"/>
        <w:rPr>
          <w:sz w:val="24"/>
          <w:szCs w:val="24"/>
        </w:rPr>
      </w:pPr>
      <w:r>
        <w:rPr>
          <w:sz w:val="24"/>
          <w:szCs w:val="24"/>
        </w:rPr>
        <w:t>From Derivatives Clearing Organizations</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0"/>
        <w:gridCol w:w="1530"/>
        <w:gridCol w:w="1530"/>
        <w:gridCol w:w="1530"/>
        <w:gridCol w:w="1710"/>
        <w:gridCol w:w="1890"/>
        <w:gridCol w:w="1800"/>
      </w:tblGrid>
      <w:tr w14:paraId="3EB4FABD" w14:textId="77777777" w:rsidTr="00BB016F">
        <w:tblPrEx>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710" w:type="dxa"/>
          </w:tcPr>
          <w:p w:rsidR="0057666C" w:rsidP="00BB016F" w14:paraId="4F050CB6" w14:textId="77777777">
            <w:pPr>
              <w:jc w:val="center"/>
              <w:rPr>
                <w:sz w:val="24"/>
                <w:szCs w:val="24"/>
              </w:rPr>
            </w:pPr>
            <w:r>
              <w:rPr>
                <w:sz w:val="24"/>
                <w:szCs w:val="24"/>
              </w:rPr>
              <w:t>1.</w:t>
            </w:r>
          </w:p>
          <w:p w:rsidR="0057666C" w:rsidRPr="005F4D77" w:rsidP="00BB016F" w14:paraId="0FC57764" w14:textId="77777777">
            <w:pPr>
              <w:rPr>
                <w:sz w:val="24"/>
                <w:szCs w:val="24"/>
              </w:rPr>
            </w:pPr>
            <w:r w:rsidRPr="005F4D77">
              <w:rPr>
                <w:sz w:val="24"/>
                <w:szCs w:val="24"/>
              </w:rPr>
              <w:t>Estimated # of Respondents Per Year</w:t>
            </w:r>
          </w:p>
        </w:tc>
        <w:tc>
          <w:tcPr>
            <w:tcW w:w="1530" w:type="dxa"/>
          </w:tcPr>
          <w:p w:rsidR="0057666C" w:rsidP="00BB016F" w14:paraId="2581DF91" w14:textId="77777777">
            <w:pPr>
              <w:jc w:val="center"/>
              <w:rPr>
                <w:sz w:val="24"/>
                <w:szCs w:val="24"/>
              </w:rPr>
            </w:pPr>
            <w:r>
              <w:rPr>
                <w:sz w:val="24"/>
                <w:szCs w:val="24"/>
              </w:rPr>
              <w:t>2.</w:t>
            </w:r>
          </w:p>
          <w:p w:rsidR="0057666C" w:rsidP="00BB016F" w14:paraId="026A85E9" w14:textId="77777777">
            <w:pPr>
              <w:rPr>
                <w:sz w:val="24"/>
                <w:szCs w:val="24"/>
              </w:rPr>
            </w:pPr>
            <w:r>
              <w:rPr>
                <w:sz w:val="24"/>
                <w:szCs w:val="24"/>
              </w:rPr>
              <w:t>Submissions</w:t>
            </w:r>
          </w:p>
          <w:p w:rsidR="0057666C" w:rsidRPr="005F4D77" w:rsidP="00BB016F" w14:paraId="4B9FF304" w14:textId="77777777">
            <w:pPr>
              <w:rPr>
                <w:sz w:val="24"/>
                <w:szCs w:val="24"/>
              </w:rPr>
            </w:pPr>
            <w:r w:rsidRPr="005F4D77">
              <w:rPr>
                <w:sz w:val="24"/>
                <w:szCs w:val="24"/>
              </w:rPr>
              <w:t>Annually by Each</w:t>
            </w:r>
          </w:p>
        </w:tc>
        <w:tc>
          <w:tcPr>
            <w:tcW w:w="1530" w:type="dxa"/>
          </w:tcPr>
          <w:p w:rsidR="0057666C" w:rsidP="00BB016F" w14:paraId="523AC336" w14:textId="77777777">
            <w:pPr>
              <w:jc w:val="center"/>
              <w:rPr>
                <w:sz w:val="24"/>
                <w:szCs w:val="24"/>
              </w:rPr>
            </w:pPr>
            <w:r>
              <w:rPr>
                <w:sz w:val="24"/>
                <w:szCs w:val="24"/>
              </w:rPr>
              <w:t>3.</w:t>
            </w:r>
          </w:p>
          <w:p w:rsidR="0057666C" w:rsidRPr="005F4D77" w:rsidP="00BB016F" w14:paraId="335FC888" w14:textId="77777777">
            <w:pPr>
              <w:rPr>
                <w:sz w:val="24"/>
                <w:szCs w:val="24"/>
              </w:rPr>
            </w:pPr>
            <w:r w:rsidRPr="005F4D77">
              <w:rPr>
                <w:sz w:val="24"/>
                <w:szCs w:val="24"/>
              </w:rPr>
              <w:t>Total Annual Responses</w:t>
            </w:r>
          </w:p>
        </w:tc>
        <w:tc>
          <w:tcPr>
            <w:tcW w:w="1530" w:type="dxa"/>
          </w:tcPr>
          <w:p w:rsidR="0057666C" w:rsidP="00BB016F" w14:paraId="7C9CE20B" w14:textId="77777777">
            <w:pPr>
              <w:jc w:val="center"/>
              <w:rPr>
                <w:sz w:val="24"/>
                <w:szCs w:val="24"/>
              </w:rPr>
            </w:pPr>
            <w:r>
              <w:rPr>
                <w:sz w:val="24"/>
                <w:szCs w:val="24"/>
              </w:rPr>
              <w:t>4.</w:t>
            </w:r>
          </w:p>
          <w:p w:rsidR="0057666C" w:rsidRPr="005F4D77" w:rsidP="00BB016F" w14:paraId="2998BBA1" w14:textId="77777777">
            <w:pPr>
              <w:rPr>
                <w:sz w:val="24"/>
                <w:szCs w:val="24"/>
              </w:rPr>
            </w:pPr>
            <w:r w:rsidRPr="005F4D77">
              <w:rPr>
                <w:sz w:val="24"/>
                <w:szCs w:val="24"/>
              </w:rPr>
              <w:t>Estimated Average Number of Hours Per Response</w:t>
            </w:r>
          </w:p>
        </w:tc>
        <w:tc>
          <w:tcPr>
            <w:tcW w:w="1710" w:type="dxa"/>
          </w:tcPr>
          <w:p w:rsidR="0057666C" w:rsidP="00BB016F" w14:paraId="6362DE3C" w14:textId="77777777">
            <w:pPr>
              <w:jc w:val="center"/>
              <w:rPr>
                <w:sz w:val="24"/>
                <w:szCs w:val="24"/>
              </w:rPr>
            </w:pPr>
            <w:r>
              <w:rPr>
                <w:sz w:val="24"/>
                <w:szCs w:val="24"/>
              </w:rPr>
              <w:t>5.</w:t>
            </w:r>
          </w:p>
          <w:p w:rsidR="0057666C" w:rsidRPr="005F4D77" w:rsidP="00BB016F" w14:paraId="62F4A053" w14:textId="77777777">
            <w:pPr>
              <w:rPr>
                <w:sz w:val="24"/>
                <w:szCs w:val="24"/>
              </w:rPr>
            </w:pPr>
            <w:r w:rsidRPr="005F4D77">
              <w:rPr>
                <w:sz w:val="24"/>
                <w:szCs w:val="24"/>
              </w:rPr>
              <w:t>Estimated Total Number of Hours of Annual Burden in Fiscal Year</w:t>
            </w:r>
          </w:p>
        </w:tc>
        <w:tc>
          <w:tcPr>
            <w:tcW w:w="1890" w:type="dxa"/>
          </w:tcPr>
          <w:p w:rsidR="0057666C" w:rsidP="00BB016F" w14:paraId="5DB78C02" w14:textId="77777777">
            <w:pPr>
              <w:jc w:val="center"/>
              <w:rPr>
                <w:sz w:val="24"/>
                <w:szCs w:val="24"/>
              </w:rPr>
            </w:pPr>
            <w:r>
              <w:rPr>
                <w:sz w:val="24"/>
                <w:szCs w:val="24"/>
              </w:rPr>
              <w:t>6.</w:t>
            </w:r>
          </w:p>
          <w:p w:rsidR="0057666C" w:rsidRPr="005F4D77" w:rsidP="00BB016F" w14:paraId="65830C3B" w14:textId="77777777">
            <w:pPr>
              <w:rPr>
                <w:sz w:val="24"/>
                <w:szCs w:val="24"/>
              </w:rPr>
            </w:pPr>
            <w:r w:rsidRPr="005F4D77">
              <w:rPr>
                <w:sz w:val="24"/>
                <w:szCs w:val="24"/>
              </w:rPr>
              <w:t>Estimated Annual Cost Per Respondent</w:t>
            </w:r>
            <w:r>
              <w:rPr>
                <w:rStyle w:val="FootnoteReference"/>
                <w:sz w:val="24"/>
                <w:szCs w:val="24"/>
              </w:rPr>
              <w:footnoteReference w:id="4"/>
            </w:r>
          </w:p>
        </w:tc>
        <w:tc>
          <w:tcPr>
            <w:tcW w:w="1800" w:type="dxa"/>
          </w:tcPr>
          <w:p w:rsidR="0057666C" w:rsidP="00BB016F" w14:paraId="6F7915A9" w14:textId="77777777">
            <w:pPr>
              <w:jc w:val="center"/>
              <w:rPr>
                <w:sz w:val="24"/>
                <w:szCs w:val="24"/>
              </w:rPr>
            </w:pPr>
            <w:r>
              <w:rPr>
                <w:sz w:val="24"/>
                <w:szCs w:val="24"/>
              </w:rPr>
              <w:t>7.</w:t>
            </w:r>
          </w:p>
          <w:p w:rsidR="0057666C" w:rsidRPr="005F4D77" w:rsidP="00BB016F" w14:paraId="1340F99F" w14:textId="77777777">
            <w:pPr>
              <w:rPr>
                <w:sz w:val="24"/>
                <w:szCs w:val="24"/>
              </w:rPr>
            </w:pPr>
            <w:r>
              <w:rPr>
                <w:sz w:val="24"/>
                <w:szCs w:val="24"/>
              </w:rPr>
              <w:t>Total Annual Burden Hour Cost of All Responses</w:t>
            </w:r>
          </w:p>
        </w:tc>
      </w:tr>
      <w:tr w14:paraId="3136A4ED" w14:textId="77777777" w:rsidTr="00BB016F">
        <w:tblPrEx>
          <w:tblW w:w="0" w:type="auto"/>
          <w:tblInd w:w="175" w:type="dxa"/>
          <w:tblLook w:val="01E0"/>
        </w:tblPrEx>
        <w:tc>
          <w:tcPr>
            <w:tcW w:w="1710" w:type="dxa"/>
          </w:tcPr>
          <w:p w:rsidR="0057666C" w:rsidRPr="00BD0FA7" w:rsidP="00BB016F" w14:paraId="4004046B" w14:textId="0BC30A0B">
            <w:pPr>
              <w:rPr>
                <w:sz w:val="24"/>
                <w:szCs w:val="24"/>
              </w:rPr>
            </w:pPr>
            <w:r>
              <w:rPr>
                <w:sz w:val="24"/>
                <w:szCs w:val="24"/>
              </w:rPr>
              <w:t>24</w:t>
            </w:r>
          </w:p>
        </w:tc>
        <w:tc>
          <w:tcPr>
            <w:tcW w:w="1530" w:type="dxa"/>
          </w:tcPr>
          <w:p w:rsidR="0057666C" w:rsidRPr="00BD0FA7" w:rsidP="00BB016F" w14:paraId="752A5BF4" w14:textId="77777777">
            <w:pPr>
              <w:rPr>
                <w:sz w:val="24"/>
                <w:szCs w:val="24"/>
              </w:rPr>
            </w:pPr>
            <w:r w:rsidRPr="00BD0FA7">
              <w:rPr>
                <w:sz w:val="24"/>
                <w:szCs w:val="24"/>
              </w:rPr>
              <w:t>1</w:t>
            </w:r>
          </w:p>
        </w:tc>
        <w:tc>
          <w:tcPr>
            <w:tcW w:w="1530" w:type="dxa"/>
          </w:tcPr>
          <w:p w:rsidR="0057666C" w:rsidRPr="00BD0FA7" w:rsidP="00BB016F" w14:paraId="75168CBC" w14:textId="43175400">
            <w:pPr>
              <w:rPr>
                <w:sz w:val="24"/>
                <w:szCs w:val="24"/>
              </w:rPr>
            </w:pPr>
            <w:r>
              <w:rPr>
                <w:sz w:val="24"/>
                <w:szCs w:val="24"/>
              </w:rPr>
              <w:t>24</w:t>
            </w:r>
          </w:p>
        </w:tc>
        <w:tc>
          <w:tcPr>
            <w:tcW w:w="1530" w:type="dxa"/>
          </w:tcPr>
          <w:p w:rsidR="0057666C" w:rsidRPr="00BD0FA7" w:rsidP="00BB016F" w14:paraId="7D21F41E" w14:textId="77777777">
            <w:pPr>
              <w:rPr>
                <w:sz w:val="24"/>
                <w:szCs w:val="24"/>
              </w:rPr>
            </w:pPr>
            <w:r w:rsidRPr="00BD0FA7">
              <w:rPr>
                <w:sz w:val="24"/>
                <w:szCs w:val="24"/>
              </w:rPr>
              <w:t>40</w:t>
            </w:r>
          </w:p>
        </w:tc>
        <w:tc>
          <w:tcPr>
            <w:tcW w:w="1710" w:type="dxa"/>
          </w:tcPr>
          <w:p w:rsidR="0057666C" w:rsidRPr="00BD0FA7" w:rsidP="00BB016F" w14:paraId="1A9F0B6D" w14:textId="3BB99A12">
            <w:pPr>
              <w:rPr>
                <w:sz w:val="24"/>
                <w:szCs w:val="24"/>
              </w:rPr>
            </w:pPr>
            <w:r>
              <w:rPr>
                <w:sz w:val="24"/>
                <w:szCs w:val="24"/>
              </w:rPr>
              <w:t>960</w:t>
            </w:r>
          </w:p>
        </w:tc>
        <w:tc>
          <w:tcPr>
            <w:tcW w:w="1890" w:type="dxa"/>
          </w:tcPr>
          <w:p w:rsidR="0057666C" w:rsidRPr="00BD0FA7" w:rsidP="00BB016F" w14:paraId="6286170F" w14:textId="499DF569">
            <w:pPr>
              <w:rPr>
                <w:sz w:val="24"/>
                <w:szCs w:val="24"/>
              </w:rPr>
            </w:pPr>
            <w:r>
              <w:rPr>
                <w:sz w:val="24"/>
                <w:szCs w:val="24"/>
              </w:rPr>
              <w:t>$15,470.40</w:t>
            </w:r>
          </w:p>
        </w:tc>
        <w:tc>
          <w:tcPr>
            <w:tcW w:w="1800" w:type="dxa"/>
          </w:tcPr>
          <w:p w:rsidR="0057666C" w:rsidRPr="00BD0FA7" w:rsidP="00BB016F" w14:paraId="4D2F78B5" w14:textId="04714C27">
            <w:pPr>
              <w:rPr>
                <w:sz w:val="24"/>
                <w:szCs w:val="24"/>
              </w:rPr>
            </w:pPr>
            <w:r>
              <w:rPr>
                <w:sz w:val="24"/>
                <w:szCs w:val="24"/>
              </w:rPr>
              <w:t>$371,289.60</w:t>
            </w:r>
          </w:p>
        </w:tc>
      </w:tr>
    </w:tbl>
    <w:p w:rsidR="0057666C" w:rsidP="0057666C" w14:paraId="1861E487" w14:textId="77777777"/>
    <w:p w:rsidR="003109E2" w14:paraId="796E2599" w14:textId="77777777"/>
    <w:sectPr w:rsidSect="0057666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D4E98" w:rsidP="0057666C" w14:paraId="69320B30" w14:textId="77777777">
      <w:r>
        <w:separator/>
      </w:r>
    </w:p>
  </w:footnote>
  <w:footnote w:type="continuationSeparator" w:id="1">
    <w:p w:rsidR="004D4E98" w:rsidP="0057666C" w14:paraId="30673289" w14:textId="77777777">
      <w:r>
        <w:continuationSeparator/>
      </w:r>
    </w:p>
  </w:footnote>
  <w:footnote w:id="2">
    <w:p w:rsidR="00357630" w:rsidP="00357630" w14:paraId="61172CA7" w14:textId="77777777">
      <w:pPr>
        <w:pStyle w:val="FootnoteText"/>
      </w:pPr>
      <w:r>
        <w:rPr>
          <w:rStyle w:val="FootnoteReference"/>
        </w:rPr>
        <w:footnoteRef/>
      </w:r>
      <w:r>
        <w:t xml:space="preserve"> Anonymous Commenter Letter.</w:t>
      </w:r>
    </w:p>
  </w:footnote>
  <w:footnote w:id="3">
    <w:p w:rsidR="0057666C" w:rsidRPr="00C70EF9" w:rsidP="0057666C" w14:paraId="7E88CD01" w14:textId="168FBC5A">
      <w:pPr>
        <w:pStyle w:val="FootnoteText"/>
      </w:pPr>
      <w:r>
        <w:rPr>
          <w:rStyle w:val="FootnoteReference"/>
        </w:rPr>
        <w:footnoteRef/>
      </w:r>
      <w:r>
        <w:t xml:space="preserve"> This figure is based on the mean annual salary of an employee within the CT-14 pay band, </w:t>
      </w:r>
      <w:r w:rsidR="006E4693">
        <w:t>based on the CFTC 2026 Pay Table (with adjusted locality pay)</w:t>
      </w:r>
      <w:r w:rsidR="00812DC4">
        <w:t>.  This figure does not include employee benefits.</w:t>
      </w:r>
      <w:r>
        <w:t xml:space="preserve">  </w:t>
      </w:r>
      <w:r>
        <w:rPr>
          <w:i/>
        </w:rPr>
        <w:t>See</w:t>
      </w:r>
      <w:r>
        <w:t xml:space="preserve"> CFTC </w:t>
      </w:r>
      <w:r w:rsidR="00ED669D">
        <w:t xml:space="preserve">2026 </w:t>
      </w:r>
      <w:r>
        <w:t xml:space="preserve">Pay Table (as of Jan. </w:t>
      </w:r>
      <w:r w:rsidR="00ED669D">
        <w:t>2026</w:t>
      </w:r>
      <w:r>
        <w:t xml:space="preserve">), Jan. </w:t>
      </w:r>
      <w:r w:rsidR="001E78A7">
        <w:t>11</w:t>
      </w:r>
      <w:r>
        <w:t xml:space="preserve">, </w:t>
      </w:r>
      <w:r w:rsidR="00ED669D">
        <w:t>2026</w:t>
      </w:r>
      <w:r>
        <w:t>, available at</w:t>
      </w:r>
      <w:r w:rsidR="005D04F2">
        <w:t xml:space="preserve"> </w:t>
      </w:r>
      <w:r w:rsidRPr="007F1C8F" w:rsidR="007F1C8F">
        <w:rPr>
          <w:i/>
        </w:rPr>
        <w:t>https://www.cftc.gov/media/13086/CFTC2026paytables/download</w:t>
      </w:r>
      <w:r>
        <w:t>.</w:t>
      </w:r>
    </w:p>
  </w:footnote>
  <w:footnote w:id="4">
    <w:p w:rsidR="0057666C" w:rsidRPr="005D04F2" w:rsidP="0057666C" w14:paraId="612DA7E2" w14:textId="4405EFEC">
      <w:pPr>
        <w:pStyle w:val="CommentText"/>
        <w:rPr>
          <w:i/>
        </w:rPr>
      </w:pPr>
      <w:r>
        <w:rPr>
          <w:rStyle w:val="FootnoteReference"/>
        </w:rPr>
        <w:footnoteRef/>
      </w:r>
      <w:r>
        <w:t xml:space="preserve"> This figure is derived from a blended average hourly wage based on U.S. Bureau of Labor Statistics (BLS) occupation categories for lawyers (occupation code 23-1011) and financial managers (occupation code 11-3031) employed in the Securities, Commodity Contracts, and Other Financial Investments and Related Activities field.  </w:t>
      </w:r>
      <w:r w:rsidRPr="000776B8">
        <w:rPr>
          <w:i/>
        </w:rPr>
        <w:t>See</w:t>
      </w:r>
      <w:r>
        <w:t xml:space="preserve"> BLS, May </w:t>
      </w:r>
      <w:r w:rsidR="00B831A6">
        <w:t xml:space="preserve">2025 </w:t>
      </w:r>
      <w:r>
        <w:t xml:space="preserve">National Industry-Specific Occupational Employment and Wage Estimates </w:t>
      </w:r>
      <w:r w:rsidRPr="00BD0FA7">
        <w:t xml:space="preserve">NAICS 523000 - Securities, Commodity Contracts, and Other Financial Investments and Related Activities, available at </w:t>
      </w:r>
      <w:r w:rsidRPr="009652DC" w:rsidR="006D5408">
        <w:rPr>
          <w:i/>
          <w:iCs/>
        </w:rPr>
        <w:t>https://data.bls.gov/oes/#/home</w:t>
      </w:r>
      <w:r w:rsidR="00C24C76">
        <w:t>.</w:t>
      </w:r>
      <w:r w:rsidR="00B831A6">
        <w:t xml:space="preserve"> </w:t>
      </w:r>
      <w:r w:rsidRPr="00BD0FA7">
        <w:t xml:space="preserve">Specifically, this figure is derived from the average annual mean wage of both categories; divided by 1,800 work hours in a year to account for sick leave and vacations; multiplied by 2.5 to account for retirement, health, and other benefits, as well as for office space, computer equipment support, and human resources support; and further multiplied by </w:t>
      </w:r>
      <w:r w:rsidR="006419CB">
        <w:t>1.0444354</w:t>
      </w:r>
      <w:r w:rsidRPr="00BD0FA7">
        <w:t xml:space="preserve"> to account for the </w:t>
      </w:r>
      <w:r w:rsidR="00411EAF">
        <w:t>4</w:t>
      </w:r>
      <w:r w:rsidR="00050EB9">
        <w:t>.4435</w:t>
      </w:r>
      <w:r w:rsidRPr="00BD0FA7">
        <w:t xml:space="preserve">% change in the Consumer Price Index for Urban Wage-Earners and Clerical Workers between May </w:t>
      </w:r>
      <w:r w:rsidR="00E4618A">
        <w:t>2025</w:t>
      </w:r>
      <w:r w:rsidRPr="00BD0FA7" w:rsidR="00E4618A">
        <w:t xml:space="preserve"> </w:t>
      </w:r>
      <w:r w:rsidRPr="00BD0FA7">
        <w:t xml:space="preserve">and </w:t>
      </w:r>
      <w:r>
        <w:t>May</w:t>
      </w:r>
      <w:r w:rsidRPr="00BD0FA7">
        <w:t xml:space="preserve"> </w:t>
      </w:r>
      <w:r w:rsidR="00E4618A">
        <w:t>2026</w:t>
      </w:r>
      <w:r w:rsidRPr="00BD0FA7" w:rsidR="00E4618A">
        <w:t xml:space="preserve"> </w:t>
      </w:r>
      <w:r w:rsidRPr="00BD0FA7">
        <w:t>(</w:t>
      </w:r>
      <w:r w:rsidR="00B07C1F">
        <w:t>314.839</w:t>
      </w:r>
      <w:r w:rsidRPr="00BD0FA7">
        <w:t xml:space="preserve"> to </w:t>
      </w:r>
      <w:r w:rsidR="00B07C1F">
        <w:t>328.829</w:t>
      </w:r>
      <w:r w:rsidRPr="00BD0FA7">
        <w:t>).  BLS, CPI for Urban Wage Earners and Clerical Workers (CPI-W), U.S. City Average, All Items – CWUR0000SA0, available at</w:t>
      </w:r>
      <w:r w:rsidR="005D04F2">
        <w:t xml:space="preserve"> </w:t>
      </w:r>
      <w:r w:rsidRPr="00B80BF6" w:rsidR="00B80BF6">
        <w:rPr>
          <w:i/>
        </w:rPr>
        <w:t>https://data.bls.gov/timeseries/CWUR0000SA0</w:t>
      </w:r>
      <w:r w:rsidRPr="00BD0FA7">
        <w:t xml:space="preserve">.  Together, these modifications yield an hourly rate of </w:t>
      </w:r>
      <w:r w:rsidR="00774F01">
        <w:t>$386.76</w:t>
      </w:r>
      <w:r w:rsidRPr="00BD0FA7">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66C"/>
    <w:rsid w:val="00005461"/>
    <w:rsid w:val="000338E1"/>
    <w:rsid w:val="00034FDD"/>
    <w:rsid w:val="00050EB9"/>
    <w:rsid w:val="00065027"/>
    <w:rsid w:val="000776B8"/>
    <w:rsid w:val="000856CB"/>
    <w:rsid w:val="00087867"/>
    <w:rsid w:val="000A6498"/>
    <w:rsid w:val="000D11A8"/>
    <w:rsid w:val="000E4A15"/>
    <w:rsid w:val="00122E0E"/>
    <w:rsid w:val="00142701"/>
    <w:rsid w:val="00185E58"/>
    <w:rsid w:val="00187F0B"/>
    <w:rsid w:val="00193D9E"/>
    <w:rsid w:val="001E78A7"/>
    <w:rsid w:val="00223E29"/>
    <w:rsid w:val="00274E22"/>
    <w:rsid w:val="00297B0F"/>
    <w:rsid w:val="002B344E"/>
    <w:rsid w:val="002E5880"/>
    <w:rsid w:val="003109E2"/>
    <w:rsid w:val="0031795A"/>
    <w:rsid w:val="00323E30"/>
    <w:rsid w:val="00357630"/>
    <w:rsid w:val="003649B6"/>
    <w:rsid w:val="0037774A"/>
    <w:rsid w:val="00384538"/>
    <w:rsid w:val="00394573"/>
    <w:rsid w:val="003B2AD2"/>
    <w:rsid w:val="003C4081"/>
    <w:rsid w:val="003D13AE"/>
    <w:rsid w:val="003F2931"/>
    <w:rsid w:val="003F3E89"/>
    <w:rsid w:val="00407EEC"/>
    <w:rsid w:val="00411749"/>
    <w:rsid w:val="00411EAF"/>
    <w:rsid w:val="00412C80"/>
    <w:rsid w:val="00415C2E"/>
    <w:rsid w:val="00431B0D"/>
    <w:rsid w:val="0045696C"/>
    <w:rsid w:val="004809F0"/>
    <w:rsid w:val="004B2D19"/>
    <w:rsid w:val="004B3AAC"/>
    <w:rsid w:val="004D4E98"/>
    <w:rsid w:val="004E2ACA"/>
    <w:rsid w:val="004E55D9"/>
    <w:rsid w:val="004F399F"/>
    <w:rsid w:val="00504BB6"/>
    <w:rsid w:val="00535C87"/>
    <w:rsid w:val="00557FB9"/>
    <w:rsid w:val="00560FF1"/>
    <w:rsid w:val="00562063"/>
    <w:rsid w:val="00566476"/>
    <w:rsid w:val="0057666C"/>
    <w:rsid w:val="005D04F2"/>
    <w:rsid w:val="005D0F33"/>
    <w:rsid w:val="005E3301"/>
    <w:rsid w:val="005F33D5"/>
    <w:rsid w:val="005F4D77"/>
    <w:rsid w:val="00611E8E"/>
    <w:rsid w:val="0061203C"/>
    <w:rsid w:val="006419CB"/>
    <w:rsid w:val="006459E8"/>
    <w:rsid w:val="00651A3B"/>
    <w:rsid w:val="00656D1F"/>
    <w:rsid w:val="00666072"/>
    <w:rsid w:val="00691CDF"/>
    <w:rsid w:val="006A112C"/>
    <w:rsid w:val="006C0134"/>
    <w:rsid w:val="006D0F4D"/>
    <w:rsid w:val="006D5408"/>
    <w:rsid w:val="006D7637"/>
    <w:rsid w:val="006E0A29"/>
    <w:rsid w:val="006E3F6E"/>
    <w:rsid w:val="006E4693"/>
    <w:rsid w:val="007657CC"/>
    <w:rsid w:val="007709D4"/>
    <w:rsid w:val="00774F01"/>
    <w:rsid w:val="00783DF3"/>
    <w:rsid w:val="00791235"/>
    <w:rsid w:val="007974E9"/>
    <w:rsid w:val="007A5D6B"/>
    <w:rsid w:val="007C1232"/>
    <w:rsid w:val="007F1C8F"/>
    <w:rsid w:val="00812DC4"/>
    <w:rsid w:val="008340B9"/>
    <w:rsid w:val="00843F6F"/>
    <w:rsid w:val="00845162"/>
    <w:rsid w:val="00856F9B"/>
    <w:rsid w:val="008B5BBC"/>
    <w:rsid w:val="008B6016"/>
    <w:rsid w:val="008E5E43"/>
    <w:rsid w:val="00920280"/>
    <w:rsid w:val="0092193E"/>
    <w:rsid w:val="00937C6F"/>
    <w:rsid w:val="009501DF"/>
    <w:rsid w:val="00950CE7"/>
    <w:rsid w:val="00952FC6"/>
    <w:rsid w:val="0095346F"/>
    <w:rsid w:val="009652DC"/>
    <w:rsid w:val="00A33736"/>
    <w:rsid w:val="00A3480D"/>
    <w:rsid w:val="00A6447B"/>
    <w:rsid w:val="00A718F0"/>
    <w:rsid w:val="00A81F43"/>
    <w:rsid w:val="00AE525F"/>
    <w:rsid w:val="00B05BBB"/>
    <w:rsid w:val="00B07C1F"/>
    <w:rsid w:val="00B35608"/>
    <w:rsid w:val="00B56E6D"/>
    <w:rsid w:val="00B775B0"/>
    <w:rsid w:val="00B80BF6"/>
    <w:rsid w:val="00B831A6"/>
    <w:rsid w:val="00B86715"/>
    <w:rsid w:val="00BA7D15"/>
    <w:rsid w:val="00BB016F"/>
    <w:rsid w:val="00BD0FA7"/>
    <w:rsid w:val="00C15D34"/>
    <w:rsid w:val="00C24C76"/>
    <w:rsid w:val="00C40BDB"/>
    <w:rsid w:val="00C70EF9"/>
    <w:rsid w:val="00C85D98"/>
    <w:rsid w:val="00C96C65"/>
    <w:rsid w:val="00CC0CA5"/>
    <w:rsid w:val="00CC5C7A"/>
    <w:rsid w:val="00CF1FA9"/>
    <w:rsid w:val="00D16BA2"/>
    <w:rsid w:val="00D704EA"/>
    <w:rsid w:val="00D77343"/>
    <w:rsid w:val="00D773A7"/>
    <w:rsid w:val="00D818ED"/>
    <w:rsid w:val="00D8520E"/>
    <w:rsid w:val="00D92B73"/>
    <w:rsid w:val="00D92C7E"/>
    <w:rsid w:val="00DA0C0F"/>
    <w:rsid w:val="00DB5F6D"/>
    <w:rsid w:val="00DC0B1E"/>
    <w:rsid w:val="00E13563"/>
    <w:rsid w:val="00E17257"/>
    <w:rsid w:val="00E4062C"/>
    <w:rsid w:val="00E4618A"/>
    <w:rsid w:val="00E54750"/>
    <w:rsid w:val="00E56BA2"/>
    <w:rsid w:val="00E61873"/>
    <w:rsid w:val="00E7537E"/>
    <w:rsid w:val="00E917FE"/>
    <w:rsid w:val="00E95BC2"/>
    <w:rsid w:val="00ED3736"/>
    <w:rsid w:val="00ED669D"/>
    <w:rsid w:val="00EE1989"/>
    <w:rsid w:val="00EF0752"/>
    <w:rsid w:val="00F00295"/>
    <w:rsid w:val="00F24E80"/>
    <w:rsid w:val="00F658F1"/>
    <w:rsid w:val="00F710D0"/>
    <w:rsid w:val="00F87A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CE5A44"/>
  <w15:chartTrackingRefBased/>
  <w15:docId w15:val="{C882B82C-4B50-4291-8E85-0B98D718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666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76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6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6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6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6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6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6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6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6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6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66C"/>
    <w:rPr>
      <w:rFonts w:eastAsiaTheme="majorEastAsia" w:cstheme="majorBidi"/>
      <w:color w:val="272727" w:themeColor="text1" w:themeTint="D8"/>
    </w:rPr>
  </w:style>
  <w:style w:type="paragraph" w:styleId="Title">
    <w:name w:val="Title"/>
    <w:basedOn w:val="Normal"/>
    <w:next w:val="Normal"/>
    <w:link w:val="TitleChar"/>
    <w:uiPriority w:val="10"/>
    <w:qFormat/>
    <w:rsid w:val="005766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66C"/>
    <w:pPr>
      <w:spacing w:before="160"/>
      <w:jc w:val="center"/>
    </w:pPr>
    <w:rPr>
      <w:i/>
      <w:iCs/>
      <w:color w:val="404040" w:themeColor="text1" w:themeTint="BF"/>
    </w:rPr>
  </w:style>
  <w:style w:type="character" w:customStyle="1" w:styleId="QuoteChar">
    <w:name w:val="Quote Char"/>
    <w:basedOn w:val="DefaultParagraphFont"/>
    <w:link w:val="Quote"/>
    <w:uiPriority w:val="29"/>
    <w:rsid w:val="0057666C"/>
    <w:rPr>
      <w:i/>
      <w:iCs/>
      <w:color w:val="404040" w:themeColor="text1" w:themeTint="BF"/>
    </w:rPr>
  </w:style>
  <w:style w:type="paragraph" w:styleId="ListParagraph">
    <w:name w:val="List Paragraph"/>
    <w:basedOn w:val="Normal"/>
    <w:uiPriority w:val="34"/>
    <w:qFormat/>
    <w:rsid w:val="0057666C"/>
    <w:pPr>
      <w:ind w:left="720"/>
      <w:contextualSpacing/>
    </w:pPr>
  </w:style>
  <w:style w:type="character" w:styleId="IntenseEmphasis">
    <w:name w:val="Intense Emphasis"/>
    <w:basedOn w:val="DefaultParagraphFont"/>
    <w:uiPriority w:val="21"/>
    <w:qFormat/>
    <w:rsid w:val="0057666C"/>
    <w:rPr>
      <w:i/>
      <w:iCs/>
      <w:color w:val="0F4761" w:themeColor="accent1" w:themeShade="BF"/>
    </w:rPr>
  </w:style>
  <w:style w:type="paragraph" w:styleId="IntenseQuote">
    <w:name w:val="Intense Quote"/>
    <w:basedOn w:val="Normal"/>
    <w:next w:val="Normal"/>
    <w:link w:val="IntenseQuoteChar"/>
    <w:uiPriority w:val="30"/>
    <w:qFormat/>
    <w:rsid w:val="00576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66C"/>
    <w:rPr>
      <w:i/>
      <w:iCs/>
      <w:color w:val="0F4761" w:themeColor="accent1" w:themeShade="BF"/>
    </w:rPr>
  </w:style>
  <w:style w:type="character" w:styleId="IntenseReference">
    <w:name w:val="Intense Reference"/>
    <w:basedOn w:val="DefaultParagraphFont"/>
    <w:uiPriority w:val="32"/>
    <w:qFormat/>
    <w:rsid w:val="0057666C"/>
    <w:rPr>
      <w:b/>
      <w:bCs/>
      <w:smallCaps/>
      <w:color w:val="0F4761" w:themeColor="accent1" w:themeShade="BF"/>
      <w:spacing w:val="5"/>
    </w:rPr>
  </w:style>
  <w:style w:type="paragraph" w:styleId="CommentText">
    <w:name w:val="annotation text"/>
    <w:basedOn w:val="Normal"/>
    <w:link w:val="CommentTextChar"/>
    <w:uiPriority w:val="99"/>
    <w:unhideWhenUsed/>
    <w:rsid w:val="0057666C"/>
  </w:style>
  <w:style w:type="character" w:customStyle="1" w:styleId="CommentTextChar">
    <w:name w:val="Comment Text Char"/>
    <w:basedOn w:val="DefaultParagraphFont"/>
    <w:link w:val="CommentText"/>
    <w:uiPriority w:val="99"/>
    <w:rsid w:val="0057666C"/>
    <w:rPr>
      <w:rFonts w:ascii="Times New Roman" w:eastAsia="Times New Roman" w:hAnsi="Times New Roman" w:cs="Times New Roman"/>
      <w:kern w:val="0"/>
      <w:sz w:val="20"/>
      <w:szCs w:val="20"/>
      <w14:ligatures w14:val="none"/>
    </w:rPr>
  </w:style>
  <w:style w:type="paragraph" w:styleId="FootnoteText">
    <w:name w:val="footnote text"/>
    <w:basedOn w:val="Normal"/>
    <w:link w:val="FootnoteTextChar"/>
    <w:uiPriority w:val="99"/>
    <w:unhideWhenUsed/>
    <w:rsid w:val="0057666C"/>
  </w:style>
  <w:style w:type="character" w:customStyle="1" w:styleId="FootnoteTextChar">
    <w:name w:val="Footnote Text Char"/>
    <w:basedOn w:val="DefaultParagraphFont"/>
    <w:link w:val="FootnoteText"/>
    <w:uiPriority w:val="99"/>
    <w:rsid w:val="005766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57666C"/>
    <w:rPr>
      <w:vertAlign w:val="superscript"/>
    </w:rPr>
  </w:style>
  <w:style w:type="paragraph" w:styleId="Revision">
    <w:name w:val="Revision"/>
    <w:hidden/>
    <w:uiPriority w:val="99"/>
    <w:semiHidden/>
    <w:rsid w:val="0057666C"/>
    <w:pPr>
      <w:spacing w:after="0" w:line="240" w:lineRule="auto"/>
    </w:pPr>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952FC6"/>
    <w:rPr>
      <w:color w:val="467886" w:themeColor="hyperlink"/>
      <w:u w:val="single"/>
    </w:rPr>
  </w:style>
  <w:style w:type="character" w:styleId="UnresolvedMention">
    <w:name w:val="Unresolved Mention"/>
    <w:basedOn w:val="DefaultParagraphFont"/>
    <w:uiPriority w:val="99"/>
    <w:semiHidden/>
    <w:unhideWhenUsed/>
    <w:rsid w:val="00952FC6"/>
    <w:rPr>
      <w:color w:val="605E5C"/>
      <w:shd w:val="clear" w:color="auto" w:fill="E1DFDD"/>
    </w:rPr>
  </w:style>
  <w:style w:type="character" w:styleId="FollowedHyperlink">
    <w:name w:val="FollowedHyperlink"/>
    <w:basedOn w:val="DefaultParagraphFont"/>
    <w:uiPriority w:val="99"/>
    <w:semiHidden/>
    <w:unhideWhenUsed/>
    <w:rsid w:val="00C24C76"/>
    <w:rPr>
      <w:color w:val="96607D" w:themeColor="followedHyperlink"/>
      <w:u w:val="single"/>
    </w:rPr>
  </w:style>
  <w:style w:type="paragraph" w:styleId="HTMLPreformatted">
    <w:name w:val="HTML Preformatted"/>
    <w:basedOn w:val="Normal"/>
    <w:link w:val="HTMLPreformattedChar"/>
    <w:uiPriority w:val="99"/>
    <w:semiHidden/>
    <w:unhideWhenUsed/>
    <w:rsid w:val="00B80BF6"/>
    <w:rPr>
      <w:rFonts w:ascii="Consolas" w:hAnsi="Consolas"/>
    </w:rPr>
  </w:style>
  <w:style w:type="character" w:customStyle="1" w:styleId="HTMLPreformattedChar">
    <w:name w:val="HTML Preformatted Char"/>
    <w:basedOn w:val="DefaultParagraphFont"/>
    <w:link w:val="HTMLPreformatted"/>
    <w:uiPriority w:val="99"/>
    <w:semiHidden/>
    <w:rsid w:val="00B80BF6"/>
    <w:rPr>
      <w:rFonts w:ascii="Consolas" w:eastAsia="Times New Roman" w:hAnsi="Consolas" w:cs="Times New Roman"/>
      <w:kern w:val="0"/>
      <w:sz w:val="20"/>
      <w:szCs w:val="20"/>
      <w14:ligatures w14:val="none"/>
    </w:rPr>
  </w:style>
  <w:style w:type="character" w:styleId="CommentReference">
    <w:name w:val="annotation reference"/>
    <w:basedOn w:val="DefaultParagraphFont"/>
    <w:uiPriority w:val="99"/>
    <w:semiHidden/>
    <w:unhideWhenUsed/>
    <w:rsid w:val="00566476"/>
    <w:rPr>
      <w:sz w:val="16"/>
      <w:szCs w:val="16"/>
    </w:rPr>
  </w:style>
  <w:style w:type="paragraph" w:styleId="CommentSubject">
    <w:name w:val="annotation subject"/>
    <w:basedOn w:val="CommentText"/>
    <w:next w:val="CommentText"/>
    <w:link w:val="CommentSubjectChar"/>
    <w:uiPriority w:val="99"/>
    <w:semiHidden/>
    <w:unhideWhenUsed/>
    <w:rsid w:val="00566476"/>
    <w:rPr>
      <w:b/>
      <w:bCs/>
    </w:rPr>
  </w:style>
  <w:style w:type="character" w:customStyle="1" w:styleId="CommentSubjectChar">
    <w:name w:val="Comment Subject Char"/>
    <w:basedOn w:val="CommentTextChar"/>
    <w:link w:val="CommentSubject"/>
    <w:uiPriority w:val="99"/>
    <w:semiHidden/>
    <w:rsid w:val="00566476"/>
    <w:rPr>
      <w:rFonts w:ascii="Times New Roman" w:eastAsia="Times New Roman" w:hAnsi="Times New Roman" w:cs="Times New Roman"/>
      <w:b/>
      <w:bCs/>
      <w:kern w:val="0"/>
      <w:sz w:val="20"/>
      <w:szCs w:val="20"/>
      <w14:ligatures w14:val="none"/>
    </w:rPr>
  </w:style>
  <w:style w:type="paragraph" w:styleId="BodyTextIndent">
    <w:name w:val="Body Text Indent"/>
    <w:basedOn w:val="Normal"/>
    <w:link w:val="BodyTextIndentChar"/>
    <w:unhideWhenUsed/>
    <w:rsid w:val="00185E58"/>
    <w:pPr>
      <w:tabs>
        <w:tab w:val="left" w:pos="360"/>
      </w:tabs>
      <w:ind w:left="360"/>
    </w:pPr>
    <w:rPr>
      <w:sz w:val="18"/>
      <w:szCs w:val="24"/>
    </w:rPr>
  </w:style>
  <w:style w:type="character" w:customStyle="1" w:styleId="BodyTextIndentChar">
    <w:name w:val="Body Text Indent Char"/>
    <w:basedOn w:val="DefaultParagraphFont"/>
    <w:link w:val="BodyTextIndent"/>
    <w:rsid w:val="00185E58"/>
    <w:rPr>
      <w:rFonts w:ascii="Times New Roman" w:eastAsia="Times New Roman" w:hAnsi="Times New Roman" w:cs="Times New Roman"/>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43668-4F8C-4810-98F1-3BE9BF4AA291}">
  <ds:schemaRefs>
    <ds:schemaRef ds:uri="http://schemas.openxmlformats.org/officeDocument/2006/bibliography"/>
  </ds:schemaRefs>
</ds:datastoreItem>
</file>

<file path=docMetadata/LabelInfo.xml><?xml version="1.0" encoding="utf-8"?>
<clbl:labelList xmlns:clbl="http://schemas.microsoft.com/office/2020/mipLabelMetadata">
  <clbl:label id="{ff902a63-4837-4fa7-905b-52887c7f3cff}" enabled="0" method="" siteId="{ff902a63-4837-4fa7-905b-52887c7f3cff}" removed="1"/>
</clbl:labelList>
</file>

<file path=docProps/app.xml><?xml version="1.0" encoding="utf-8"?>
<Properties xmlns="http://schemas.openxmlformats.org/officeDocument/2006/extended-properties" xmlns:vt="http://schemas.openxmlformats.org/officeDocument/2006/docPropsVTypes">
  <Template>Normal</Template>
  <TotalTime>8</TotalTime>
  <Pages>8</Pages>
  <Words>2592</Words>
  <Characters>14153</Characters>
  <Application>Microsoft Office Word</Application>
  <DocSecurity>0</DocSecurity>
  <Lines>277</Lines>
  <Paragraphs>111</Paragraphs>
  <ScaleCrop>false</ScaleCrop>
  <HeadingPairs>
    <vt:vector size="2" baseType="variant">
      <vt:variant>
        <vt:lpstr>Title</vt:lpstr>
      </vt:variant>
      <vt:variant>
        <vt:i4>1</vt:i4>
      </vt:variant>
    </vt:vector>
  </HeadingPairs>
  <TitlesOfParts>
    <vt:vector size="1" baseType="lpstr">
      <vt:lpstr/>
    </vt:vector>
  </TitlesOfParts>
  <Company>CFTC</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Prewitt, Matthew</dc:creator>
  <cp:lastModifiedBy>Wright, Kenny</cp:lastModifiedBy>
  <cp:revision>5</cp:revision>
  <cp:lastPrinted>2026-06-24T11:23:00Z</cp:lastPrinted>
  <dcterms:created xsi:type="dcterms:W3CDTF">2026-10-22T13:13:00Z</dcterms:created>
  <dcterms:modified xsi:type="dcterms:W3CDTF">2026-10-22T13:21:00Z</dcterms:modified>
</cp:coreProperties>
</file>