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6C63" w:rsidRPr="00FC41DF" w:rsidP="004A5959" w14:paraId="6B151052" w14:textId="77777777">
      <w:pPr>
        <w:tabs>
          <w:tab w:val="center" w:pos="4680"/>
        </w:tabs>
        <w:jc w:val="center"/>
        <w:rPr>
          <w:rFonts w:ascii="Times New Roman" w:hAnsi="Times New Roman"/>
          <w:b/>
        </w:rPr>
      </w:pPr>
      <w:r w:rsidRPr="00FC41DF">
        <w:rPr>
          <w:rFonts w:ascii="Calibri" w:hAnsi="Calibri" w:cs="Calibri"/>
          <w:b/>
          <w:color w:val="000000"/>
        </w:rPr>
        <w:t>S</w:t>
      </w:r>
      <w:r w:rsidRPr="00FC41DF">
        <w:rPr>
          <w:rFonts w:ascii="Times New Roman" w:hAnsi="Times New Roman"/>
          <w:b/>
        </w:rPr>
        <w:t>UPPORTING STATEMENT</w:t>
      </w:r>
    </w:p>
    <w:p w:rsidR="0071052F" w:rsidRPr="0071052F" w:rsidP="00A47463" w14:paraId="2220041D" w14:textId="77777777">
      <w:pPr>
        <w:ind w:left="2250" w:right="1530"/>
        <w:jc w:val="center"/>
        <w:rPr>
          <w:rFonts w:ascii="Times New Roman" w:hAnsi="Times New Roman"/>
          <w:b/>
          <w:bCs/>
        </w:rPr>
      </w:pPr>
      <w:r>
        <w:rPr>
          <w:rFonts w:ascii="Times New Roman" w:hAnsi="Times New Roman"/>
          <w:b/>
          <w:bCs/>
        </w:rPr>
        <w:t>FOREIGN BANKING AND INVESTMENT BY INSURED STATE NONMEMBER BANKS</w:t>
      </w:r>
    </w:p>
    <w:p w:rsidR="004A5959" w:rsidRPr="004A5959" w:rsidP="0071052F" w14:paraId="414A9CC9" w14:textId="77777777">
      <w:pPr>
        <w:jc w:val="center"/>
        <w:rPr>
          <w:rFonts w:ascii="Times New Roman" w:hAnsi="Times New Roman"/>
          <w:b/>
        </w:rPr>
      </w:pPr>
      <w:r w:rsidRPr="0071052F">
        <w:rPr>
          <w:rFonts w:ascii="Times New Roman" w:hAnsi="Times New Roman"/>
          <w:b/>
          <w:bCs/>
        </w:rPr>
        <w:t>(OMB No. 3064-0</w:t>
      </w:r>
      <w:r w:rsidR="00C864DB">
        <w:rPr>
          <w:rFonts w:ascii="Times New Roman" w:hAnsi="Times New Roman"/>
          <w:b/>
          <w:bCs/>
        </w:rPr>
        <w:t>061</w:t>
      </w:r>
      <w:r>
        <w:rPr>
          <w:rFonts w:ascii="Times New Roman" w:hAnsi="Times New Roman"/>
          <w:b/>
          <w:bCs/>
        </w:rPr>
        <w:t>)</w:t>
      </w:r>
    </w:p>
    <w:p w:rsidR="007B6C63" w14:paraId="666D9319" w14:textId="77777777">
      <w:pPr>
        <w:rPr>
          <w:rFonts w:ascii="Times New Roman" w:hAnsi="Times New Roman"/>
        </w:rPr>
      </w:pPr>
    </w:p>
    <w:p w:rsidR="007B6C63" w:rsidRPr="004C5B45" w14:paraId="14B11C3F" w14:textId="77777777">
      <w:pPr>
        <w:rPr>
          <w:rFonts w:ascii="Times New Roman" w:hAnsi="Times New Roman"/>
          <w:b/>
        </w:rPr>
      </w:pPr>
      <w:r w:rsidRPr="004C5B45">
        <w:rPr>
          <w:rFonts w:ascii="Times New Roman" w:hAnsi="Times New Roman"/>
          <w:b/>
        </w:rPr>
        <w:t>INTRODUCTION</w:t>
      </w:r>
    </w:p>
    <w:p w:rsidR="007B6C63" w14:paraId="69956185" w14:textId="77777777">
      <w:pPr>
        <w:rPr>
          <w:rFonts w:ascii="Times New Roman" w:hAnsi="Times New Roman"/>
        </w:rPr>
      </w:pPr>
    </w:p>
    <w:p w:rsidR="009F3C7D" w14:paraId="22CB13D8" w14:textId="77777777">
      <w:pPr>
        <w:rPr>
          <w:rFonts w:ascii="Times New Roman" w:hAnsi="Times New Roman"/>
        </w:rPr>
      </w:pPr>
      <w:r>
        <w:rPr>
          <w:rFonts w:ascii="Times New Roman" w:hAnsi="Times New Roman"/>
        </w:rPr>
        <w:t xml:space="preserve">The FDIC is requesting OMB </w:t>
      </w:r>
      <w:r w:rsidR="00D804A5">
        <w:rPr>
          <w:rFonts w:ascii="Times New Roman" w:hAnsi="Times New Roman"/>
        </w:rPr>
        <w:t>approval</w:t>
      </w:r>
      <w:r>
        <w:rPr>
          <w:rFonts w:ascii="Times New Roman" w:hAnsi="Times New Roman"/>
        </w:rPr>
        <w:t xml:space="preserve"> </w:t>
      </w:r>
      <w:r w:rsidR="00D804A5">
        <w:rPr>
          <w:rFonts w:ascii="Times New Roman" w:hAnsi="Times New Roman"/>
        </w:rPr>
        <w:t>of the three-year extension</w:t>
      </w:r>
      <w:r w:rsidR="00615BAD">
        <w:rPr>
          <w:rFonts w:ascii="Times New Roman" w:hAnsi="Times New Roman"/>
        </w:rPr>
        <w:t xml:space="preserve">, </w:t>
      </w:r>
      <w:r w:rsidR="00F040F7">
        <w:rPr>
          <w:rFonts w:ascii="Times New Roman" w:hAnsi="Times New Roman"/>
        </w:rPr>
        <w:t>without change</w:t>
      </w:r>
      <w:r w:rsidR="00615BAD">
        <w:rPr>
          <w:rFonts w:ascii="Times New Roman" w:hAnsi="Times New Roman"/>
        </w:rPr>
        <w:t>,</w:t>
      </w:r>
      <w:r w:rsidR="00D804A5">
        <w:rPr>
          <w:rFonts w:ascii="Times New Roman" w:hAnsi="Times New Roman"/>
        </w:rPr>
        <w:t xml:space="preserve"> of its</w:t>
      </w:r>
      <w:r>
        <w:rPr>
          <w:rFonts w:ascii="Times New Roman" w:hAnsi="Times New Roman"/>
        </w:rPr>
        <w:t xml:space="preserve"> collection of information </w:t>
      </w:r>
      <w:r w:rsidR="00D804A5">
        <w:rPr>
          <w:rFonts w:ascii="Times New Roman" w:hAnsi="Times New Roman"/>
        </w:rPr>
        <w:t xml:space="preserve">entitled </w:t>
      </w:r>
      <w:r w:rsidR="00F040F7">
        <w:rPr>
          <w:rFonts w:ascii="Times New Roman" w:hAnsi="Times New Roman"/>
        </w:rPr>
        <w:t>“</w:t>
      </w:r>
      <w:r>
        <w:rPr>
          <w:rFonts w:ascii="Times New Roman" w:hAnsi="Times New Roman"/>
        </w:rPr>
        <w:t>Summary of Deposits</w:t>
      </w:r>
      <w:r w:rsidR="00F040F7">
        <w:rPr>
          <w:rFonts w:ascii="Times New Roman" w:hAnsi="Times New Roman"/>
        </w:rPr>
        <w:t>” (OMB Control No. 3064-0</w:t>
      </w:r>
      <w:r>
        <w:rPr>
          <w:rFonts w:ascii="Times New Roman" w:hAnsi="Times New Roman"/>
        </w:rPr>
        <w:t>061</w:t>
      </w:r>
      <w:r w:rsidR="00F040F7">
        <w:rPr>
          <w:rFonts w:ascii="Times New Roman" w:hAnsi="Times New Roman"/>
        </w:rPr>
        <w:t>)</w:t>
      </w:r>
      <w:r>
        <w:rPr>
          <w:rFonts w:ascii="Times New Roman" w:hAnsi="Times New Roman"/>
        </w:rPr>
        <w:t>.</w:t>
      </w:r>
    </w:p>
    <w:p w:rsidR="007B6C63" w14:paraId="18CB33DA" w14:textId="038D3D26">
      <w:pPr>
        <w:rPr>
          <w:rFonts w:ascii="Times New Roman" w:hAnsi="Times New Roman"/>
        </w:rPr>
      </w:pPr>
      <w:r w:rsidRPr="00242596">
        <w:rPr>
          <w:rFonts w:ascii="Times New Roman" w:hAnsi="Times New Roman"/>
        </w:rPr>
        <w:t>The annual S</w:t>
      </w:r>
      <w:r>
        <w:rPr>
          <w:rFonts w:ascii="Times New Roman" w:hAnsi="Times New Roman"/>
        </w:rPr>
        <w:t>ummary of Deposits (SOD)</w:t>
      </w:r>
      <w:r w:rsidRPr="00242596">
        <w:rPr>
          <w:rFonts w:ascii="Times New Roman" w:hAnsi="Times New Roman"/>
        </w:rPr>
        <w:t xml:space="preserve"> survey is completed as of June 30 each year by </w:t>
      </w:r>
      <w:r>
        <w:rPr>
          <w:rFonts w:ascii="Times New Roman" w:hAnsi="Times New Roman"/>
        </w:rPr>
        <w:t xml:space="preserve">all </w:t>
      </w:r>
      <w:r w:rsidRPr="00242596">
        <w:rPr>
          <w:rFonts w:ascii="Times New Roman" w:hAnsi="Times New Roman"/>
        </w:rPr>
        <w:t xml:space="preserve">FDIC-insured </w:t>
      </w:r>
      <w:r>
        <w:rPr>
          <w:rFonts w:ascii="Times New Roman" w:hAnsi="Times New Roman"/>
        </w:rPr>
        <w:t>institutions that operate a main office and one or more branch locations</w:t>
      </w:r>
      <w:r w:rsidRPr="00242596">
        <w:rPr>
          <w:rFonts w:ascii="Times New Roman" w:hAnsi="Times New Roman"/>
        </w:rPr>
        <w:t xml:space="preserve">.  The SOD is a report on the amount of deposits for each authorized office of an insured bank with branches; banks </w:t>
      </w:r>
      <w:r>
        <w:rPr>
          <w:rFonts w:ascii="Times New Roman" w:hAnsi="Times New Roman"/>
        </w:rPr>
        <w:t xml:space="preserve">without branches </w:t>
      </w:r>
      <w:r w:rsidRPr="00242596">
        <w:rPr>
          <w:rFonts w:ascii="Times New Roman" w:hAnsi="Times New Roman"/>
        </w:rPr>
        <w:t>do not report.</w:t>
      </w:r>
      <w:r>
        <w:rPr>
          <w:rFonts w:ascii="Times New Roman" w:hAnsi="Times New Roman"/>
        </w:rPr>
        <w:t xml:space="preserve">  </w:t>
      </w:r>
      <w:r w:rsidRPr="00242596">
        <w:rPr>
          <w:rFonts w:ascii="Times New Roman" w:hAnsi="Times New Roman"/>
        </w:rPr>
        <w:t>All data collected on the SOD submission are available to the public.</w:t>
      </w:r>
      <w:r>
        <w:rPr>
          <w:rFonts w:ascii="Times New Roman" w:hAnsi="Times New Roman"/>
        </w:rPr>
        <w:t xml:space="preserve">  The survey data provides a basis for measuring the competitive impact of bank mergers and has additional use in research in banking. The data is collected electronically or on Form FDIC 8020/05 (7-95), SUMMARY OF DEPOSITS AS OF CLOSE OF BUSINESS JUNE 30.</w:t>
      </w:r>
      <w:r w:rsidRPr="001F4C55">
        <w:rPr>
          <w:rFonts w:ascii="Times New Roman" w:hAnsi="Times New Roman"/>
        </w:rPr>
        <w:t xml:space="preserve">  </w:t>
      </w:r>
      <w:r w:rsidR="00B06BE7">
        <w:rPr>
          <w:rFonts w:ascii="Times New Roman" w:hAnsi="Times New Roman"/>
          <w:spacing w:val="-3"/>
        </w:rPr>
        <w:t xml:space="preserve">There </w:t>
      </w:r>
      <w:r w:rsidR="00182279">
        <w:rPr>
          <w:rFonts w:ascii="Times New Roman" w:hAnsi="Times New Roman"/>
          <w:spacing w:val="-3"/>
        </w:rPr>
        <w:t xml:space="preserve">is no change in the method or substance of the </w:t>
      </w:r>
      <w:r>
        <w:rPr>
          <w:rFonts w:ascii="Times New Roman" w:hAnsi="Times New Roman"/>
          <w:spacing w:val="-3"/>
        </w:rPr>
        <w:t xml:space="preserve">information </w:t>
      </w:r>
      <w:r w:rsidR="00182279">
        <w:rPr>
          <w:rFonts w:ascii="Times New Roman" w:hAnsi="Times New Roman"/>
          <w:spacing w:val="-3"/>
        </w:rPr>
        <w:t>collection</w:t>
      </w:r>
      <w:r w:rsidR="00655078">
        <w:rPr>
          <w:rFonts w:ascii="Times New Roman" w:hAnsi="Times New Roman"/>
        </w:rPr>
        <w:t xml:space="preserve"> which currently expires o</w:t>
      </w:r>
      <w:r w:rsidR="00DA5092">
        <w:rPr>
          <w:rFonts w:ascii="Times New Roman" w:hAnsi="Times New Roman"/>
        </w:rPr>
        <w:t>n</w:t>
      </w:r>
      <w:r w:rsidR="00655078">
        <w:rPr>
          <w:rFonts w:ascii="Times New Roman" w:hAnsi="Times New Roman"/>
        </w:rPr>
        <w:t xml:space="preserve"> </w:t>
      </w:r>
      <w:r w:rsidR="005E5102">
        <w:rPr>
          <w:rFonts w:ascii="Times New Roman" w:hAnsi="Times New Roman"/>
        </w:rPr>
        <w:t>October 31, 2026</w:t>
      </w:r>
      <w:r w:rsidR="00FB759A">
        <w:rPr>
          <w:rFonts w:ascii="Times New Roman" w:hAnsi="Times New Roman"/>
        </w:rPr>
        <w:t>.</w:t>
      </w:r>
    </w:p>
    <w:p w:rsidR="007B6C63" w14:paraId="4690FD20" w14:textId="77777777">
      <w:pPr>
        <w:rPr>
          <w:rFonts w:ascii="Times New Roman" w:hAnsi="Times New Roman"/>
        </w:rPr>
      </w:pPr>
    </w:p>
    <w:p w:rsidR="007B6C63" w14:paraId="434B80AD" w14:textId="77777777">
      <w:pPr>
        <w:tabs>
          <w:tab w:val="left" w:pos="-1440"/>
        </w:tabs>
        <w:rPr>
          <w:rFonts w:ascii="Times New Roman" w:hAnsi="Times New Roman"/>
        </w:rPr>
      </w:pPr>
      <w:r>
        <w:rPr>
          <w:rFonts w:ascii="Times New Roman" w:hAnsi="Times New Roman"/>
        </w:rPr>
        <w:t>A.</w:t>
      </w:r>
      <w:r>
        <w:rPr>
          <w:rFonts w:ascii="Times New Roman" w:hAnsi="Times New Roman"/>
        </w:rPr>
        <w:tab/>
      </w:r>
      <w:r w:rsidRPr="00C864DB">
        <w:rPr>
          <w:rFonts w:ascii="Times New Roman" w:hAnsi="Times New Roman"/>
          <w:u w:val="single"/>
        </w:rPr>
        <w:t>JUSTIFICATION</w:t>
      </w:r>
    </w:p>
    <w:p w:rsidR="007B6C63" w14:paraId="429454B3" w14:textId="77777777">
      <w:pPr>
        <w:rPr>
          <w:rFonts w:ascii="Times New Roman" w:hAnsi="Times New Roman"/>
        </w:rPr>
      </w:pPr>
    </w:p>
    <w:p w:rsidR="00C864DB" w14:paraId="4F82276D" w14:textId="77777777">
      <w:pPr>
        <w:rPr>
          <w:rFonts w:ascii="Times New Roman" w:hAnsi="Times New Roman"/>
        </w:rPr>
      </w:pPr>
    </w:p>
    <w:p w:rsidR="007B6C63" w:rsidP="00A1019D" w14:paraId="4F2F569D" w14:textId="77777777">
      <w:pPr>
        <w:tabs>
          <w:tab w:val="left" w:pos="-1440"/>
        </w:tabs>
        <w:ind w:left="720" w:hanging="360"/>
        <w:rPr>
          <w:rFonts w:ascii="Times New Roman" w:hAnsi="Times New Roman"/>
        </w:rPr>
      </w:pPr>
      <w:r>
        <w:rPr>
          <w:rFonts w:ascii="Times New Roman" w:hAnsi="Times New Roman"/>
        </w:rPr>
        <w:t>1.</w:t>
      </w:r>
      <w:r>
        <w:rPr>
          <w:rFonts w:ascii="Times New Roman" w:hAnsi="Times New Roman"/>
        </w:rPr>
        <w:tab/>
      </w:r>
      <w:r w:rsidRPr="003514D6" w:rsidR="00386C94">
        <w:rPr>
          <w:rFonts w:ascii="Times New Roman" w:hAnsi="Times New Roman"/>
          <w:b/>
          <w:bCs/>
          <w:iCs/>
          <w:szCs w:val="24"/>
          <w:u w:val="single"/>
        </w:rPr>
        <w:t xml:space="preserve">Circumstances that make the collection </w:t>
      </w:r>
      <w:r w:rsidRPr="00A1019D" w:rsidR="00386C94">
        <w:rPr>
          <w:rFonts w:ascii="Times New Roman" w:hAnsi="Times New Roman"/>
          <w:b/>
          <w:bCs/>
          <w:iCs/>
          <w:u w:val="single"/>
        </w:rPr>
        <w:t>necessary</w:t>
      </w:r>
      <w:r w:rsidR="00386C94">
        <w:rPr>
          <w:rFonts w:ascii="Times New Roman" w:hAnsi="Times New Roman"/>
          <w:b/>
          <w:bCs/>
          <w:iCs/>
          <w:szCs w:val="24"/>
          <w:u w:val="single"/>
        </w:rPr>
        <w:t>:</w:t>
      </w:r>
    </w:p>
    <w:p w:rsidR="007B6C63" w14:paraId="661AB2F4" w14:textId="77777777">
      <w:pPr>
        <w:rPr>
          <w:rFonts w:ascii="Times New Roman" w:hAnsi="Times New Roman"/>
        </w:rPr>
      </w:pPr>
    </w:p>
    <w:p w:rsidR="00834179" w:rsidRPr="00834179" w:rsidP="00834179" w14:paraId="29502664" w14:textId="77777777">
      <w:pPr>
        <w:ind w:left="720"/>
        <w:rPr>
          <w:rFonts w:ascii="Times New Roman" w:hAnsi="Times New Roman"/>
          <w:szCs w:val="24"/>
        </w:rPr>
      </w:pPr>
      <w:r>
        <w:rPr>
          <w:rFonts w:ascii="Times New Roman" w:hAnsi="Times New Roman"/>
        </w:rPr>
        <w:t>There is constant and considerable consolidation within the banking and thrift industries, some of which involves very large banks with many branches.  This constant change in banking market structure makes it necessary for the federal bank regulatory agencies to be able to evaluate the effect of the change on bank competition and on the structure of the market itself.  Data on the amount of deposits held by each bank and branch office in the United States provides the banking agencies with the information necessary for delineating banking markets and for evaluating the effects on bank competition and market structure of proposed new banks openings or mergers.  The FDIC is authorized to collect this data under section 9 (Eighth) of the Federal Deposit Insurance Act (12 U.S.C. 1819) which gives the Corporation the power to require information and reports from banks to carry out its statutory responsibilities regarding bank supervision.  The survey has been conducted on a yearly basis since 1972.</w:t>
      </w:r>
    </w:p>
    <w:p w:rsidR="00834179" w:rsidRPr="00834179" w:rsidP="00834179" w14:paraId="02DD8573" w14:textId="77777777">
      <w:pPr>
        <w:ind w:left="720"/>
        <w:rPr>
          <w:rFonts w:ascii="Times New Roman" w:hAnsi="Times New Roman"/>
          <w:szCs w:val="24"/>
        </w:rPr>
      </w:pPr>
    </w:p>
    <w:p w:rsidR="007B6C63" w14:paraId="07554C52" w14:textId="77777777">
      <w:pPr>
        <w:rPr>
          <w:rFonts w:ascii="Times New Roman" w:hAnsi="Times New Roman"/>
        </w:rPr>
      </w:pPr>
    </w:p>
    <w:p w:rsidR="007B6C63" w:rsidP="00A1019D" w14:paraId="6E5D9A77" w14:textId="77777777">
      <w:pPr>
        <w:tabs>
          <w:tab w:val="left" w:pos="-1440"/>
        </w:tabs>
        <w:ind w:left="720" w:hanging="360"/>
        <w:rPr>
          <w:rFonts w:ascii="Times New Roman" w:hAnsi="Times New Roman"/>
        </w:rPr>
      </w:pPr>
      <w:r>
        <w:rPr>
          <w:rFonts w:ascii="Times New Roman" w:hAnsi="Times New Roman"/>
        </w:rPr>
        <w:t>2.</w:t>
      </w:r>
      <w:r>
        <w:rPr>
          <w:rFonts w:ascii="Times New Roman" w:hAnsi="Times New Roman"/>
        </w:rPr>
        <w:tab/>
      </w:r>
      <w:r w:rsidRPr="00FC41DF" w:rsidR="00386C94">
        <w:rPr>
          <w:rFonts w:ascii="Times New Roman" w:hAnsi="Times New Roman"/>
          <w:b/>
          <w:bCs/>
          <w:iCs/>
          <w:szCs w:val="24"/>
          <w:u w:val="single"/>
        </w:rPr>
        <w:t xml:space="preserve">Use of </w:t>
      </w:r>
      <w:r w:rsidRPr="00FC41DF" w:rsidR="00386C94">
        <w:rPr>
          <w:rFonts w:ascii="Times New Roman" w:hAnsi="Times New Roman"/>
          <w:b/>
          <w:u w:val="single"/>
        </w:rPr>
        <w:t>the</w:t>
      </w:r>
      <w:r w:rsidRPr="00FC41DF" w:rsidR="00386C94">
        <w:rPr>
          <w:rFonts w:ascii="Times New Roman" w:hAnsi="Times New Roman"/>
          <w:b/>
          <w:bCs/>
          <w:iCs/>
          <w:szCs w:val="24"/>
          <w:u w:val="single"/>
        </w:rPr>
        <w:t xml:space="preserve"> </w:t>
      </w:r>
      <w:r w:rsidRPr="00A1019D" w:rsidR="00386C94">
        <w:rPr>
          <w:rFonts w:ascii="Times New Roman" w:hAnsi="Times New Roman"/>
          <w:b/>
          <w:bCs/>
          <w:iCs/>
          <w:u w:val="single"/>
        </w:rPr>
        <w:t>information</w:t>
      </w:r>
      <w:r w:rsidR="00386C94">
        <w:rPr>
          <w:rFonts w:ascii="Times New Roman" w:hAnsi="Times New Roman"/>
          <w:b/>
          <w:bCs/>
          <w:iCs/>
          <w:szCs w:val="24"/>
          <w:u w:val="single"/>
        </w:rPr>
        <w:t>:</w:t>
      </w:r>
    </w:p>
    <w:p w:rsidR="007B6C63" w14:paraId="17FBAC4D" w14:textId="77777777">
      <w:pPr>
        <w:rPr>
          <w:rFonts w:ascii="Times New Roman" w:hAnsi="Times New Roman"/>
        </w:rPr>
      </w:pPr>
    </w:p>
    <w:p w:rsidR="005F2F35" w:rsidP="005F2F35" w14:paraId="2D0DD1E0" w14:textId="77777777">
      <w:pPr>
        <w:ind w:left="720"/>
        <w:rPr>
          <w:rFonts w:ascii="Times New Roman" w:hAnsi="Times New Roman"/>
        </w:rPr>
      </w:pPr>
      <w:r>
        <w:rPr>
          <w:rFonts w:ascii="Times New Roman" w:hAnsi="Times New Roman"/>
        </w:rPr>
        <w:t>The primary use of SOD data is to analyze the antitrust implications of proposed bank mergers and acquisitions and for market share analysis.  The major users include the federal banking agencies, the antitrust division of the Department of Justice and the proponents to proposed transactions.  In addition, the data is widely used by banks, consulting firms, law firms and others who are involved in various types of banking and thrift analysis.</w:t>
      </w:r>
    </w:p>
    <w:p w:rsidR="005F2F35" w:rsidP="005F2F35" w14:paraId="0639584B" w14:textId="77777777">
      <w:pPr>
        <w:tabs>
          <w:tab w:val="left" w:pos="576"/>
          <w:tab w:val="left" w:pos="1152"/>
        </w:tabs>
        <w:rPr>
          <w:rFonts w:ascii="Times New Roman" w:hAnsi="Times New Roman"/>
        </w:rPr>
      </w:pPr>
    </w:p>
    <w:p w:rsidR="007B6C63" w:rsidP="005F2F35" w14:paraId="60FCE785" w14:textId="77777777">
      <w:pPr>
        <w:ind w:left="720"/>
        <w:rPr>
          <w:rFonts w:ascii="Times New Roman" w:hAnsi="Times New Roman"/>
        </w:rPr>
      </w:pPr>
      <w:r>
        <w:rPr>
          <w:rFonts w:ascii="Times New Roman" w:hAnsi="Times New Roman"/>
        </w:rPr>
        <w:t>The FDIC Library, Division of Insurance and Research and the Public Information Center receive a number of requests from outside the FDIC for SOD information.  The information is also available directly to the public from the FDIC’s website.</w:t>
      </w:r>
    </w:p>
    <w:p w:rsidR="005F2F35" w:rsidP="005F2F35" w14:paraId="614AD4F2" w14:textId="77777777">
      <w:pPr>
        <w:ind w:left="720"/>
        <w:rPr>
          <w:rFonts w:ascii="Times New Roman" w:hAnsi="Times New Roman"/>
        </w:rPr>
      </w:pPr>
    </w:p>
    <w:p w:rsidR="007B6C63" w:rsidP="00990A9E" w14:paraId="0ED83CE1" w14:textId="77777777">
      <w:pPr>
        <w:keepNext/>
        <w:tabs>
          <w:tab w:val="left" w:pos="-1440"/>
        </w:tabs>
        <w:ind w:left="720" w:hanging="360"/>
        <w:rPr>
          <w:rFonts w:ascii="Times New Roman" w:hAnsi="Times New Roman"/>
        </w:rPr>
      </w:pPr>
      <w:r>
        <w:rPr>
          <w:rFonts w:ascii="Times New Roman" w:hAnsi="Times New Roman"/>
        </w:rPr>
        <w:t>3.</w:t>
      </w:r>
      <w:r>
        <w:rPr>
          <w:rFonts w:ascii="Times New Roman" w:hAnsi="Times New Roman"/>
        </w:rPr>
        <w:tab/>
      </w:r>
      <w:r w:rsidRPr="00A1019D" w:rsidR="00386C94">
        <w:rPr>
          <w:rFonts w:ascii="Times New Roman" w:hAnsi="Times New Roman"/>
          <w:b/>
          <w:bCs/>
          <w:iCs/>
          <w:u w:val="single"/>
        </w:rPr>
        <w:t>Consideration</w:t>
      </w:r>
      <w:r w:rsidRPr="00FC41DF" w:rsidR="00386C94">
        <w:rPr>
          <w:rFonts w:ascii="Times New Roman" w:hAnsi="Times New Roman"/>
          <w:b/>
          <w:bCs/>
          <w:iCs/>
          <w:szCs w:val="24"/>
          <w:u w:val="single"/>
        </w:rPr>
        <w:t xml:space="preserve"> of the use of improved information technology:</w:t>
      </w:r>
    </w:p>
    <w:p w:rsidR="007B6C63" w:rsidP="00990A9E" w14:paraId="18A44BF9" w14:textId="77777777">
      <w:pPr>
        <w:keepNext/>
        <w:rPr>
          <w:rFonts w:ascii="Times New Roman" w:hAnsi="Times New Roman"/>
        </w:rPr>
      </w:pPr>
    </w:p>
    <w:p w:rsidR="007B6C63" w:rsidP="007522EF" w14:paraId="720346D4" w14:textId="77777777">
      <w:pPr>
        <w:keepNext/>
        <w:ind w:left="720"/>
        <w:rPr>
          <w:rFonts w:ascii="Times New Roman" w:hAnsi="Times New Roman"/>
        </w:rPr>
      </w:pPr>
      <w:r>
        <w:rPr>
          <w:rFonts w:ascii="Times New Roman" w:hAnsi="Times New Roman"/>
        </w:rPr>
        <w:t>Financial institutions submit the survey to the FDIC electronically using the FFIEC’s Central Data Repository web site.  The site enables the institution to print worksheets, submit revised branch structure information, and edit SOD data prior to the survey submission.</w:t>
      </w:r>
      <w:r w:rsidR="00C15DEE">
        <w:rPr>
          <w:rFonts w:ascii="Times New Roman" w:hAnsi="Times New Roman"/>
        </w:rPr>
        <w:t xml:space="preserve"> </w:t>
      </w:r>
      <w:r w:rsidRPr="00C15DEE" w:rsidR="00C15DEE">
        <w:rPr>
          <w:rFonts w:ascii="Times New Roman" w:hAnsi="Times New Roman"/>
          <w:lang w:bidi="en-US"/>
        </w:rPr>
        <w:t>The FDIC continues to implement system enhancements and utilize available tools to ease reporting burden for respondents.  In recent years, the FDIC has integrated address standardization and geocoding tools within the Central Data Repository to enhance data quality at the point of entry and to minimize the number of edit failures.  Technology and system enhancements will continue to be implemented as practicable going forward.</w:t>
      </w:r>
    </w:p>
    <w:p w:rsidR="007B6C63" w14:paraId="02C115C6" w14:textId="77777777">
      <w:pPr>
        <w:rPr>
          <w:rFonts w:ascii="Times New Roman" w:hAnsi="Times New Roman"/>
        </w:rPr>
      </w:pPr>
    </w:p>
    <w:p w:rsidR="007B6C63" w:rsidP="00A1019D" w14:paraId="446D0FFE" w14:textId="77777777">
      <w:pPr>
        <w:tabs>
          <w:tab w:val="left" w:pos="-1440"/>
        </w:tabs>
        <w:ind w:left="720" w:hanging="360"/>
        <w:rPr>
          <w:rFonts w:ascii="Times New Roman" w:hAnsi="Times New Roman"/>
        </w:rPr>
      </w:pPr>
      <w:r>
        <w:rPr>
          <w:rFonts w:ascii="Times New Roman" w:hAnsi="Times New Roman"/>
        </w:rPr>
        <w:t>4.</w:t>
      </w:r>
      <w:r>
        <w:rPr>
          <w:rFonts w:ascii="Times New Roman" w:hAnsi="Times New Roman"/>
        </w:rPr>
        <w:tab/>
      </w:r>
      <w:r w:rsidRPr="00A1019D" w:rsidR="00386C94">
        <w:rPr>
          <w:rFonts w:ascii="Times New Roman" w:hAnsi="Times New Roman"/>
          <w:b/>
          <w:bCs/>
          <w:iCs/>
          <w:u w:val="single"/>
        </w:rPr>
        <w:t>Efforts</w:t>
      </w:r>
      <w:r w:rsidRPr="00386C94" w:rsidR="00386C94">
        <w:rPr>
          <w:rFonts w:ascii="Times New Roman" w:hAnsi="Times New Roman"/>
          <w:b/>
          <w:spacing w:val="-1"/>
          <w:szCs w:val="24"/>
          <w:u w:val="single"/>
        </w:rPr>
        <w:t xml:space="preserve"> to identify duplication:</w:t>
      </w:r>
    </w:p>
    <w:p w:rsidR="000855E4" w14:paraId="270B4C8F" w14:textId="77777777">
      <w:pPr>
        <w:ind w:left="1440"/>
        <w:rPr>
          <w:rFonts w:ascii="Times New Roman" w:hAnsi="Times New Roman"/>
        </w:rPr>
      </w:pPr>
    </w:p>
    <w:p w:rsidR="007B6C63" w:rsidP="000B0581" w14:paraId="7784C6CA" w14:textId="77777777">
      <w:pPr>
        <w:ind w:left="720"/>
        <w:rPr>
          <w:rFonts w:ascii="Times New Roman" w:hAnsi="Times New Roman"/>
        </w:rPr>
      </w:pPr>
      <w:r>
        <w:rPr>
          <w:rFonts w:ascii="Times New Roman" w:hAnsi="Times New Roman"/>
        </w:rPr>
        <w:t>There is no other information system that collects deposit data at the individual bank office level.  The Consolidated Reports of Condition and Income (Call Report) (OMB No. 3064-0052) collects deposit data at the bank system level (head office and branches combined).  Deposit data for banks without branch offices are not collected through the SOD survey and are obtained directly from the Call Report.</w:t>
      </w:r>
    </w:p>
    <w:p w:rsidR="007B6C63" w14:paraId="3BCB201B" w14:textId="77777777">
      <w:pPr>
        <w:rPr>
          <w:rFonts w:ascii="Times New Roman" w:hAnsi="Times New Roman"/>
        </w:rPr>
      </w:pPr>
    </w:p>
    <w:p w:rsidR="007B6C63" w:rsidP="00A1019D" w14:paraId="7A9B74DC" w14:textId="77777777">
      <w:pPr>
        <w:tabs>
          <w:tab w:val="left" w:pos="-1440"/>
        </w:tabs>
        <w:ind w:left="720" w:hanging="360"/>
        <w:rPr>
          <w:rFonts w:ascii="Times New Roman" w:hAnsi="Times New Roman"/>
        </w:rPr>
      </w:pPr>
      <w:r>
        <w:rPr>
          <w:rFonts w:ascii="Times New Roman" w:hAnsi="Times New Roman"/>
        </w:rPr>
        <w:t>5.</w:t>
      </w:r>
      <w:r>
        <w:rPr>
          <w:rFonts w:ascii="Times New Roman" w:hAnsi="Times New Roman"/>
        </w:rPr>
        <w:tab/>
      </w:r>
      <w:r w:rsidRPr="00386C94" w:rsidR="00386C94">
        <w:rPr>
          <w:rFonts w:ascii="Times New Roman" w:hAnsi="Times New Roman"/>
          <w:b/>
          <w:bCs/>
          <w:iCs/>
          <w:u w:val="single"/>
        </w:rPr>
        <w:t>Methods used to minimize burden if the collection has a significant impact on a</w:t>
      </w:r>
      <w:r w:rsidR="00A1019D">
        <w:rPr>
          <w:rFonts w:ascii="Times New Roman" w:hAnsi="Times New Roman"/>
          <w:b/>
          <w:bCs/>
          <w:iCs/>
          <w:u w:val="single"/>
        </w:rPr>
        <w:t xml:space="preserve"> </w:t>
      </w:r>
      <w:r w:rsidRPr="00386C94" w:rsidR="00386C94">
        <w:rPr>
          <w:rFonts w:ascii="Times New Roman" w:hAnsi="Times New Roman"/>
          <w:b/>
          <w:bCs/>
          <w:iCs/>
          <w:u w:val="single"/>
        </w:rPr>
        <w:t>substantial number of small entities:</w:t>
      </w:r>
    </w:p>
    <w:p w:rsidR="007B6C63" w14:paraId="38DF1FF2" w14:textId="77777777">
      <w:pPr>
        <w:rPr>
          <w:rFonts w:ascii="Times New Roman" w:hAnsi="Times New Roman"/>
        </w:rPr>
      </w:pPr>
    </w:p>
    <w:p w:rsidR="007B6C63" w:rsidP="007522EF" w14:paraId="62D962D9" w14:textId="77777777">
      <w:pPr>
        <w:ind w:left="720"/>
        <w:rPr>
          <w:rFonts w:ascii="Times New Roman" w:hAnsi="Times New Roman"/>
        </w:rPr>
      </w:pPr>
      <w:r>
        <w:rPr>
          <w:rFonts w:ascii="Times New Roman" w:hAnsi="Times New Roman"/>
        </w:rPr>
        <w:t>T</w:t>
      </w:r>
      <w:r w:rsidRPr="007522EF" w:rsidR="007522EF">
        <w:rPr>
          <w:rFonts w:ascii="Times New Roman" w:hAnsi="Times New Roman"/>
        </w:rPr>
        <w:t>h</w:t>
      </w:r>
      <w:r w:rsidR="007522EF">
        <w:rPr>
          <w:rFonts w:ascii="Times New Roman" w:hAnsi="Times New Roman"/>
        </w:rPr>
        <w:t>is</w:t>
      </w:r>
      <w:r w:rsidRPr="007522EF" w:rsidR="007522EF">
        <w:rPr>
          <w:rFonts w:ascii="Times New Roman" w:hAnsi="Times New Roman"/>
        </w:rPr>
        <w:t xml:space="preserve"> </w:t>
      </w:r>
      <w:r w:rsidR="007522EF">
        <w:rPr>
          <w:rFonts w:ascii="Times New Roman" w:hAnsi="Times New Roman"/>
        </w:rPr>
        <w:t>information collection does not have a significant impact on a substantial number of small entities</w:t>
      </w:r>
      <w:r w:rsidRPr="007522EF" w:rsidR="007522EF">
        <w:rPr>
          <w:rFonts w:ascii="Times New Roman" w:hAnsi="Times New Roman"/>
        </w:rPr>
        <w:t>.</w:t>
      </w:r>
      <w:r>
        <w:rPr>
          <w:rFonts w:ascii="Times New Roman" w:hAnsi="Times New Roman"/>
        </w:rPr>
        <w:t xml:space="preserve"> Institutions with no branches (unit banks) do not have to file the SOD survey. The collected information has to be in the same form from all respondents in order to achieve consistency in market structure measurements.  However, small banks generally have fewer branches than the larger banks, and consequently the number of pages submitted by small banks tends to be much smaller than the number of pages filed by larger institutions.</w:t>
      </w:r>
    </w:p>
    <w:p w:rsidR="007B6C63" w14:paraId="48B21A2A" w14:textId="77777777">
      <w:pPr>
        <w:rPr>
          <w:rFonts w:ascii="Times New Roman" w:hAnsi="Times New Roman"/>
        </w:rPr>
      </w:pPr>
    </w:p>
    <w:p w:rsidR="007B6C63" w:rsidRPr="00FC41DF" w:rsidP="007522EF" w14:paraId="73A29658" w14:textId="77777777">
      <w:pPr>
        <w:keepNext/>
        <w:keepLines/>
        <w:tabs>
          <w:tab w:val="left" w:pos="-1440"/>
        </w:tabs>
        <w:ind w:left="720" w:hanging="360"/>
        <w:rPr>
          <w:rFonts w:ascii="Times New Roman" w:hAnsi="Times New Roman"/>
          <w:b/>
          <w:bCs/>
          <w:iCs/>
          <w:u w:val="single"/>
        </w:rPr>
      </w:pPr>
      <w:r>
        <w:rPr>
          <w:rFonts w:ascii="Times New Roman" w:hAnsi="Times New Roman"/>
        </w:rPr>
        <w:t>6.</w:t>
      </w:r>
      <w:r>
        <w:rPr>
          <w:rFonts w:ascii="Times New Roman" w:hAnsi="Times New Roman"/>
        </w:rPr>
        <w:tab/>
      </w:r>
      <w:r w:rsidRPr="00A1019D" w:rsidR="00386C94">
        <w:rPr>
          <w:rFonts w:ascii="Times New Roman" w:hAnsi="Times New Roman"/>
          <w:b/>
          <w:bCs/>
          <w:iCs/>
          <w:u w:val="single"/>
        </w:rPr>
        <w:t>Consequences</w:t>
      </w:r>
      <w:r w:rsidRPr="00FC41DF" w:rsidR="00386C94">
        <w:rPr>
          <w:rFonts w:ascii="Times New Roman" w:hAnsi="Times New Roman"/>
          <w:b/>
          <w:bCs/>
          <w:iCs/>
          <w:u w:val="single"/>
        </w:rPr>
        <w:t xml:space="preserve"> to the Federal program if the collection were conducted less frequently:</w:t>
      </w:r>
    </w:p>
    <w:p w:rsidR="007B6C63" w14:paraId="3F6EAD0C" w14:textId="77777777">
      <w:pPr>
        <w:rPr>
          <w:rFonts w:ascii="Times New Roman" w:hAnsi="Times New Roman"/>
        </w:rPr>
      </w:pPr>
    </w:p>
    <w:p w:rsidR="007B6C63" w:rsidP="007522EF" w14:paraId="13F18199" w14:textId="77777777">
      <w:pPr>
        <w:ind w:left="720"/>
        <w:rPr>
          <w:rFonts w:ascii="Times New Roman" w:hAnsi="Times New Roman"/>
        </w:rPr>
      </w:pPr>
      <w:r>
        <w:rPr>
          <w:rFonts w:ascii="Times New Roman" w:hAnsi="Times New Roman"/>
        </w:rPr>
        <w:t xml:space="preserve">This question was previously considered by the FDIC, and we sought the opinions of the other users of SOD data (the Office of Comptroller of the Currency, the Federal Reserve Board, and the Department of Justice).  Their responses were unanimous in urging that we maintain the survey on an annual basis to ensure the timeliness of the data used in the analyses that are performed on it.  Immediately prior to 1972, SOD data were collected on a biennial basis.  Annual reporting was adopted beginning with the June 30, 1972 survey after it was determined that biennial data was inadequate because it was over 30 </w:t>
      </w:r>
      <w:r>
        <w:rPr>
          <w:rFonts w:ascii="Times New Roman" w:hAnsi="Times New Roman"/>
        </w:rPr>
        <w:t>months old before data from the next survey was available.  Even with the annual collection of SOD data, by the end of the period before new data is available, we are working with data that is 15 to 16 months old because of the time needed to process and edit the data for public release.  With the current high rate of consolidation in the banking system, often involving mergers of banks with many branches, and the rapid rate of change in the financial industry, the need for current data is greater than ever.  Also, the data is the only source of branch deposit information available and serves for structure verification for branches of banks. After considering the factors of reporting burden, processing cost, and program need, it has been determined that the most favorable frequency for the survey is annually.</w:t>
      </w:r>
    </w:p>
    <w:p w:rsidR="007B6C63" w:rsidRPr="00386C94" w14:paraId="33059510" w14:textId="77777777">
      <w:pPr>
        <w:rPr>
          <w:rFonts w:ascii="Times New Roman" w:hAnsi="Times New Roman"/>
        </w:rPr>
      </w:pPr>
    </w:p>
    <w:p w:rsidR="00386C94" w:rsidRPr="00386C94" w:rsidP="00A1019D" w14:paraId="78344F6A" w14:textId="77777777">
      <w:pPr>
        <w:tabs>
          <w:tab w:val="left" w:pos="-1440"/>
        </w:tabs>
        <w:ind w:left="720" w:hanging="360"/>
        <w:rPr>
          <w:rFonts w:ascii="Times New Roman" w:hAnsi="Times New Roman"/>
          <w:b/>
          <w:bCs/>
          <w:iCs/>
        </w:rPr>
      </w:pPr>
      <w:r w:rsidRPr="00386C94">
        <w:rPr>
          <w:rFonts w:ascii="Times New Roman" w:hAnsi="Times New Roman"/>
        </w:rPr>
        <w:t>7.</w:t>
      </w:r>
      <w:r w:rsidRPr="00386C94">
        <w:rPr>
          <w:rFonts w:ascii="Times New Roman" w:hAnsi="Times New Roman"/>
        </w:rPr>
        <w:tab/>
      </w:r>
      <w:r w:rsidRPr="00A1019D">
        <w:rPr>
          <w:rFonts w:ascii="Times New Roman" w:hAnsi="Times New Roman"/>
          <w:b/>
          <w:bCs/>
          <w:iCs/>
          <w:u w:val="single"/>
        </w:rPr>
        <w:t>Special circumstances necessitating collection inconsistent with 5 CFR Part 1320.5(d)(2):</w:t>
      </w:r>
    </w:p>
    <w:p w:rsidR="007B6C63" w14:paraId="09D79617" w14:textId="77777777">
      <w:pPr>
        <w:rPr>
          <w:rFonts w:ascii="Times New Roman" w:hAnsi="Times New Roman"/>
        </w:rPr>
      </w:pPr>
    </w:p>
    <w:p w:rsidR="007B6C63" w:rsidP="000B0581" w14:paraId="2EA59825" w14:textId="77777777">
      <w:pPr>
        <w:ind w:left="720"/>
        <w:rPr>
          <w:rFonts w:ascii="Times New Roman" w:hAnsi="Times New Roman"/>
        </w:rPr>
      </w:pPr>
      <w:r>
        <w:rPr>
          <w:rFonts w:ascii="Times New Roman" w:hAnsi="Times New Roman"/>
          <w:bCs/>
          <w:iCs/>
          <w:szCs w:val="24"/>
        </w:rPr>
        <w:t xml:space="preserve">None.  </w:t>
      </w:r>
      <w:r w:rsidRPr="00386C94">
        <w:rPr>
          <w:rFonts w:ascii="Times New Roman" w:hAnsi="Times New Roman"/>
        </w:rPr>
        <w:t>The</w:t>
      </w:r>
      <w:r w:rsidRPr="000C4F75">
        <w:rPr>
          <w:rFonts w:ascii="Times New Roman" w:hAnsi="Times New Roman"/>
          <w:bCs/>
          <w:iCs/>
          <w:szCs w:val="24"/>
        </w:rPr>
        <w:t xml:space="preserve"> information is collected in a manner consistent with </w:t>
      </w:r>
      <w:r>
        <w:rPr>
          <w:rFonts w:ascii="Times New Roman" w:hAnsi="Times New Roman"/>
          <w:bCs/>
          <w:iCs/>
          <w:szCs w:val="24"/>
        </w:rPr>
        <w:t>5</w:t>
      </w:r>
      <w:r w:rsidRPr="000C4F75">
        <w:rPr>
          <w:rFonts w:ascii="Times New Roman" w:hAnsi="Times New Roman"/>
          <w:bCs/>
          <w:iCs/>
          <w:szCs w:val="24"/>
        </w:rPr>
        <w:t xml:space="preserve"> CFR 1320.5(d)(2).</w:t>
      </w:r>
    </w:p>
    <w:p w:rsidR="007B6C63" w14:paraId="21CA883A" w14:textId="77777777">
      <w:pPr>
        <w:rPr>
          <w:rFonts w:ascii="Times New Roman" w:hAnsi="Times New Roman"/>
        </w:rPr>
      </w:pPr>
    </w:p>
    <w:p w:rsidR="007B6C63" w:rsidP="00A1019D" w14:paraId="71D8E92A" w14:textId="77777777">
      <w:pPr>
        <w:tabs>
          <w:tab w:val="left" w:pos="-1440"/>
        </w:tabs>
        <w:ind w:left="720" w:hanging="360"/>
        <w:rPr>
          <w:rFonts w:ascii="Times New Roman" w:hAnsi="Times New Roman"/>
        </w:rPr>
      </w:pPr>
      <w:r>
        <w:rPr>
          <w:rFonts w:ascii="Times New Roman" w:hAnsi="Times New Roman"/>
        </w:rPr>
        <w:t>8.</w:t>
      </w:r>
      <w:r>
        <w:rPr>
          <w:rFonts w:ascii="Times New Roman" w:hAnsi="Times New Roman"/>
        </w:rPr>
        <w:tab/>
      </w:r>
      <w:r w:rsidRPr="00A1019D" w:rsidR="00D55074">
        <w:rPr>
          <w:rFonts w:ascii="Times New Roman" w:hAnsi="Times New Roman"/>
          <w:b/>
          <w:bCs/>
          <w:iCs/>
          <w:u w:val="single"/>
        </w:rPr>
        <w:t>Efforts</w:t>
      </w:r>
      <w:r w:rsidRPr="00D55074" w:rsidR="00D55074">
        <w:rPr>
          <w:rFonts w:ascii="Times New Roman" w:hAnsi="Times New Roman"/>
          <w:b/>
          <w:bCs/>
          <w:iCs/>
          <w:szCs w:val="24"/>
          <w:u w:val="single"/>
        </w:rPr>
        <w:t xml:space="preserve"> to consult with persons outside the agency:</w:t>
      </w:r>
    </w:p>
    <w:p w:rsidR="007B6C63" w14:paraId="2975F721" w14:textId="77777777">
      <w:pPr>
        <w:rPr>
          <w:rFonts w:ascii="Times New Roman" w:hAnsi="Times New Roman"/>
        </w:rPr>
      </w:pPr>
    </w:p>
    <w:p w:rsidR="00AF614A" w:rsidRPr="00C864DB" w:rsidP="00C864DB" w14:paraId="2D968508" w14:textId="5974903F">
      <w:pPr>
        <w:widowControl/>
        <w:autoSpaceDE w:val="0"/>
        <w:autoSpaceDN w:val="0"/>
        <w:adjustRightInd w:val="0"/>
        <w:ind w:left="720"/>
        <w:rPr>
          <w:rFonts w:ascii="Times New Roman" w:hAnsi="Times New Roman"/>
          <w:iCs/>
          <w:szCs w:val="24"/>
        </w:rPr>
      </w:pPr>
      <w:r w:rsidRPr="0022345F">
        <w:rPr>
          <w:rFonts w:ascii="Times New Roman" w:hAnsi="Times New Roman"/>
        </w:rPr>
        <w:t xml:space="preserve">The FDIC published a notice in the </w:t>
      </w:r>
      <w:r w:rsidRPr="0071540F">
        <w:rPr>
          <w:rFonts w:ascii="Times New Roman" w:hAnsi="Times New Roman"/>
          <w:i/>
        </w:rPr>
        <w:t>Federal</w:t>
      </w:r>
      <w:r w:rsidRPr="0022345F">
        <w:rPr>
          <w:rFonts w:ascii="Times New Roman" w:hAnsi="Times New Roman"/>
          <w:i/>
        </w:rPr>
        <w:t xml:space="preserve"> Register</w:t>
      </w:r>
      <w:r w:rsidRPr="0022345F">
        <w:rPr>
          <w:rFonts w:ascii="Times New Roman" w:hAnsi="Times New Roman"/>
        </w:rPr>
        <w:t xml:space="preserve"> seeking comment for a 60-day period on renewal of this information collection on </w:t>
      </w:r>
      <w:r w:rsidR="00C56A60">
        <w:rPr>
          <w:rFonts w:ascii="Times New Roman" w:hAnsi="Times New Roman"/>
        </w:rPr>
        <w:t>July 22, 2026</w:t>
      </w:r>
      <w:r w:rsidRPr="0022345F">
        <w:rPr>
          <w:rFonts w:ascii="Times New Roman" w:hAnsi="Times New Roman"/>
        </w:rPr>
        <w:t xml:space="preserve"> (</w:t>
      </w:r>
      <w:r w:rsidR="00F9748E">
        <w:rPr>
          <w:rFonts w:ascii="Times New Roman" w:hAnsi="Times New Roman"/>
        </w:rPr>
        <w:t>91</w:t>
      </w:r>
      <w:r w:rsidRPr="0022345F">
        <w:rPr>
          <w:rFonts w:ascii="Times New Roman" w:hAnsi="Times New Roman"/>
        </w:rPr>
        <w:t xml:space="preserve"> FR </w:t>
      </w:r>
      <w:r w:rsidR="00F9748E">
        <w:rPr>
          <w:rFonts w:ascii="Times New Roman" w:hAnsi="Times New Roman"/>
        </w:rPr>
        <w:t>46118</w:t>
      </w:r>
      <w:r w:rsidRPr="0022345F">
        <w:rPr>
          <w:rFonts w:ascii="Times New Roman" w:hAnsi="Times New Roman"/>
        </w:rPr>
        <w:t>).  No comments were received</w:t>
      </w:r>
      <w:r>
        <w:rPr>
          <w:rFonts w:ascii="Times New Roman" w:hAnsi="Times New Roman"/>
          <w:iCs/>
          <w:szCs w:val="24"/>
        </w:rPr>
        <w:t>.</w:t>
      </w:r>
    </w:p>
    <w:p w:rsidR="007B6C63" w14:paraId="027A47CC" w14:textId="77777777">
      <w:pPr>
        <w:rPr>
          <w:rFonts w:ascii="Times New Roman" w:hAnsi="Times New Roman"/>
        </w:rPr>
      </w:pPr>
    </w:p>
    <w:p w:rsidR="007B6C63" w:rsidP="00A1019D" w14:paraId="2820FFF4" w14:textId="77777777">
      <w:pPr>
        <w:tabs>
          <w:tab w:val="left" w:pos="-1440"/>
        </w:tabs>
        <w:ind w:left="720" w:hanging="360"/>
        <w:rPr>
          <w:rFonts w:ascii="Times New Roman" w:hAnsi="Times New Roman"/>
        </w:rPr>
      </w:pPr>
      <w:r>
        <w:rPr>
          <w:rFonts w:ascii="Times New Roman" w:hAnsi="Times New Roman"/>
        </w:rPr>
        <w:t>9.</w:t>
      </w:r>
      <w:r>
        <w:rPr>
          <w:rFonts w:ascii="Times New Roman" w:hAnsi="Times New Roman"/>
        </w:rPr>
        <w:tab/>
      </w:r>
      <w:r w:rsidRPr="00A1019D" w:rsidR="00881712">
        <w:rPr>
          <w:rFonts w:ascii="Times New Roman" w:hAnsi="Times New Roman"/>
          <w:b/>
          <w:bCs/>
          <w:iCs/>
          <w:u w:val="single"/>
        </w:rPr>
        <w:t>Payment</w:t>
      </w:r>
      <w:r w:rsidRPr="00881712" w:rsidR="00881712">
        <w:rPr>
          <w:rFonts w:ascii="Times New Roman" w:hAnsi="Times New Roman"/>
          <w:b/>
          <w:spacing w:val="-10"/>
          <w:szCs w:val="24"/>
          <w:u w:val="single"/>
        </w:rPr>
        <w:t xml:space="preserve"> </w:t>
      </w:r>
      <w:r w:rsidRPr="00881712" w:rsidR="00881712">
        <w:rPr>
          <w:rFonts w:ascii="Times New Roman" w:hAnsi="Times New Roman"/>
          <w:b/>
          <w:spacing w:val="1"/>
          <w:szCs w:val="24"/>
          <w:u w:val="single"/>
        </w:rPr>
        <w:t>or</w:t>
      </w:r>
      <w:r w:rsidRPr="00881712" w:rsidR="00881712">
        <w:rPr>
          <w:rFonts w:ascii="Times New Roman" w:hAnsi="Times New Roman"/>
          <w:b/>
          <w:spacing w:val="-7"/>
          <w:szCs w:val="24"/>
          <w:u w:val="single"/>
        </w:rPr>
        <w:t xml:space="preserve"> </w:t>
      </w:r>
      <w:r w:rsidRPr="00881712" w:rsidR="00881712">
        <w:rPr>
          <w:rFonts w:ascii="Times New Roman" w:hAnsi="Times New Roman"/>
          <w:b/>
          <w:spacing w:val="-5"/>
          <w:szCs w:val="24"/>
          <w:u w:val="single"/>
        </w:rPr>
        <w:t>gifts to respondents:</w:t>
      </w:r>
    </w:p>
    <w:p w:rsidR="007B6C63" w14:paraId="1507F8E1" w14:textId="77777777">
      <w:pPr>
        <w:rPr>
          <w:rFonts w:ascii="Times New Roman" w:hAnsi="Times New Roman"/>
        </w:rPr>
      </w:pPr>
    </w:p>
    <w:p w:rsidR="007B6C63" w:rsidP="000B0581" w14:paraId="6DE393EC" w14:textId="77777777">
      <w:pPr>
        <w:ind w:left="720"/>
        <w:rPr>
          <w:rFonts w:ascii="Times New Roman" w:hAnsi="Times New Roman"/>
        </w:rPr>
      </w:pPr>
      <w:r>
        <w:rPr>
          <w:rFonts w:ascii="Times New Roman" w:hAnsi="Times New Roman"/>
        </w:rPr>
        <w:t>None.</w:t>
      </w:r>
    </w:p>
    <w:p w:rsidR="007B6C63" w:rsidP="00437618" w14:paraId="4EAEA9D0" w14:textId="77777777">
      <w:pPr>
        <w:keepNext/>
        <w:ind w:left="720" w:firstLine="720"/>
        <w:rPr>
          <w:rFonts w:ascii="Times New Roman" w:hAnsi="Times New Roman"/>
        </w:rPr>
      </w:pPr>
    </w:p>
    <w:p w:rsidR="007B6C63" w:rsidP="00437618" w14:paraId="1DB56BC1" w14:textId="77777777">
      <w:pPr>
        <w:keepNext/>
        <w:tabs>
          <w:tab w:val="left" w:pos="-1440"/>
        </w:tabs>
        <w:ind w:left="720" w:hanging="360"/>
        <w:rPr>
          <w:rFonts w:ascii="Times New Roman" w:hAnsi="Times New Roman"/>
        </w:rPr>
      </w:pPr>
      <w:r>
        <w:rPr>
          <w:rFonts w:ascii="Times New Roman" w:hAnsi="Times New Roman"/>
        </w:rPr>
        <w:t>10.</w:t>
      </w:r>
      <w:r>
        <w:rPr>
          <w:rFonts w:ascii="Times New Roman" w:hAnsi="Times New Roman"/>
        </w:rPr>
        <w:tab/>
      </w:r>
      <w:r w:rsidRPr="00A1019D" w:rsidR="00881712">
        <w:rPr>
          <w:rFonts w:ascii="Times New Roman" w:hAnsi="Times New Roman"/>
          <w:b/>
          <w:bCs/>
          <w:iCs/>
          <w:u w:val="single"/>
        </w:rPr>
        <w:t>Any</w:t>
      </w:r>
      <w:r w:rsidRPr="00881712" w:rsidR="00881712">
        <w:rPr>
          <w:rFonts w:ascii="Times New Roman" w:hAnsi="Times New Roman"/>
          <w:b/>
          <w:bCs/>
          <w:iCs/>
          <w:szCs w:val="24"/>
          <w:u w:val="single"/>
        </w:rPr>
        <w:t xml:space="preserve"> assurance of confidentiality:</w:t>
      </w:r>
    </w:p>
    <w:p w:rsidR="007B6C63" w:rsidP="00437618" w14:paraId="53F380C3" w14:textId="77777777">
      <w:pPr>
        <w:keepNext/>
        <w:rPr>
          <w:rFonts w:ascii="Times New Roman" w:hAnsi="Times New Roman"/>
        </w:rPr>
      </w:pPr>
    </w:p>
    <w:p w:rsidR="00881712" w:rsidP="00437618" w14:paraId="3F9F94C7" w14:textId="77777777">
      <w:pPr>
        <w:keepNext/>
        <w:ind w:left="720"/>
        <w:rPr>
          <w:rFonts w:ascii="Times New Roman" w:hAnsi="Times New Roman"/>
        </w:rPr>
      </w:pPr>
      <w:r>
        <w:rPr>
          <w:rFonts w:ascii="Times New Roman" w:hAnsi="Times New Roman"/>
        </w:rPr>
        <w:t>None; all of the collected data are available to the public on request.</w:t>
      </w:r>
    </w:p>
    <w:p w:rsidR="007B6C63" w14:paraId="681B6B42" w14:textId="77777777">
      <w:pPr>
        <w:ind w:left="720" w:firstLine="720"/>
        <w:rPr>
          <w:rFonts w:ascii="Times New Roman" w:hAnsi="Times New Roman"/>
        </w:rPr>
      </w:pPr>
    </w:p>
    <w:p w:rsidR="00881712" w:rsidRPr="00F04445" w:rsidP="00A1019D" w14:paraId="7EEEC26D" w14:textId="77777777">
      <w:pPr>
        <w:tabs>
          <w:tab w:val="left" w:pos="-1440"/>
        </w:tabs>
        <w:ind w:left="720" w:hanging="360"/>
        <w:rPr>
          <w:rFonts w:ascii="Times New Roman" w:hAnsi="Times New Roman"/>
          <w:b/>
          <w:spacing w:val="-1"/>
          <w:szCs w:val="24"/>
        </w:rPr>
      </w:pPr>
      <w:r w:rsidRPr="00881712">
        <w:rPr>
          <w:rFonts w:ascii="Times New Roman" w:hAnsi="Times New Roman"/>
        </w:rPr>
        <w:t>11.</w:t>
      </w:r>
      <w:r w:rsidRPr="00881712">
        <w:rPr>
          <w:rFonts w:ascii="Times New Roman" w:hAnsi="Times New Roman"/>
        </w:rPr>
        <w:tab/>
      </w:r>
      <w:r w:rsidRPr="00846A1A">
        <w:rPr>
          <w:rFonts w:ascii="Times New Roman" w:hAnsi="Times New Roman"/>
          <w:b/>
          <w:bCs/>
          <w:iCs/>
          <w:u w:val="single"/>
        </w:rPr>
        <w:t>Justification</w:t>
      </w:r>
      <w:r w:rsidRPr="00846A1A">
        <w:rPr>
          <w:rFonts w:ascii="Times New Roman" w:hAnsi="Times New Roman"/>
          <w:b/>
          <w:bCs/>
          <w:spacing w:val="-1"/>
          <w:szCs w:val="24"/>
          <w:u w:val="single"/>
        </w:rPr>
        <w:t xml:space="preserve"> </w:t>
      </w:r>
      <w:r w:rsidRPr="00846A1A">
        <w:rPr>
          <w:rFonts w:ascii="Times New Roman" w:hAnsi="Times New Roman"/>
          <w:b/>
          <w:u w:val="single"/>
        </w:rPr>
        <w:t>for</w:t>
      </w:r>
      <w:r w:rsidRPr="002A5F6B">
        <w:rPr>
          <w:rFonts w:ascii="Times New Roman" w:hAnsi="Times New Roman"/>
          <w:b/>
          <w:bCs/>
          <w:spacing w:val="-1"/>
          <w:szCs w:val="24"/>
          <w:u w:val="single"/>
        </w:rPr>
        <w:t xml:space="preserve"> questions of a sensitive nature:</w:t>
      </w:r>
    </w:p>
    <w:p w:rsidR="007B6C63" w14:paraId="28A5CEAE" w14:textId="77777777">
      <w:pPr>
        <w:tabs>
          <w:tab w:val="left" w:pos="-1440"/>
        </w:tabs>
        <w:ind w:firstLine="720"/>
        <w:rPr>
          <w:rFonts w:ascii="Times New Roman" w:hAnsi="Times New Roman"/>
        </w:rPr>
      </w:pPr>
    </w:p>
    <w:p w:rsidR="007B6C63" w:rsidP="009557A1" w14:paraId="7BF69F15" w14:textId="77777777">
      <w:pPr>
        <w:ind w:left="720"/>
        <w:rPr>
          <w:rFonts w:ascii="Times New Roman" w:hAnsi="Times New Roman"/>
        </w:rPr>
      </w:pPr>
      <w:r>
        <w:rPr>
          <w:rFonts w:ascii="Times New Roman" w:hAnsi="Times New Roman"/>
          <w:spacing w:val="-1"/>
          <w:szCs w:val="24"/>
        </w:rPr>
        <w:t xml:space="preserve">Not </w:t>
      </w:r>
      <w:r w:rsidRPr="000B0581">
        <w:rPr>
          <w:rFonts w:ascii="Times New Roman" w:hAnsi="Times New Roman"/>
        </w:rPr>
        <w:t>applicable</w:t>
      </w:r>
      <w:r w:rsidR="003B3219">
        <w:rPr>
          <w:rFonts w:ascii="Times New Roman" w:hAnsi="Times New Roman"/>
          <w:spacing w:val="-1"/>
          <w:szCs w:val="24"/>
        </w:rPr>
        <w:t>.</w:t>
      </w:r>
      <w:r>
        <w:rPr>
          <w:rFonts w:ascii="Times New Roman" w:hAnsi="Times New Roman"/>
          <w:spacing w:val="-1"/>
          <w:szCs w:val="24"/>
        </w:rPr>
        <w:t xml:space="preserve"> </w:t>
      </w:r>
      <w:r w:rsidR="003B3219">
        <w:rPr>
          <w:rFonts w:ascii="Times New Roman" w:hAnsi="Times New Roman"/>
          <w:spacing w:val="-1"/>
          <w:szCs w:val="24"/>
        </w:rPr>
        <w:t>N</w:t>
      </w:r>
      <w:r>
        <w:rPr>
          <w:rFonts w:ascii="Times New Roman" w:hAnsi="Times New Roman"/>
          <w:spacing w:val="-1"/>
          <w:szCs w:val="24"/>
        </w:rPr>
        <w:t>o sensitive information is collected.</w:t>
      </w:r>
    </w:p>
    <w:p w:rsidR="00615BAD" w14:paraId="3F41D979" w14:textId="77777777">
      <w:pPr>
        <w:rPr>
          <w:rFonts w:ascii="Times New Roman" w:hAnsi="Times New Roman"/>
        </w:rPr>
      </w:pPr>
      <w:r>
        <w:rPr>
          <w:rFonts w:ascii="Times New Roman" w:hAnsi="Times New Roman"/>
        </w:rPr>
        <w:br w:type="page"/>
      </w:r>
    </w:p>
    <w:p w:rsidR="00285D59" w:rsidP="00285D59" w14:paraId="5C40BFB6" w14:textId="77777777">
      <w:pPr>
        <w:keepNext/>
        <w:tabs>
          <w:tab w:val="left" w:pos="-1440"/>
        </w:tabs>
        <w:ind w:left="720" w:hanging="360"/>
        <w:rPr>
          <w:rFonts w:ascii="Times New Roman" w:hAnsi="Times New Roman"/>
          <w:b/>
          <w:bCs/>
          <w:iCs/>
          <w:szCs w:val="24"/>
          <w:u w:val="single"/>
        </w:rPr>
      </w:pPr>
      <w:r>
        <w:rPr>
          <w:rFonts w:ascii="Times New Roman" w:hAnsi="Times New Roman"/>
        </w:rPr>
        <w:t>12.</w:t>
      </w:r>
      <w:r>
        <w:rPr>
          <w:rFonts w:ascii="Times New Roman" w:hAnsi="Times New Roman"/>
        </w:rPr>
        <w:tab/>
      </w:r>
      <w:r w:rsidRPr="00A1019D" w:rsidR="00881712">
        <w:rPr>
          <w:rFonts w:ascii="Times New Roman" w:hAnsi="Times New Roman"/>
          <w:b/>
          <w:bCs/>
          <w:iCs/>
          <w:u w:val="single"/>
        </w:rPr>
        <w:t>Estimate</w:t>
      </w:r>
      <w:r w:rsidRPr="00D64624" w:rsidR="00881712">
        <w:rPr>
          <w:rFonts w:ascii="Times New Roman" w:hAnsi="Times New Roman"/>
          <w:b/>
          <w:bCs/>
          <w:iCs/>
          <w:szCs w:val="24"/>
          <w:u w:val="single"/>
        </w:rPr>
        <w:t xml:space="preserve"> of hour burden including annualized hourly costs:</w:t>
      </w:r>
    </w:p>
    <w:p w:rsidR="00FC41DF" w:rsidP="00C864DB" w14:paraId="3B079145" w14:textId="77777777">
      <w:pPr>
        <w:rPr>
          <w:rFonts w:ascii="Times New Roman" w:hAnsi="Times New Roman"/>
        </w:rPr>
      </w:pPr>
    </w:p>
    <w:tbl>
      <w:tblPr>
        <w:tblW w:w="9851" w:type="dxa"/>
        <w:tblInd w:w="-258" w:type="dxa"/>
        <w:tblCellMar>
          <w:top w:w="15" w:type="dxa"/>
        </w:tblCellMar>
        <w:tblLook w:val="04A0"/>
      </w:tblPr>
      <w:tblGrid>
        <w:gridCol w:w="2493"/>
        <w:gridCol w:w="1731"/>
        <w:gridCol w:w="1497"/>
        <w:gridCol w:w="1709"/>
        <w:gridCol w:w="1193"/>
        <w:gridCol w:w="1228"/>
      </w:tblGrid>
      <w:tr w14:paraId="3D40E4D6" w14:textId="77777777" w:rsidTr="00FE078F">
        <w:tblPrEx>
          <w:tblW w:w="9851" w:type="dxa"/>
          <w:tblInd w:w="-258" w:type="dxa"/>
          <w:tblCellMar>
            <w:top w:w="15" w:type="dxa"/>
          </w:tblCellMar>
          <w:tblLook w:val="04A0"/>
        </w:tblPrEx>
        <w:trPr>
          <w:trHeight w:val="396"/>
        </w:trPr>
        <w:tc>
          <w:tcPr>
            <w:tcW w:w="9851" w:type="dxa"/>
            <w:gridSpan w:val="6"/>
            <w:tcBorders>
              <w:top w:val="single" w:sz="8" w:space="0" w:color="auto"/>
              <w:left w:val="single" w:sz="8" w:space="0" w:color="auto"/>
              <w:bottom w:val="single" w:sz="8" w:space="0" w:color="auto"/>
              <w:right w:val="single" w:sz="8" w:space="0" w:color="000000"/>
            </w:tcBorders>
            <w:vAlign w:val="center"/>
            <w:hideMark/>
          </w:tcPr>
          <w:p w:rsidR="001A4626" w:rsidRPr="001A4626" w:rsidP="00F27E69" w14:paraId="09026DF4" w14:textId="6F7863F7">
            <w:pPr>
              <w:jc w:val="center"/>
              <w:rPr>
                <w:rFonts w:ascii="Times New Roman" w:hAnsi="Times New Roman"/>
                <w:color w:val="000000"/>
                <w:szCs w:val="24"/>
              </w:rPr>
            </w:pPr>
            <w:r w:rsidRPr="001A4626">
              <w:rPr>
                <w:rFonts w:ascii="Times New Roman" w:hAnsi="Times New Roman"/>
                <w:color w:val="000000"/>
                <w:szCs w:val="24"/>
              </w:rPr>
              <w:t>Summary of Estimated Annual Burden (OMB No. 3064-0061)</w:t>
            </w:r>
          </w:p>
        </w:tc>
      </w:tr>
      <w:tr w14:paraId="74CD25F2" w14:textId="77777777" w:rsidTr="00FE078F">
        <w:tblPrEx>
          <w:tblW w:w="9851" w:type="dxa"/>
          <w:tblInd w:w="-258" w:type="dxa"/>
          <w:tblCellMar>
            <w:top w:w="15" w:type="dxa"/>
          </w:tblCellMar>
          <w:tblLook w:val="04A0"/>
        </w:tblPrEx>
        <w:trPr>
          <w:trHeight w:val="1257"/>
        </w:trPr>
        <w:tc>
          <w:tcPr>
            <w:tcW w:w="2493" w:type="dxa"/>
            <w:tcBorders>
              <w:top w:val="nil"/>
              <w:left w:val="single" w:sz="8" w:space="0" w:color="auto"/>
              <w:bottom w:val="single" w:sz="8" w:space="0" w:color="auto"/>
              <w:right w:val="single" w:sz="8" w:space="0" w:color="auto"/>
            </w:tcBorders>
            <w:vAlign w:val="center"/>
            <w:hideMark/>
          </w:tcPr>
          <w:p w:rsidR="001A4626" w:rsidRPr="001A4626" w:rsidP="00F27E69" w14:paraId="7D97AC3F" w14:textId="77777777">
            <w:pPr>
              <w:rPr>
                <w:rFonts w:ascii="Times New Roman" w:hAnsi="Times New Roman"/>
                <w:color w:val="000000"/>
                <w:sz w:val="20"/>
              </w:rPr>
            </w:pPr>
            <w:r w:rsidRPr="001A4626">
              <w:rPr>
                <w:rFonts w:ascii="Times New Roman" w:hAnsi="Times New Roman"/>
                <w:color w:val="000000"/>
                <w:sz w:val="20"/>
              </w:rPr>
              <w:t>Information Collection (IC) (Obligation to Respond)</w:t>
            </w:r>
          </w:p>
        </w:tc>
        <w:tc>
          <w:tcPr>
            <w:tcW w:w="1731" w:type="dxa"/>
            <w:tcBorders>
              <w:top w:val="nil"/>
              <w:left w:val="nil"/>
              <w:bottom w:val="single" w:sz="8" w:space="0" w:color="auto"/>
              <w:right w:val="single" w:sz="8" w:space="0" w:color="auto"/>
            </w:tcBorders>
            <w:vAlign w:val="center"/>
            <w:hideMark/>
          </w:tcPr>
          <w:p w:rsidR="001A4626" w:rsidRPr="001A4626" w:rsidP="00F27E69" w14:paraId="3EB7EA2B" w14:textId="77777777">
            <w:pPr>
              <w:jc w:val="center"/>
              <w:rPr>
                <w:rFonts w:ascii="Times New Roman" w:hAnsi="Times New Roman"/>
                <w:color w:val="000000"/>
                <w:sz w:val="20"/>
              </w:rPr>
            </w:pPr>
            <w:r w:rsidRPr="001A4626">
              <w:rPr>
                <w:rFonts w:ascii="Times New Roman" w:hAnsi="Times New Roman"/>
                <w:color w:val="000000"/>
                <w:sz w:val="20"/>
              </w:rPr>
              <w:t>Type of Burden</w:t>
            </w:r>
            <w:r w:rsidRPr="001A4626">
              <w:rPr>
                <w:rFonts w:ascii="Times New Roman" w:hAnsi="Times New Roman"/>
                <w:color w:val="000000"/>
                <w:sz w:val="20"/>
              </w:rPr>
              <w:br/>
              <w:t>(Frequency of Response)</w:t>
            </w:r>
          </w:p>
        </w:tc>
        <w:tc>
          <w:tcPr>
            <w:tcW w:w="1497" w:type="dxa"/>
            <w:tcBorders>
              <w:top w:val="nil"/>
              <w:left w:val="nil"/>
              <w:bottom w:val="single" w:sz="8" w:space="0" w:color="auto"/>
              <w:right w:val="single" w:sz="8" w:space="0" w:color="auto"/>
            </w:tcBorders>
            <w:vAlign w:val="center"/>
            <w:hideMark/>
          </w:tcPr>
          <w:p w:rsidR="001A4626" w:rsidRPr="001A4626" w:rsidP="00F27E69" w14:paraId="309F4213" w14:textId="77777777">
            <w:pPr>
              <w:jc w:val="center"/>
              <w:rPr>
                <w:rFonts w:ascii="Times New Roman" w:hAnsi="Times New Roman"/>
                <w:color w:val="000000"/>
                <w:sz w:val="20"/>
              </w:rPr>
            </w:pPr>
            <w:r w:rsidRPr="001A4626">
              <w:rPr>
                <w:rFonts w:ascii="Times New Roman" w:hAnsi="Times New Roman"/>
                <w:color w:val="000000"/>
                <w:sz w:val="20"/>
              </w:rPr>
              <w:t xml:space="preserve"> Number of Respondents</w:t>
            </w:r>
          </w:p>
        </w:tc>
        <w:tc>
          <w:tcPr>
            <w:tcW w:w="1709" w:type="dxa"/>
            <w:tcBorders>
              <w:top w:val="nil"/>
              <w:left w:val="nil"/>
              <w:bottom w:val="single" w:sz="8" w:space="0" w:color="auto"/>
              <w:right w:val="single" w:sz="8" w:space="0" w:color="auto"/>
            </w:tcBorders>
            <w:vAlign w:val="center"/>
            <w:hideMark/>
          </w:tcPr>
          <w:p w:rsidR="001A4626" w:rsidRPr="001A4626" w:rsidP="00F27E69" w14:paraId="68B68D32" w14:textId="77777777">
            <w:pPr>
              <w:jc w:val="center"/>
              <w:rPr>
                <w:rFonts w:ascii="Times New Roman" w:hAnsi="Times New Roman"/>
                <w:color w:val="000000"/>
                <w:sz w:val="20"/>
              </w:rPr>
            </w:pPr>
            <w:r w:rsidRPr="001A4626">
              <w:rPr>
                <w:rFonts w:ascii="Times New Roman" w:hAnsi="Times New Roman"/>
                <w:color w:val="000000"/>
                <w:sz w:val="20"/>
              </w:rPr>
              <w:t xml:space="preserve"> Number of Responses per Respondent</w:t>
            </w:r>
          </w:p>
        </w:tc>
        <w:tc>
          <w:tcPr>
            <w:tcW w:w="1193" w:type="dxa"/>
            <w:tcBorders>
              <w:top w:val="nil"/>
              <w:left w:val="nil"/>
              <w:bottom w:val="single" w:sz="8" w:space="0" w:color="auto"/>
              <w:right w:val="single" w:sz="8" w:space="0" w:color="auto"/>
            </w:tcBorders>
            <w:vAlign w:val="center"/>
            <w:hideMark/>
          </w:tcPr>
          <w:p w:rsidR="001A4626" w:rsidRPr="001A4626" w:rsidP="00F27E69" w14:paraId="3E539D24" w14:textId="77777777">
            <w:pPr>
              <w:jc w:val="center"/>
              <w:rPr>
                <w:rFonts w:ascii="Times New Roman" w:hAnsi="Times New Roman"/>
                <w:color w:val="000000"/>
                <w:sz w:val="20"/>
              </w:rPr>
            </w:pPr>
            <w:r w:rsidRPr="001A4626">
              <w:rPr>
                <w:rFonts w:ascii="Times New Roman" w:hAnsi="Times New Roman"/>
                <w:color w:val="000000"/>
                <w:sz w:val="20"/>
              </w:rPr>
              <w:t>Average Time per Response (HH:MM)</w:t>
            </w:r>
          </w:p>
        </w:tc>
        <w:tc>
          <w:tcPr>
            <w:tcW w:w="1228" w:type="dxa"/>
            <w:tcBorders>
              <w:top w:val="nil"/>
              <w:left w:val="nil"/>
              <w:bottom w:val="single" w:sz="8" w:space="0" w:color="auto"/>
              <w:right w:val="single" w:sz="8" w:space="0" w:color="auto"/>
            </w:tcBorders>
            <w:vAlign w:val="center"/>
            <w:hideMark/>
          </w:tcPr>
          <w:p w:rsidR="001A4626" w:rsidRPr="001A4626" w:rsidP="00F27E69" w14:paraId="28C05016" w14:textId="77777777">
            <w:pPr>
              <w:jc w:val="center"/>
              <w:rPr>
                <w:rFonts w:ascii="Times New Roman" w:hAnsi="Times New Roman"/>
                <w:color w:val="000000"/>
                <w:sz w:val="20"/>
              </w:rPr>
            </w:pPr>
            <w:r w:rsidRPr="001A4626">
              <w:rPr>
                <w:rFonts w:ascii="Times New Roman" w:hAnsi="Times New Roman"/>
                <w:color w:val="000000"/>
                <w:sz w:val="20"/>
              </w:rPr>
              <w:t>Annual Burden (Hours)</w:t>
            </w:r>
          </w:p>
        </w:tc>
      </w:tr>
      <w:tr w14:paraId="38547C5D" w14:textId="77777777" w:rsidTr="00FE078F">
        <w:tblPrEx>
          <w:tblW w:w="9851" w:type="dxa"/>
          <w:tblInd w:w="-258" w:type="dxa"/>
          <w:tblCellMar>
            <w:top w:w="15" w:type="dxa"/>
          </w:tblCellMar>
          <w:tblLook w:val="04A0"/>
        </w:tblPrEx>
        <w:trPr>
          <w:trHeight w:val="926"/>
        </w:trPr>
        <w:tc>
          <w:tcPr>
            <w:tcW w:w="2493" w:type="dxa"/>
            <w:tcBorders>
              <w:top w:val="nil"/>
              <w:left w:val="single" w:sz="8" w:space="0" w:color="auto"/>
              <w:bottom w:val="single" w:sz="8" w:space="0" w:color="auto"/>
              <w:right w:val="single" w:sz="8" w:space="0" w:color="auto"/>
            </w:tcBorders>
            <w:vAlign w:val="center"/>
            <w:hideMark/>
          </w:tcPr>
          <w:p w:rsidR="001A4626" w:rsidRPr="001A4626" w:rsidP="00F27E69" w14:paraId="7D359977" w14:textId="77777777">
            <w:pPr>
              <w:rPr>
                <w:rFonts w:ascii="Times New Roman" w:hAnsi="Times New Roman"/>
                <w:color w:val="000000"/>
                <w:sz w:val="20"/>
              </w:rPr>
            </w:pPr>
            <w:r w:rsidRPr="001A4626">
              <w:rPr>
                <w:rFonts w:ascii="Times New Roman" w:hAnsi="Times New Roman"/>
                <w:color w:val="000000"/>
                <w:sz w:val="20"/>
              </w:rPr>
              <w:t>1. Summary of Deposits,</w:t>
            </w:r>
            <w:r w:rsidRPr="001A4626">
              <w:rPr>
                <w:rFonts w:ascii="Times New Roman" w:hAnsi="Times New Roman"/>
                <w:color w:val="000000"/>
                <w:sz w:val="20"/>
              </w:rPr>
              <w:br/>
              <w:t>12 CFR 304.3(c)</w:t>
            </w:r>
            <w:r w:rsidRPr="001A4626">
              <w:rPr>
                <w:rFonts w:ascii="Times New Roman" w:hAnsi="Times New Roman"/>
                <w:color w:val="000000"/>
                <w:sz w:val="20"/>
              </w:rPr>
              <w:br/>
              <w:t>(Mandatory)</w:t>
            </w:r>
          </w:p>
        </w:tc>
        <w:tc>
          <w:tcPr>
            <w:tcW w:w="1731" w:type="dxa"/>
            <w:tcBorders>
              <w:top w:val="nil"/>
              <w:left w:val="nil"/>
              <w:bottom w:val="single" w:sz="8" w:space="0" w:color="auto"/>
              <w:right w:val="single" w:sz="8" w:space="0" w:color="auto"/>
            </w:tcBorders>
            <w:vAlign w:val="center"/>
            <w:hideMark/>
          </w:tcPr>
          <w:p w:rsidR="001A4626" w:rsidRPr="001A4626" w:rsidP="00F27E69" w14:paraId="0C4D6172" w14:textId="77777777">
            <w:pPr>
              <w:jc w:val="center"/>
              <w:rPr>
                <w:rFonts w:ascii="Times New Roman" w:hAnsi="Times New Roman"/>
                <w:color w:val="000000"/>
                <w:sz w:val="20"/>
              </w:rPr>
            </w:pPr>
            <w:r w:rsidRPr="001A4626">
              <w:rPr>
                <w:rFonts w:ascii="Times New Roman" w:hAnsi="Times New Roman"/>
                <w:color w:val="000000"/>
                <w:sz w:val="20"/>
              </w:rPr>
              <w:t>Reporting (Annual)</w:t>
            </w:r>
          </w:p>
        </w:tc>
        <w:tc>
          <w:tcPr>
            <w:tcW w:w="1497" w:type="dxa"/>
            <w:tcBorders>
              <w:top w:val="nil"/>
              <w:left w:val="nil"/>
              <w:bottom w:val="single" w:sz="8" w:space="0" w:color="auto"/>
              <w:right w:val="single" w:sz="8" w:space="0" w:color="auto"/>
            </w:tcBorders>
            <w:noWrap/>
            <w:vAlign w:val="center"/>
            <w:hideMark/>
          </w:tcPr>
          <w:p w:rsidR="001A4626" w:rsidRPr="001A4626" w:rsidP="00F27E69" w14:paraId="0FA00598" w14:textId="77777777">
            <w:pPr>
              <w:jc w:val="right"/>
              <w:rPr>
                <w:rFonts w:ascii="Times New Roman" w:hAnsi="Times New Roman"/>
                <w:color w:val="000000"/>
                <w:sz w:val="20"/>
              </w:rPr>
            </w:pPr>
            <w:r w:rsidRPr="001A4626">
              <w:rPr>
                <w:rFonts w:ascii="Times New Roman" w:hAnsi="Times New Roman"/>
                <w:color w:val="000000"/>
                <w:sz w:val="20"/>
              </w:rPr>
              <w:t>3,651</w:t>
            </w:r>
          </w:p>
        </w:tc>
        <w:tc>
          <w:tcPr>
            <w:tcW w:w="1709" w:type="dxa"/>
            <w:tcBorders>
              <w:top w:val="nil"/>
              <w:left w:val="nil"/>
              <w:bottom w:val="single" w:sz="8" w:space="0" w:color="auto"/>
              <w:right w:val="single" w:sz="8" w:space="0" w:color="auto"/>
            </w:tcBorders>
            <w:noWrap/>
            <w:vAlign w:val="center"/>
            <w:hideMark/>
          </w:tcPr>
          <w:p w:rsidR="001A4626" w:rsidRPr="001A4626" w:rsidP="00F27E69" w14:paraId="09034E05" w14:textId="77777777">
            <w:pPr>
              <w:jc w:val="right"/>
              <w:rPr>
                <w:rFonts w:ascii="Times New Roman" w:hAnsi="Times New Roman"/>
                <w:color w:val="000000"/>
                <w:sz w:val="20"/>
              </w:rPr>
            </w:pPr>
            <w:r w:rsidRPr="001A4626">
              <w:rPr>
                <w:rFonts w:ascii="Times New Roman" w:hAnsi="Times New Roman"/>
                <w:color w:val="000000"/>
                <w:sz w:val="20"/>
              </w:rPr>
              <w:t>1</w:t>
            </w:r>
          </w:p>
        </w:tc>
        <w:tc>
          <w:tcPr>
            <w:tcW w:w="1193" w:type="dxa"/>
            <w:tcBorders>
              <w:top w:val="nil"/>
              <w:left w:val="nil"/>
              <w:bottom w:val="single" w:sz="8" w:space="0" w:color="auto"/>
              <w:right w:val="nil"/>
            </w:tcBorders>
            <w:vAlign w:val="center"/>
            <w:hideMark/>
          </w:tcPr>
          <w:p w:rsidR="001A4626" w:rsidRPr="001A4626" w:rsidP="00F27E69" w14:paraId="5ED4D953" w14:textId="77777777">
            <w:pPr>
              <w:jc w:val="right"/>
              <w:rPr>
                <w:rFonts w:ascii="Times New Roman" w:hAnsi="Times New Roman"/>
                <w:color w:val="000000"/>
                <w:sz w:val="20"/>
              </w:rPr>
            </w:pPr>
            <w:r w:rsidRPr="001A4626">
              <w:rPr>
                <w:rFonts w:ascii="Times New Roman" w:hAnsi="Times New Roman"/>
                <w:color w:val="000000"/>
                <w:sz w:val="20"/>
              </w:rPr>
              <w:t>03:00</w:t>
            </w:r>
          </w:p>
        </w:tc>
        <w:tc>
          <w:tcPr>
            <w:tcW w:w="1228" w:type="dxa"/>
            <w:tcBorders>
              <w:top w:val="nil"/>
              <w:left w:val="single" w:sz="8" w:space="0" w:color="auto"/>
              <w:bottom w:val="single" w:sz="4" w:space="0" w:color="auto"/>
              <w:right w:val="single" w:sz="8" w:space="0" w:color="auto"/>
            </w:tcBorders>
            <w:noWrap/>
            <w:vAlign w:val="center"/>
            <w:hideMark/>
          </w:tcPr>
          <w:p w:rsidR="001A4626" w:rsidRPr="001A4626" w:rsidP="00F27E69" w14:paraId="26A2383E" w14:textId="77777777">
            <w:pPr>
              <w:jc w:val="right"/>
              <w:rPr>
                <w:rFonts w:ascii="Times New Roman" w:hAnsi="Times New Roman"/>
                <w:color w:val="000000"/>
                <w:sz w:val="20"/>
              </w:rPr>
            </w:pPr>
            <w:r w:rsidRPr="001A4626">
              <w:rPr>
                <w:rFonts w:ascii="Times New Roman" w:hAnsi="Times New Roman"/>
                <w:color w:val="000000"/>
                <w:sz w:val="20"/>
              </w:rPr>
              <w:t>10,953</w:t>
            </w:r>
          </w:p>
        </w:tc>
      </w:tr>
      <w:tr w14:paraId="4DA3516B" w14:textId="77777777" w:rsidTr="00FE078F">
        <w:tblPrEx>
          <w:tblW w:w="9851" w:type="dxa"/>
          <w:tblInd w:w="-258" w:type="dxa"/>
          <w:tblCellMar>
            <w:top w:w="15" w:type="dxa"/>
          </w:tblCellMar>
          <w:tblLook w:val="04A0"/>
        </w:tblPrEx>
        <w:trPr>
          <w:trHeight w:val="330"/>
        </w:trPr>
        <w:tc>
          <w:tcPr>
            <w:tcW w:w="8623" w:type="dxa"/>
            <w:gridSpan w:val="5"/>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1A4626" w:rsidRPr="001A4626" w:rsidP="00F27E69" w14:paraId="1C33CD76" w14:textId="77777777">
            <w:pPr>
              <w:jc w:val="right"/>
              <w:rPr>
                <w:rFonts w:ascii="Times New Roman" w:hAnsi="Times New Roman"/>
                <w:b/>
                <w:bCs/>
                <w:i/>
                <w:iCs/>
                <w:color w:val="000000"/>
              </w:rPr>
            </w:pPr>
            <w:r w:rsidRPr="001A4626">
              <w:rPr>
                <w:rFonts w:ascii="Times New Roman" w:hAnsi="Times New Roman"/>
                <w:b/>
                <w:bCs/>
                <w:i/>
                <w:iCs/>
                <w:color w:val="000000"/>
              </w:rPr>
              <w:t>Total Annual Burden (Hours):</w:t>
            </w:r>
          </w:p>
        </w:tc>
        <w:tc>
          <w:tcPr>
            <w:tcW w:w="1228" w:type="dxa"/>
            <w:tcBorders>
              <w:top w:val="single" w:sz="4" w:space="0" w:color="auto"/>
              <w:left w:val="single" w:sz="4" w:space="0" w:color="auto"/>
              <w:bottom w:val="single" w:sz="8" w:space="0" w:color="auto"/>
              <w:right w:val="single" w:sz="8" w:space="0" w:color="auto"/>
            </w:tcBorders>
            <w:noWrap/>
            <w:vAlign w:val="bottom"/>
            <w:hideMark/>
          </w:tcPr>
          <w:p w:rsidR="001A4626" w:rsidRPr="001A4626" w:rsidP="00F27E69" w14:paraId="0A5DDAE6" w14:textId="77777777">
            <w:pPr>
              <w:jc w:val="right"/>
              <w:rPr>
                <w:rFonts w:ascii="Times New Roman" w:hAnsi="Times New Roman"/>
                <w:b/>
                <w:bCs/>
                <w:i/>
                <w:iCs/>
                <w:color w:val="000000"/>
              </w:rPr>
            </w:pPr>
            <w:r w:rsidRPr="001A4626">
              <w:rPr>
                <w:rFonts w:ascii="Times New Roman" w:hAnsi="Times New Roman"/>
                <w:b/>
                <w:bCs/>
                <w:i/>
                <w:iCs/>
                <w:color w:val="000000"/>
              </w:rPr>
              <w:t>10,953</w:t>
            </w:r>
          </w:p>
        </w:tc>
      </w:tr>
      <w:tr w14:paraId="331D631A" w14:textId="77777777" w:rsidTr="00FE078F">
        <w:tblPrEx>
          <w:tblW w:w="9851" w:type="dxa"/>
          <w:tblInd w:w="-258" w:type="dxa"/>
          <w:tblCellMar>
            <w:top w:w="15" w:type="dxa"/>
          </w:tblCellMar>
          <w:tblLook w:val="04A0"/>
        </w:tblPrEx>
        <w:trPr>
          <w:trHeight w:val="276"/>
        </w:trPr>
        <w:tc>
          <w:tcPr>
            <w:tcW w:w="9851" w:type="dxa"/>
            <w:gridSpan w:val="6"/>
            <w:tcBorders>
              <w:top w:val="single" w:sz="8" w:space="0" w:color="auto"/>
              <w:left w:val="single" w:sz="8" w:space="0" w:color="auto"/>
              <w:bottom w:val="single" w:sz="4" w:space="0" w:color="auto"/>
              <w:right w:val="single" w:sz="8" w:space="0" w:color="000000"/>
            </w:tcBorders>
            <w:noWrap/>
            <w:hideMark/>
          </w:tcPr>
          <w:p w:rsidR="001A4626" w:rsidRPr="001A4626" w:rsidP="00F27E69" w14:paraId="0D7741A1" w14:textId="77777777">
            <w:pPr>
              <w:rPr>
                <w:rFonts w:ascii="Times New Roman" w:hAnsi="Times New Roman"/>
                <w:color w:val="000000"/>
                <w:sz w:val="18"/>
                <w:szCs w:val="18"/>
              </w:rPr>
            </w:pPr>
            <w:r w:rsidRPr="001A4626">
              <w:rPr>
                <w:rFonts w:ascii="Times New Roman" w:hAnsi="Times New Roman"/>
                <w:color w:val="000000"/>
                <w:sz w:val="18"/>
                <w:szCs w:val="18"/>
              </w:rPr>
              <w:t>Source: FDIC.</w:t>
            </w:r>
          </w:p>
        </w:tc>
      </w:tr>
    </w:tbl>
    <w:p w:rsidR="007B6C63" w14:paraId="0C9EE5CB" w14:textId="77777777">
      <w:pPr>
        <w:rPr>
          <w:rFonts w:ascii="Times New Roman" w:hAnsi="Times New Roman"/>
        </w:rPr>
      </w:pPr>
    </w:p>
    <w:tbl>
      <w:tblPr>
        <w:tblW w:w="10201" w:type="dxa"/>
        <w:tblInd w:w="-543" w:type="dxa"/>
        <w:tblCellMar>
          <w:top w:w="15" w:type="dxa"/>
        </w:tblCellMar>
        <w:tblLook w:val="04A0"/>
      </w:tblPr>
      <w:tblGrid>
        <w:gridCol w:w="2258"/>
        <w:gridCol w:w="832"/>
        <w:gridCol w:w="1000"/>
        <w:gridCol w:w="900"/>
        <w:gridCol w:w="900"/>
        <w:gridCol w:w="1000"/>
        <w:gridCol w:w="1000"/>
        <w:gridCol w:w="900"/>
        <w:gridCol w:w="1411"/>
      </w:tblGrid>
      <w:tr w14:paraId="33B439AF" w14:textId="77777777" w:rsidTr="00284A41">
        <w:tblPrEx>
          <w:tblW w:w="10201" w:type="dxa"/>
          <w:tblInd w:w="-543" w:type="dxa"/>
          <w:tblCellMar>
            <w:top w:w="15" w:type="dxa"/>
          </w:tblCellMar>
          <w:tblLook w:val="04A0"/>
        </w:tblPrEx>
        <w:trPr>
          <w:trHeight w:val="360"/>
        </w:trPr>
        <w:tc>
          <w:tcPr>
            <w:tcW w:w="10201" w:type="dxa"/>
            <w:gridSpan w:val="9"/>
            <w:tcBorders>
              <w:top w:val="single" w:sz="8" w:space="0" w:color="auto"/>
              <w:left w:val="single" w:sz="8" w:space="0" w:color="auto"/>
              <w:bottom w:val="single" w:sz="8" w:space="0" w:color="auto"/>
              <w:right w:val="single" w:sz="8" w:space="0" w:color="auto"/>
            </w:tcBorders>
            <w:noWrap/>
            <w:vAlign w:val="bottom"/>
            <w:hideMark/>
          </w:tcPr>
          <w:p w:rsidR="00284A41" w:rsidRPr="00284A41" w:rsidP="00F27E69" w14:paraId="53CE7D92" w14:textId="22B8ED8C">
            <w:pPr>
              <w:jc w:val="center"/>
              <w:rPr>
                <w:rFonts w:ascii="Times New Roman" w:hAnsi="Times New Roman"/>
                <w:color w:val="000000"/>
                <w:szCs w:val="24"/>
              </w:rPr>
            </w:pPr>
            <w:r w:rsidRPr="00284A41">
              <w:rPr>
                <w:rFonts w:ascii="Times New Roman" w:hAnsi="Times New Roman"/>
                <w:color w:val="000000"/>
                <w:szCs w:val="24"/>
              </w:rPr>
              <w:t>Summary of Hourly Burden Cost Estimate (OMB No. 3064-0061)</w:t>
            </w:r>
          </w:p>
        </w:tc>
      </w:tr>
      <w:tr w14:paraId="55A95606" w14:textId="77777777" w:rsidTr="00284A41">
        <w:tblPrEx>
          <w:tblW w:w="10201" w:type="dxa"/>
          <w:tblInd w:w="-543" w:type="dxa"/>
          <w:tblCellMar>
            <w:top w:w="15" w:type="dxa"/>
          </w:tblCellMar>
          <w:tblLook w:val="04A0"/>
        </w:tblPrEx>
        <w:trPr>
          <w:trHeight w:val="600"/>
        </w:trPr>
        <w:tc>
          <w:tcPr>
            <w:tcW w:w="2258"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2415BAC7" w14:textId="77777777">
            <w:pPr>
              <w:rPr>
                <w:rFonts w:ascii="Times New Roman" w:hAnsi="Times New Roman"/>
                <w:color w:val="000000"/>
                <w:sz w:val="20"/>
              </w:rPr>
            </w:pPr>
            <w:r w:rsidRPr="00284A41">
              <w:rPr>
                <w:rFonts w:ascii="Times New Roman" w:hAnsi="Times New Roman"/>
                <w:color w:val="000000"/>
                <w:sz w:val="20"/>
              </w:rPr>
              <w:t xml:space="preserve">Information Collection (IC) (Obligation to Respond) </w:t>
            </w:r>
          </w:p>
        </w:tc>
        <w:tc>
          <w:tcPr>
            <w:tcW w:w="832"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70AB33B7" w14:textId="77777777">
            <w:pPr>
              <w:jc w:val="center"/>
              <w:rPr>
                <w:rFonts w:ascii="Times New Roman" w:hAnsi="Times New Roman"/>
                <w:color w:val="000000"/>
                <w:sz w:val="20"/>
              </w:rPr>
            </w:pPr>
            <w:r w:rsidRPr="00284A41">
              <w:rPr>
                <w:rFonts w:ascii="Times New Roman" w:hAnsi="Times New Roman"/>
                <w:color w:val="000000"/>
                <w:sz w:val="20"/>
              </w:rPr>
              <w:t xml:space="preserve">Hourly Weight </w:t>
            </w:r>
            <w:r w:rsidRPr="00284A41">
              <w:rPr>
                <w:rFonts w:ascii="Times New Roman" w:hAnsi="Times New Roman"/>
                <w:color w:val="000000"/>
                <w:sz w:val="20"/>
              </w:rPr>
              <w:br/>
              <w:t>(%)</w:t>
            </w:r>
          </w:p>
        </w:tc>
        <w:tc>
          <w:tcPr>
            <w:tcW w:w="570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284A41" w:rsidRPr="00284A41" w:rsidP="00F27E69" w14:paraId="72EBE1FF" w14:textId="77777777">
            <w:pPr>
              <w:jc w:val="center"/>
              <w:rPr>
                <w:rFonts w:ascii="Times New Roman" w:hAnsi="Times New Roman"/>
                <w:color w:val="000000"/>
                <w:sz w:val="20"/>
              </w:rPr>
            </w:pPr>
            <w:r w:rsidRPr="00284A41">
              <w:rPr>
                <w:rFonts w:ascii="Times New Roman" w:hAnsi="Times New Roman"/>
                <w:color w:val="000000"/>
                <w:sz w:val="20"/>
              </w:rPr>
              <w:t xml:space="preserve">Percentage Shares of Hours Spent by and </w:t>
            </w:r>
            <w:r w:rsidRPr="00284A41">
              <w:rPr>
                <w:rFonts w:ascii="Times New Roman" w:hAnsi="Times New Roman"/>
                <w:color w:val="000000"/>
                <w:sz w:val="20"/>
              </w:rPr>
              <w:br/>
              <w:t xml:space="preserve">Hourly Compensation Rates for each Occupation Group </w:t>
            </w:r>
            <w:r w:rsidRPr="00284A41">
              <w:rPr>
                <w:rFonts w:ascii="Times New Roman" w:hAnsi="Times New Roman"/>
                <w:color w:val="000000"/>
                <w:sz w:val="20"/>
              </w:rPr>
              <w:br/>
              <w:t>(by Collection)</w:t>
            </w:r>
          </w:p>
        </w:tc>
        <w:tc>
          <w:tcPr>
            <w:tcW w:w="1411"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5E49F0D7" w14:textId="77777777">
            <w:pPr>
              <w:jc w:val="center"/>
              <w:rPr>
                <w:rFonts w:ascii="Times New Roman" w:hAnsi="Times New Roman"/>
                <w:color w:val="000000"/>
                <w:sz w:val="20"/>
              </w:rPr>
            </w:pPr>
            <w:r w:rsidRPr="00284A41">
              <w:rPr>
                <w:rFonts w:ascii="Times New Roman" w:hAnsi="Times New Roman"/>
                <w:color w:val="000000"/>
                <w:sz w:val="20"/>
              </w:rPr>
              <w:t>Estimated Hourly Compensation Rate</w:t>
            </w:r>
          </w:p>
        </w:tc>
      </w:tr>
      <w:tr w14:paraId="03624247" w14:textId="77777777" w:rsidTr="00284A41">
        <w:tblPrEx>
          <w:tblW w:w="10201" w:type="dxa"/>
          <w:tblInd w:w="-543" w:type="dxa"/>
          <w:tblCellMar>
            <w:top w:w="15" w:type="dxa"/>
          </w:tblCellMar>
          <w:tblLook w:val="04A0"/>
        </w:tblPrEx>
        <w:trPr>
          <w:trHeight w:val="864"/>
        </w:trPr>
        <w:tc>
          <w:tcPr>
            <w:tcW w:w="2258" w:type="dxa"/>
            <w:vMerge/>
            <w:tcBorders>
              <w:top w:val="nil"/>
              <w:left w:val="single" w:sz="8" w:space="0" w:color="auto"/>
              <w:bottom w:val="single" w:sz="8" w:space="0" w:color="auto"/>
              <w:right w:val="single" w:sz="8" w:space="0" w:color="auto"/>
            </w:tcBorders>
            <w:vAlign w:val="center"/>
            <w:hideMark/>
          </w:tcPr>
          <w:p w:rsidR="00284A41" w:rsidRPr="00284A41" w:rsidP="00F27E69" w14:paraId="5C560FED" w14:textId="77777777">
            <w:pPr>
              <w:rPr>
                <w:rFonts w:ascii="Times New Roman" w:hAnsi="Times New Roman"/>
                <w:color w:val="000000"/>
                <w:sz w:val="20"/>
              </w:rPr>
            </w:pPr>
          </w:p>
        </w:tc>
        <w:tc>
          <w:tcPr>
            <w:tcW w:w="832" w:type="dxa"/>
            <w:vMerge/>
            <w:tcBorders>
              <w:top w:val="nil"/>
              <w:left w:val="single" w:sz="8" w:space="0" w:color="auto"/>
              <w:bottom w:val="single" w:sz="8" w:space="0" w:color="auto"/>
              <w:right w:val="single" w:sz="8" w:space="0" w:color="auto"/>
            </w:tcBorders>
            <w:vAlign w:val="center"/>
            <w:hideMark/>
          </w:tcPr>
          <w:p w:rsidR="00284A41" w:rsidRPr="00284A41" w:rsidP="00F27E69" w14:paraId="6CADD894" w14:textId="77777777">
            <w:pPr>
              <w:rPr>
                <w:rFonts w:ascii="Times New Roman" w:hAnsi="Times New Roman"/>
                <w:color w:val="000000"/>
                <w:sz w:val="20"/>
              </w:rPr>
            </w:pPr>
          </w:p>
        </w:tc>
        <w:tc>
          <w:tcPr>
            <w:tcW w:w="5700" w:type="dxa"/>
            <w:gridSpan w:val="6"/>
            <w:vMerge/>
            <w:tcBorders>
              <w:top w:val="single" w:sz="8" w:space="0" w:color="auto"/>
              <w:left w:val="single" w:sz="8" w:space="0" w:color="auto"/>
              <w:bottom w:val="single" w:sz="8" w:space="0" w:color="auto"/>
              <w:right w:val="single" w:sz="8" w:space="0" w:color="auto"/>
            </w:tcBorders>
            <w:vAlign w:val="center"/>
            <w:hideMark/>
          </w:tcPr>
          <w:p w:rsidR="00284A41" w:rsidRPr="00284A41" w:rsidP="00F27E69" w14:paraId="645A8BAB" w14:textId="77777777">
            <w:pPr>
              <w:rPr>
                <w:rFonts w:ascii="Times New Roman" w:hAnsi="Times New Roman"/>
                <w:color w:val="000000"/>
                <w:sz w:val="20"/>
              </w:rPr>
            </w:pPr>
          </w:p>
        </w:tc>
        <w:tc>
          <w:tcPr>
            <w:tcW w:w="1411" w:type="dxa"/>
            <w:vMerge/>
            <w:tcBorders>
              <w:top w:val="nil"/>
              <w:left w:val="single" w:sz="8" w:space="0" w:color="auto"/>
              <w:bottom w:val="single" w:sz="8" w:space="0" w:color="auto"/>
              <w:right w:val="single" w:sz="8" w:space="0" w:color="auto"/>
            </w:tcBorders>
            <w:vAlign w:val="center"/>
            <w:hideMark/>
          </w:tcPr>
          <w:p w:rsidR="00284A41" w:rsidRPr="00284A41" w:rsidP="00F27E69" w14:paraId="00ACFA2A" w14:textId="77777777">
            <w:pPr>
              <w:rPr>
                <w:rFonts w:ascii="Times New Roman" w:hAnsi="Times New Roman"/>
                <w:color w:val="000000"/>
                <w:sz w:val="20"/>
              </w:rPr>
            </w:pPr>
          </w:p>
        </w:tc>
      </w:tr>
      <w:tr w14:paraId="6096C555" w14:textId="77777777" w:rsidTr="00284A41">
        <w:tblPrEx>
          <w:tblW w:w="10201" w:type="dxa"/>
          <w:tblInd w:w="-543" w:type="dxa"/>
          <w:tblCellMar>
            <w:top w:w="15" w:type="dxa"/>
          </w:tblCellMar>
          <w:tblLook w:val="04A0"/>
        </w:tblPrEx>
        <w:trPr>
          <w:trHeight w:val="360"/>
        </w:trPr>
        <w:tc>
          <w:tcPr>
            <w:tcW w:w="2258" w:type="dxa"/>
            <w:vMerge/>
            <w:tcBorders>
              <w:top w:val="nil"/>
              <w:left w:val="single" w:sz="8" w:space="0" w:color="auto"/>
              <w:bottom w:val="single" w:sz="8" w:space="0" w:color="auto"/>
              <w:right w:val="single" w:sz="8" w:space="0" w:color="auto"/>
            </w:tcBorders>
            <w:vAlign w:val="center"/>
            <w:hideMark/>
          </w:tcPr>
          <w:p w:rsidR="00284A41" w:rsidRPr="00284A41" w:rsidP="00F27E69" w14:paraId="6B955726" w14:textId="77777777">
            <w:pPr>
              <w:rPr>
                <w:rFonts w:ascii="Times New Roman" w:hAnsi="Times New Roman"/>
                <w:color w:val="000000"/>
                <w:sz w:val="20"/>
              </w:rPr>
            </w:pPr>
          </w:p>
        </w:tc>
        <w:tc>
          <w:tcPr>
            <w:tcW w:w="832" w:type="dxa"/>
            <w:vMerge/>
            <w:tcBorders>
              <w:top w:val="nil"/>
              <w:left w:val="single" w:sz="8" w:space="0" w:color="auto"/>
              <w:bottom w:val="single" w:sz="8" w:space="0" w:color="auto"/>
              <w:right w:val="single" w:sz="8" w:space="0" w:color="auto"/>
            </w:tcBorders>
            <w:vAlign w:val="center"/>
            <w:hideMark/>
          </w:tcPr>
          <w:p w:rsidR="00284A41" w:rsidRPr="00284A41" w:rsidP="00F27E69" w14:paraId="5B3D3B96" w14:textId="77777777">
            <w:pPr>
              <w:rPr>
                <w:rFonts w:ascii="Times New Roman" w:hAnsi="Times New Roman"/>
                <w:color w:val="000000"/>
                <w:sz w:val="20"/>
              </w:rPr>
            </w:pPr>
          </w:p>
        </w:tc>
        <w:tc>
          <w:tcPr>
            <w:tcW w:w="1000"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5723C594" w14:textId="77777777">
            <w:pPr>
              <w:jc w:val="center"/>
              <w:rPr>
                <w:rFonts w:ascii="Times New Roman" w:hAnsi="Times New Roman"/>
                <w:color w:val="000000"/>
                <w:sz w:val="20"/>
              </w:rPr>
            </w:pPr>
            <w:r w:rsidRPr="00284A41">
              <w:rPr>
                <w:rFonts w:ascii="Times New Roman" w:hAnsi="Times New Roman"/>
                <w:color w:val="000000"/>
                <w:sz w:val="20"/>
              </w:rPr>
              <w:t>Exec. &amp; Mgr.      ($157.92)</w:t>
            </w:r>
          </w:p>
        </w:tc>
        <w:tc>
          <w:tcPr>
            <w:tcW w:w="900"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125FA1AD" w14:textId="77777777">
            <w:pPr>
              <w:jc w:val="center"/>
              <w:rPr>
                <w:rFonts w:ascii="Times New Roman" w:hAnsi="Times New Roman"/>
                <w:color w:val="000000"/>
                <w:sz w:val="20"/>
              </w:rPr>
            </w:pPr>
            <w:r w:rsidRPr="00284A41">
              <w:rPr>
                <w:rFonts w:ascii="Times New Roman" w:hAnsi="Times New Roman"/>
                <w:color w:val="000000"/>
                <w:sz w:val="20"/>
              </w:rPr>
              <w:t>Lawyer   ($178.1)</w:t>
            </w:r>
          </w:p>
        </w:tc>
        <w:tc>
          <w:tcPr>
            <w:tcW w:w="900"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79CA1454" w14:textId="77777777">
            <w:pPr>
              <w:jc w:val="center"/>
              <w:rPr>
                <w:rFonts w:ascii="Times New Roman" w:hAnsi="Times New Roman"/>
                <w:color w:val="000000"/>
                <w:sz w:val="20"/>
              </w:rPr>
            </w:pPr>
            <w:r w:rsidRPr="00284A41">
              <w:rPr>
                <w:rFonts w:ascii="Times New Roman" w:hAnsi="Times New Roman"/>
                <w:color w:val="000000"/>
                <w:sz w:val="20"/>
              </w:rPr>
              <w:t>Compl. Ofc.   ($80.11)</w:t>
            </w:r>
          </w:p>
        </w:tc>
        <w:tc>
          <w:tcPr>
            <w:tcW w:w="1000"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587ADA58" w14:textId="77777777">
            <w:pPr>
              <w:jc w:val="center"/>
              <w:rPr>
                <w:rFonts w:ascii="Times New Roman" w:hAnsi="Times New Roman"/>
                <w:color w:val="000000"/>
                <w:sz w:val="20"/>
              </w:rPr>
            </w:pPr>
            <w:r w:rsidRPr="00284A41">
              <w:rPr>
                <w:rFonts w:ascii="Times New Roman" w:hAnsi="Times New Roman"/>
                <w:color w:val="000000"/>
                <w:sz w:val="20"/>
              </w:rPr>
              <w:t>IT    ($115.56)</w:t>
            </w:r>
          </w:p>
        </w:tc>
        <w:tc>
          <w:tcPr>
            <w:tcW w:w="1000"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7C17374F" w14:textId="77777777">
            <w:pPr>
              <w:jc w:val="center"/>
              <w:rPr>
                <w:rFonts w:ascii="Times New Roman" w:hAnsi="Times New Roman"/>
                <w:color w:val="000000"/>
                <w:sz w:val="20"/>
              </w:rPr>
            </w:pPr>
            <w:r w:rsidRPr="00284A41">
              <w:rPr>
                <w:rFonts w:ascii="Times New Roman" w:hAnsi="Times New Roman"/>
                <w:color w:val="000000"/>
                <w:sz w:val="20"/>
              </w:rPr>
              <w:t>Fin. Anlst.    ($100.47)</w:t>
            </w:r>
          </w:p>
        </w:tc>
        <w:tc>
          <w:tcPr>
            <w:tcW w:w="900" w:type="dxa"/>
            <w:vMerge w:val="restart"/>
            <w:tcBorders>
              <w:top w:val="nil"/>
              <w:left w:val="single" w:sz="8" w:space="0" w:color="auto"/>
              <w:bottom w:val="single" w:sz="8" w:space="0" w:color="auto"/>
              <w:right w:val="single" w:sz="8" w:space="0" w:color="auto"/>
            </w:tcBorders>
            <w:vAlign w:val="center"/>
            <w:hideMark/>
          </w:tcPr>
          <w:p w:rsidR="00284A41" w:rsidRPr="00284A41" w:rsidP="00F27E69" w14:paraId="21B1CDA2" w14:textId="77777777">
            <w:pPr>
              <w:jc w:val="center"/>
              <w:rPr>
                <w:rFonts w:ascii="Times New Roman" w:hAnsi="Times New Roman"/>
                <w:color w:val="000000"/>
                <w:sz w:val="20"/>
              </w:rPr>
            </w:pPr>
            <w:r w:rsidRPr="00284A41">
              <w:rPr>
                <w:rFonts w:ascii="Times New Roman" w:hAnsi="Times New Roman"/>
                <w:color w:val="000000"/>
                <w:sz w:val="20"/>
              </w:rPr>
              <w:t>Clerical    ($42.22)</w:t>
            </w:r>
          </w:p>
        </w:tc>
        <w:tc>
          <w:tcPr>
            <w:tcW w:w="1411" w:type="dxa"/>
            <w:vMerge/>
            <w:tcBorders>
              <w:top w:val="nil"/>
              <w:left w:val="single" w:sz="8" w:space="0" w:color="auto"/>
              <w:bottom w:val="single" w:sz="8" w:space="0" w:color="auto"/>
              <w:right w:val="single" w:sz="8" w:space="0" w:color="auto"/>
            </w:tcBorders>
            <w:vAlign w:val="center"/>
            <w:hideMark/>
          </w:tcPr>
          <w:p w:rsidR="00284A41" w:rsidRPr="00284A41" w:rsidP="00F27E69" w14:paraId="3D2A841D" w14:textId="77777777">
            <w:pPr>
              <w:rPr>
                <w:rFonts w:ascii="Times New Roman" w:hAnsi="Times New Roman"/>
                <w:color w:val="000000"/>
                <w:sz w:val="20"/>
              </w:rPr>
            </w:pPr>
          </w:p>
        </w:tc>
      </w:tr>
      <w:tr w14:paraId="5B68BD16" w14:textId="77777777" w:rsidTr="00284A41">
        <w:tblPrEx>
          <w:tblW w:w="10201" w:type="dxa"/>
          <w:tblInd w:w="-543" w:type="dxa"/>
          <w:tblCellMar>
            <w:top w:w="15" w:type="dxa"/>
          </w:tblCellMar>
          <w:tblLook w:val="04A0"/>
        </w:tblPrEx>
        <w:trPr>
          <w:trHeight w:val="1140"/>
        </w:trPr>
        <w:tc>
          <w:tcPr>
            <w:tcW w:w="2258" w:type="dxa"/>
            <w:vMerge/>
            <w:tcBorders>
              <w:top w:val="nil"/>
              <w:left w:val="single" w:sz="8" w:space="0" w:color="auto"/>
              <w:bottom w:val="single" w:sz="8" w:space="0" w:color="auto"/>
              <w:right w:val="single" w:sz="8" w:space="0" w:color="auto"/>
            </w:tcBorders>
            <w:vAlign w:val="center"/>
            <w:hideMark/>
          </w:tcPr>
          <w:p w:rsidR="00284A41" w:rsidRPr="00284A41" w:rsidP="00F27E69" w14:paraId="131D49AA" w14:textId="77777777">
            <w:pPr>
              <w:rPr>
                <w:rFonts w:ascii="Times New Roman" w:hAnsi="Times New Roman"/>
                <w:color w:val="000000"/>
                <w:sz w:val="20"/>
              </w:rPr>
            </w:pPr>
          </w:p>
        </w:tc>
        <w:tc>
          <w:tcPr>
            <w:tcW w:w="832" w:type="dxa"/>
            <w:vMerge/>
            <w:tcBorders>
              <w:top w:val="nil"/>
              <w:left w:val="single" w:sz="8" w:space="0" w:color="auto"/>
              <w:bottom w:val="single" w:sz="8" w:space="0" w:color="auto"/>
              <w:right w:val="single" w:sz="8" w:space="0" w:color="auto"/>
            </w:tcBorders>
            <w:vAlign w:val="center"/>
            <w:hideMark/>
          </w:tcPr>
          <w:p w:rsidR="00284A41" w:rsidRPr="00284A41" w:rsidP="00F27E69" w14:paraId="659FB4EE"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284A41" w:rsidRPr="00284A41" w:rsidP="00F27E69" w14:paraId="3AECF4D0" w14:textId="77777777">
            <w:pPr>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284A41" w:rsidRPr="00284A41" w:rsidP="00F27E69" w14:paraId="2F78AE0C" w14:textId="77777777">
            <w:pPr>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284A41" w:rsidRPr="00284A41" w:rsidP="00F27E69" w14:paraId="43B9DE12"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284A41" w:rsidRPr="00284A41" w:rsidP="00F27E69" w14:paraId="4C893EF7" w14:textId="77777777">
            <w:pPr>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284A41" w:rsidRPr="00284A41" w:rsidP="00F27E69" w14:paraId="48416F2F" w14:textId="77777777">
            <w:pPr>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284A41" w:rsidRPr="00284A41" w:rsidP="00F27E69" w14:paraId="115335AB" w14:textId="77777777">
            <w:pPr>
              <w:rPr>
                <w:rFonts w:ascii="Times New Roman" w:hAnsi="Times New Roman"/>
                <w:color w:val="000000"/>
                <w:sz w:val="20"/>
              </w:rPr>
            </w:pPr>
          </w:p>
        </w:tc>
        <w:tc>
          <w:tcPr>
            <w:tcW w:w="1411" w:type="dxa"/>
            <w:vMerge/>
            <w:tcBorders>
              <w:top w:val="nil"/>
              <w:left w:val="single" w:sz="8" w:space="0" w:color="auto"/>
              <w:bottom w:val="single" w:sz="8" w:space="0" w:color="auto"/>
              <w:right w:val="single" w:sz="8" w:space="0" w:color="auto"/>
            </w:tcBorders>
            <w:vAlign w:val="center"/>
            <w:hideMark/>
          </w:tcPr>
          <w:p w:rsidR="00284A41" w:rsidRPr="00284A41" w:rsidP="00F27E69" w14:paraId="403EA18F" w14:textId="77777777">
            <w:pPr>
              <w:rPr>
                <w:rFonts w:ascii="Times New Roman" w:hAnsi="Times New Roman"/>
                <w:color w:val="000000"/>
                <w:sz w:val="20"/>
              </w:rPr>
            </w:pPr>
          </w:p>
        </w:tc>
      </w:tr>
      <w:tr w14:paraId="0165AAB6" w14:textId="77777777" w:rsidTr="00284A41">
        <w:tblPrEx>
          <w:tblW w:w="10201" w:type="dxa"/>
          <w:tblInd w:w="-543" w:type="dxa"/>
          <w:tblCellMar>
            <w:top w:w="15" w:type="dxa"/>
          </w:tblCellMar>
          <w:tblLook w:val="04A0"/>
        </w:tblPrEx>
        <w:trPr>
          <w:trHeight w:val="840"/>
        </w:trPr>
        <w:tc>
          <w:tcPr>
            <w:tcW w:w="2258" w:type="dxa"/>
            <w:tcBorders>
              <w:top w:val="nil"/>
              <w:left w:val="single" w:sz="8" w:space="0" w:color="auto"/>
              <w:bottom w:val="single" w:sz="8" w:space="0" w:color="auto"/>
              <w:right w:val="single" w:sz="8" w:space="0" w:color="auto"/>
            </w:tcBorders>
            <w:vAlign w:val="center"/>
            <w:hideMark/>
          </w:tcPr>
          <w:p w:rsidR="00284A41" w:rsidRPr="00284A41" w:rsidP="00F27E69" w14:paraId="5C2ADDAA" w14:textId="77777777">
            <w:pPr>
              <w:rPr>
                <w:rFonts w:ascii="Times New Roman" w:hAnsi="Times New Roman"/>
                <w:color w:val="000000"/>
                <w:sz w:val="20"/>
              </w:rPr>
            </w:pPr>
            <w:r w:rsidRPr="00284A41">
              <w:rPr>
                <w:rFonts w:ascii="Times New Roman" w:hAnsi="Times New Roman"/>
                <w:color w:val="000000"/>
                <w:sz w:val="20"/>
              </w:rPr>
              <w:t>1. Summary of Deposits,</w:t>
            </w:r>
            <w:r w:rsidRPr="00284A41">
              <w:rPr>
                <w:rFonts w:ascii="Times New Roman" w:hAnsi="Times New Roman"/>
                <w:color w:val="000000"/>
                <w:sz w:val="20"/>
              </w:rPr>
              <w:br/>
              <w:t>12 CFR 304.3(c)</w:t>
            </w:r>
            <w:r w:rsidRPr="00284A41">
              <w:rPr>
                <w:rFonts w:ascii="Times New Roman" w:hAnsi="Times New Roman"/>
                <w:color w:val="000000"/>
                <w:sz w:val="20"/>
              </w:rPr>
              <w:br/>
              <w:t>(Mandatory)</w:t>
            </w:r>
          </w:p>
        </w:tc>
        <w:tc>
          <w:tcPr>
            <w:tcW w:w="832" w:type="dxa"/>
            <w:tcBorders>
              <w:top w:val="nil"/>
              <w:left w:val="nil"/>
              <w:bottom w:val="single" w:sz="8" w:space="0" w:color="auto"/>
              <w:right w:val="single" w:sz="8" w:space="0" w:color="auto"/>
            </w:tcBorders>
            <w:vAlign w:val="center"/>
            <w:hideMark/>
          </w:tcPr>
          <w:p w:rsidR="00284A41" w:rsidRPr="00284A41" w:rsidP="00F27E69" w14:paraId="7386B971" w14:textId="77777777">
            <w:pPr>
              <w:jc w:val="center"/>
              <w:rPr>
                <w:rFonts w:ascii="Times New Roman" w:hAnsi="Times New Roman"/>
                <w:color w:val="000000"/>
                <w:sz w:val="20"/>
              </w:rPr>
            </w:pPr>
            <w:r w:rsidRPr="00284A41">
              <w:rPr>
                <w:rFonts w:ascii="Times New Roman" w:hAnsi="Times New Roman"/>
                <w:color w:val="000000"/>
                <w:sz w:val="20"/>
              </w:rPr>
              <w:t>100.00</w:t>
            </w:r>
          </w:p>
        </w:tc>
        <w:tc>
          <w:tcPr>
            <w:tcW w:w="1000" w:type="dxa"/>
            <w:tcBorders>
              <w:top w:val="nil"/>
              <w:left w:val="nil"/>
              <w:bottom w:val="single" w:sz="8" w:space="0" w:color="auto"/>
              <w:right w:val="single" w:sz="8" w:space="0" w:color="auto"/>
            </w:tcBorders>
            <w:vAlign w:val="center"/>
            <w:hideMark/>
          </w:tcPr>
          <w:p w:rsidR="00284A41" w:rsidRPr="00284A41" w:rsidP="00F27E69" w14:paraId="12851977" w14:textId="77777777">
            <w:pPr>
              <w:jc w:val="center"/>
              <w:rPr>
                <w:rFonts w:ascii="Times New Roman" w:hAnsi="Times New Roman"/>
                <w:color w:val="000000"/>
                <w:sz w:val="20"/>
              </w:rPr>
            </w:pPr>
            <w:r w:rsidRPr="00284A41">
              <w:rPr>
                <w:rFonts w:ascii="Times New Roman" w:hAnsi="Times New Roman"/>
                <w:color w:val="000000"/>
                <w:sz w:val="20"/>
              </w:rPr>
              <w:t>88</w:t>
            </w:r>
          </w:p>
        </w:tc>
        <w:tc>
          <w:tcPr>
            <w:tcW w:w="900" w:type="dxa"/>
            <w:tcBorders>
              <w:top w:val="nil"/>
              <w:left w:val="nil"/>
              <w:bottom w:val="single" w:sz="8" w:space="0" w:color="auto"/>
              <w:right w:val="single" w:sz="8" w:space="0" w:color="auto"/>
            </w:tcBorders>
            <w:vAlign w:val="center"/>
            <w:hideMark/>
          </w:tcPr>
          <w:p w:rsidR="00284A41" w:rsidRPr="00284A41" w:rsidP="00F27E69" w14:paraId="172EB5FC" w14:textId="77777777">
            <w:pPr>
              <w:jc w:val="center"/>
              <w:rPr>
                <w:rFonts w:ascii="Times New Roman" w:hAnsi="Times New Roman"/>
                <w:color w:val="000000"/>
                <w:sz w:val="20"/>
              </w:rPr>
            </w:pPr>
            <w:r w:rsidRPr="00284A41">
              <w:rPr>
                <w:rFonts w:ascii="Times New Roman" w:hAnsi="Times New Roman"/>
                <w:color w:val="000000"/>
                <w:sz w:val="20"/>
              </w:rPr>
              <w:t>0</w:t>
            </w:r>
          </w:p>
        </w:tc>
        <w:tc>
          <w:tcPr>
            <w:tcW w:w="900" w:type="dxa"/>
            <w:tcBorders>
              <w:top w:val="nil"/>
              <w:left w:val="nil"/>
              <w:bottom w:val="single" w:sz="8" w:space="0" w:color="auto"/>
              <w:right w:val="single" w:sz="8" w:space="0" w:color="auto"/>
            </w:tcBorders>
            <w:vAlign w:val="center"/>
            <w:hideMark/>
          </w:tcPr>
          <w:p w:rsidR="00284A41" w:rsidRPr="00284A41" w:rsidP="00F27E69" w14:paraId="76085085" w14:textId="77777777">
            <w:pPr>
              <w:jc w:val="center"/>
              <w:rPr>
                <w:rFonts w:ascii="Times New Roman" w:hAnsi="Times New Roman"/>
                <w:color w:val="000000"/>
                <w:sz w:val="20"/>
              </w:rPr>
            </w:pPr>
            <w:r w:rsidRPr="00284A41">
              <w:rPr>
                <w:rFonts w:ascii="Times New Roman" w:hAnsi="Times New Roman"/>
                <w:color w:val="000000"/>
                <w:sz w:val="20"/>
              </w:rPr>
              <w:t>2</w:t>
            </w:r>
          </w:p>
        </w:tc>
        <w:tc>
          <w:tcPr>
            <w:tcW w:w="1000" w:type="dxa"/>
            <w:tcBorders>
              <w:top w:val="nil"/>
              <w:left w:val="nil"/>
              <w:bottom w:val="single" w:sz="8" w:space="0" w:color="auto"/>
              <w:right w:val="single" w:sz="8" w:space="0" w:color="auto"/>
            </w:tcBorders>
            <w:vAlign w:val="center"/>
            <w:hideMark/>
          </w:tcPr>
          <w:p w:rsidR="00284A41" w:rsidRPr="00284A41" w:rsidP="00F27E69" w14:paraId="38060590" w14:textId="77777777">
            <w:pPr>
              <w:jc w:val="center"/>
              <w:rPr>
                <w:rFonts w:ascii="Times New Roman" w:hAnsi="Times New Roman"/>
                <w:color w:val="000000"/>
                <w:sz w:val="20"/>
              </w:rPr>
            </w:pPr>
            <w:r w:rsidRPr="00284A41">
              <w:rPr>
                <w:rFonts w:ascii="Times New Roman" w:hAnsi="Times New Roman"/>
                <w:color w:val="000000"/>
                <w:sz w:val="20"/>
              </w:rPr>
              <w:t>0</w:t>
            </w:r>
          </w:p>
        </w:tc>
        <w:tc>
          <w:tcPr>
            <w:tcW w:w="1000" w:type="dxa"/>
            <w:tcBorders>
              <w:top w:val="nil"/>
              <w:left w:val="nil"/>
              <w:bottom w:val="single" w:sz="8" w:space="0" w:color="auto"/>
              <w:right w:val="single" w:sz="8" w:space="0" w:color="auto"/>
            </w:tcBorders>
            <w:vAlign w:val="center"/>
            <w:hideMark/>
          </w:tcPr>
          <w:p w:rsidR="00284A41" w:rsidRPr="00284A41" w:rsidP="00F27E69" w14:paraId="5A1039E8" w14:textId="77777777">
            <w:pPr>
              <w:jc w:val="center"/>
              <w:rPr>
                <w:rFonts w:ascii="Times New Roman" w:hAnsi="Times New Roman"/>
                <w:color w:val="000000"/>
                <w:sz w:val="20"/>
              </w:rPr>
            </w:pPr>
            <w:r w:rsidRPr="00284A41">
              <w:rPr>
                <w:rFonts w:ascii="Times New Roman" w:hAnsi="Times New Roman"/>
                <w:color w:val="000000"/>
                <w:sz w:val="20"/>
              </w:rPr>
              <w:t>8</w:t>
            </w:r>
          </w:p>
        </w:tc>
        <w:tc>
          <w:tcPr>
            <w:tcW w:w="900" w:type="dxa"/>
            <w:tcBorders>
              <w:top w:val="nil"/>
              <w:left w:val="nil"/>
              <w:bottom w:val="single" w:sz="8" w:space="0" w:color="auto"/>
              <w:right w:val="single" w:sz="8" w:space="0" w:color="auto"/>
            </w:tcBorders>
            <w:vAlign w:val="center"/>
            <w:hideMark/>
          </w:tcPr>
          <w:p w:rsidR="00284A41" w:rsidRPr="00284A41" w:rsidP="00F27E69" w14:paraId="3B8A55E5" w14:textId="77777777">
            <w:pPr>
              <w:jc w:val="center"/>
              <w:rPr>
                <w:rFonts w:ascii="Times New Roman" w:hAnsi="Times New Roman"/>
                <w:color w:val="000000"/>
                <w:sz w:val="20"/>
              </w:rPr>
            </w:pPr>
            <w:r w:rsidRPr="00284A41">
              <w:rPr>
                <w:rFonts w:ascii="Times New Roman" w:hAnsi="Times New Roman"/>
                <w:color w:val="000000"/>
                <w:sz w:val="20"/>
              </w:rPr>
              <w:t>2</w:t>
            </w:r>
          </w:p>
        </w:tc>
        <w:tc>
          <w:tcPr>
            <w:tcW w:w="1411" w:type="dxa"/>
            <w:tcBorders>
              <w:top w:val="nil"/>
              <w:left w:val="nil"/>
              <w:bottom w:val="single" w:sz="8" w:space="0" w:color="auto"/>
              <w:right w:val="single" w:sz="8" w:space="0" w:color="auto"/>
            </w:tcBorders>
            <w:vAlign w:val="center"/>
            <w:hideMark/>
          </w:tcPr>
          <w:p w:rsidR="00284A41" w:rsidRPr="00284A41" w:rsidP="00F27E69" w14:paraId="450DF926" w14:textId="77777777">
            <w:pPr>
              <w:ind w:firstLine="200" w:firstLineChars="100"/>
              <w:jc w:val="right"/>
              <w:rPr>
                <w:rFonts w:ascii="Times New Roman" w:hAnsi="Times New Roman"/>
                <w:color w:val="000000"/>
                <w:sz w:val="20"/>
              </w:rPr>
            </w:pPr>
            <w:r w:rsidRPr="00284A41">
              <w:rPr>
                <w:rFonts w:ascii="Times New Roman" w:hAnsi="Times New Roman"/>
                <w:color w:val="000000"/>
                <w:sz w:val="20"/>
              </w:rPr>
              <w:t xml:space="preserve">$149.45 </w:t>
            </w:r>
          </w:p>
        </w:tc>
      </w:tr>
      <w:tr w14:paraId="4D6CCA37" w14:textId="77777777" w:rsidTr="00284A41">
        <w:tblPrEx>
          <w:tblW w:w="10201" w:type="dxa"/>
          <w:tblInd w:w="-543" w:type="dxa"/>
          <w:tblCellMar>
            <w:top w:w="15" w:type="dxa"/>
          </w:tblCellMar>
          <w:tblLook w:val="04A0"/>
        </w:tblPrEx>
        <w:trPr>
          <w:trHeight w:val="300"/>
        </w:trPr>
        <w:tc>
          <w:tcPr>
            <w:tcW w:w="8790" w:type="dxa"/>
            <w:gridSpan w:val="8"/>
            <w:tcBorders>
              <w:top w:val="single" w:sz="8" w:space="0" w:color="auto"/>
              <w:left w:val="single" w:sz="8" w:space="0" w:color="auto"/>
              <w:bottom w:val="single" w:sz="8" w:space="0" w:color="auto"/>
              <w:right w:val="single" w:sz="8" w:space="0" w:color="auto"/>
            </w:tcBorders>
            <w:vAlign w:val="center"/>
            <w:hideMark/>
          </w:tcPr>
          <w:p w:rsidR="00284A41" w:rsidRPr="00284A41" w:rsidP="00F27E69" w14:paraId="3452C4A9" w14:textId="77777777">
            <w:pPr>
              <w:jc w:val="right"/>
              <w:rPr>
                <w:rFonts w:ascii="Times New Roman" w:hAnsi="Times New Roman"/>
                <w:b/>
                <w:bCs/>
                <w:i/>
                <w:iCs/>
                <w:color w:val="000000"/>
              </w:rPr>
            </w:pPr>
            <w:r w:rsidRPr="00284A41">
              <w:rPr>
                <w:rFonts w:ascii="Times New Roman" w:hAnsi="Times New Roman"/>
                <w:b/>
                <w:bCs/>
                <w:i/>
                <w:iCs/>
                <w:color w:val="000000"/>
              </w:rPr>
              <w:t>Weighted Average Hourly Compensation Rate:</w:t>
            </w:r>
          </w:p>
        </w:tc>
        <w:tc>
          <w:tcPr>
            <w:tcW w:w="1411" w:type="dxa"/>
            <w:tcBorders>
              <w:top w:val="nil"/>
              <w:left w:val="nil"/>
              <w:bottom w:val="single" w:sz="8" w:space="0" w:color="auto"/>
              <w:right w:val="single" w:sz="8" w:space="0" w:color="auto"/>
            </w:tcBorders>
            <w:vAlign w:val="center"/>
            <w:hideMark/>
          </w:tcPr>
          <w:p w:rsidR="00284A41" w:rsidRPr="00284A41" w:rsidP="00F27E69" w14:paraId="664F583E" w14:textId="77777777">
            <w:pPr>
              <w:ind w:firstLine="240" w:firstLineChars="100"/>
              <w:jc w:val="right"/>
              <w:rPr>
                <w:rFonts w:ascii="Times New Roman" w:hAnsi="Times New Roman"/>
                <w:b/>
                <w:bCs/>
                <w:i/>
                <w:iCs/>
                <w:color w:val="000000"/>
              </w:rPr>
            </w:pPr>
            <w:r w:rsidRPr="00284A41">
              <w:rPr>
                <w:rFonts w:ascii="Times New Roman" w:hAnsi="Times New Roman"/>
                <w:b/>
                <w:bCs/>
                <w:i/>
                <w:iCs/>
                <w:color w:val="000000"/>
              </w:rPr>
              <w:t xml:space="preserve">$149.45 </w:t>
            </w:r>
          </w:p>
        </w:tc>
      </w:tr>
      <w:tr w14:paraId="7AE4A7D1" w14:textId="77777777" w:rsidTr="00284A41">
        <w:tblPrEx>
          <w:tblW w:w="10201" w:type="dxa"/>
          <w:tblInd w:w="-543" w:type="dxa"/>
          <w:tblCellMar>
            <w:top w:w="15" w:type="dxa"/>
          </w:tblCellMar>
          <w:tblLook w:val="04A0"/>
        </w:tblPrEx>
        <w:trPr>
          <w:trHeight w:val="276"/>
        </w:trPr>
        <w:tc>
          <w:tcPr>
            <w:tcW w:w="10201" w:type="dxa"/>
            <w:gridSpan w:val="9"/>
            <w:tcBorders>
              <w:top w:val="single" w:sz="8" w:space="0" w:color="auto"/>
              <w:left w:val="single" w:sz="8" w:space="0" w:color="auto"/>
              <w:bottom w:val="single" w:sz="4" w:space="0" w:color="auto"/>
              <w:right w:val="single" w:sz="8" w:space="0" w:color="000000"/>
            </w:tcBorders>
            <w:hideMark/>
          </w:tcPr>
          <w:p w:rsidR="00284A41" w:rsidRPr="00284A41" w:rsidP="00F27E69" w14:paraId="619677B8" w14:textId="76E7CF42">
            <w:pPr>
              <w:rPr>
                <w:rFonts w:ascii="Times New Roman" w:hAnsi="Times New Roman"/>
                <w:color w:val="000000"/>
                <w:sz w:val="18"/>
                <w:szCs w:val="18"/>
              </w:rPr>
            </w:pPr>
            <w:r w:rsidRPr="00284A41">
              <w:rPr>
                <w:rFonts w:ascii="Times New Roman" w:hAnsi="Times New Roman"/>
                <w:color w:val="000000"/>
                <w:sz w:val="18"/>
                <w:szCs w:val="18"/>
              </w:rPr>
              <w:t xml:space="preserve">Source: Bureau of Labor Statistics </w:t>
            </w:r>
          </w:p>
        </w:tc>
      </w:tr>
    </w:tbl>
    <w:tbl>
      <w:tblPr>
        <w:tblpPr w:leftFromText="180" w:rightFromText="180" w:vertAnchor="text" w:horzAnchor="margin" w:tblpXSpec="center" w:tblpY="397"/>
        <w:tblW w:w="10293" w:type="dxa"/>
        <w:tblLook w:val="04A0"/>
      </w:tblPr>
      <w:tblGrid>
        <w:gridCol w:w="2314"/>
        <w:gridCol w:w="2948"/>
        <w:gridCol w:w="2889"/>
        <w:gridCol w:w="2142"/>
      </w:tblGrid>
      <w:tr w14:paraId="0CC37C75" w14:textId="77777777" w:rsidTr="00FE078F">
        <w:tblPrEx>
          <w:tblW w:w="10293" w:type="dxa"/>
          <w:tblLook w:val="04A0"/>
        </w:tblPrEx>
        <w:trPr>
          <w:trHeight w:val="349"/>
        </w:trPr>
        <w:tc>
          <w:tcPr>
            <w:tcW w:w="10293" w:type="dxa"/>
            <w:gridSpan w:val="4"/>
            <w:tcBorders>
              <w:top w:val="single" w:sz="8" w:space="0" w:color="auto"/>
              <w:left w:val="single" w:sz="8" w:space="0" w:color="auto"/>
              <w:bottom w:val="single" w:sz="8" w:space="0" w:color="auto"/>
              <w:right w:val="single" w:sz="8" w:space="0" w:color="000000"/>
            </w:tcBorders>
            <w:noWrap/>
            <w:vAlign w:val="center"/>
            <w:hideMark/>
          </w:tcPr>
          <w:p w:rsidR="00FD0AA5" w:rsidRPr="00FD0AA5" w:rsidP="00FE078F" w14:paraId="0A8E363D" w14:textId="77777777">
            <w:pPr>
              <w:jc w:val="center"/>
              <w:rPr>
                <w:rFonts w:ascii="Times New Roman" w:hAnsi="Times New Roman"/>
                <w:color w:val="000000"/>
                <w:szCs w:val="24"/>
              </w:rPr>
            </w:pPr>
            <w:r w:rsidRPr="00FD0AA5">
              <w:rPr>
                <w:rFonts w:ascii="Times New Roman" w:hAnsi="Times New Roman"/>
                <w:color w:val="000000"/>
                <w:szCs w:val="24"/>
              </w:rPr>
              <w:t>Table 3. Total Estimated Cost Burden (OMB No. 3064-0061)</w:t>
            </w:r>
          </w:p>
        </w:tc>
      </w:tr>
      <w:tr w14:paraId="4CD75965" w14:textId="77777777" w:rsidTr="00FE078F">
        <w:tblPrEx>
          <w:tblW w:w="10293" w:type="dxa"/>
          <w:tblLook w:val="04A0"/>
        </w:tblPrEx>
        <w:trPr>
          <w:trHeight w:val="582"/>
        </w:trPr>
        <w:tc>
          <w:tcPr>
            <w:tcW w:w="2314" w:type="dxa"/>
            <w:tcBorders>
              <w:top w:val="nil"/>
              <w:left w:val="single" w:sz="8" w:space="0" w:color="auto"/>
              <w:bottom w:val="single" w:sz="8" w:space="0" w:color="auto"/>
              <w:right w:val="single" w:sz="8" w:space="0" w:color="auto"/>
            </w:tcBorders>
            <w:vAlign w:val="center"/>
            <w:hideMark/>
          </w:tcPr>
          <w:p w:rsidR="00FD0AA5" w:rsidRPr="00FD0AA5" w:rsidP="00FE078F" w14:paraId="428A541E" w14:textId="77777777">
            <w:pPr>
              <w:rPr>
                <w:rFonts w:ascii="Times New Roman" w:hAnsi="Times New Roman"/>
                <w:color w:val="000000"/>
                <w:sz w:val="20"/>
              </w:rPr>
            </w:pPr>
            <w:r w:rsidRPr="00FD0AA5">
              <w:rPr>
                <w:rFonts w:ascii="Times New Roman" w:hAnsi="Times New Roman"/>
                <w:color w:val="000000"/>
                <w:sz w:val="20"/>
              </w:rPr>
              <w:t>Information Collection Request</w:t>
            </w:r>
          </w:p>
        </w:tc>
        <w:tc>
          <w:tcPr>
            <w:tcW w:w="2948" w:type="dxa"/>
            <w:tcBorders>
              <w:top w:val="nil"/>
              <w:left w:val="nil"/>
              <w:bottom w:val="single" w:sz="8" w:space="0" w:color="auto"/>
              <w:right w:val="single" w:sz="8" w:space="0" w:color="auto"/>
            </w:tcBorders>
            <w:vAlign w:val="center"/>
            <w:hideMark/>
          </w:tcPr>
          <w:p w:rsidR="00FD0AA5" w:rsidRPr="00FD0AA5" w:rsidP="00FE078F" w14:paraId="4FC9E4E7" w14:textId="77777777">
            <w:pPr>
              <w:jc w:val="center"/>
              <w:rPr>
                <w:rFonts w:ascii="Times New Roman" w:hAnsi="Times New Roman"/>
                <w:color w:val="000000"/>
                <w:sz w:val="20"/>
              </w:rPr>
            </w:pPr>
            <w:r w:rsidRPr="00FD0AA5">
              <w:rPr>
                <w:rFonts w:ascii="Times New Roman" w:hAnsi="Times New Roman"/>
                <w:color w:val="000000"/>
                <w:sz w:val="20"/>
              </w:rPr>
              <w:t>Annual Burden (Hours)</w:t>
            </w:r>
          </w:p>
        </w:tc>
        <w:tc>
          <w:tcPr>
            <w:tcW w:w="2887" w:type="dxa"/>
            <w:tcBorders>
              <w:top w:val="nil"/>
              <w:left w:val="nil"/>
              <w:bottom w:val="single" w:sz="8" w:space="0" w:color="auto"/>
              <w:right w:val="single" w:sz="8" w:space="0" w:color="auto"/>
            </w:tcBorders>
            <w:vAlign w:val="center"/>
            <w:hideMark/>
          </w:tcPr>
          <w:p w:rsidR="00FD0AA5" w:rsidRPr="00FD0AA5" w:rsidP="00FE078F" w14:paraId="0F5F623D" w14:textId="77777777">
            <w:pPr>
              <w:jc w:val="center"/>
              <w:rPr>
                <w:rFonts w:ascii="Times New Roman" w:hAnsi="Times New Roman"/>
                <w:color w:val="000000"/>
                <w:sz w:val="20"/>
              </w:rPr>
            </w:pPr>
            <w:r w:rsidRPr="00FD0AA5">
              <w:rPr>
                <w:rFonts w:ascii="Times New Roman" w:hAnsi="Times New Roman"/>
                <w:color w:val="000000"/>
                <w:sz w:val="20"/>
              </w:rPr>
              <w:t>Weighted Average Hourly Compensation Rate</w:t>
            </w:r>
          </w:p>
        </w:tc>
        <w:tc>
          <w:tcPr>
            <w:tcW w:w="2142" w:type="dxa"/>
            <w:tcBorders>
              <w:top w:val="nil"/>
              <w:left w:val="nil"/>
              <w:bottom w:val="single" w:sz="8" w:space="0" w:color="auto"/>
              <w:right w:val="single" w:sz="8" w:space="0" w:color="auto"/>
            </w:tcBorders>
            <w:vAlign w:val="center"/>
            <w:hideMark/>
          </w:tcPr>
          <w:p w:rsidR="00FD0AA5" w:rsidRPr="00FD0AA5" w:rsidP="00FE078F" w14:paraId="59487C59" w14:textId="77777777">
            <w:pPr>
              <w:jc w:val="center"/>
              <w:rPr>
                <w:rFonts w:ascii="Times New Roman" w:hAnsi="Times New Roman"/>
                <w:color w:val="000000"/>
                <w:sz w:val="20"/>
              </w:rPr>
            </w:pPr>
            <w:r w:rsidRPr="00FD0AA5">
              <w:rPr>
                <w:rFonts w:ascii="Times New Roman" w:hAnsi="Times New Roman"/>
                <w:color w:val="000000"/>
                <w:sz w:val="20"/>
              </w:rPr>
              <w:t>Annual Respondent Cost</w:t>
            </w:r>
          </w:p>
        </w:tc>
      </w:tr>
      <w:tr w14:paraId="5CC75124" w14:textId="77777777" w:rsidTr="00FE078F">
        <w:tblPrEx>
          <w:tblW w:w="10293" w:type="dxa"/>
          <w:tblLook w:val="04A0"/>
        </w:tblPrEx>
        <w:trPr>
          <w:trHeight w:val="838"/>
        </w:trPr>
        <w:tc>
          <w:tcPr>
            <w:tcW w:w="2314" w:type="dxa"/>
            <w:tcBorders>
              <w:top w:val="nil"/>
              <w:left w:val="single" w:sz="8" w:space="0" w:color="auto"/>
              <w:bottom w:val="single" w:sz="8" w:space="0" w:color="auto"/>
              <w:right w:val="single" w:sz="8" w:space="0" w:color="auto"/>
            </w:tcBorders>
            <w:vAlign w:val="center"/>
            <w:hideMark/>
          </w:tcPr>
          <w:p w:rsidR="00FD0AA5" w:rsidRPr="00FD0AA5" w:rsidP="00FE078F" w14:paraId="7C8D4337" w14:textId="77777777">
            <w:pPr>
              <w:rPr>
                <w:rFonts w:ascii="Times New Roman" w:hAnsi="Times New Roman"/>
                <w:color w:val="000000"/>
                <w:sz w:val="20"/>
              </w:rPr>
            </w:pPr>
            <w:r w:rsidRPr="00FD0AA5">
              <w:rPr>
                <w:rFonts w:ascii="Times New Roman" w:hAnsi="Times New Roman"/>
                <w:color w:val="000000"/>
                <w:sz w:val="20"/>
              </w:rPr>
              <w:t>Summary of Deposits</w:t>
            </w:r>
          </w:p>
        </w:tc>
        <w:tc>
          <w:tcPr>
            <w:tcW w:w="2948" w:type="dxa"/>
            <w:tcBorders>
              <w:top w:val="nil"/>
              <w:left w:val="nil"/>
              <w:bottom w:val="single" w:sz="8" w:space="0" w:color="auto"/>
              <w:right w:val="single" w:sz="8" w:space="0" w:color="auto"/>
            </w:tcBorders>
            <w:noWrap/>
            <w:vAlign w:val="center"/>
            <w:hideMark/>
          </w:tcPr>
          <w:p w:rsidR="00FD0AA5" w:rsidRPr="00FD0AA5" w:rsidP="00FE078F" w14:paraId="525898C7" w14:textId="77777777">
            <w:pPr>
              <w:ind w:firstLine="400" w:firstLineChars="200"/>
              <w:jc w:val="right"/>
              <w:rPr>
                <w:rFonts w:ascii="Times New Roman" w:hAnsi="Times New Roman"/>
                <w:color w:val="000000"/>
                <w:sz w:val="20"/>
              </w:rPr>
            </w:pPr>
            <w:r w:rsidRPr="00FD0AA5">
              <w:rPr>
                <w:rFonts w:ascii="Times New Roman" w:hAnsi="Times New Roman"/>
                <w:color w:val="000000"/>
                <w:sz w:val="20"/>
              </w:rPr>
              <w:t xml:space="preserve">                                            10,953 </w:t>
            </w:r>
          </w:p>
        </w:tc>
        <w:tc>
          <w:tcPr>
            <w:tcW w:w="2887" w:type="dxa"/>
            <w:tcBorders>
              <w:top w:val="nil"/>
              <w:left w:val="nil"/>
              <w:bottom w:val="single" w:sz="8" w:space="0" w:color="auto"/>
              <w:right w:val="single" w:sz="8" w:space="0" w:color="auto"/>
            </w:tcBorders>
            <w:noWrap/>
            <w:vAlign w:val="center"/>
            <w:hideMark/>
          </w:tcPr>
          <w:p w:rsidR="00FD0AA5" w:rsidRPr="00FD0AA5" w:rsidP="00FE078F" w14:paraId="2BE9F79D" w14:textId="77777777">
            <w:pPr>
              <w:ind w:firstLine="200" w:firstLineChars="100"/>
              <w:jc w:val="right"/>
              <w:rPr>
                <w:rFonts w:ascii="Times New Roman" w:hAnsi="Times New Roman"/>
                <w:color w:val="000000"/>
                <w:sz w:val="20"/>
              </w:rPr>
            </w:pPr>
            <w:r w:rsidRPr="00FD0AA5">
              <w:rPr>
                <w:rFonts w:ascii="Times New Roman" w:hAnsi="Times New Roman"/>
                <w:color w:val="000000"/>
                <w:sz w:val="20"/>
              </w:rPr>
              <w:t>$149.45</w:t>
            </w:r>
          </w:p>
        </w:tc>
        <w:tc>
          <w:tcPr>
            <w:tcW w:w="2142" w:type="dxa"/>
            <w:tcBorders>
              <w:top w:val="nil"/>
              <w:left w:val="nil"/>
              <w:bottom w:val="single" w:sz="8" w:space="0" w:color="auto"/>
              <w:right w:val="single" w:sz="8" w:space="0" w:color="auto"/>
            </w:tcBorders>
            <w:noWrap/>
            <w:vAlign w:val="center"/>
            <w:hideMark/>
          </w:tcPr>
          <w:p w:rsidR="00FD0AA5" w:rsidRPr="00FD0AA5" w:rsidP="00FE078F" w14:paraId="49CD1C66" w14:textId="77777777">
            <w:pPr>
              <w:ind w:firstLine="200" w:firstLineChars="100"/>
              <w:jc w:val="right"/>
              <w:rPr>
                <w:rFonts w:ascii="Times New Roman" w:hAnsi="Times New Roman"/>
                <w:color w:val="000000"/>
                <w:sz w:val="20"/>
              </w:rPr>
            </w:pPr>
            <w:r w:rsidRPr="00FD0AA5">
              <w:rPr>
                <w:rFonts w:ascii="Times New Roman" w:hAnsi="Times New Roman"/>
                <w:color w:val="000000"/>
                <w:sz w:val="20"/>
              </w:rPr>
              <w:t>$1,636,926</w:t>
            </w:r>
          </w:p>
        </w:tc>
      </w:tr>
      <w:tr w14:paraId="01651429" w14:textId="77777777" w:rsidTr="00FE078F">
        <w:tblPrEx>
          <w:tblW w:w="10293" w:type="dxa"/>
          <w:tblLook w:val="04A0"/>
        </w:tblPrEx>
        <w:trPr>
          <w:trHeight w:val="349"/>
        </w:trPr>
        <w:tc>
          <w:tcPr>
            <w:tcW w:w="8151"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FD0AA5" w:rsidRPr="00FD0AA5" w:rsidP="00FE078F" w14:paraId="6580B4FB" w14:textId="77777777">
            <w:pPr>
              <w:jc w:val="right"/>
              <w:rPr>
                <w:rFonts w:ascii="Times New Roman" w:hAnsi="Times New Roman"/>
                <w:b/>
                <w:bCs/>
                <w:i/>
                <w:iCs/>
                <w:color w:val="000000"/>
              </w:rPr>
            </w:pPr>
            <w:r w:rsidRPr="00FD0AA5">
              <w:rPr>
                <w:rFonts w:ascii="Times New Roman" w:hAnsi="Times New Roman"/>
                <w:b/>
                <w:bCs/>
                <w:i/>
                <w:iCs/>
                <w:color w:val="000000"/>
              </w:rPr>
              <w:t>Total Annual Respondent Cost:</w:t>
            </w:r>
          </w:p>
        </w:tc>
        <w:tc>
          <w:tcPr>
            <w:tcW w:w="2142" w:type="dxa"/>
            <w:tcBorders>
              <w:top w:val="nil"/>
              <w:left w:val="nil"/>
              <w:bottom w:val="single" w:sz="8" w:space="0" w:color="auto"/>
              <w:right w:val="single" w:sz="8" w:space="0" w:color="auto"/>
            </w:tcBorders>
            <w:shd w:val="clear" w:color="000000" w:fill="FFFFFF"/>
            <w:vAlign w:val="center"/>
            <w:hideMark/>
          </w:tcPr>
          <w:p w:rsidR="00FD0AA5" w:rsidRPr="00FD0AA5" w:rsidP="00FE078F" w14:paraId="15ABF866" w14:textId="77777777">
            <w:pPr>
              <w:ind w:firstLine="240" w:firstLineChars="100"/>
              <w:jc w:val="right"/>
              <w:rPr>
                <w:rFonts w:ascii="Times New Roman" w:hAnsi="Times New Roman"/>
                <w:b/>
                <w:bCs/>
                <w:i/>
                <w:iCs/>
                <w:color w:val="000000"/>
              </w:rPr>
            </w:pPr>
            <w:r w:rsidRPr="00FD0AA5">
              <w:rPr>
                <w:rFonts w:ascii="Times New Roman" w:hAnsi="Times New Roman"/>
                <w:b/>
                <w:bCs/>
                <w:i/>
                <w:iCs/>
                <w:color w:val="000000"/>
              </w:rPr>
              <w:t xml:space="preserve">$1,636,926 </w:t>
            </w:r>
          </w:p>
        </w:tc>
      </w:tr>
      <w:tr w14:paraId="60720234" w14:textId="77777777" w:rsidTr="00FE078F">
        <w:tblPrEx>
          <w:tblW w:w="10293" w:type="dxa"/>
          <w:tblLook w:val="04A0"/>
        </w:tblPrEx>
        <w:trPr>
          <w:trHeight w:val="317"/>
        </w:trPr>
        <w:tc>
          <w:tcPr>
            <w:tcW w:w="10293" w:type="dxa"/>
            <w:gridSpan w:val="4"/>
            <w:tcBorders>
              <w:top w:val="single" w:sz="8" w:space="0" w:color="auto"/>
              <w:left w:val="single" w:sz="8" w:space="0" w:color="auto"/>
              <w:bottom w:val="single" w:sz="8" w:space="0" w:color="auto"/>
              <w:right w:val="single" w:sz="8" w:space="0" w:color="000000"/>
            </w:tcBorders>
            <w:noWrap/>
            <w:hideMark/>
          </w:tcPr>
          <w:p w:rsidR="00FD0AA5" w:rsidRPr="00FD0AA5" w:rsidP="00FE078F" w14:paraId="1DC317BA" w14:textId="77777777">
            <w:pPr>
              <w:rPr>
                <w:rFonts w:ascii="Times New Roman" w:hAnsi="Times New Roman"/>
                <w:color w:val="000000"/>
                <w:sz w:val="18"/>
                <w:szCs w:val="18"/>
              </w:rPr>
            </w:pPr>
            <w:r w:rsidRPr="00FD0AA5">
              <w:rPr>
                <w:rFonts w:ascii="Times New Roman" w:hAnsi="Times New Roman"/>
                <w:color w:val="000000"/>
                <w:sz w:val="18"/>
                <w:szCs w:val="18"/>
              </w:rPr>
              <w:t>Source: FDIC.</w:t>
            </w:r>
          </w:p>
        </w:tc>
      </w:tr>
    </w:tbl>
    <w:p w:rsidR="00C864DB" w14:paraId="46E24595" w14:textId="77777777">
      <w:pPr>
        <w:rPr>
          <w:rFonts w:ascii="Times New Roman" w:hAnsi="Times New Roman"/>
        </w:rPr>
      </w:pPr>
    </w:p>
    <w:p w:rsidR="00C864DB" w14:paraId="0E9DA44B" w14:textId="77777777">
      <w:pPr>
        <w:rPr>
          <w:rFonts w:ascii="Times New Roman" w:hAnsi="Times New Roman"/>
        </w:rPr>
      </w:pPr>
    </w:p>
    <w:p w:rsidR="00AD0DCA" w14:paraId="18936386" w14:textId="77777777">
      <w:pPr>
        <w:rPr>
          <w:rFonts w:ascii="Times New Roman" w:hAnsi="Times New Roman"/>
        </w:rPr>
      </w:pPr>
    </w:p>
    <w:p w:rsidR="007B6C63" w:rsidRPr="000B0581" w:rsidP="000B0581" w14:paraId="4134C08B" w14:textId="77777777">
      <w:pPr>
        <w:keepNext/>
        <w:tabs>
          <w:tab w:val="left" w:pos="-1440"/>
        </w:tabs>
        <w:ind w:left="720" w:hanging="360"/>
        <w:rPr>
          <w:rFonts w:ascii="Times New Roman" w:hAnsi="Times New Roman"/>
          <w:b/>
          <w:u w:val="single"/>
        </w:rPr>
      </w:pPr>
      <w:r>
        <w:rPr>
          <w:rFonts w:ascii="Times New Roman" w:hAnsi="Times New Roman"/>
        </w:rPr>
        <w:t>13.</w:t>
      </w:r>
      <w:r>
        <w:rPr>
          <w:rFonts w:ascii="Times New Roman" w:hAnsi="Times New Roman"/>
        </w:rPr>
        <w:tab/>
      </w:r>
      <w:r w:rsidRPr="000B0581" w:rsidR="00523B22">
        <w:rPr>
          <w:rFonts w:ascii="Times New Roman" w:hAnsi="Times New Roman"/>
          <w:b/>
          <w:bCs/>
          <w:iCs/>
          <w:u w:val="single"/>
        </w:rPr>
        <w:t>Estimate</w:t>
      </w:r>
      <w:r w:rsidRPr="000B0581" w:rsidR="00523B22">
        <w:rPr>
          <w:rFonts w:ascii="Times New Roman" w:hAnsi="Times New Roman"/>
          <w:b/>
          <w:bCs/>
          <w:szCs w:val="24"/>
          <w:u w:val="single"/>
        </w:rPr>
        <w:t xml:space="preserve"> of </w:t>
      </w:r>
      <w:r w:rsidRPr="000B0581" w:rsidR="00523B22">
        <w:rPr>
          <w:rFonts w:ascii="Times New Roman" w:hAnsi="Times New Roman"/>
          <w:b/>
          <w:u w:val="single"/>
        </w:rPr>
        <w:t>start</w:t>
      </w:r>
      <w:r w:rsidRPr="000B0581" w:rsidR="00523B22">
        <w:rPr>
          <w:rFonts w:ascii="Times New Roman" w:hAnsi="Times New Roman"/>
          <w:b/>
          <w:bCs/>
          <w:szCs w:val="24"/>
          <w:u w:val="single"/>
        </w:rPr>
        <w:t>-up costs to respondents:</w:t>
      </w:r>
    </w:p>
    <w:p w:rsidR="007B6C63" w:rsidRPr="000B0581" w14:paraId="1FCB79BA" w14:textId="77777777">
      <w:pPr>
        <w:rPr>
          <w:rFonts w:ascii="Times New Roman" w:hAnsi="Times New Roman"/>
          <w:b/>
          <w:u w:val="single"/>
        </w:rPr>
      </w:pPr>
    </w:p>
    <w:p w:rsidR="007B6C63" w:rsidP="000B0581" w14:paraId="5C099741" w14:textId="77777777">
      <w:pPr>
        <w:ind w:left="720"/>
        <w:rPr>
          <w:rFonts w:ascii="Times New Roman" w:hAnsi="Times New Roman"/>
        </w:rPr>
      </w:pPr>
      <w:r>
        <w:rPr>
          <w:rFonts w:ascii="Times New Roman" w:hAnsi="Times New Roman"/>
        </w:rPr>
        <w:t>No</w:t>
      </w:r>
      <w:r w:rsidR="000B0581">
        <w:rPr>
          <w:rFonts w:ascii="Times New Roman" w:hAnsi="Times New Roman"/>
        </w:rPr>
        <w:t>ne</w:t>
      </w:r>
      <w:r>
        <w:rPr>
          <w:rFonts w:ascii="Times New Roman" w:hAnsi="Times New Roman"/>
        </w:rPr>
        <w:t>.</w:t>
      </w:r>
    </w:p>
    <w:p w:rsidR="007B6C63" w14:paraId="76FC8BC6" w14:textId="77777777">
      <w:pPr>
        <w:rPr>
          <w:rFonts w:ascii="Times New Roman" w:hAnsi="Times New Roman"/>
        </w:rPr>
      </w:pPr>
    </w:p>
    <w:p w:rsidR="007B6C63" w:rsidP="00A1019D" w14:paraId="518B3219" w14:textId="77777777">
      <w:pPr>
        <w:tabs>
          <w:tab w:val="left" w:pos="-1440"/>
        </w:tabs>
        <w:ind w:left="720" w:hanging="360"/>
        <w:rPr>
          <w:rFonts w:ascii="Times New Roman" w:hAnsi="Times New Roman"/>
        </w:rPr>
      </w:pPr>
      <w:r>
        <w:rPr>
          <w:rFonts w:ascii="Times New Roman" w:hAnsi="Times New Roman"/>
        </w:rPr>
        <w:t>14.</w:t>
      </w:r>
      <w:r>
        <w:rPr>
          <w:rFonts w:ascii="Times New Roman" w:hAnsi="Times New Roman"/>
        </w:rPr>
        <w:tab/>
      </w:r>
      <w:r w:rsidRPr="00A1019D" w:rsidR="00523B22">
        <w:rPr>
          <w:rFonts w:ascii="Times New Roman" w:hAnsi="Times New Roman"/>
          <w:b/>
          <w:bCs/>
          <w:iCs/>
          <w:u w:val="single"/>
        </w:rPr>
        <w:t>Estimate</w:t>
      </w:r>
      <w:r w:rsidRPr="00D64624" w:rsidR="00523B22">
        <w:rPr>
          <w:rFonts w:ascii="Times New Roman" w:hAnsi="Times New Roman"/>
          <w:b/>
          <w:bCs/>
          <w:iCs/>
          <w:szCs w:val="24"/>
          <w:u w:val="single"/>
        </w:rPr>
        <w:t xml:space="preserve"> of annualized costs to the government:</w:t>
      </w:r>
    </w:p>
    <w:p w:rsidR="007B6C63" w14:paraId="640DDCFF" w14:textId="77777777">
      <w:pPr>
        <w:ind w:firstLine="720"/>
        <w:rPr>
          <w:rFonts w:ascii="Times New Roman" w:hAnsi="Times New Roman"/>
        </w:rPr>
      </w:pPr>
    </w:p>
    <w:p w:rsidR="007B6C63" w:rsidP="000B0581" w14:paraId="02E3FC68"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14:paraId="7F56C61E" w14:textId="77777777">
      <w:pPr>
        <w:rPr>
          <w:rFonts w:ascii="Times New Roman" w:hAnsi="Times New Roman"/>
        </w:rPr>
      </w:pPr>
    </w:p>
    <w:p w:rsidR="007B6C63" w:rsidP="00B61AD2" w14:paraId="3EFB70C6" w14:textId="77777777">
      <w:pPr>
        <w:keepNext/>
        <w:tabs>
          <w:tab w:val="left" w:pos="-1440"/>
        </w:tabs>
        <w:ind w:left="720" w:hanging="360"/>
        <w:rPr>
          <w:rFonts w:ascii="Times New Roman" w:hAnsi="Times New Roman"/>
        </w:rPr>
      </w:pPr>
      <w:r>
        <w:rPr>
          <w:rFonts w:ascii="Times New Roman" w:hAnsi="Times New Roman"/>
        </w:rPr>
        <w:t>15.</w:t>
      </w:r>
      <w:r>
        <w:rPr>
          <w:rFonts w:ascii="Times New Roman" w:hAnsi="Times New Roman"/>
        </w:rPr>
        <w:tab/>
      </w:r>
      <w:r w:rsidRPr="000B0581" w:rsidR="00523B22">
        <w:rPr>
          <w:rFonts w:ascii="Times New Roman" w:hAnsi="Times New Roman"/>
          <w:b/>
          <w:bCs/>
          <w:iCs/>
          <w:u w:val="single"/>
        </w:rPr>
        <w:t>Analysis</w:t>
      </w:r>
      <w:r w:rsidRPr="000B0581" w:rsidR="00523B22">
        <w:rPr>
          <w:rFonts w:ascii="Times New Roman" w:hAnsi="Times New Roman"/>
          <w:b/>
          <w:bCs/>
          <w:iCs/>
          <w:szCs w:val="24"/>
          <w:u w:val="single"/>
        </w:rPr>
        <w:t xml:space="preserve"> </w:t>
      </w:r>
      <w:r w:rsidRPr="000B0581" w:rsidR="00523B22">
        <w:rPr>
          <w:rFonts w:ascii="Times New Roman" w:hAnsi="Times New Roman"/>
          <w:b/>
          <w:u w:val="single"/>
        </w:rPr>
        <w:t>of</w:t>
      </w:r>
      <w:r w:rsidRPr="000B0581" w:rsidR="00523B22">
        <w:rPr>
          <w:rFonts w:ascii="Times New Roman" w:hAnsi="Times New Roman"/>
          <w:b/>
          <w:bCs/>
          <w:iCs/>
          <w:szCs w:val="24"/>
          <w:u w:val="single"/>
        </w:rPr>
        <w:t xml:space="preserve"> change in burden:</w:t>
      </w:r>
    </w:p>
    <w:p w:rsidR="007B6C63" w:rsidP="00B61AD2" w14:paraId="4F2240DC" w14:textId="77777777">
      <w:pPr>
        <w:keepNext/>
        <w:rPr>
          <w:rFonts w:ascii="Times New Roman" w:hAnsi="Times New Roman"/>
        </w:rPr>
      </w:pPr>
    </w:p>
    <w:p w:rsidR="007B6C63" w:rsidP="00B61AD2" w14:paraId="701F0518" w14:textId="2164EA86">
      <w:pPr>
        <w:keepNext/>
        <w:ind w:left="720"/>
        <w:rPr>
          <w:rFonts w:ascii="Times New Roman" w:hAnsi="Times New Roman"/>
        </w:rPr>
      </w:pPr>
      <w:r w:rsidRPr="007337D9">
        <w:rPr>
          <w:rFonts w:ascii="Times New Roman" w:hAnsi="Times New Roman"/>
        </w:rPr>
        <w:t xml:space="preserve">There is no change in the substance or methodology of this information collection. </w:t>
      </w:r>
      <w:r w:rsidRPr="007337D9" w:rsidR="00243D0C">
        <w:rPr>
          <w:rFonts w:ascii="Times New Roman" w:hAnsi="Times New Roman"/>
        </w:rPr>
        <w:t xml:space="preserve">The </w:t>
      </w:r>
      <w:r w:rsidR="00AA7313">
        <w:rPr>
          <w:rFonts w:ascii="Times New Roman" w:hAnsi="Times New Roman"/>
        </w:rPr>
        <w:t>e</w:t>
      </w:r>
      <w:r w:rsidR="006052A1">
        <w:rPr>
          <w:rFonts w:ascii="Times New Roman" w:hAnsi="Times New Roman"/>
        </w:rPr>
        <w:t xml:space="preserve">stimated annual burden </w:t>
      </w:r>
      <w:r w:rsidR="00521C23">
        <w:rPr>
          <w:rFonts w:ascii="Times New Roman" w:hAnsi="Times New Roman"/>
        </w:rPr>
        <w:t>decrease</w:t>
      </w:r>
      <w:r w:rsidR="00FD5321">
        <w:rPr>
          <w:rFonts w:ascii="Times New Roman" w:hAnsi="Times New Roman"/>
        </w:rPr>
        <w:t>d</w:t>
      </w:r>
      <w:r w:rsidR="00F412E2">
        <w:rPr>
          <w:rFonts w:ascii="Times New Roman" w:hAnsi="Times New Roman"/>
        </w:rPr>
        <w:t xml:space="preserve"> </w:t>
      </w:r>
      <w:r w:rsidR="006052A1">
        <w:rPr>
          <w:rFonts w:ascii="Times New Roman" w:hAnsi="Times New Roman"/>
        </w:rPr>
        <w:t>by 657 hours, f</w:t>
      </w:r>
      <w:r w:rsidR="00F412E2">
        <w:rPr>
          <w:rFonts w:ascii="Times New Roman" w:hAnsi="Times New Roman"/>
        </w:rPr>
        <w:t>rom 11,610</w:t>
      </w:r>
      <w:r w:rsidR="006052A1">
        <w:rPr>
          <w:rFonts w:ascii="Times New Roman" w:hAnsi="Times New Roman"/>
        </w:rPr>
        <w:t xml:space="preserve"> </w:t>
      </w:r>
      <w:r w:rsidR="007A4D83">
        <w:rPr>
          <w:rFonts w:ascii="Times New Roman" w:hAnsi="Times New Roman"/>
        </w:rPr>
        <w:t>to 10,953 hours</w:t>
      </w:r>
      <w:r w:rsidR="00335106">
        <w:rPr>
          <w:rFonts w:ascii="Times New Roman" w:hAnsi="Times New Roman"/>
        </w:rPr>
        <w:t>.</w:t>
      </w:r>
      <w:r w:rsidR="007A4D83">
        <w:rPr>
          <w:rFonts w:ascii="Times New Roman" w:hAnsi="Times New Roman"/>
        </w:rPr>
        <w:t xml:space="preserve"> The </w:t>
      </w:r>
      <w:r w:rsidRPr="007337D9" w:rsidR="00243D0C">
        <w:rPr>
          <w:rFonts w:ascii="Times New Roman" w:hAnsi="Times New Roman"/>
        </w:rPr>
        <w:t>change in burden is due</w:t>
      </w:r>
      <w:r w:rsidRPr="007337D9" w:rsidR="000B5588">
        <w:rPr>
          <w:rFonts w:ascii="Times New Roman" w:hAnsi="Times New Roman"/>
        </w:rPr>
        <w:t xml:space="preserve"> to a </w:t>
      </w:r>
      <w:r w:rsidRPr="007337D9" w:rsidR="00C06C77">
        <w:rPr>
          <w:rFonts w:ascii="Times New Roman" w:hAnsi="Times New Roman"/>
        </w:rPr>
        <w:t>de</w:t>
      </w:r>
      <w:r w:rsidRPr="007337D9" w:rsidR="000B5588">
        <w:rPr>
          <w:rFonts w:ascii="Times New Roman" w:hAnsi="Times New Roman"/>
        </w:rPr>
        <w:t xml:space="preserve">crease in the number of </w:t>
      </w:r>
      <w:r w:rsidRPr="007337D9" w:rsidR="00C06C77">
        <w:rPr>
          <w:rFonts w:ascii="Times New Roman" w:hAnsi="Times New Roman"/>
        </w:rPr>
        <w:t>respondents</w:t>
      </w:r>
      <w:r w:rsidR="00CF5B9C">
        <w:rPr>
          <w:rFonts w:ascii="Times New Roman" w:hAnsi="Times New Roman"/>
        </w:rPr>
        <w:t>.</w:t>
      </w:r>
      <w:r w:rsidRPr="007337D9" w:rsidR="000B5588">
        <w:rPr>
          <w:rFonts w:ascii="Times New Roman" w:hAnsi="Times New Roman"/>
        </w:rPr>
        <w:t xml:space="preserve"> </w:t>
      </w:r>
    </w:p>
    <w:p w:rsidR="00D35001" w:rsidRPr="00A1019D" w:rsidP="00A1019D" w14:paraId="71136D5D" w14:textId="77777777">
      <w:pPr>
        <w:tabs>
          <w:tab w:val="left" w:pos="-1440"/>
        </w:tabs>
        <w:ind w:left="720" w:hanging="360"/>
        <w:rPr>
          <w:rFonts w:ascii="Times New Roman" w:hAnsi="Times New Roman"/>
          <w:b/>
          <w:bCs/>
          <w:iCs/>
          <w:u w:val="single"/>
        </w:rPr>
      </w:pPr>
    </w:p>
    <w:p w:rsidR="00937218" w:rsidRPr="00D64624" w:rsidP="00A1019D" w14:paraId="11578E89" w14:textId="77777777">
      <w:pPr>
        <w:tabs>
          <w:tab w:val="left" w:pos="-1440"/>
        </w:tabs>
        <w:ind w:left="720" w:hanging="360"/>
        <w:rPr>
          <w:rFonts w:ascii="Times New Roman" w:hAnsi="Times New Roman"/>
          <w:b/>
          <w:szCs w:val="24"/>
          <w:u w:val="single"/>
        </w:rPr>
      </w:pPr>
      <w:r>
        <w:rPr>
          <w:rFonts w:ascii="Times New Roman" w:hAnsi="Times New Roman"/>
        </w:rPr>
        <w:t>16.</w:t>
      </w:r>
      <w:r>
        <w:rPr>
          <w:rFonts w:ascii="Times New Roman" w:hAnsi="Times New Roman"/>
        </w:rPr>
        <w:tab/>
      </w:r>
      <w:r w:rsidRPr="00A1019D">
        <w:rPr>
          <w:rFonts w:ascii="Times New Roman" w:hAnsi="Times New Roman"/>
          <w:b/>
          <w:bCs/>
          <w:iCs/>
          <w:u w:val="single"/>
        </w:rPr>
        <w:t>Information</w:t>
      </w:r>
      <w:r w:rsidRPr="00D64624">
        <w:rPr>
          <w:rFonts w:ascii="Times New Roman" w:hAnsi="Times New Roman"/>
          <w:b/>
          <w:szCs w:val="24"/>
          <w:u w:val="single"/>
        </w:rPr>
        <w:t xml:space="preserve"> regarding collections whose results are planned to be published for statistical use:</w:t>
      </w:r>
    </w:p>
    <w:p w:rsidR="007B6C63" w14:paraId="6703DA16" w14:textId="77777777">
      <w:pPr>
        <w:rPr>
          <w:rFonts w:ascii="Times New Roman" w:hAnsi="Times New Roman"/>
        </w:rPr>
      </w:pPr>
    </w:p>
    <w:p w:rsidR="007B6C63" w:rsidP="000B0581" w14:paraId="19D2604D" w14:textId="77777777">
      <w:pPr>
        <w:ind w:left="720"/>
        <w:rPr>
          <w:rFonts w:ascii="Times New Roman" w:hAnsi="Times New Roman"/>
        </w:rPr>
      </w:pPr>
      <w:r>
        <w:rPr>
          <w:rFonts w:ascii="Times New Roman" w:hAnsi="Times New Roman"/>
        </w:rPr>
        <w:t>All SOD data are available to the public on the FDIC’s web site.  Information which is normally published from this survey includes amounts of deposits (on an individual banking office basis) for MSAs, CMSAs, counties, states, and total in the United States.</w:t>
      </w:r>
    </w:p>
    <w:p w:rsidR="007B6C63" w14:paraId="36C52970" w14:textId="77777777">
      <w:pPr>
        <w:rPr>
          <w:rFonts w:ascii="Times New Roman" w:hAnsi="Times New Roman"/>
        </w:rPr>
      </w:pPr>
    </w:p>
    <w:p w:rsidR="007B6C63" w:rsidP="00A1019D" w14:paraId="44D381C2" w14:textId="77777777">
      <w:pPr>
        <w:tabs>
          <w:tab w:val="left" w:pos="-1440"/>
        </w:tabs>
        <w:ind w:left="720" w:hanging="360"/>
        <w:rPr>
          <w:rFonts w:ascii="Times New Roman" w:hAnsi="Times New Roman"/>
        </w:rPr>
      </w:pPr>
      <w:r>
        <w:rPr>
          <w:rFonts w:ascii="Times New Roman" w:hAnsi="Times New Roman"/>
        </w:rPr>
        <w:t>17.</w:t>
      </w:r>
      <w:r>
        <w:rPr>
          <w:rFonts w:ascii="Times New Roman" w:hAnsi="Times New Roman"/>
        </w:rPr>
        <w:tab/>
      </w:r>
      <w:r w:rsidRPr="00A1019D" w:rsidR="00937218">
        <w:rPr>
          <w:rFonts w:ascii="Times New Roman" w:hAnsi="Times New Roman"/>
          <w:b/>
          <w:bCs/>
          <w:iCs/>
          <w:u w:val="single"/>
        </w:rPr>
        <w:t>Display</w:t>
      </w:r>
      <w:r w:rsidRPr="00937218" w:rsidR="00937218">
        <w:rPr>
          <w:rFonts w:ascii="Times New Roman" w:hAnsi="Times New Roman"/>
          <w:b/>
          <w:u w:val="single"/>
        </w:rPr>
        <w:t xml:space="preserve"> of expiration d</w:t>
      </w:r>
      <w:r w:rsidRPr="00937218">
        <w:rPr>
          <w:rFonts w:ascii="Times New Roman" w:hAnsi="Times New Roman"/>
          <w:b/>
          <w:u w:val="single"/>
        </w:rPr>
        <w:t>ate</w:t>
      </w:r>
      <w:r w:rsidRPr="00937218" w:rsidR="00937218">
        <w:rPr>
          <w:rFonts w:ascii="Times New Roman" w:hAnsi="Times New Roman"/>
          <w:b/>
          <w:u w:val="single"/>
        </w:rPr>
        <w:t>:</w:t>
      </w:r>
    </w:p>
    <w:p w:rsidR="007B6C63" w14:paraId="0125C1AD" w14:textId="77777777">
      <w:pPr>
        <w:rPr>
          <w:rFonts w:ascii="Times New Roman" w:hAnsi="Times New Roman"/>
        </w:rPr>
      </w:pPr>
    </w:p>
    <w:p w:rsidR="007B6C63" w:rsidP="005119ED" w14:paraId="2083C74B" w14:textId="77777777">
      <w:pPr>
        <w:ind w:left="720"/>
        <w:rPr>
          <w:rFonts w:ascii="Times New Roman" w:hAnsi="Times New Roman"/>
          <w:szCs w:val="24"/>
        </w:rPr>
      </w:pPr>
      <w:r>
        <w:rPr>
          <w:rFonts w:ascii="Times New Roman" w:hAnsi="Times New Roman"/>
        </w:rPr>
        <w:t>The expiration date is displayed on Form FDIC 8020/05, “Summary of Deposits as of Close of Business June 30.”</w:t>
      </w:r>
    </w:p>
    <w:p w:rsidR="005119ED" w14:paraId="7A81399F" w14:textId="77777777">
      <w:pPr>
        <w:rPr>
          <w:rFonts w:ascii="Times New Roman" w:hAnsi="Times New Roman"/>
        </w:rPr>
      </w:pPr>
    </w:p>
    <w:p w:rsidR="007B6C63" w:rsidP="00A1019D" w14:paraId="4A8C8900" w14:textId="77777777">
      <w:pPr>
        <w:tabs>
          <w:tab w:val="left" w:pos="-1440"/>
        </w:tabs>
        <w:ind w:left="720" w:hanging="360"/>
        <w:rPr>
          <w:rFonts w:ascii="Times New Roman" w:hAnsi="Times New Roman"/>
        </w:rPr>
      </w:pPr>
      <w:r>
        <w:rPr>
          <w:rFonts w:ascii="Times New Roman" w:hAnsi="Times New Roman"/>
        </w:rPr>
        <w:t>18.</w:t>
      </w:r>
      <w:r>
        <w:rPr>
          <w:rFonts w:ascii="Times New Roman" w:hAnsi="Times New Roman"/>
        </w:rPr>
        <w:tab/>
      </w:r>
      <w:r w:rsidRPr="00A1019D" w:rsidR="00937218">
        <w:rPr>
          <w:rFonts w:ascii="Times New Roman" w:hAnsi="Times New Roman"/>
          <w:b/>
          <w:bCs/>
          <w:iCs/>
          <w:u w:val="single"/>
        </w:rPr>
        <w:t>Exceptions</w:t>
      </w:r>
      <w:r w:rsidRPr="00937218" w:rsidR="00937218">
        <w:rPr>
          <w:rFonts w:ascii="Times New Roman" w:hAnsi="Times New Roman"/>
          <w:b/>
          <w:u w:val="single"/>
        </w:rPr>
        <w:t xml:space="preserve"> to c</w:t>
      </w:r>
      <w:r w:rsidRPr="00937218">
        <w:rPr>
          <w:rFonts w:ascii="Times New Roman" w:hAnsi="Times New Roman"/>
          <w:b/>
          <w:u w:val="single"/>
        </w:rPr>
        <w:t>ertification</w:t>
      </w:r>
      <w:r w:rsidRPr="00937218" w:rsidR="00937218">
        <w:rPr>
          <w:rFonts w:ascii="Times New Roman" w:hAnsi="Times New Roman"/>
          <w:b/>
          <w:u w:val="single"/>
        </w:rPr>
        <w:t>:</w:t>
      </w:r>
    </w:p>
    <w:p w:rsidR="007B6C63" w:rsidP="00FC41DF" w14:paraId="0C70AD61" w14:textId="77777777">
      <w:pPr>
        <w:tabs>
          <w:tab w:val="left" w:pos="-1440"/>
        </w:tabs>
        <w:ind w:firstLine="360"/>
        <w:rPr>
          <w:rFonts w:ascii="Times New Roman" w:hAnsi="Times New Roman"/>
        </w:rPr>
      </w:pPr>
    </w:p>
    <w:p w:rsidR="007B6C63" w:rsidP="000B0581" w14:paraId="59B816B0"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rsidP="000B0581" w14:paraId="064B3D7A" w14:textId="77777777">
      <w:pPr>
        <w:ind w:left="720"/>
        <w:rPr>
          <w:rFonts w:ascii="Times New Roman" w:hAnsi="Times New Roman"/>
        </w:rPr>
      </w:pPr>
    </w:p>
    <w:p w:rsidR="007B6C63" w:rsidP="00715C41" w14:paraId="0F821524" w14:textId="77777777">
      <w:pPr>
        <w:keepNext/>
        <w:tabs>
          <w:tab w:val="left" w:pos="-1440"/>
        </w:tabs>
        <w:rPr>
          <w:rFonts w:ascii="Times New Roman" w:hAnsi="Times New Roman"/>
        </w:rPr>
      </w:pPr>
      <w:r>
        <w:rPr>
          <w:rFonts w:ascii="Times New Roman" w:hAnsi="Times New Roman"/>
        </w:rPr>
        <w:t>B.</w:t>
      </w:r>
      <w:r>
        <w:rPr>
          <w:rFonts w:ascii="Times New Roman" w:hAnsi="Times New Roman"/>
        </w:rPr>
        <w:tab/>
      </w:r>
      <w:r w:rsidR="00937218">
        <w:rPr>
          <w:rFonts w:ascii="Times New Roman" w:hAnsi="Times New Roman"/>
          <w:b/>
          <w:szCs w:val="24"/>
        </w:rPr>
        <w:t>COLLECTION OF INFORMATION EMPLOYING STATISTICAL METHODS</w:t>
      </w:r>
    </w:p>
    <w:p w:rsidR="007B6C63" w:rsidP="00715C41" w14:paraId="0C71B2D0" w14:textId="77777777">
      <w:pPr>
        <w:keepNext/>
        <w:rPr>
          <w:rFonts w:ascii="Times New Roman" w:hAnsi="Times New Roman"/>
        </w:rPr>
      </w:pPr>
    </w:p>
    <w:p w:rsidR="007B6C63" w:rsidP="00715C41" w14:paraId="00E599E7" w14:textId="77777777">
      <w:pPr>
        <w:keepNext/>
        <w:ind w:left="720"/>
        <w:rPr>
          <w:rFonts w:ascii="Times New Roman" w:hAnsi="Times New Roman"/>
        </w:rPr>
      </w:pPr>
      <w:r>
        <w:rPr>
          <w:rFonts w:ascii="Times New Roman" w:hAnsi="Times New Roman"/>
        </w:rPr>
        <w:t>Not applicable.</w:t>
      </w:r>
    </w:p>
    <w:p w:rsidR="007B6C63" w14:paraId="034DD936" w14:textId="77777777">
      <w:pPr>
        <w:rPr>
          <w:rFonts w:ascii="Times New Roman" w:hAnsi="Times New Roman"/>
        </w:rPr>
      </w:pPr>
    </w:p>
    <w:p w:rsidR="007B6C63" w14:paraId="5C929920" w14:textId="77777777">
      <w:pPr>
        <w:rPr>
          <w:rFonts w:ascii="Times New Roman" w:hAnsi="Times New Roman"/>
        </w:rPr>
      </w:pPr>
    </w:p>
    <w:sectPr>
      <w:headerReference w:type="even" r:id="rId5"/>
      <w:headerReference w:type="default" r:id="rId6"/>
      <w:footerReference w:type="even" r:id="rId7"/>
      <w:footerReference w:type="default" r:id="rId8"/>
      <w:headerReference w:type="first" r:id="rId9"/>
      <w:footerReference w:type="first" r:id="rId10"/>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PS">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D9F3E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C63" w14:paraId="78CA1C29" w14:textId="77777777">
    <w:pPr>
      <w:spacing w:line="240" w:lineRule="exact"/>
    </w:pPr>
  </w:p>
  <w:p w:rsidR="007B6C63" w14:paraId="7CA73884" w14:textId="77777777">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71540F">
      <w:rPr>
        <w:rFonts w:ascii="Times New Roman" w:hAnsi="Times New Roman"/>
        <w:noProof/>
      </w:rPr>
      <w:t>1</w:t>
    </w:r>
    <w:r>
      <w:rPr>
        <w:rFonts w:ascii="Times New Roman" w:hAnsi="Times New Roman"/>
      </w:rPr>
      <w:fldChar w:fldCharType="end"/>
    </w:r>
  </w:p>
  <w:p w:rsidR="007B6C63" w14:paraId="3630284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62BB93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9C157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1F2A8A4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34EAE0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3CFC"/>
    <w:multiLevelType w:val="hybridMultilevel"/>
    <w:tmpl w:val="2FF4FEAA"/>
    <w:lvl w:ilvl="0">
      <w:start w:val="16"/>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BA5A7B"/>
    <w:multiLevelType w:val="hybridMultilevel"/>
    <w:tmpl w:val="4F6C3130"/>
    <w:lvl w:ilvl="0">
      <w:start w:val="1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3C1D696F"/>
    <w:multiLevelType w:val="hybridMultilevel"/>
    <w:tmpl w:val="369A3B94"/>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nsid w:val="788721FE"/>
    <w:multiLevelType w:val="singleLevel"/>
    <w:tmpl w:val="6F94DAD4"/>
    <w:lvl w:ilvl="0">
      <w:start w:val="3"/>
      <w:numFmt w:val="decimal"/>
      <w:lvlText w:val="%1."/>
      <w:lvlJc w:val="left"/>
      <w:pPr>
        <w:tabs>
          <w:tab w:val="num" w:pos="720"/>
        </w:tabs>
        <w:ind w:left="720" w:hanging="720"/>
      </w:pPr>
      <w:rPr>
        <w:rFonts w:hint="default"/>
      </w:rPr>
    </w:lvl>
  </w:abstractNum>
  <w:num w:numId="1" w16cid:durableId="1027634275">
    <w:abstractNumId w:val="3"/>
  </w:num>
  <w:num w:numId="2" w16cid:durableId="2001929848">
    <w:abstractNumId w:val="1"/>
  </w:num>
  <w:num w:numId="3" w16cid:durableId="2030253149">
    <w:abstractNumId w:val="0"/>
  </w:num>
  <w:num w:numId="4" w16cid:durableId="141119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79"/>
    <w:rsid w:val="000002C9"/>
    <w:rsid w:val="00003E86"/>
    <w:rsid w:val="00015D89"/>
    <w:rsid w:val="000171AA"/>
    <w:rsid w:val="00076A5B"/>
    <w:rsid w:val="00083E06"/>
    <w:rsid w:val="000855E4"/>
    <w:rsid w:val="00093D0F"/>
    <w:rsid w:val="000B0581"/>
    <w:rsid w:val="000B5588"/>
    <w:rsid w:val="000C4F75"/>
    <w:rsid w:val="000F7E08"/>
    <w:rsid w:val="00125A5D"/>
    <w:rsid w:val="001305D1"/>
    <w:rsid w:val="00152280"/>
    <w:rsid w:val="00164400"/>
    <w:rsid w:val="00175893"/>
    <w:rsid w:val="00177720"/>
    <w:rsid w:val="001778A3"/>
    <w:rsid w:val="00182279"/>
    <w:rsid w:val="001A4626"/>
    <w:rsid w:val="001D78D3"/>
    <w:rsid w:val="001F4C55"/>
    <w:rsid w:val="00203F86"/>
    <w:rsid w:val="00220586"/>
    <w:rsid w:val="0022345F"/>
    <w:rsid w:val="002331BC"/>
    <w:rsid w:val="00234383"/>
    <w:rsid w:val="00234F5A"/>
    <w:rsid w:val="00240097"/>
    <w:rsid w:val="00242596"/>
    <w:rsid w:val="00243D0C"/>
    <w:rsid w:val="00245E41"/>
    <w:rsid w:val="00246351"/>
    <w:rsid w:val="00254B08"/>
    <w:rsid w:val="0025784A"/>
    <w:rsid w:val="002668A9"/>
    <w:rsid w:val="00266C54"/>
    <w:rsid w:val="00273C3A"/>
    <w:rsid w:val="00276213"/>
    <w:rsid w:val="00284A41"/>
    <w:rsid w:val="00285D59"/>
    <w:rsid w:val="0029398D"/>
    <w:rsid w:val="002A35F4"/>
    <w:rsid w:val="002A5F6B"/>
    <w:rsid w:val="002B1AFA"/>
    <w:rsid w:val="002E76F8"/>
    <w:rsid w:val="002F26D8"/>
    <w:rsid w:val="00304C3E"/>
    <w:rsid w:val="00335106"/>
    <w:rsid w:val="003514D6"/>
    <w:rsid w:val="00371017"/>
    <w:rsid w:val="00386C94"/>
    <w:rsid w:val="003A055C"/>
    <w:rsid w:val="003B3219"/>
    <w:rsid w:val="003E3404"/>
    <w:rsid w:val="003E5901"/>
    <w:rsid w:val="003F0288"/>
    <w:rsid w:val="003F2FF8"/>
    <w:rsid w:val="00414ECF"/>
    <w:rsid w:val="00435A15"/>
    <w:rsid w:val="00437618"/>
    <w:rsid w:val="00454007"/>
    <w:rsid w:val="00470B79"/>
    <w:rsid w:val="0048245A"/>
    <w:rsid w:val="004A5959"/>
    <w:rsid w:val="004B2F21"/>
    <w:rsid w:val="004C5B45"/>
    <w:rsid w:val="005119ED"/>
    <w:rsid w:val="00521C23"/>
    <w:rsid w:val="00523B22"/>
    <w:rsid w:val="0054621E"/>
    <w:rsid w:val="00563449"/>
    <w:rsid w:val="005709AF"/>
    <w:rsid w:val="005B79C4"/>
    <w:rsid w:val="005C5B63"/>
    <w:rsid w:val="005D08E2"/>
    <w:rsid w:val="005E5102"/>
    <w:rsid w:val="005E62DB"/>
    <w:rsid w:val="005F2F35"/>
    <w:rsid w:val="006052A1"/>
    <w:rsid w:val="00615BAD"/>
    <w:rsid w:val="00630C5C"/>
    <w:rsid w:val="0063734B"/>
    <w:rsid w:val="00653821"/>
    <w:rsid w:val="00655078"/>
    <w:rsid w:val="006823E7"/>
    <w:rsid w:val="00686F68"/>
    <w:rsid w:val="006B0048"/>
    <w:rsid w:val="006B3465"/>
    <w:rsid w:val="00702A9C"/>
    <w:rsid w:val="0071052F"/>
    <w:rsid w:val="0071540F"/>
    <w:rsid w:val="00715C41"/>
    <w:rsid w:val="00717C67"/>
    <w:rsid w:val="007337D9"/>
    <w:rsid w:val="007522EF"/>
    <w:rsid w:val="007562B8"/>
    <w:rsid w:val="007729D8"/>
    <w:rsid w:val="007A4D83"/>
    <w:rsid w:val="007B6C63"/>
    <w:rsid w:val="0080546E"/>
    <w:rsid w:val="00820F79"/>
    <w:rsid w:val="0082575F"/>
    <w:rsid w:val="00826F32"/>
    <w:rsid w:val="008332CE"/>
    <w:rsid w:val="00834179"/>
    <w:rsid w:val="00844536"/>
    <w:rsid w:val="00846A1A"/>
    <w:rsid w:val="00856473"/>
    <w:rsid w:val="008565C5"/>
    <w:rsid w:val="00862421"/>
    <w:rsid w:val="00863A45"/>
    <w:rsid w:val="00881712"/>
    <w:rsid w:val="008A7B8F"/>
    <w:rsid w:val="008B2102"/>
    <w:rsid w:val="008B3653"/>
    <w:rsid w:val="008C525B"/>
    <w:rsid w:val="009104FE"/>
    <w:rsid w:val="00913902"/>
    <w:rsid w:val="00921EFB"/>
    <w:rsid w:val="00937218"/>
    <w:rsid w:val="009557A1"/>
    <w:rsid w:val="0096157F"/>
    <w:rsid w:val="00990A9E"/>
    <w:rsid w:val="0099247D"/>
    <w:rsid w:val="009A3180"/>
    <w:rsid w:val="009B62D9"/>
    <w:rsid w:val="009B7A15"/>
    <w:rsid w:val="009C2BFF"/>
    <w:rsid w:val="009C759A"/>
    <w:rsid w:val="009F3C7D"/>
    <w:rsid w:val="00A0001C"/>
    <w:rsid w:val="00A1019D"/>
    <w:rsid w:val="00A152B6"/>
    <w:rsid w:val="00A21CE3"/>
    <w:rsid w:val="00A249E9"/>
    <w:rsid w:val="00A26153"/>
    <w:rsid w:val="00A270BF"/>
    <w:rsid w:val="00A3587A"/>
    <w:rsid w:val="00A47463"/>
    <w:rsid w:val="00A724ED"/>
    <w:rsid w:val="00A81BD7"/>
    <w:rsid w:val="00AA7313"/>
    <w:rsid w:val="00AB0163"/>
    <w:rsid w:val="00AD0DCA"/>
    <w:rsid w:val="00AE2BC6"/>
    <w:rsid w:val="00AF3A4A"/>
    <w:rsid w:val="00AF614A"/>
    <w:rsid w:val="00B06BE7"/>
    <w:rsid w:val="00B13760"/>
    <w:rsid w:val="00B17BBF"/>
    <w:rsid w:val="00B17C73"/>
    <w:rsid w:val="00B17F71"/>
    <w:rsid w:val="00B36309"/>
    <w:rsid w:val="00B37DD6"/>
    <w:rsid w:val="00B55F1F"/>
    <w:rsid w:val="00B61AD2"/>
    <w:rsid w:val="00B64991"/>
    <w:rsid w:val="00B66881"/>
    <w:rsid w:val="00B76DC2"/>
    <w:rsid w:val="00B977B5"/>
    <w:rsid w:val="00BD64F8"/>
    <w:rsid w:val="00BD7F95"/>
    <w:rsid w:val="00BF055D"/>
    <w:rsid w:val="00BF3B99"/>
    <w:rsid w:val="00BF7AE1"/>
    <w:rsid w:val="00C06C77"/>
    <w:rsid w:val="00C14D80"/>
    <w:rsid w:val="00C15DEE"/>
    <w:rsid w:val="00C24049"/>
    <w:rsid w:val="00C37C14"/>
    <w:rsid w:val="00C56A60"/>
    <w:rsid w:val="00C66621"/>
    <w:rsid w:val="00C750AB"/>
    <w:rsid w:val="00C772BC"/>
    <w:rsid w:val="00C8275D"/>
    <w:rsid w:val="00C858DF"/>
    <w:rsid w:val="00C864DB"/>
    <w:rsid w:val="00CB2ED5"/>
    <w:rsid w:val="00CC7A55"/>
    <w:rsid w:val="00CF2C13"/>
    <w:rsid w:val="00CF5B9C"/>
    <w:rsid w:val="00D0274E"/>
    <w:rsid w:val="00D14890"/>
    <w:rsid w:val="00D1720C"/>
    <w:rsid w:val="00D35001"/>
    <w:rsid w:val="00D50321"/>
    <w:rsid w:val="00D50914"/>
    <w:rsid w:val="00D55074"/>
    <w:rsid w:val="00D55987"/>
    <w:rsid w:val="00D5697B"/>
    <w:rsid w:val="00D64624"/>
    <w:rsid w:val="00D65C01"/>
    <w:rsid w:val="00D746BF"/>
    <w:rsid w:val="00D765D6"/>
    <w:rsid w:val="00D804A5"/>
    <w:rsid w:val="00DA5092"/>
    <w:rsid w:val="00DB2FBD"/>
    <w:rsid w:val="00DD29EA"/>
    <w:rsid w:val="00DE2D0B"/>
    <w:rsid w:val="00DE506D"/>
    <w:rsid w:val="00DF470A"/>
    <w:rsid w:val="00E11745"/>
    <w:rsid w:val="00E50911"/>
    <w:rsid w:val="00E76A29"/>
    <w:rsid w:val="00EB0A6A"/>
    <w:rsid w:val="00EC335B"/>
    <w:rsid w:val="00F01C6F"/>
    <w:rsid w:val="00F040F7"/>
    <w:rsid w:val="00F04445"/>
    <w:rsid w:val="00F24FA7"/>
    <w:rsid w:val="00F257C5"/>
    <w:rsid w:val="00F27E69"/>
    <w:rsid w:val="00F34CBE"/>
    <w:rsid w:val="00F412E2"/>
    <w:rsid w:val="00F568B8"/>
    <w:rsid w:val="00F90EAE"/>
    <w:rsid w:val="00F9430B"/>
    <w:rsid w:val="00F9748E"/>
    <w:rsid w:val="00FB759A"/>
    <w:rsid w:val="00FC0FB9"/>
    <w:rsid w:val="00FC41DF"/>
    <w:rsid w:val="00FC6915"/>
    <w:rsid w:val="00FC6E6C"/>
    <w:rsid w:val="00FD0AA5"/>
    <w:rsid w:val="00FD4959"/>
    <w:rsid w:val="00FD5321"/>
    <w:rsid w:val="00FE07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665E27B"/>
  <w15:chartTrackingRefBased/>
  <w15:docId w15:val="{7846AF8F-5085-4B6E-97DC-2B0207CD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2,Style 16,Style 19,Style 35,fr"/>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nhideWhenUsed/>
    <w:qFormat/>
    <w:rsid w:val="00386C94"/>
    <w:pPr>
      <w:widowControl/>
    </w:pPr>
    <w:rPr>
      <w:rFonts w:ascii="Arial Narrow" w:hAnsi="Arial Narrow"/>
      <w:snapToGrid/>
      <w:u w:val="single"/>
    </w:rPr>
  </w:style>
  <w:style w:type="character" w:customStyle="1" w:styleId="BodyTextChar">
    <w:name w:val="Body Text Char"/>
    <w:link w:val="BodyText"/>
    <w:rsid w:val="00386C94"/>
    <w:rPr>
      <w:rFonts w:ascii="Arial Narrow" w:hAnsi="Arial Narrow"/>
      <w:sz w:val="24"/>
      <w:u w:val="single"/>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 Char Char,Style 15,fn,ft"/>
    <w:basedOn w:val="Normal"/>
    <w:link w:val="FootnoteTextChar"/>
    <w:uiPriority w:val="99"/>
    <w:rsid w:val="00881712"/>
    <w:pPr>
      <w:autoSpaceDE w:val="0"/>
      <w:autoSpaceDN w:val="0"/>
      <w:adjustRightInd w:val="0"/>
    </w:pPr>
    <w:rPr>
      <w:rFonts w:ascii="CourierPS" w:hAnsi="CourierPS"/>
      <w:snapToGrid/>
      <w:sz w:val="20"/>
    </w:rPr>
  </w:style>
  <w:style w:type="character" w:customStyle="1" w:styleId="FootnoteTextChar">
    <w:name w:val="Footnote Text Char"/>
    <w:aliases w:val="ALTS FOOTNOTE Char,Car Char,Footnote Text Char Char Char,Footnote Text Char Char Char Char Char,Footnote Text Char Char Char Char Char Char Char Char Char Char Char Char Char Char Char Char Char Char,Footnote Text Char1 Char Char Char"/>
    <w:link w:val="FootnoteText"/>
    <w:uiPriority w:val="99"/>
    <w:rsid w:val="00881712"/>
    <w:rPr>
      <w:rFonts w:ascii="CourierPS" w:hAnsi="CourierPS"/>
    </w:rPr>
  </w:style>
  <w:style w:type="character" w:styleId="Hyperlink">
    <w:name w:val="Hyperlink"/>
    <w:uiPriority w:val="99"/>
    <w:unhideWhenUsed/>
    <w:rsid w:val="00881712"/>
    <w:rPr>
      <w:color w:val="0000FF"/>
      <w:u w:val="single"/>
    </w:rPr>
  </w:style>
  <w:style w:type="table" w:styleId="TableGrid">
    <w:name w:val="Table Grid"/>
    <w:basedOn w:val="TableNormal"/>
    <w:uiPriority w:val="39"/>
    <w:rsid w:val="002A5F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709AF"/>
  </w:style>
  <w:style w:type="character" w:customStyle="1" w:styleId="UnresolvedMention1">
    <w:name w:val="Unresolved Mention1"/>
    <w:uiPriority w:val="99"/>
    <w:semiHidden/>
    <w:unhideWhenUsed/>
    <w:rsid w:val="00B76DC2"/>
    <w:rPr>
      <w:color w:val="605E5C"/>
      <w:shd w:val="clear" w:color="auto" w:fill="E1DFDD"/>
    </w:rPr>
  </w:style>
  <w:style w:type="character" w:styleId="FollowedHyperlink">
    <w:name w:val="FollowedHyperlink"/>
    <w:rsid w:val="00B76DC2"/>
    <w:rPr>
      <w:color w:val="954F72"/>
      <w:u w:val="single"/>
    </w:rPr>
  </w:style>
  <w:style w:type="table" w:customStyle="1" w:styleId="TableGrid1">
    <w:name w:val="Table Grid1"/>
    <w:basedOn w:val="TableNormal"/>
    <w:next w:val="TableGrid"/>
    <w:uiPriority w:val="39"/>
    <w:rsid w:val="00C864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864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B25A3-ADF9-4A48-A445-C0998873F29B}">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24</TotalTime>
  <Pages>5</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Gofney, Rashida K.</cp:lastModifiedBy>
  <cp:revision>23</cp:revision>
  <dcterms:created xsi:type="dcterms:W3CDTF">2026-09-16T18:24:00Z</dcterms:created>
  <dcterms:modified xsi:type="dcterms:W3CDTF">2026-09-25T10:51:00Z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1ccfdaf3-c527-40a3-a0c9-772847e4b3cd</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2023-07-11T14:44:47Z</vt:lpwstr>
  </property>
  <property fmtid="{D5CDD505-2E9C-101B-9397-08002B2CF9AE}" pid="8" name="MSIP_Label_3be8ab8c-433c-4394-a4fb-cd2d5c4d0a5e_SiteId">
    <vt:lpwstr>26c83bc9-31c1-4d77-a523-0816095aba31</vt:lpwstr>
  </property>
</Properties>
</file>