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9701A0" w14:paraId="4CBB4E2B" w14:textId="77777777">
      <w:pPr>
        <w:widowControl/>
        <w:tabs>
          <w:tab w:val="left" w:pos="-1440"/>
          <w:tab w:val="left" w:pos="-720"/>
          <w:tab w:val="left" w:pos="0"/>
          <w:tab w:val="left" w:pos="432"/>
          <w:tab w:val="left" w:pos="720"/>
          <w:tab w:val="left" w:pos="1008"/>
          <w:tab w:val="left" w:pos="1440"/>
        </w:tabs>
        <w:suppressAutoHyphens/>
        <w:jc w:val="center"/>
        <w:rPr>
          <w:rFonts w:ascii="Times New Roman" w:hAnsi="Times New Roman"/>
          <w:szCs w:val="24"/>
        </w:rPr>
      </w:pPr>
    </w:p>
    <w:p w:rsidR="009701A0" w:rsidRPr="004A652B" w14:paraId="48B2A8CE" w14:textId="77777777">
      <w:pPr>
        <w:widowControl/>
        <w:tabs>
          <w:tab w:val="left" w:pos="-1440"/>
          <w:tab w:val="left" w:pos="-720"/>
          <w:tab w:val="left" w:pos="0"/>
          <w:tab w:val="left" w:pos="432"/>
          <w:tab w:val="left" w:pos="720"/>
          <w:tab w:val="left" w:pos="1008"/>
          <w:tab w:val="left" w:pos="1440"/>
        </w:tabs>
        <w:suppressAutoHyphens/>
        <w:jc w:val="center"/>
        <w:rPr>
          <w:rFonts w:ascii="Times New Roman" w:hAnsi="Times New Roman"/>
          <w:b/>
          <w:sz w:val="32"/>
          <w:szCs w:val="32"/>
        </w:rPr>
      </w:pPr>
      <w:r w:rsidRPr="004A652B">
        <w:rPr>
          <w:rFonts w:ascii="Times New Roman" w:hAnsi="Times New Roman"/>
          <w:b/>
          <w:sz w:val="32"/>
          <w:szCs w:val="32"/>
        </w:rPr>
        <w:t>SUPPORTING STATEMENT</w:t>
      </w:r>
    </w:p>
    <w:p w:rsidR="00BD1176" w14:paraId="0902B0DE" w14:textId="77777777">
      <w:pPr>
        <w:widowControl/>
        <w:tabs>
          <w:tab w:val="left" w:pos="-1440"/>
          <w:tab w:val="left" w:pos="-720"/>
          <w:tab w:val="left" w:pos="0"/>
          <w:tab w:val="left" w:pos="432"/>
          <w:tab w:val="left" w:pos="720"/>
          <w:tab w:val="left" w:pos="1008"/>
          <w:tab w:val="left" w:pos="1440"/>
        </w:tabs>
        <w:suppressAutoHyphens/>
        <w:jc w:val="center"/>
        <w:rPr>
          <w:rFonts w:ascii="Times New Roman" w:hAnsi="Times New Roman"/>
          <w:szCs w:val="24"/>
        </w:rPr>
      </w:pPr>
    </w:p>
    <w:p w:rsidR="009701A0" w:rsidRPr="004A652B" w14:paraId="4747F9CF" w14:textId="77777777">
      <w:pPr>
        <w:widowControl/>
        <w:tabs>
          <w:tab w:val="left" w:pos="-1440"/>
          <w:tab w:val="left" w:pos="-720"/>
          <w:tab w:val="left" w:pos="0"/>
          <w:tab w:val="left" w:pos="432"/>
          <w:tab w:val="left" w:pos="720"/>
          <w:tab w:val="left" w:pos="1008"/>
          <w:tab w:val="left" w:pos="1440"/>
        </w:tabs>
        <w:suppressAutoHyphens/>
        <w:jc w:val="center"/>
        <w:rPr>
          <w:rFonts w:ascii="Times New Roman" w:hAnsi="Times New Roman"/>
          <w:b/>
          <w:sz w:val="28"/>
          <w:szCs w:val="28"/>
        </w:rPr>
      </w:pPr>
      <w:r w:rsidRPr="004A652B">
        <w:rPr>
          <w:rFonts w:ascii="Times New Roman" w:hAnsi="Times New Roman"/>
          <w:b/>
          <w:sz w:val="28"/>
          <w:szCs w:val="28"/>
        </w:rPr>
        <w:t>Reporting, Recordkeeping and Disclosure Requirements Associated with Proprietary Trading and Certain Interests in and Relationships with Covered Funds</w:t>
      </w:r>
    </w:p>
    <w:p w:rsidR="00BD1176" w:rsidRPr="004A652B" w14:paraId="2F4746C7" w14:textId="77777777">
      <w:pPr>
        <w:widowControl/>
        <w:tabs>
          <w:tab w:val="left" w:pos="-1440"/>
          <w:tab w:val="left" w:pos="-720"/>
          <w:tab w:val="left" w:pos="0"/>
          <w:tab w:val="left" w:pos="432"/>
          <w:tab w:val="left" w:pos="720"/>
          <w:tab w:val="left" w:pos="1008"/>
          <w:tab w:val="left" w:pos="1440"/>
        </w:tabs>
        <w:suppressAutoHyphens/>
        <w:jc w:val="center"/>
        <w:rPr>
          <w:rFonts w:ascii="Times New Roman" w:hAnsi="Times New Roman"/>
          <w:b/>
          <w:sz w:val="28"/>
          <w:szCs w:val="28"/>
        </w:rPr>
      </w:pPr>
    </w:p>
    <w:p w:rsidR="009701A0" w:rsidRPr="004A652B" w14:paraId="5C730C32" w14:textId="77777777">
      <w:pPr>
        <w:widowControl/>
        <w:tabs>
          <w:tab w:val="left" w:pos="-1440"/>
          <w:tab w:val="left" w:pos="-720"/>
          <w:tab w:val="left" w:pos="0"/>
          <w:tab w:val="left" w:pos="432"/>
          <w:tab w:val="left" w:pos="720"/>
          <w:tab w:val="left" w:pos="1008"/>
          <w:tab w:val="left" w:pos="1440"/>
        </w:tabs>
        <w:suppressAutoHyphens/>
        <w:jc w:val="center"/>
        <w:rPr>
          <w:rFonts w:ascii="Times New Roman" w:hAnsi="Times New Roman"/>
          <w:b/>
          <w:sz w:val="28"/>
          <w:szCs w:val="28"/>
        </w:rPr>
      </w:pPr>
      <w:r w:rsidRPr="004A652B">
        <w:rPr>
          <w:rFonts w:ascii="Times New Roman" w:hAnsi="Times New Roman"/>
          <w:b/>
          <w:sz w:val="28"/>
          <w:szCs w:val="28"/>
        </w:rPr>
        <w:t xml:space="preserve">OMB </w:t>
      </w:r>
      <w:r w:rsidRPr="004A652B" w:rsidR="00BD1176">
        <w:rPr>
          <w:rFonts w:ascii="Times New Roman" w:hAnsi="Times New Roman"/>
          <w:b/>
          <w:sz w:val="28"/>
          <w:szCs w:val="28"/>
        </w:rPr>
        <w:t xml:space="preserve">Control </w:t>
      </w:r>
      <w:r w:rsidRPr="004A652B">
        <w:rPr>
          <w:rFonts w:ascii="Times New Roman" w:hAnsi="Times New Roman"/>
          <w:b/>
          <w:sz w:val="28"/>
          <w:szCs w:val="28"/>
        </w:rPr>
        <w:t>No. 3064-</w:t>
      </w:r>
      <w:r w:rsidRPr="004A652B" w:rsidR="009E6FD7">
        <w:rPr>
          <w:rFonts w:ascii="Times New Roman" w:hAnsi="Times New Roman"/>
          <w:b/>
          <w:sz w:val="28"/>
          <w:szCs w:val="28"/>
        </w:rPr>
        <w:t>0184</w:t>
      </w:r>
    </w:p>
    <w:p w:rsidR="009701A0" w:rsidRPr="004A652B" w14:paraId="44A7B414" w14:textId="77777777">
      <w:pPr>
        <w:widowControl/>
        <w:tabs>
          <w:tab w:val="left" w:pos="-1440"/>
          <w:tab w:val="left" w:pos="-720"/>
          <w:tab w:val="left" w:pos="0"/>
          <w:tab w:val="left" w:pos="432"/>
          <w:tab w:val="left" w:pos="720"/>
          <w:tab w:val="left" w:pos="1008"/>
          <w:tab w:val="left" w:pos="1440"/>
        </w:tabs>
        <w:suppressAutoHyphens/>
        <w:rPr>
          <w:rFonts w:ascii="Times New Roman" w:hAnsi="Times New Roman"/>
          <w:sz w:val="28"/>
          <w:szCs w:val="28"/>
        </w:rPr>
      </w:pPr>
    </w:p>
    <w:p w:rsidR="009701A0" w14:paraId="70B43BE7" w14:textId="77777777">
      <w:pPr>
        <w:widowControl/>
        <w:tabs>
          <w:tab w:val="left" w:pos="-1440"/>
          <w:tab w:val="left" w:pos="-720"/>
          <w:tab w:val="left" w:pos="0"/>
          <w:tab w:val="left" w:pos="432"/>
          <w:tab w:val="left" w:pos="720"/>
          <w:tab w:val="left" w:pos="1008"/>
          <w:tab w:val="left" w:pos="1440"/>
        </w:tabs>
        <w:suppressAutoHyphens/>
        <w:rPr>
          <w:rFonts w:ascii="Times New Roman" w:hAnsi="Times New Roman"/>
          <w:szCs w:val="24"/>
        </w:rPr>
      </w:pPr>
      <w:r>
        <w:rPr>
          <w:rFonts w:ascii="Times New Roman" w:hAnsi="Times New Roman"/>
          <w:b/>
          <w:szCs w:val="24"/>
          <w:u w:val="single"/>
        </w:rPr>
        <w:t>INTRODUCTION</w:t>
      </w:r>
    </w:p>
    <w:p w:rsidR="009701A0" w14:paraId="4D6B088D" w14:textId="77777777">
      <w:pPr>
        <w:widowControl/>
        <w:tabs>
          <w:tab w:val="left" w:pos="-1440"/>
          <w:tab w:val="left" w:pos="-720"/>
          <w:tab w:val="left" w:pos="0"/>
          <w:tab w:val="left" w:pos="432"/>
          <w:tab w:val="left" w:pos="720"/>
          <w:tab w:val="left" w:pos="1008"/>
          <w:tab w:val="left" w:pos="1440"/>
        </w:tabs>
        <w:suppressAutoHyphens/>
        <w:rPr>
          <w:rFonts w:ascii="Times New Roman" w:hAnsi="Times New Roman"/>
          <w:szCs w:val="24"/>
        </w:rPr>
      </w:pPr>
    </w:p>
    <w:p w:rsidR="00235FB8" w14:paraId="1E33D7FA" w14:textId="07C41E99">
      <w:pPr>
        <w:widowControl/>
        <w:tabs>
          <w:tab w:val="left" w:pos="-1440"/>
          <w:tab w:val="left" w:pos="-720"/>
          <w:tab w:val="left" w:pos="0"/>
          <w:tab w:val="left" w:pos="432"/>
          <w:tab w:val="left" w:pos="720"/>
          <w:tab w:val="left" w:pos="1008"/>
          <w:tab w:val="left" w:pos="1440"/>
        </w:tabs>
        <w:suppressAutoHyphens/>
        <w:rPr>
          <w:rFonts w:ascii="Times New Roman" w:hAnsi="Times New Roman"/>
          <w:szCs w:val="24"/>
        </w:rPr>
      </w:pPr>
      <w:r w:rsidRPr="00235FB8">
        <w:rPr>
          <w:rFonts w:ascii="Times New Roman" w:hAnsi="Times New Roman"/>
          <w:szCs w:val="24"/>
        </w:rPr>
        <w:t xml:space="preserve">The FDIC is requesting an extension without change of </w:t>
      </w:r>
      <w:r>
        <w:rPr>
          <w:rFonts w:ascii="Times New Roman" w:hAnsi="Times New Roman"/>
          <w:szCs w:val="24"/>
        </w:rPr>
        <w:t>its</w:t>
      </w:r>
      <w:r w:rsidRPr="00235FB8">
        <w:rPr>
          <w:rFonts w:ascii="Times New Roman" w:hAnsi="Times New Roman"/>
          <w:szCs w:val="24"/>
        </w:rPr>
        <w:t xml:space="preserve"> information collection </w:t>
      </w:r>
      <w:r>
        <w:rPr>
          <w:rFonts w:ascii="Times New Roman" w:hAnsi="Times New Roman"/>
          <w:szCs w:val="24"/>
        </w:rPr>
        <w:t xml:space="preserve">entitled </w:t>
      </w:r>
      <w:r>
        <w:rPr>
          <w:rFonts w:ascii="Times New Roman" w:hAnsi="Times New Roman"/>
          <w:szCs w:val="24"/>
          <w:lang w:bidi="en-US"/>
        </w:rPr>
        <w:t>“</w:t>
      </w:r>
      <w:r w:rsidRPr="00235FB8">
        <w:rPr>
          <w:rFonts w:ascii="Times New Roman" w:hAnsi="Times New Roman"/>
          <w:szCs w:val="24"/>
          <w:lang w:bidi="en-US"/>
        </w:rPr>
        <w:t>Volcker Rule Restrictions on Proprietary Trading and Relationships with Hedge Funds and Private Equity Funds</w:t>
      </w:r>
      <w:r>
        <w:rPr>
          <w:rFonts w:ascii="Times New Roman" w:hAnsi="Times New Roman"/>
          <w:szCs w:val="24"/>
          <w:lang w:bidi="en-US"/>
        </w:rPr>
        <w:t>.”</w:t>
      </w:r>
      <w:r w:rsidRPr="00235FB8">
        <w:rPr>
          <w:rFonts w:ascii="Times New Roman" w:hAnsi="Times New Roman"/>
          <w:szCs w:val="24"/>
          <w:lang w:bidi="en-US"/>
        </w:rPr>
        <w:t xml:space="preserve"> </w:t>
      </w:r>
      <w:r>
        <w:rPr>
          <w:rFonts w:ascii="Times New Roman" w:hAnsi="Times New Roman"/>
          <w:szCs w:val="24"/>
          <w:lang w:bidi="en-US"/>
        </w:rPr>
        <w:t>This information collection request (“ICR”)</w:t>
      </w:r>
      <w:r w:rsidRPr="00235FB8">
        <w:rPr>
          <w:rFonts w:ascii="Times New Roman" w:hAnsi="Times New Roman"/>
          <w:szCs w:val="24"/>
          <w:lang w:bidi="en-US"/>
        </w:rPr>
        <w:t xml:space="preserve"> relates to Section 13 of the Bank Holding Company Act of 1956 (“Section 13”). Section 13 contains certain restrictions on the ability of a banking entity to engage in proprietary trading and have certain interests in, or relationships with, a hedge fund or private equity fund. The FDIC’s regulations at 12 CFR Part 351 (Part 351) implement Section 13 with respect to FDIC-supervised insured depository institutions (IDIs). The requirements in Part 351 do not apply to FDIC-supervised IDIs that have, and if eve</w:t>
      </w:r>
      <w:r w:rsidRPr="00235FB8">
        <w:rPr>
          <w:rFonts w:ascii="Times New Roman" w:hAnsi="Times New Roman"/>
          <w:szCs w:val="24"/>
          <w:lang w:bidi="en-US"/>
        </w:rPr>
        <w:t>ry company that controls it has, total consolidated assets of $10 billion or less and total trading assets and trading liabilities, that are 5 percent or less of total consolidated assets.</w:t>
      </w:r>
      <w:r>
        <w:rPr>
          <w:rFonts w:ascii="Times New Roman" w:hAnsi="Times New Roman"/>
          <w:szCs w:val="24"/>
          <w:vertAlign w:val="superscript"/>
          <w:lang w:bidi="en-US"/>
        </w:rPr>
        <w:footnoteReference w:id="2"/>
      </w:r>
      <w:r>
        <w:rPr>
          <w:rFonts w:ascii="Times New Roman" w:hAnsi="Times New Roman"/>
          <w:szCs w:val="24"/>
        </w:rPr>
        <w:t xml:space="preserve"> </w:t>
      </w:r>
      <w:r w:rsidRPr="00235FB8">
        <w:rPr>
          <w:rFonts w:ascii="Times New Roman" w:hAnsi="Times New Roman"/>
          <w:szCs w:val="24"/>
        </w:rPr>
        <w:t xml:space="preserve">This information collection currently expires on </w:t>
      </w:r>
      <w:r w:rsidR="00875FBA">
        <w:rPr>
          <w:rFonts w:ascii="Times New Roman" w:hAnsi="Times New Roman"/>
          <w:szCs w:val="24"/>
        </w:rPr>
        <w:t>October</w:t>
      </w:r>
      <w:r w:rsidRPr="00235FB8">
        <w:rPr>
          <w:rFonts w:ascii="Times New Roman" w:hAnsi="Times New Roman"/>
          <w:szCs w:val="24"/>
        </w:rPr>
        <w:t xml:space="preserve"> 31, 202</w:t>
      </w:r>
      <w:r w:rsidR="00875FBA">
        <w:rPr>
          <w:rFonts w:ascii="Times New Roman" w:hAnsi="Times New Roman"/>
          <w:szCs w:val="24"/>
        </w:rPr>
        <w:t>6</w:t>
      </w:r>
      <w:r w:rsidRPr="00235FB8">
        <w:rPr>
          <w:rFonts w:ascii="Times New Roman" w:hAnsi="Times New Roman"/>
          <w:szCs w:val="24"/>
        </w:rPr>
        <w:t>.</w:t>
      </w:r>
    </w:p>
    <w:p w:rsidR="009701A0" w14:paraId="45F141A0" w14:textId="77777777">
      <w:pPr>
        <w:widowControl/>
        <w:tabs>
          <w:tab w:val="left" w:pos="-1440"/>
          <w:tab w:val="left" w:pos="-720"/>
          <w:tab w:val="left" w:pos="0"/>
          <w:tab w:val="left" w:pos="432"/>
          <w:tab w:val="left" w:pos="720"/>
          <w:tab w:val="left" w:pos="1008"/>
          <w:tab w:val="left" w:pos="1440"/>
        </w:tabs>
        <w:suppressAutoHyphens/>
        <w:rPr>
          <w:rFonts w:ascii="Times New Roman" w:hAnsi="Times New Roman"/>
          <w:szCs w:val="24"/>
        </w:rPr>
      </w:pPr>
    </w:p>
    <w:p w:rsidR="009701A0" w14:paraId="536F6C9E" w14:textId="77777777">
      <w:pPr>
        <w:pStyle w:val="Heading2"/>
        <w:widowControl/>
        <w:rPr>
          <w:rFonts w:ascii="Times New Roman" w:hAnsi="Times New Roman"/>
          <w:sz w:val="24"/>
        </w:rPr>
      </w:pPr>
      <w:r>
        <w:rPr>
          <w:rFonts w:ascii="Times New Roman" w:hAnsi="Times New Roman"/>
          <w:sz w:val="24"/>
        </w:rPr>
        <w:t>JUSTIFICATION</w:t>
      </w:r>
    </w:p>
    <w:p w:rsidR="009701A0" w14:paraId="74A6CCE6" w14:textId="77777777">
      <w:pPr>
        <w:widowControl/>
        <w:tabs>
          <w:tab w:val="left" w:pos="-1440"/>
          <w:tab w:val="left" w:pos="-720"/>
          <w:tab w:val="left" w:pos="0"/>
          <w:tab w:val="left" w:pos="432"/>
          <w:tab w:val="left" w:pos="720"/>
          <w:tab w:val="left" w:pos="1008"/>
          <w:tab w:val="left" w:pos="1440"/>
        </w:tabs>
        <w:suppressAutoHyphens/>
        <w:rPr>
          <w:rFonts w:ascii="Times New Roman" w:hAnsi="Times New Roman"/>
        </w:rPr>
      </w:pPr>
    </w:p>
    <w:p w:rsidR="009701A0" w:rsidP="004A652B" w14:paraId="3E0F9C26" w14:textId="77777777">
      <w:pPr>
        <w:widowControl/>
        <w:tabs>
          <w:tab w:val="left" w:pos="-1440"/>
          <w:tab w:val="left" w:pos="-720"/>
          <w:tab w:val="left" w:pos="0"/>
          <w:tab w:val="left" w:pos="432"/>
          <w:tab w:val="left" w:pos="720"/>
          <w:tab w:val="left" w:pos="1008"/>
          <w:tab w:val="left" w:pos="1440"/>
        </w:tabs>
        <w:suppressAutoHyphens/>
        <w:spacing w:after="100" w:afterAutospacing="1"/>
        <w:rPr>
          <w:rFonts w:ascii="Times New Roman" w:hAnsi="Times New Roman"/>
        </w:rPr>
      </w:pPr>
      <w:r>
        <w:rPr>
          <w:rFonts w:ascii="Times New Roman" w:hAnsi="Times New Roman"/>
        </w:rPr>
        <w:t>1</w:t>
      </w:r>
      <w:r>
        <w:rPr>
          <w:rFonts w:ascii="Times New Roman" w:hAnsi="Times New Roman"/>
        </w:rPr>
        <w:t xml:space="preserve">.  </w:t>
      </w:r>
      <w:r w:rsidRPr="004833E8" w:rsidR="004833E8">
        <w:rPr>
          <w:rFonts w:ascii="Times New Roman" w:hAnsi="Times New Roman"/>
          <w:bCs/>
          <w:u w:val="single"/>
        </w:rPr>
        <w:t>Circumstances</w:t>
      </w:r>
      <w:r w:rsidRPr="004833E8" w:rsidR="004833E8">
        <w:rPr>
          <w:rFonts w:ascii="Times New Roman" w:hAnsi="Times New Roman"/>
          <w:bCs/>
          <w:u w:val="single"/>
        </w:rPr>
        <w:t xml:space="preserve"> that make the collection necessary:</w:t>
      </w:r>
    </w:p>
    <w:p w:rsidR="00201A6C" w:rsidP="004A652B" w14:paraId="77E63CBC" w14:textId="77777777">
      <w:pPr>
        <w:rPr>
          <w:rFonts w:ascii="Times New Roman" w:hAnsi="Times New Roman"/>
        </w:rPr>
      </w:pPr>
      <w:r>
        <w:rPr>
          <w:rFonts w:ascii="Times New Roman" w:hAnsi="Times New Roman"/>
        </w:rPr>
        <w:t>Section 619 of the Dodd-Frank Act added a new section 13 to the Bank Holding Company (“BHC”) Act (codified at 12 U.S.C. § 1851) that</w:t>
      </w:r>
      <w:r w:rsidR="00DF354D">
        <w:rPr>
          <w:rFonts w:ascii="Times New Roman" w:hAnsi="Times New Roman"/>
        </w:rPr>
        <w:t>, subject to certain exemptions,</w:t>
      </w:r>
      <w:r>
        <w:rPr>
          <w:rFonts w:ascii="Times New Roman" w:hAnsi="Times New Roman"/>
        </w:rPr>
        <w:t xml:space="preserve"> generally prohibits any banking entity from engaging in proprietary trading or from investing in, sponsoring, or having certain relationships with a hedge fund or private equity fund (“covered fund”)</w:t>
      </w:r>
      <w:r w:rsidR="000B53AF">
        <w:rPr>
          <w:rFonts w:ascii="Times New Roman" w:hAnsi="Times New Roman"/>
        </w:rPr>
        <w:t xml:space="preserve"> (the “Volcker Rule”)</w:t>
      </w:r>
      <w:r>
        <w:rPr>
          <w:rFonts w:ascii="Times New Roman" w:hAnsi="Times New Roman"/>
        </w:rPr>
        <w:t xml:space="preserve">.  </w:t>
      </w:r>
      <w:r w:rsidR="00DF354D">
        <w:rPr>
          <w:rFonts w:ascii="Times New Roman" w:hAnsi="Times New Roman"/>
        </w:rPr>
        <w:t>T</w:t>
      </w:r>
      <w:r>
        <w:rPr>
          <w:rFonts w:ascii="Times New Roman" w:hAnsi="Times New Roman"/>
        </w:rPr>
        <w:t xml:space="preserve">he BHC Act also provides for certain nonbank financial companies that engage in such activities or have such investments or relationships to be subject to additional capital requirements, quantitative </w:t>
      </w:r>
      <w:r w:rsidR="001B40E9">
        <w:rPr>
          <w:rFonts w:ascii="Times New Roman" w:hAnsi="Times New Roman"/>
        </w:rPr>
        <w:t xml:space="preserve">limits, or other restrictions. </w:t>
      </w:r>
    </w:p>
    <w:p w:rsidR="004A652B" w:rsidP="004A652B" w14:paraId="56B4FDD1" w14:textId="77777777">
      <w:pPr>
        <w:rPr>
          <w:rFonts w:ascii="Times New Roman" w:hAnsi="Times New Roman"/>
        </w:rPr>
      </w:pPr>
    </w:p>
    <w:p w:rsidR="009701A0" w:rsidP="004A652B" w14:paraId="787A2F23" w14:textId="77777777">
      <w:pPr>
        <w:widowControl/>
        <w:tabs>
          <w:tab w:val="left" w:pos="-1440"/>
          <w:tab w:val="left" w:pos="-720"/>
          <w:tab w:val="left" w:pos="0"/>
          <w:tab w:val="left" w:pos="432"/>
          <w:tab w:val="left" w:pos="720"/>
          <w:tab w:val="left" w:pos="1008"/>
          <w:tab w:val="left" w:pos="1440"/>
        </w:tabs>
        <w:suppressAutoHyphens/>
        <w:spacing w:after="100" w:afterAutospacing="1"/>
        <w:rPr>
          <w:rFonts w:ascii="Times New Roman" w:hAnsi="Times New Roman"/>
        </w:rPr>
      </w:pPr>
      <w:r>
        <w:rPr>
          <w:rFonts w:ascii="Times New Roman" w:hAnsi="Times New Roman"/>
        </w:rPr>
        <w:t>2</w:t>
      </w:r>
      <w:r>
        <w:rPr>
          <w:rFonts w:ascii="Times New Roman" w:hAnsi="Times New Roman"/>
        </w:rPr>
        <w:t xml:space="preserve">.  </w:t>
      </w:r>
      <w:r w:rsidRPr="00CF6CAD" w:rsidR="00CF6CAD">
        <w:rPr>
          <w:rFonts w:ascii="Times New Roman" w:hAnsi="Times New Roman"/>
          <w:u w:val="single"/>
        </w:rPr>
        <w:t>Use</w:t>
      </w:r>
      <w:r w:rsidRPr="00CF6CAD" w:rsidR="00CF6CAD">
        <w:rPr>
          <w:rFonts w:ascii="Times New Roman" w:hAnsi="Times New Roman"/>
          <w:u w:val="single"/>
        </w:rPr>
        <w:t xml:space="preserve"> of </w:t>
      </w:r>
      <w:r w:rsidRPr="004A652B" w:rsidR="00CF6CAD">
        <w:rPr>
          <w:rFonts w:ascii="Times New Roman" w:hAnsi="Times New Roman"/>
          <w:bCs/>
          <w:u w:val="single"/>
        </w:rPr>
        <w:t>the</w:t>
      </w:r>
      <w:r w:rsidRPr="00CF6CAD" w:rsidR="00CF6CAD">
        <w:rPr>
          <w:rFonts w:ascii="Times New Roman" w:hAnsi="Times New Roman"/>
          <w:u w:val="single"/>
        </w:rPr>
        <w:t xml:space="preserve"> Information</w:t>
      </w:r>
      <w:r w:rsidR="00A40A9D">
        <w:rPr>
          <w:rFonts w:ascii="Times New Roman" w:hAnsi="Times New Roman"/>
          <w:u w:val="single"/>
        </w:rPr>
        <w:t>:</w:t>
      </w:r>
    </w:p>
    <w:p w:rsidR="00617199" w:rsidP="004A652B" w14:paraId="026F475B" w14:textId="77777777">
      <w:pPr>
        <w:rPr>
          <w:rFonts w:ascii="Times New Roman" w:hAnsi="Times New Roman"/>
          <w:lang w:bidi="en-US"/>
        </w:rPr>
      </w:pPr>
      <w:r>
        <w:rPr>
          <w:rFonts w:ascii="Times New Roman" w:hAnsi="Times New Roman"/>
        </w:rPr>
        <w:t xml:space="preserve">The information collection requirements are intended to monitor a covered institution’s compliance with the requirements of the Volker Rule. </w:t>
      </w:r>
      <w:r w:rsidRPr="00235FB8" w:rsidR="00235FB8">
        <w:rPr>
          <w:rFonts w:ascii="Times New Roman" w:hAnsi="Times New Roman"/>
          <w:lang w:bidi="en-US"/>
        </w:rPr>
        <w:t xml:space="preserve">This ICR contains information collections (ICs) corresponding to policies, rules, and regulations regarding periodic reporting requirements, documentation of trading activities and compliance programs, and various other recordkeeping and disclosure requirements for FDIC-supervised IDIs that are subject to the requirements of Part 351 (covered bank). The specific provisions of Part 351 that are relevant to this ICR are listed and discussed in </w:t>
      </w:r>
      <w:r>
        <w:rPr>
          <w:rFonts w:ascii="Times New Roman" w:hAnsi="Times New Roman"/>
          <w:lang w:bidi="en-US"/>
        </w:rPr>
        <w:t>Section 12</w:t>
      </w:r>
      <w:r w:rsidRPr="00235FB8" w:rsidR="00235FB8">
        <w:rPr>
          <w:rFonts w:ascii="Times New Roman" w:hAnsi="Times New Roman"/>
          <w:lang w:bidi="en-US"/>
        </w:rPr>
        <w:t xml:space="preserve"> below. </w:t>
      </w:r>
    </w:p>
    <w:p w:rsidR="003A39AC" w:rsidP="004A652B" w14:paraId="0211286F" w14:textId="77777777">
      <w:pPr>
        <w:widowControl/>
        <w:tabs>
          <w:tab w:val="left" w:pos="-1440"/>
          <w:tab w:val="left" w:pos="-720"/>
          <w:tab w:val="left" w:pos="0"/>
          <w:tab w:val="left" w:pos="432"/>
          <w:tab w:val="left" w:pos="720"/>
          <w:tab w:val="left" w:pos="1008"/>
          <w:tab w:val="left" w:pos="1440"/>
        </w:tabs>
        <w:suppressAutoHyphens/>
        <w:spacing w:after="100" w:afterAutospacing="1"/>
        <w:rPr>
          <w:rFonts w:ascii="Times New Roman" w:hAnsi="Times New Roman"/>
          <w:u w:val="single"/>
        </w:rPr>
      </w:pPr>
      <w:r>
        <w:rPr>
          <w:rFonts w:ascii="Times New Roman" w:hAnsi="Times New Roman"/>
        </w:rPr>
        <w:t>3</w:t>
      </w:r>
      <w:r>
        <w:rPr>
          <w:rFonts w:ascii="Times New Roman" w:hAnsi="Times New Roman"/>
        </w:rPr>
        <w:t xml:space="preserve">.  </w:t>
      </w:r>
      <w:r w:rsidRPr="00A40A9D" w:rsidR="00A40A9D">
        <w:rPr>
          <w:rFonts w:ascii="Times New Roman" w:hAnsi="Times New Roman"/>
          <w:bCs/>
          <w:u w:val="single"/>
        </w:rPr>
        <w:t>Consideration</w:t>
      </w:r>
      <w:r w:rsidRPr="00A40A9D" w:rsidR="00A40A9D">
        <w:rPr>
          <w:rFonts w:ascii="Times New Roman" w:hAnsi="Times New Roman"/>
          <w:bCs/>
          <w:u w:val="single"/>
        </w:rPr>
        <w:t xml:space="preserve"> of the use of improved information technology:</w:t>
      </w:r>
    </w:p>
    <w:p w:rsidR="009701A0" w:rsidP="004A652B" w14:paraId="6748CA8B" w14:textId="77777777">
      <w:pPr>
        <w:rPr>
          <w:rFonts w:ascii="Times New Roman" w:hAnsi="Times New Roman"/>
          <w:szCs w:val="24"/>
        </w:rPr>
      </w:pPr>
      <w:r w:rsidRPr="003A39AC">
        <w:rPr>
          <w:rFonts w:ascii="Times New Roman" w:hAnsi="Times New Roman"/>
        </w:rPr>
        <w:t xml:space="preserve">Banks may use </w:t>
      </w:r>
      <w:r>
        <w:rPr>
          <w:rFonts w:ascii="Times New Roman" w:hAnsi="Times New Roman"/>
        </w:rPr>
        <w:t>technology to the extent feasible, desirable or appropriate to make the required reports and to maintain the required records</w:t>
      </w:r>
      <w:r w:rsidR="00341D10">
        <w:rPr>
          <w:rFonts w:ascii="Times New Roman" w:hAnsi="Times New Roman"/>
        </w:rPr>
        <w:t xml:space="preserve"> that permits review by FDIC examiners</w:t>
      </w:r>
      <w:r>
        <w:rPr>
          <w:rFonts w:ascii="Times New Roman" w:hAnsi="Times New Roman"/>
        </w:rPr>
        <w:t>.</w:t>
      </w:r>
    </w:p>
    <w:p w:rsidR="004A652B" w:rsidP="004A652B" w14:paraId="6E8F2B61" w14:textId="77777777">
      <w:pPr>
        <w:rPr>
          <w:rFonts w:ascii="Times New Roman" w:hAnsi="Times New Roman"/>
        </w:rPr>
      </w:pPr>
    </w:p>
    <w:p w:rsidR="00C85E24" w:rsidP="004A652B" w14:paraId="0580083A" w14:textId="77777777">
      <w:pPr>
        <w:widowControl/>
        <w:tabs>
          <w:tab w:val="left" w:pos="-1440"/>
          <w:tab w:val="left" w:pos="-720"/>
          <w:tab w:val="left" w:pos="0"/>
          <w:tab w:val="left" w:pos="432"/>
          <w:tab w:val="left" w:pos="720"/>
          <w:tab w:val="left" w:pos="1008"/>
          <w:tab w:val="left" w:pos="1440"/>
        </w:tabs>
        <w:suppressAutoHyphens/>
        <w:spacing w:after="100" w:afterAutospacing="1"/>
        <w:rPr>
          <w:rFonts w:ascii="Times New Roman" w:hAnsi="Times New Roman"/>
        </w:rPr>
      </w:pPr>
      <w:r>
        <w:rPr>
          <w:rFonts w:ascii="Times New Roman" w:hAnsi="Times New Roman"/>
        </w:rPr>
        <w:t>4</w:t>
      </w:r>
      <w:r>
        <w:rPr>
          <w:rFonts w:ascii="Times New Roman" w:hAnsi="Times New Roman"/>
        </w:rPr>
        <w:t xml:space="preserve">.  </w:t>
      </w:r>
      <w:r w:rsidRPr="004A652B" w:rsidR="00A40A9D">
        <w:rPr>
          <w:rFonts w:ascii="Times New Roman" w:hAnsi="Times New Roman"/>
          <w:bCs/>
          <w:u w:val="single"/>
        </w:rPr>
        <w:t>Efforts</w:t>
      </w:r>
      <w:r w:rsidRPr="00A40A9D" w:rsidR="00A40A9D">
        <w:rPr>
          <w:rFonts w:ascii="Times New Roman" w:hAnsi="Times New Roman"/>
          <w:u w:val="single"/>
        </w:rPr>
        <w:t xml:space="preserve"> to identify duplication:</w:t>
      </w:r>
    </w:p>
    <w:p w:rsidR="009701A0" w:rsidP="004A652B" w14:paraId="1BC84069" w14:textId="77777777">
      <w:pPr>
        <w:rPr>
          <w:rFonts w:ascii="Times New Roman" w:hAnsi="Times New Roman"/>
          <w:szCs w:val="24"/>
        </w:rPr>
      </w:pPr>
      <w:r w:rsidRPr="001026B0">
        <w:rPr>
          <w:rFonts w:ascii="Times New Roman" w:hAnsi="Times New Roman"/>
        </w:rPr>
        <w:t>The information required is unique. It is not duplicated elsewhere.</w:t>
      </w:r>
    </w:p>
    <w:p w:rsidR="004A652B" w:rsidP="004A652B" w14:paraId="6C5BBD7B" w14:textId="77777777">
      <w:pPr>
        <w:rPr>
          <w:rFonts w:ascii="Times New Roman" w:hAnsi="Times New Roman"/>
        </w:rPr>
      </w:pPr>
    </w:p>
    <w:p w:rsidR="009701A0" w:rsidP="004A652B" w14:paraId="16810083" w14:textId="77777777">
      <w:pPr>
        <w:widowControl/>
        <w:tabs>
          <w:tab w:val="left" w:pos="-1440"/>
          <w:tab w:val="left" w:pos="-720"/>
          <w:tab w:val="left" w:pos="0"/>
          <w:tab w:val="left" w:pos="432"/>
          <w:tab w:val="left" w:pos="720"/>
          <w:tab w:val="left" w:pos="1008"/>
          <w:tab w:val="left" w:pos="1440"/>
        </w:tabs>
        <w:suppressAutoHyphens/>
        <w:spacing w:after="100" w:afterAutospacing="1"/>
        <w:rPr>
          <w:rFonts w:ascii="Times New Roman" w:hAnsi="Times New Roman"/>
        </w:rPr>
      </w:pPr>
      <w:r>
        <w:rPr>
          <w:rFonts w:ascii="Times New Roman" w:hAnsi="Times New Roman"/>
        </w:rPr>
        <w:t>5</w:t>
      </w:r>
      <w:r>
        <w:rPr>
          <w:rFonts w:ascii="Times New Roman" w:hAnsi="Times New Roman"/>
        </w:rPr>
        <w:t xml:space="preserve">.  </w:t>
      </w:r>
      <w:r w:rsidRPr="00924289" w:rsidR="00924289">
        <w:rPr>
          <w:rFonts w:ascii="Times New Roman" w:hAnsi="Times New Roman"/>
          <w:bCs/>
          <w:u w:val="single"/>
        </w:rPr>
        <w:t>Methods</w:t>
      </w:r>
      <w:r w:rsidRPr="00924289" w:rsidR="00924289">
        <w:rPr>
          <w:rFonts w:ascii="Times New Roman" w:hAnsi="Times New Roman"/>
          <w:bCs/>
          <w:u w:val="single"/>
        </w:rPr>
        <w:t xml:space="preserve"> used to minimize burden if the collection has a significant impact on a substantial number of small entities:</w:t>
      </w:r>
    </w:p>
    <w:p w:rsidR="00703966" w:rsidP="004A652B" w14:paraId="6DFD598F" w14:textId="77777777">
      <w:pPr>
        <w:rPr>
          <w:rFonts w:ascii="Times New Roman" w:hAnsi="Times New Roman"/>
        </w:rPr>
      </w:pPr>
      <w:r w:rsidRPr="002C5C2B">
        <w:rPr>
          <w:rFonts w:ascii="Times New Roman" w:hAnsi="Times New Roman"/>
        </w:rPr>
        <w:t xml:space="preserve">Almost all FDIC-supervised small banking entities are exempt from the requirements of section 13 of the BHC Act, pursuant to </w:t>
      </w:r>
      <w:r w:rsidRPr="00D74B80" w:rsidR="006B42FD">
        <w:rPr>
          <w:rFonts w:ascii="Times New Roman" w:hAnsi="Times New Roman"/>
          <w:szCs w:val="24"/>
        </w:rPr>
        <w:t xml:space="preserve">the </w:t>
      </w:r>
      <w:r w:rsidRPr="00D74B80" w:rsidR="006B42FD">
        <w:rPr>
          <w:rFonts w:ascii="Times New Roman" w:hAnsi="Times New Roman"/>
          <w:snapToGrid/>
          <w:szCs w:val="24"/>
        </w:rPr>
        <w:t>Economic Growth,</w:t>
      </w:r>
      <w:r w:rsidR="006B42FD">
        <w:rPr>
          <w:rFonts w:ascii="Times New Roman" w:hAnsi="Times New Roman"/>
          <w:snapToGrid/>
          <w:szCs w:val="24"/>
        </w:rPr>
        <w:t xml:space="preserve"> </w:t>
      </w:r>
      <w:r w:rsidRPr="00D74B80" w:rsidR="006B42FD">
        <w:rPr>
          <w:rFonts w:ascii="Times New Roman" w:hAnsi="Times New Roman"/>
          <w:snapToGrid/>
          <w:szCs w:val="24"/>
        </w:rPr>
        <w:t>Regulatory Relief, and Consumer</w:t>
      </w:r>
      <w:r w:rsidR="006B42FD">
        <w:rPr>
          <w:rFonts w:ascii="Times New Roman" w:hAnsi="Times New Roman"/>
          <w:snapToGrid/>
          <w:szCs w:val="24"/>
        </w:rPr>
        <w:t xml:space="preserve"> </w:t>
      </w:r>
      <w:r w:rsidRPr="00D74B80" w:rsidR="006B42FD">
        <w:rPr>
          <w:rFonts w:ascii="Times New Roman" w:hAnsi="Times New Roman"/>
          <w:snapToGrid/>
          <w:szCs w:val="24"/>
        </w:rPr>
        <w:t>Protection Act (</w:t>
      </w:r>
      <w:r w:rsidRPr="004A652B" w:rsidR="006B42FD">
        <w:rPr>
          <w:rFonts w:ascii="Times New Roman" w:hAnsi="Times New Roman"/>
        </w:rPr>
        <w:t>EGRRCPA</w:t>
      </w:r>
      <w:r w:rsidRPr="00D74B80" w:rsidR="006B42FD">
        <w:rPr>
          <w:rFonts w:ascii="Times New Roman" w:hAnsi="Times New Roman"/>
          <w:snapToGrid/>
          <w:szCs w:val="24"/>
        </w:rPr>
        <w:t>)</w:t>
      </w:r>
      <w:r w:rsidRPr="002C5C2B">
        <w:rPr>
          <w:rFonts w:ascii="Times New Roman" w:hAnsi="Times New Roman"/>
        </w:rPr>
        <w:t>, and hence the final rule does not affect them.</w:t>
      </w:r>
      <w:r w:rsidRPr="00D04A91" w:rsidR="00D04A91">
        <w:rPr>
          <w:rFonts w:ascii="Times New Roman" w:hAnsi="Times New Roman"/>
        </w:rPr>
        <w:t xml:space="preserve">  </w:t>
      </w:r>
      <w:r w:rsidRPr="002C5C2B">
        <w:rPr>
          <w:rFonts w:ascii="Times New Roman" w:hAnsi="Times New Roman"/>
        </w:rPr>
        <w:t xml:space="preserve">The FDIC </w:t>
      </w:r>
      <w:r>
        <w:rPr>
          <w:rFonts w:ascii="Times New Roman" w:hAnsi="Times New Roman"/>
        </w:rPr>
        <w:t>believes th</w:t>
      </w:r>
      <w:r w:rsidR="00C42565">
        <w:rPr>
          <w:rFonts w:ascii="Times New Roman" w:hAnsi="Times New Roman"/>
        </w:rPr>
        <w:t>is</w:t>
      </w:r>
      <w:r w:rsidRPr="002C5C2B">
        <w:rPr>
          <w:rFonts w:ascii="Times New Roman" w:hAnsi="Times New Roman"/>
        </w:rPr>
        <w:t xml:space="preserve"> </w:t>
      </w:r>
      <w:r w:rsidR="00C42565">
        <w:rPr>
          <w:rFonts w:ascii="Times New Roman" w:hAnsi="Times New Roman"/>
        </w:rPr>
        <w:t>information collection does</w:t>
      </w:r>
      <w:r w:rsidRPr="002C5C2B">
        <w:rPr>
          <w:rFonts w:ascii="Times New Roman" w:hAnsi="Times New Roman"/>
        </w:rPr>
        <w:t xml:space="preserve"> not have a significant economic impact on a substantial number of FDIC-supervised small banking entities.</w:t>
      </w:r>
    </w:p>
    <w:p w:rsidR="004A652B" w:rsidP="004A652B" w14:paraId="2B61B717" w14:textId="77777777">
      <w:pPr>
        <w:rPr>
          <w:rFonts w:ascii="Times New Roman" w:hAnsi="Times New Roman"/>
        </w:rPr>
      </w:pPr>
    </w:p>
    <w:p w:rsidR="009701A0" w:rsidP="004A652B" w14:paraId="5EB9B5CF" w14:textId="77777777">
      <w:pPr>
        <w:widowControl/>
        <w:tabs>
          <w:tab w:val="left" w:pos="-1440"/>
          <w:tab w:val="left" w:pos="-720"/>
          <w:tab w:val="left" w:pos="0"/>
          <w:tab w:val="left" w:pos="432"/>
          <w:tab w:val="left" w:pos="720"/>
          <w:tab w:val="left" w:pos="1008"/>
          <w:tab w:val="left" w:pos="1440"/>
        </w:tabs>
        <w:suppressAutoHyphens/>
        <w:spacing w:after="100" w:afterAutospacing="1"/>
        <w:rPr>
          <w:rFonts w:ascii="Times New Roman" w:hAnsi="Times New Roman"/>
        </w:rPr>
      </w:pPr>
      <w:r>
        <w:rPr>
          <w:rFonts w:ascii="Times New Roman" w:hAnsi="Times New Roman"/>
        </w:rPr>
        <w:t xml:space="preserve">6.  </w:t>
      </w:r>
      <w:r w:rsidRPr="00924289" w:rsidR="00924289">
        <w:rPr>
          <w:rFonts w:ascii="Times New Roman" w:hAnsi="Times New Roman"/>
          <w:bCs/>
          <w:u w:val="single"/>
        </w:rPr>
        <w:t>Consequences to the Federal program if the collection were conducted less frequently:</w:t>
      </w:r>
    </w:p>
    <w:p w:rsidR="009701A0" w:rsidP="004A652B" w14:paraId="1580B8D8" w14:textId="77777777">
      <w:pPr>
        <w:rPr>
          <w:rFonts w:ascii="Times New Roman" w:hAnsi="Times New Roman"/>
        </w:rPr>
      </w:pPr>
      <w:r w:rsidRPr="001026B0">
        <w:rPr>
          <w:rFonts w:ascii="Times New Roman" w:hAnsi="Times New Roman"/>
        </w:rPr>
        <w:t xml:space="preserve">The disclosure requirements are imposed on a per occurrence/transaction basis. Less frequent disclosures would impair the ability of investors to adequately evaluate the investment potential of each transaction.  The recordkeeping requirements to develop liquidity management plans and policies and procedures to monitor compliance with regulatory requirements are one-time burdens, although the </w:t>
      </w:r>
      <w:r>
        <w:rPr>
          <w:rFonts w:ascii="Times New Roman" w:hAnsi="Times New Roman"/>
        </w:rPr>
        <w:t>FDIC</w:t>
      </w:r>
      <w:r w:rsidRPr="001026B0">
        <w:rPr>
          <w:rFonts w:ascii="Times New Roman" w:hAnsi="Times New Roman"/>
        </w:rPr>
        <w:t xml:space="preserve"> expects that banking entities will </w:t>
      </w:r>
      <w:r w:rsidR="00C42565">
        <w:rPr>
          <w:rFonts w:ascii="Times New Roman" w:hAnsi="Times New Roman"/>
        </w:rPr>
        <w:t xml:space="preserve">incur ongoing burden related to the </w:t>
      </w:r>
      <w:r w:rsidRPr="001026B0">
        <w:rPr>
          <w:rFonts w:ascii="Times New Roman" w:hAnsi="Times New Roman"/>
        </w:rPr>
        <w:t xml:space="preserve">review </w:t>
      </w:r>
      <w:r w:rsidR="00C42565">
        <w:rPr>
          <w:rFonts w:ascii="Times New Roman" w:hAnsi="Times New Roman"/>
        </w:rPr>
        <w:t xml:space="preserve">of </w:t>
      </w:r>
      <w:r w:rsidRPr="001026B0">
        <w:rPr>
          <w:rFonts w:ascii="Times New Roman" w:hAnsi="Times New Roman"/>
        </w:rPr>
        <w:t>their policies and procedures to reflect any changed conditions no less frequently than annually.</w:t>
      </w:r>
    </w:p>
    <w:p w:rsidR="004A652B" w:rsidP="004A652B" w14:paraId="063FE680" w14:textId="77777777">
      <w:pPr>
        <w:rPr>
          <w:rFonts w:ascii="Times New Roman" w:hAnsi="Times New Roman"/>
        </w:rPr>
      </w:pPr>
    </w:p>
    <w:p w:rsidR="009701A0" w:rsidP="004A652B" w14:paraId="5C7A8089" w14:textId="77777777">
      <w:pPr>
        <w:widowControl/>
        <w:tabs>
          <w:tab w:val="left" w:pos="-1440"/>
          <w:tab w:val="left" w:pos="-720"/>
          <w:tab w:val="left" w:pos="0"/>
          <w:tab w:val="left" w:pos="432"/>
          <w:tab w:val="left" w:pos="720"/>
          <w:tab w:val="left" w:pos="1008"/>
          <w:tab w:val="left" w:pos="1440"/>
        </w:tabs>
        <w:suppressAutoHyphens/>
        <w:spacing w:after="100" w:afterAutospacing="1"/>
        <w:rPr>
          <w:rFonts w:ascii="Times New Roman" w:hAnsi="Times New Roman"/>
        </w:rPr>
      </w:pPr>
      <w:r>
        <w:rPr>
          <w:rFonts w:ascii="Times New Roman" w:hAnsi="Times New Roman"/>
        </w:rPr>
        <w:t>7</w:t>
      </w:r>
      <w:r>
        <w:rPr>
          <w:rFonts w:ascii="Times New Roman" w:hAnsi="Times New Roman"/>
        </w:rPr>
        <w:t xml:space="preserve">.  </w:t>
      </w:r>
      <w:r w:rsidRPr="00924289" w:rsidR="00924289">
        <w:rPr>
          <w:rFonts w:ascii="Times New Roman" w:hAnsi="Times New Roman"/>
          <w:bCs/>
          <w:u w:val="single"/>
        </w:rPr>
        <w:t>Special</w:t>
      </w:r>
      <w:r w:rsidRPr="00924289" w:rsidR="00924289">
        <w:rPr>
          <w:rFonts w:ascii="Times New Roman" w:hAnsi="Times New Roman"/>
          <w:bCs/>
          <w:u w:val="single"/>
        </w:rPr>
        <w:t xml:space="preserve"> circumstances necessitating collection inconsistent with 5 CFR Part 1320.5(d)(2):</w:t>
      </w:r>
    </w:p>
    <w:p w:rsidR="009701A0" w:rsidP="004A652B" w14:paraId="62A1DEE9" w14:textId="77777777">
      <w:pPr>
        <w:rPr>
          <w:rFonts w:ascii="Times New Roman" w:hAnsi="Times New Roman"/>
        </w:rPr>
      </w:pPr>
      <w:r w:rsidRPr="00AE2484">
        <w:rPr>
          <w:rFonts w:ascii="Times New Roman" w:hAnsi="Times New Roman"/>
        </w:rPr>
        <w:t>None. The information collection is conducted in accordance with OMB guidelines in 5 CFR part 1320</w:t>
      </w:r>
      <w:r w:rsidR="00924289">
        <w:rPr>
          <w:rFonts w:ascii="Times New Roman" w:hAnsi="Times New Roman"/>
        </w:rPr>
        <w:t>.5(d)(2)</w:t>
      </w:r>
      <w:r>
        <w:rPr>
          <w:rFonts w:ascii="Times New Roman" w:hAnsi="Times New Roman"/>
        </w:rPr>
        <w:t>.</w:t>
      </w:r>
    </w:p>
    <w:p w:rsidR="004A652B" w:rsidP="004A652B" w14:paraId="76F173FF" w14:textId="77777777">
      <w:pPr>
        <w:rPr>
          <w:rFonts w:ascii="Times New Roman" w:hAnsi="Times New Roman"/>
        </w:rPr>
      </w:pPr>
    </w:p>
    <w:p w:rsidR="009701A0" w:rsidP="004A652B" w14:paraId="27FBF84C" w14:textId="77777777">
      <w:pPr>
        <w:widowControl/>
        <w:tabs>
          <w:tab w:val="left" w:pos="-1440"/>
          <w:tab w:val="left" w:pos="-720"/>
          <w:tab w:val="left" w:pos="0"/>
          <w:tab w:val="left" w:pos="432"/>
          <w:tab w:val="left" w:pos="720"/>
          <w:tab w:val="left" w:pos="1008"/>
          <w:tab w:val="left" w:pos="1440"/>
        </w:tabs>
        <w:suppressAutoHyphens/>
        <w:spacing w:after="100" w:afterAutospacing="1"/>
        <w:rPr>
          <w:rFonts w:ascii="Times New Roman" w:hAnsi="Times New Roman"/>
          <w:u w:val="single"/>
        </w:rPr>
      </w:pPr>
      <w:r>
        <w:rPr>
          <w:rFonts w:ascii="Times New Roman" w:hAnsi="Times New Roman"/>
        </w:rPr>
        <w:t>8</w:t>
      </w:r>
      <w:r>
        <w:rPr>
          <w:rFonts w:ascii="Times New Roman" w:hAnsi="Times New Roman"/>
        </w:rPr>
        <w:t xml:space="preserve">.  </w:t>
      </w:r>
      <w:r w:rsidRPr="005206E7" w:rsidR="005206E7">
        <w:rPr>
          <w:rFonts w:ascii="Times New Roman" w:hAnsi="Times New Roman"/>
          <w:bCs/>
          <w:u w:val="single"/>
        </w:rPr>
        <w:t>Efforts</w:t>
      </w:r>
      <w:r w:rsidRPr="005206E7" w:rsidR="005206E7">
        <w:rPr>
          <w:rFonts w:ascii="Times New Roman" w:hAnsi="Times New Roman"/>
          <w:bCs/>
          <w:u w:val="single"/>
        </w:rPr>
        <w:t xml:space="preserve"> to consult with </w:t>
      </w:r>
      <w:r w:rsidRPr="005206E7" w:rsidR="005206E7">
        <w:rPr>
          <w:rFonts w:ascii="Times New Roman" w:hAnsi="Times New Roman"/>
          <w:bCs/>
          <w:u w:val="single"/>
        </w:rPr>
        <w:t>persons</w:t>
      </w:r>
      <w:r w:rsidRPr="005206E7" w:rsidR="005206E7">
        <w:rPr>
          <w:rFonts w:ascii="Times New Roman" w:hAnsi="Times New Roman"/>
          <w:bCs/>
          <w:u w:val="single"/>
        </w:rPr>
        <w:t xml:space="preserve"> outside the agency:</w:t>
      </w:r>
    </w:p>
    <w:p w:rsidR="00C42565" w:rsidP="004A652B" w14:paraId="08713C6D" w14:textId="77777777">
      <w:pPr>
        <w:rPr>
          <w:rFonts w:ascii="Times New Roman" w:hAnsi="Times New Roman"/>
        </w:rPr>
      </w:pPr>
      <w:bookmarkStart w:id="0" w:name="OLE_LINK10"/>
      <w:bookmarkStart w:id="1" w:name="OLE_LINK11"/>
      <w:r w:rsidRPr="00F776E5">
        <w:rPr>
          <w:rFonts w:ascii="Times New Roman" w:hAnsi="Times New Roman"/>
        </w:rPr>
        <w:t xml:space="preserve">The </w:t>
      </w:r>
      <w:r>
        <w:rPr>
          <w:rFonts w:ascii="Times New Roman" w:hAnsi="Times New Roman"/>
        </w:rPr>
        <w:t>FDIC</w:t>
      </w:r>
      <w:r w:rsidR="00994A2E">
        <w:rPr>
          <w:rFonts w:ascii="Times New Roman" w:hAnsi="Times New Roman"/>
        </w:rPr>
        <w:t xml:space="preserve"> </w:t>
      </w:r>
      <w:r w:rsidRPr="00F776E5">
        <w:rPr>
          <w:rFonts w:ascii="Times New Roman" w:hAnsi="Times New Roman"/>
        </w:rPr>
        <w:t xml:space="preserve">published a </w:t>
      </w:r>
      <w:r w:rsidR="00994A2E">
        <w:rPr>
          <w:rFonts w:ascii="Times New Roman" w:hAnsi="Times New Roman"/>
        </w:rPr>
        <w:t xml:space="preserve">notice of </w:t>
      </w:r>
      <w:r>
        <w:rPr>
          <w:rFonts w:ascii="Times New Roman" w:hAnsi="Times New Roman"/>
        </w:rPr>
        <w:t>its intent to extend the validity of this information collection in the Federal Register,</w:t>
      </w:r>
      <w:r w:rsidR="00994A2E">
        <w:rPr>
          <w:rFonts w:ascii="Times New Roman" w:hAnsi="Times New Roman"/>
        </w:rPr>
        <w:t xml:space="preserve"> with a </w:t>
      </w:r>
      <w:r w:rsidRPr="00F776E5">
        <w:rPr>
          <w:rFonts w:ascii="Times New Roman" w:hAnsi="Times New Roman"/>
        </w:rPr>
        <w:t xml:space="preserve">60-day </w:t>
      </w:r>
      <w:r w:rsidR="00994A2E">
        <w:rPr>
          <w:rFonts w:ascii="Times New Roman" w:hAnsi="Times New Roman"/>
        </w:rPr>
        <w:t>comment period</w:t>
      </w:r>
      <w:r>
        <w:rPr>
          <w:rFonts w:ascii="Times New Roman" w:hAnsi="Times New Roman"/>
        </w:rPr>
        <w:t xml:space="preserve">, </w:t>
      </w:r>
      <w:r w:rsidRPr="00F776E5">
        <w:rPr>
          <w:rFonts w:ascii="Times New Roman" w:hAnsi="Times New Roman"/>
        </w:rPr>
        <w:t xml:space="preserve">on </w:t>
      </w:r>
      <w:r>
        <w:rPr>
          <w:rFonts w:ascii="Times New Roman" w:hAnsi="Times New Roman"/>
        </w:rPr>
        <w:t>April 24, 2023</w:t>
      </w:r>
      <w:r w:rsidRPr="00F776E5">
        <w:rPr>
          <w:rFonts w:ascii="Times New Roman" w:hAnsi="Times New Roman"/>
        </w:rPr>
        <w:t xml:space="preserve"> (8</w:t>
      </w:r>
      <w:r>
        <w:rPr>
          <w:rFonts w:ascii="Times New Roman" w:hAnsi="Times New Roman"/>
        </w:rPr>
        <w:t>8</w:t>
      </w:r>
      <w:r w:rsidRPr="00F776E5">
        <w:rPr>
          <w:rFonts w:ascii="Times New Roman" w:hAnsi="Times New Roman"/>
        </w:rPr>
        <w:t xml:space="preserve"> FR </w:t>
      </w:r>
      <w:r>
        <w:rPr>
          <w:rFonts w:ascii="Times New Roman" w:hAnsi="Times New Roman"/>
        </w:rPr>
        <w:t>24796)2.  No comments were received.</w:t>
      </w:r>
    </w:p>
    <w:p w:rsidR="004A652B" w:rsidP="004A652B" w14:paraId="7B27D9A4" w14:textId="77777777">
      <w:pPr>
        <w:rPr>
          <w:rFonts w:ascii="Times New Roman" w:hAnsi="Times New Roman"/>
        </w:rPr>
      </w:pPr>
    </w:p>
    <w:bookmarkEnd w:id="0"/>
    <w:bookmarkEnd w:id="1"/>
    <w:p w:rsidR="009701A0" w:rsidP="004A652B" w14:paraId="42D563AF" w14:textId="77777777">
      <w:pPr>
        <w:widowControl/>
        <w:tabs>
          <w:tab w:val="left" w:pos="-1440"/>
          <w:tab w:val="left" w:pos="-720"/>
          <w:tab w:val="left" w:pos="0"/>
          <w:tab w:val="left" w:pos="432"/>
          <w:tab w:val="left" w:pos="720"/>
          <w:tab w:val="left" w:pos="1008"/>
          <w:tab w:val="left" w:pos="1440"/>
        </w:tabs>
        <w:suppressAutoHyphens/>
        <w:spacing w:after="100" w:afterAutospacing="1"/>
        <w:rPr>
          <w:rFonts w:ascii="Times New Roman" w:hAnsi="Times New Roman"/>
        </w:rPr>
      </w:pPr>
      <w:r>
        <w:rPr>
          <w:rFonts w:ascii="Times New Roman" w:hAnsi="Times New Roman"/>
        </w:rPr>
        <w:t>9</w:t>
      </w:r>
      <w:r>
        <w:rPr>
          <w:rFonts w:ascii="Times New Roman" w:hAnsi="Times New Roman"/>
        </w:rPr>
        <w:t xml:space="preserve">.  </w:t>
      </w:r>
      <w:r w:rsidRPr="005206E7" w:rsidR="005206E7">
        <w:rPr>
          <w:rFonts w:ascii="Times New Roman" w:hAnsi="Times New Roman"/>
          <w:u w:val="single"/>
        </w:rPr>
        <w:t>Payments</w:t>
      </w:r>
      <w:r w:rsidRPr="005206E7" w:rsidR="005206E7">
        <w:rPr>
          <w:rFonts w:ascii="Times New Roman" w:hAnsi="Times New Roman"/>
          <w:u w:val="single"/>
        </w:rPr>
        <w:t xml:space="preserve"> or gifts to respondents:</w:t>
      </w:r>
    </w:p>
    <w:p w:rsidR="009701A0" w:rsidP="004A652B" w14:paraId="0F5E1B33" w14:textId="77777777">
      <w:pPr>
        <w:rPr>
          <w:rFonts w:ascii="Times New Roman" w:hAnsi="Times New Roman"/>
        </w:rPr>
      </w:pPr>
      <w:r>
        <w:rPr>
          <w:rFonts w:ascii="Times New Roman" w:hAnsi="Times New Roman"/>
        </w:rPr>
        <w:t>None.</w:t>
      </w:r>
    </w:p>
    <w:p w:rsidR="009701A0" w14:paraId="28463936" w14:textId="77777777">
      <w:pPr>
        <w:widowControl/>
        <w:tabs>
          <w:tab w:val="left" w:pos="-1440"/>
          <w:tab w:val="left" w:pos="-720"/>
          <w:tab w:val="left" w:pos="0"/>
          <w:tab w:val="left" w:pos="432"/>
          <w:tab w:val="left" w:pos="720"/>
        </w:tabs>
        <w:suppressAutoHyphens/>
        <w:rPr>
          <w:rFonts w:ascii="Times New Roman" w:hAnsi="Times New Roman"/>
        </w:rPr>
      </w:pPr>
    </w:p>
    <w:p w:rsidR="009701A0" w:rsidP="00910596" w14:paraId="290DA39C" w14:textId="77777777">
      <w:pPr>
        <w:widowControl/>
        <w:tabs>
          <w:tab w:val="left" w:pos="-1440"/>
          <w:tab w:val="left" w:pos="-720"/>
          <w:tab w:val="left" w:pos="0"/>
          <w:tab w:val="left" w:pos="432"/>
          <w:tab w:val="left" w:pos="720"/>
          <w:tab w:val="left" w:pos="1008"/>
          <w:tab w:val="left" w:pos="1440"/>
        </w:tabs>
        <w:suppressAutoHyphens/>
        <w:spacing w:after="100" w:afterAutospacing="1"/>
        <w:rPr>
          <w:rFonts w:ascii="Times New Roman" w:hAnsi="Times New Roman"/>
        </w:rPr>
      </w:pPr>
      <w:r>
        <w:rPr>
          <w:rFonts w:ascii="Times New Roman" w:hAnsi="Times New Roman"/>
        </w:rPr>
        <w:t>10</w:t>
      </w:r>
      <w:r>
        <w:rPr>
          <w:rFonts w:ascii="Times New Roman" w:hAnsi="Times New Roman"/>
        </w:rPr>
        <w:t xml:space="preserve">.  </w:t>
      </w:r>
      <w:r w:rsidRPr="005206E7" w:rsidR="005206E7">
        <w:rPr>
          <w:rFonts w:ascii="Times New Roman" w:hAnsi="Times New Roman"/>
          <w:bCs/>
          <w:u w:val="single"/>
        </w:rPr>
        <w:t>Any</w:t>
      </w:r>
      <w:r w:rsidRPr="005206E7" w:rsidR="005206E7">
        <w:rPr>
          <w:rFonts w:ascii="Times New Roman" w:hAnsi="Times New Roman"/>
          <w:bCs/>
          <w:u w:val="single"/>
        </w:rPr>
        <w:t xml:space="preserve"> assurance of confidentiality:</w:t>
      </w:r>
    </w:p>
    <w:p w:rsidR="009701A0" w:rsidP="004A652B" w14:paraId="0B4A6D18" w14:textId="77777777">
      <w:pPr>
        <w:rPr>
          <w:rFonts w:ascii="Times New Roman" w:hAnsi="Times New Roman"/>
        </w:rPr>
      </w:pPr>
      <w:r w:rsidRPr="00AE2484">
        <w:rPr>
          <w:rFonts w:ascii="Times New Roman" w:hAnsi="Times New Roman"/>
        </w:rPr>
        <w:t>The information collected will be kept confidential to the extent permitted by law.</w:t>
      </w:r>
      <w:r>
        <w:rPr>
          <w:rFonts w:ascii="Times New Roman" w:hAnsi="Times New Roman"/>
        </w:rPr>
        <w:t xml:space="preserve">  The information may be afforded confidential treatment pursuant to sections (b)(4), (b)(6), and (b)(8) of the Freedom of Information Act (5 U.S.C. §§ 552(b)(4), (b)(6), and (b)(8); and section 1103 of the Right to Financial Privacy Act (12 U.S.C. § 3403</w:t>
      </w:r>
      <w:r w:rsidR="00A31874">
        <w:rPr>
          <w:rFonts w:ascii="Times New Roman" w:hAnsi="Times New Roman"/>
        </w:rPr>
        <w:t>)</w:t>
      </w:r>
      <w:r>
        <w:rPr>
          <w:rFonts w:ascii="Times New Roman" w:hAnsi="Times New Roman"/>
        </w:rPr>
        <w:t xml:space="preserve">. </w:t>
      </w:r>
    </w:p>
    <w:p w:rsidR="00910596" w:rsidP="004A652B" w14:paraId="4147E7E4" w14:textId="77777777">
      <w:pPr>
        <w:rPr>
          <w:rFonts w:ascii="Times New Roman" w:hAnsi="Times New Roman"/>
          <w:snapToGrid/>
          <w:szCs w:val="24"/>
        </w:rPr>
      </w:pPr>
    </w:p>
    <w:p w:rsidR="009701A0" w14:paraId="7E97FC2D" w14:textId="77777777">
      <w:pPr>
        <w:widowControl/>
        <w:autoSpaceDE w:val="0"/>
        <w:autoSpaceDN w:val="0"/>
        <w:adjustRightInd w:val="0"/>
        <w:rPr>
          <w:rFonts w:ascii="Times New Roman" w:hAnsi="Times New Roman"/>
        </w:rPr>
      </w:pPr>
    </w:p>
    <w:p w:rsidR="009701A0" w:rsidP="00910596" w14:paraId="27B24F33" w14:textId="77777777">
      <w:pPr>
        <w:widowControl/>
        <w:tabs>
          <w:tab w:val="left" w:pos="-1440"/>
          <w:tab w:val="left" w:pos="-720"/>
          <w:tab w:val="left" w:pos="0"/>
          <w:tab w:val="left" w:pos="432"/>
          <w:tab w:val="left" w:pos="720"/>
          <w:tab w:val="left" w:pos="1008"/>
          <w:tab w:val="left" w:pos="1440"/>
        </w:tabs>
        <w:suppressAutoHyphens/>
        <w:spacing w:after="100" w:afterAutospacing="1"/>
        <w:rPr>
          <w:rFonts w:ascii="Times New Roman" w:hAnsi="Times New Roman"/>
        </w:rPr>
      </w:pPr>
      <w:r>
        <w:rPr>
          <w:rFonts w:ascii="Times New Roman" w:hAnsi="Times New Roman"/>
        </w:rPr>
        <w:t>11</w:t>
      </w:r>
      <w:r>
        <w:rPr>
          <w:rFonts w:ascii="Times New Roman" w:hAnsi="Times New Roman"/>
        </w:rPr>
        <w:t xml:space="preserve">.  </w:t>
      </w:r>
      <w:r w:rsidRPr="005206E7" w:rsidR="005206E7">
        <w:rPr>
          <w:rFonts w:ascii="Times New Roman" w:hAnsi="Times New Roman"/>
          <w:bCs/>
          <w:u w:val="single"/>
        </w:rPr>
        <w:t>Justification</w:t>
      </w:r>
      <w:r w:rsidRPr="005206E7" w:rsidR="005206E7">
        <w:rPr>
          <w:rFonts w:ascii="Times New Roman" w:hAnsi="Times New Roman"/>
          <w:bCs/>
          <w:u w:val="single"/>
        </w:rPr>
        <w:t xml:space="preserve"> for questions of a sensitive nature:</w:t>
      </w:r>
    </w:p>
    <w:p w:rsidR="009701A0" w:rsidP="004A652B" w14:paraId="7E950CF3" w14:textId="77777777">
      <w:pPr>
        <w:rPr>
          <w:rFonts w:ascii="Times New Roman" w:hAnsi="Times New Roman"/>
        </w:rPr>
      </w:pPr>
      <w:r>
        <w:rPr>
          <w:rFonts w:ascii="Times New Roman" w:hAnsi="Times New Roman"/>
        </w:rPr>
        <w:t>None of the information required to be reported, disclosed or maintained is of a sensitive nature.</w:t>
      </w:r>
    </w:p>
    <w:p w:rsidR="009701A0" w14:paraId="371EB3AC" w14:textId="77777777">
      <w:pPr>
        <w:widowControl/>
        <w:tabs>
          <w:tab w:val="left" w:pos="-1440"/>
          <w:tab w:val="left" w:pos="-720"/>
          <w:tab w:val="left" w:pos="0"/>
          <w:tab w:val="left" w:pos="432"/>
          <w:tab w:val="left" w:pos="720"/>
        </w:tabs>
        <w:suppressAutoHyphens/>
        <w:rPr>
          <w:rFonts w:ascii="Times New Roman" w:hAnsi="Times New Roman"/>
        </w:rPr>
      </w:pPr>
    </w:p>
    <w:p w:rsidR="009701A0" w:rsidP="00910596" w14:paraId="2FDFAED1" w14:textId="77777777">
      <w:pPr>
        <w:widowControl/>
        <w:tabs>
          <w:tab w:val="left" w:pos="-1440"/>
          <w:tab w:val="left" w:pos="-720"/>
          <w:tab w:val="left" w:pos="0"/>
          <w:tab w:val="left" w:pos="432"/>
          <w:tab w:val="left" w:pos="720"/>
          <w:tab w:val="left" w:pos="1008"/>
          <w:tab w:val="left" w:pos="1440"/>
        </w:tabs>
        <w:suppressAutoHyphens/>
        <w:spacing w:after="100" w:afterAutospacing="1"/>
        <w:rPr>
          <w:rFonts w:ascii="Times New Roman" w:hAnsi="Times New Roman"/>
          <w:u w:val="single"/>
        </w:rPr>
      </w:pPr>
      <w:r>
        <w:rPr>
          <w:rFonts w:ascii="Times New Roman" w:hAnsi="Times New Roman"/>
        </w:rPr>
        <w:t>12</w:t>
      </w:r>
      <w:r>
        <w:rPr>
          <w:rFonts w:ascii="Times New Roman" w:hAnsi="Times New Roman"/>
        </w:rPr>
        <w:t xml:space="preserve">.  </w:t>
      </w:r>
      <w:r w:rsidRPr="005206E7" w:rsidR="005206E7">
        <w:rPr>
          <w:rFonts w:ascii="Times New Roman" w:hAnsi="Times New Roman"/>
          <w:u w:val="single"/>
        </w:rPr>
        <w:t>Estimate</w:t>
      </w:r>
      <w:r w:rsidRPr="005206E7" w:rsidR="005206E7">
        <w:rPr>
          <w:rFonts w:ascii="Times New Roman" w:hAnsi="Times New Roman"/>
          <w:u w:val="single"/>
        </w:rPr>
        <w:t xml:space="preserve"> of hour burden including annualized hourly costs:</w:t>
      </w:r>
    </w:p>
    <w:p w:rsidR="0047674C" w:rsidP="00D51EF9" w14:paraId="33425FE5" w14:textId="77777777">
      <w:pPr>
        <w:rPr>
          <w:rFonts w:ascii="Times New Roman" w:hAnsi="Times New Roman"/>
          <w:iCs/>
        </w:rPr>
      </w:pPr>
      <w:r>
        <w:rPr>
          <w:rFonts w:ascii="Times New Roman" w:hAnsi="Times New Roman"/>
          <w:iCs/>
        </w:rPr>
        <w:t>In determining the method for estimating t</w:t>
      </w:r>
      <w:r w:rsidR="00C42565">
        <w:rPr>
          <w:rFonts w:ascii="Times New Roman" w:hAnsi="Times New Roman"/>
          <w:iCs/>
        </w:rPr>
        <w:t>he paperwork burden the FDIC</w:t>
      </w:r>
      <w:r>
        <w:rPr>
          <w:rFonts w:ascii="Times New Roman" w:hAnsi="Times New Roman"/>
          <w:iCs/>
        </w:rPr>
        <w:t xml:space="preserve"> </w:t>
      </w:r>
      <w:r>
        <w:rPr>
          <w:rFonts w:ascii="Times New Roman" w:hAnsi="Times New Roman"/>
          <w:iCs/>
        </w:rPr>
        <w:t>made the assumption</w:t>
      </w:r>
      <w:r>
        <w:rPr>
          <w:rFonts w:ascii="Times New Roman" w:hAnsi="Times New Roman"/>
          <w:iCs/>
        </w:rPr>
        <w:t xml:space="preserve"> that affiliated entities under a holding company would act in concert with one another to take advantage of </w:t>
      </w:r>
      <w:r w:rsidRPr="004A652B">
        <w:rPr>
          <w:rFonts w:ascii="Times New Roman" w:hAnsi="Times New Roman"/>
        </w:rPr>
        <w:t>efficiencie</w:t>
      </w:r>
      <w:r w:rsidRPr="004A652B" w:rsidR="00C42565">
        <w:rPr>
          <w:rFonts w:ascii="Times New Roman" w:hAnsi="Times New Roman"/>
        </w:rPr>
        <w:t>s</w:t>
      </w:r>
      <w:r w:rsidR="00C42565">
        <w:rPr>
          <w:rFonts w:ascii="Times New Roman" w:hAnsi="Times New Roman"/>
          <w:iCs/>
        </w:rPr>
        <w:t xml:space="preserve"> that may exist.  The</w:t>
      </w:r>
      <w:r>
        <w:rPr>
          <w:rFonts w:ascii="Times New Roman" w:hAnsi="Times New Roman"/>
          <w:iCs/>
        </w:rPr>
        <w:t xml:space="preserve"> burden for such entities has been taken by the </w:t>
      </w:r>
      <w:r w:rsidR="00994A2E">
        <w:rPr>
          <w:rFonts w:ascii="Times New Roman" w:hAnsi="Times New Roman"/>
          <w:iCs/>
        </w:rPr>
        <w:t>Board</w:t>
      </w:r>
      <w:r w:rsidR="00D078CA">
        <w:rPr>
          <w:rFonts w:ascii="Times New Roman" w:hAnsi="Times New Roman"/>
          <w:iCs/>
        </w:rPr>
        <w:t xml:space="preserve"> of Governors of the Federal Reserve System</w:t>
      </w:r>
      <w:r>
        <w:rPr>
          <w:rFonts w:ascii="Times New Roman" w:hAnsi="Times New Roman"/>
          <w:iCs/>
        </w:rPr>
        <w:t xml:space="preserve"> at the holding company level.  Therefore, the FDIC burden estimates are only for FDIC-supervised institutions that are not under a holding company.</w:t>
      </w:r>
      <w:r w:rsidR="00280932">
        <w:rPr>
          <w:rFonts w:ascii="Times New Roman" w:hAnsi="Times New Roman"/>
          <w:iCs/>
        </w:rPr>
        <w:t xml:space="preserve">  As indicated below, the total estimated burden, for </w:t>
      </w:r>
      <w:r w:rsidR="00333BEC">
        <w:rPr>
          <w:rFonts w:ascii="Times New Roman" w:hAnsi="Times New Roman"/>
          <w:iCs/>
        </w:rPr>
        <w:t>impleme</w:t>
      </w:r>
      <w:r w:rsidR="00DC7416">
        <w:rPr>
          <w:rFonts w:ascii="Times New Roman" w:hAnsi="Times New Roman"/>
          <w:iCs/>
        </w:rPr>
        <w:t>n</w:t>
      </w:r>
      <w:r w:rsidR="00333BEC">
        <w:rPr>
          <w:rFonts w:ascii="Times New Roman" w:hAnsi="Times New Roman"/>
          <w:iCs/>
        </w:rPr>
        <w:t>tation</w:t>
      </w:r>
      <w:r>
        <w:rPr>
          <w:rStyle w:val="FootnoteReference"/>
          <w:rFonts w:ascii="Times New Roman" w:hAnsi="Times New Roman"/>
          <w:iCs/>
        </w:rPr>
        <w:footnoteReference w:id="3"/>
      </w:r>
      <w:r w:rsidR="00280932">
        <w:rPr>
          <w:rFonts w:ascii="Times New Roman" w:hAnsi="Times New Roman"/>
          <w:iCs/>
        </w:rPr>
        <w:t xml:space="preserve"> and ongoin</w:t>
      </w:r>
      <w:r w:rsidR="00217329">
        <w:rPr>
          <w:rFonts w:ascii="Times New Roman" w:hAnsi="Times New Roman"/>
          <w:iCs/>
        </w:rPr>
        <w:t>g compliance</w:t>
      </w:r>
      <w:r w:rsidR="00180C79">
        <w:rPr>
          <w:rFonts w:ascii="Times New Roman" w:hAnsi="Times New Roman"/>
          <w:iCs/>
        </w:rPr>
        <w:t xml:space="preserve"> for such FDIC-supervised institutions</w:t>
      </w:r>
      <w:r w:rsidR="00217329">
        <w:rPr>
          <w:rFonts w:ascii="Times New Roman" w:hAnsi="Times New Roman"/>
          <w:iCs/>
        </w:rPr>
        <w:t xml:space="preserve">, is </w:t>
      </w:r>
      <w:r w:rsidRPr="003D016B" w:rsidR="00524F65">
        <w:rPr>
          <w:rFonts w:ascii="Times New Roman" w:hAnsi="Times New Roman"/>
          <w:iCs/>
          <w:lang w:bidi="en-US"/>
        </w:rPr>
        <w:t>4,049</w:t>
      </w:r>
      <w:r w:rsidR="00217329">
        <w:rPr>
          <w:rFonts w:ascii="Times New Roman" w:hAnsi="Times New Roman"/>
          <w:iCs/>
        </w:rPr>
        <w:t xml:space="preserve"> hours.</w:t>
      </w:r>
    </w:p>
    <w:p w:rsidR="00D078CA" w:rsidP="00D51EF9" w14:paraId="1465911C" w14:textId="77777777">
      <w:pPr>
        <w:rPr>
          <w:rFonts w:ascii="Times New Roman" w:hAnsi="Times New Roman"/>
          <w:iCs/>
        </w:rPr>
      </w:pPr>
    </w:p>
    <w:p w:rsidR="00D078CA" w:rsidP="00D51EF9" w14:paraId="177CAC80" w14:textId="77777777">
      <w:pPr>
        <w:rPr>
          <w:rFonts w:ascii="Times New Roman" w:hAnsi="Times New Roman"/>
          <w:iCs/>
        </w:rPr>
      </w:pPr>
      <w:r>
        <w:rPr>
          <w:rFonts w:ascii="Times New Roman" w:hAnsi="Times New Roman"/>
          <w:iCs/>
        </w:rPr>
        <w:t xml:space="preserve">This ICR consists of reporting, recordkeeping and </w:t>
      </w:r>
      <w:r>
        <w:rPr>
          <w:rFonts w:ascii="Times New Roman" w:hAnsi="Times New Roman"/>
          <w:iCs/>
        </w:rPr>
        <w:t>third party</w:t>
      </w:r>
      <w:r>
        <w:rPr>
          <w:rFonts w:ascii="Times New Roman" w:hAnsi="Times New Roman"/>
          <w:iCs/>
        </w:rPr>
        <w:t xml:space="preserve"> disclosures as follows:</w:t>
      </w:r>
    </w:p>
    <w:p w:rsidR="00F9420A" w:rsidP="00D51EF9" w14:paraId="24F26F5C" w14:textId="77777777">
      <w:pPr>
        <w:rPr>
          <w:rFonts w:ascii="Times New Roman" w:hAnsi="Times New Roman"/>
          <w:iCs/>
        </w:rPr>
      </w:pPr>
    </w:p>
    <w:p w:rsidR="00F9420A" w:rsidRPr="00524F65" w:rsidP="00524F65" w14:paraId="03A6F37E" w14:textId="77777777">
      <w:pPr>
        <w:spacing w:after="100" w:afterAutospacing="1"/>
        <w:rPr>
          <w:rFonts w:ascii="Times New Roman" w:hAnsi="Times New Roman"/>
          <w:b/>
          <w:i/>
          <w:iCs/>
          <w:lang w:bidi="en-US"/>
        </w:rPr>
      </w:pPr>
      <w:r w:rsidRPr="00F9420A">
        <w:rPr>
          <w:rFonts w:ascii="Times New Roman" w:hAnsi="Times New Roman"/>
          <w:b/>
          <w:i/>
          <w:iCs/>
          <w:lang w:bidi="en-US"/>
        </w:rPr>
        <w:t>Reporting Requirements</w:t>
      </w:r>
    </w:p>
    <w:p w:rsidR="00F9420A" w:rsidRPr="00F9420A" w:rsidP="00F9420A" w14:paraId="36D7DECC" w14:textId="77777777">
      <w:pPr>
        <w:rPr>
          <w:rFonts w:ascii="Times New Roman" w:hAnsi="Times New Roman"/>
          <w:iCs/>
          <w:lang w:bidi="en-US"/>
        </w:rPr>
      </w:pPr>
      <w:r w:rsidRPr="00F9420A">
        <w:rPr>
          <w:rFonts w:ascii="Times New Roman" w:hAnsi="Times New Roman"/>
          <w:b/>
          <w:iCs/>
          <w:lang w:bidi="en-US"/>
        </w:rPr>
        <w:t xml:space="preserve">1. Limit Breaches and Increases, 12 CFR 351.4(c)(3)(i) (Mandatory). </w:t>
      </w:r>
      <w:r w:rsidRPr="00F9420A">
        <w:rPr>
          <w:rFonts w:ascii="Times New Roman" w:hAnsi="Times New Roman"/>
          <w:iCs/>
          <w:lang w:bidi="en-US"/>
        </w:rPr>
        <w:t>Section 351.4</w:t>
      </w:r>
      <w:r>
        <w:rPr>
          <w:rFonts w:ascii="Times New Roman" w:hAnsi="Times New Roman"/>
          <w:iCs/>
          <w:vertAlign w:val="superscript"/>
          <w:lang w:bidi="en-US"/>
        </w:rPr>
        <w:footnoteReference w:id="4"/>
      </w:r>
      <w:r w:rsidRPr="00F9420A">
        <w:rPr>
          <w:rFonts w:ascii="Times New Roman" w:hAnsi="Times New Roman"/>
          <w:iCs/>
          <w:lang w:bidi="en-US"/>
        </w:rPr>
        <w:t xml:space="preserve"> discusses permitted underwriting and market making-related activities for covered banks. The reporting requirement under </w:t>
      </w:r>
      <w:r w:rsidRPr="004A652B">
        <w:rPr>
          <w:rFonts w:ascii="Times New Roman" w:hAnsi="Times New Roman"/>
        </w:rPr>
        <w:t>Section</w:t>
      </w:r>
      <w:r w:rsidRPr="00F9420A">
        <w:rPr>
          <w:rFonts w:ascii="Times New Roman" w:hAnsi="Times New Roman"/>
          <w:iCs/>
          <w:lang w:bidi="en-US"/>
        </w:rPr>
        <w:t xml:space="preserve"> 351.4(c)(3)(i)</w:t>
      </w:r>
      <w:r>
        <w:rPr>
          <w:rFonts w:ascii="Times New Roman" w:hAnsi="Times New Roman"/>
          <w:iCs/>
          <w:vertAlign w:val="superscript"/>
          <w:lang w:bidi="en-US"/>
        </w:rPr>
        <w:footnoteReference w:id="5"/>
      </w:r>
      <w:r w:rsidRPr="00F9420A">
        <w:rPr>
          <w:rFonts w:ascii="Times New Roman" w:hAnsi="Times New Roman"/>
          <w:iCs/>
          <w:lang w:bidi="en-US"/>
        </w:rPr>
        <w:t xml:space="preserve"> requires a covered bank to, upon request by the FDIC, make available to the FDIC records regarding (1) any internal trading desk limit that is exceeded and (2) any temporary or permanent increase to any internal trading desk limit.</w:t>
      </w:r>
    </w:p>
    <w:p w:rsidR="00F9420A" w:rsidRPr="00F9420A" w:rsidP="00F9420A" w14:paraId="128B1087" w14:textId="77777777">
      <w:pPr>
        <w:rPr>
          <w:rFonts w:ascii="Times New Roman" w:hAnsi="Times New Roman"/>
          <w:iCs/>
          <w:lang w:bidi="en-US"/>
        </w:rPr>
      </w:pPr>
    </w:p>
    <w:p w:rsidR="00F9420A" w:rsidRPr="00F9420A" w:rsidP="00F9420A" w14:paraId="7C05CB67" w14:textId="77777777">
      <w:pPr>
        <w:rPr>
          <w:rFonts w:ascii="Times New Roman" w:hAnsi="Times New Roman"/>
          <w:iCs/>
          <w:lang w:bidi="en-US"/>
        </w:rPr>
      </w:pPr>
      <w:r w:rsidRPr="00F9420A">
        <w:rPr>
          <w:rFonts w:ascii="Times New Roman" w:hAnsi="Times New Roman"/>
          <w:b/>
          <w:iCs/>
          <w:lang w:bidi="en-US"/>
        </w:rPr>
        <w:t>2</w:t>
      </w:r>
      <w:r w:rsidRPr="00F9420A">
        <w:rPr>
          <w:rFonts w:ascii="Times New Roman" w:hAnsi="Times New Roman"/>
          <w:b/>
          <w:iCs/>
          <w:lang w:bidi="en-US"/>
        </w:rPr>
        <w:t>.  Requirements</w:t>
      </w:r>
      <w:r w:rsidRPr="00F9420A">
        <w:rPr>
          <w:rFonts w:ascii="Times New Roman" w:hAnsi="Times New Roman"/>
          <w:b/>
          <w:iCs/>
          <w:lang w:bidi="en-US"/>
        </w:rPr>
        <w:t xml:space="preserve"> under Appendix A for Covered Banks with Significant Trading Assets &amp; Liabilities, 12 CFR 351.20(d) (Mandatory). </w:t>
      </w:r>
      <w:r w:rsidRPr="00F9420A">
        <w:rPr>
          <w:rFonts w:ascii="Times New Roman" w:hAnsi="Times New Roman"/>
          <w:iCs/>
          <w:lang w:bidi="en-US"/>
        </w:rPr>
        <w:t>Section 351.20</w:t>
      </w:r>
      <w:r>
        <w:rPr>
          <w:rFonts w:ascii="Times New Roman" w:hAnsi="Times New Roman"/>
          <w:iCs/>
          <w:vertAlign w:val="superscript"/>
          <w:lang w:bidi="en-US"/>
        </w:rPr>
        <w:footnoteReference w:id="6"/>
      </w:r>
      <w:r w:rsidRPr="00F9420A">
        <w:rPr>
          <w:rFonts w:ascii="Times New Roman" w:hAnsi="Times New Roman"/>
          <w:iCs/>
          <w:lang w:bidi="en-US"/>
        </w:rPr>
        <w:t xml:space="preserve"> discusses the terms, scope, and details of compliance plans </w:t>
      </w:r>
      <w:r w:rsidRPr="004A652B">
        <w:rPr>
          <w:rFonts w:ascii="Times New Roman" w:hAnsi="Times New Roman"/>
        </w:rPr>
        <w:t>required</w:t>
      </w:r>
      <w:r w:rsidRPr="00F9420A">
        <w:rPr>
          <w:rFonts w:ascii="Times New Roman" w:hAnsi="Times New Roman"/>
          <w:iCs/>
          <w:lang w:bidi="en-US"/>
        </w:rPr>
        <w:t xml:space="preserve"> to be developed by each covered bank. The reporting requirement under 12 CFR 351.20(d)</w:t>
      </w:r>
      <w:r>
        <w:rPr>
          <w:rFonts w:ascii="Times New Roman" w:hAnsi="Times New Roman"/>
          <w:iCs/>
          <w:vertAlign w:val="superscript"/>
          <w:lang w:bidi="en-US"/>
        </w:rPr>
        <w:footnoteReference w:id="7"/>
      </w:r>
      <w:r w:rsidRPr="00F9420A">
        <w:rPr>
          <w:rFonts w:ascii="Times New Roman" w:hAnsi="Times New Roman"/>
          <w:iCs/>
          <w:lang w:bidi="en-US"/>
        </w:rPr>
        <w:t xml:space="preserve"> requires a covered bank with significant trading assets and liabilities</w:t>
      </w:r>
      <w:r>
        <w:rPr>
          <w:rFonts w:ascii="Times New Roman" w:hAnsi="Times New Roman"/>
          <w:iCs/>
          <w:vertAlign w:val="superscript"/>
          <w:lang w:bidi="en-US"/>
        </w:rPr>
        <w:footnoteReference w:id="8"/>
      </w:r>
      <w:r w:rsidRPr="00F9420A">
        <w:rPr>
          <w:rFonts w:ascii="Times New Roman" w:hAnsi="Times New Roman"/>
          <w:iCs/>
          <w:lang w:bidi="en-US"/>
        </w:rPr>
        <w:t xml:space="preserve"> to submit quarterly reports to the FDIC on various quantitative measures, including, but not limited to: Internal Limits and Usage; Value-at-Risk; Comprehensive Profit and Loss Attribution; Positions; and Transaction Volumes, as well as trading desk information, and certain additional identifying information with respect to certain quantitative measurements.</w:t>
      </w:r>
    </w:p>
    <w:p w:rsidR="00F9420A" w:rsidRPr="00F9420A" w:rsidP="00F9420A" w14:paraId="05592FC0" w14:textId="77777777">
      <w:pPr>
        <w:rPr>
          <w:rFonts w:ascii="Times New Roman" w:hAnsi="Times New Roman"/>
          <w:iCs/>
          <w:lang w:bidi="en-US"/>
        </w:rPr>
      </w:pPr>
    </w:p>
    <w:p w:rsidR="00F9420A" w:rsidRPr="00F9420A" w:rsidP="00F9420A" w14:paraId="498979A5" w14:textId="77777777">
      <w:pPr>
        <w:rPr>
          <w:rFonts w:ascii="Times New Roman" w:hAnsi="Times New Roman"/>
          <w:iCs/>
          <w:lang w:bidi="en-US"/>
        </w:rPr>
      </w:pPr>
      <w:r w:rsidRPr="00F9420A">
        <w:rPr>
          <w:rFonts w:ascii="Times New Roman" w:hAnsi="Times New Roman"/>
          <w:b/>
          <w:iCs/>
          <w:lang w:bidi="en-US"/>
        </w:rPr>
        <w:t>3. Notice and Response, 12 CFR 351.20(i) (Voluntary).</w:t>
      </w:r>
      <w:r w:rsidRPr="00F9420A">
        <w:rPr>
          <w:rFonts w:ascii="Times New Roman" w:hAnsi="Times New Roman"/>
          <w:iCs/>
          <w:lang w:bidi="en-US"/>
        </w:rPr>
        <w:t xml:space="preserve"> Section 351.20</w:t>
      </w:r>
      <w:r w:rsidRPr="00F9420A">
        <w:rPr>
          <w:rFonts w:ascii="Times New Roman" w:hAnsi="Times New Roman"/>
          <w:iCs/>
          <w:vertAlign w:val="superscript"/>
          <w:lang w:bidi="en-US"/>
        </w:rPr>
        <w:t xml:space="preserve"> </w:t>
      </w:r>
      <w:r w:rsidRPr="00F9420A">
        <w:rPr>
          <w:rFonts w:ascii="Times New Roman" w:hAnsi="Times New Roman"/>
          <w:iCs/>
          <w:lang w:bidi="en-US"/>
        </w:rPr>
        <w:t xml:space="preserve">discusses the terms, scope, and details of compliance </w:t>
      </w:r>
      <w:r w:rsidRPr="004A652B">
        <w:rPr>
          <w:rFonts w:ascii="Times New Roman" w:hAnsi="Times New Roman"/>
        </w:rPr>
        <w:t>plans</w:t>
      </w:r>
      <w:r w:rsidRPr="00F9420A">
        <w:rPr>
          <w:rFonts w:ascii="Times New Roman" w:hAnsi="Times New Roman"/>
          <w:iCs/>
          <w:lang w:bidi="en-US"/>
        </w:rPr>
        <w:t xml:space="preserve"> required to be developed by each covered bank. The reporting requirement under 12 CFR 351.20(i)</w:t>
      </w:r>
      <w:r>
        <w:rPr>
          <w:rFonts w:ascii="Times New Roman" w:hAnsi="Times New Roman"/>
          <w:iCs/>
          <w:vertAlign w:val="superscript"/>
          <w:lang w:bidi="en-US"/>
        </w:rPr>
        <w:footnoteReference w:id="9"/>
      </w:r>
      <w:r w:rsidRPr="00F9420A">
        <w:rPr>
          <w:rFonts w:ascii="Times New Roman" w:hAnsi="Times New Roman"/>
          <w:iCs/>
          <w:lang w:bidi="en-US"/>
        </w:rPr>
        <w:t xml:space="preserve"> states that a covered bank may respond to any or all items in a notice to the covered bank issued by the FDIC. The response should include any matters that the covered bank would have the FDIC consider in deciding whether to </w:t>
      </w:r>
      <w:r w:rsidRPr="00F9420A">
        <w:rPr>
          <w:rFonts w:ascii="Times New Roman" w:hAnsi="Times New Roman"/>
          <w:iCs/>
          <w:lang w:bidi="en-US"/>
        </w:rPr>
        <w:t xml:space="preserve">make a </w:t>
      </w:r>
      <w:r w:rsidRPr="00F9420A">
        <w:rPr>
          <w:rFonts w:ascii="Times New Roman" w:hAnsi="Times New Roman"/>
          <w:iCs/>
          <w:lang w:bidi="en-US"/>
        </w:rPr>
        <w:t>determination</w:t>
      </w:r>
      <w:r w:rsidRPr="00F9420A">
        <w:rPr>
          <w:rFonts w:ascii="Times New Roman" w:hAnsi="Times New Roman"/>
          <w:iCs/>
          <w:lang w:bidi="en-US"/>
        </w:rPr>
        <w:t xml:space="preserve"> that the covered bank is engaging in activities that are prohibited Section 13 and Part 351. The covered bank has 30 days after receiving the notice to provide a response, and a failure to respond will be treated by the FDIC as a waiver of any objections to the FDI</w:t>
      </w:r>
      <w:r w:rsidRPr="00F9420A">
        <w:rPr>
          <w:rFonts w:ascii="Times New Roman" w:hAnsi="Times New Roman"/>
          <w:iCs/>
          <w:lang w:bidi="en-US"/>
        </w:rPr>
        <w:t xml:space="preserve">C determination. </w:t>
      </w:r>
    </w:p>
    <w:p w:rsidR="00F9420A" w:rsidRPr="00F9420A" w:rsidP="00F9420A" w14:paraId="3A0C7ED1" w14:textId="77777777">
      <w:pPr>
        <w:rPr>
          <w:rFonts w:ascii="Times New Roman" w:hAnsi="Times New Roman"/>
          <w:iCs/>
          <w:lang w:bidi="en-US"/>
        </w:rPr>
      </w:pPr>
    </w:p>
    <w:p w:rsidR="00F9420A" w:rsidRPr="00F9420A" w:rsidP="00F9420A" w14:paraId="0C69E388" w14:textId="77777777">
      <w:pPr>
        <w:rPr>
          <w:rFonts w:ascii="Times New Roman" w:hAnsi="Times New Roman"/>
          <w:b/>
          <w:i/>
          <w:iCs/>
          <w:lang w:bidi="en-US"/>
        </w:rPr>
      </w:pPr>
      <w:r w:rsidRPr="00F9420A">
        <w:rPr>
          <w:rFonts w:ascii="Times New Roman" w:hAnsi="Times New Roman"/>
          <w:b/>
          <w:i/>
          <w:iCs/>
          <w:lang w:bidi="en-US"/>
        </w:rPr>
        <w:t>Recordkeeping Requirements</w:t>
      </w:r>
    </w:p>
    <w:p w:rsidR="00F9420A" w:rsidRPr="00F9420A" w:rsidP="00F9420A" w14:paraId="554A9672" w14:textId="77777777">
      <w:pPr>
        <w:rPr>
          <w:rFonts w:ascii="Times New Roman" w:hAnsi="Times New Roman"/>
          <w:b/>
          <w:i/>
          <w:iCs/>
          <w:lang w:bidi="en-US"/>
        </w:rPr>
      </w:pPr>
    </w:p>
    <w:p w:rsidR="00F9420A" w:rsidRPr="00F9420A" w:rsidP="00F9420A" w14:paraId="297A7C8A" w14:textId="77777777">
      <w:pPr>
        <w:rPr>
          <w:rFonts w:ascii="Times New Roman" w:hAnsi="Times New Roman"/>
          <w:iCs/>
          <w:lang w:bidi="en-US"/>
        </w:rPr>
      </w:pPr>
      <w:r w:rsidRPr="00F9420A">
        <w:rPr>
          <w:rFonts w:ascii="Times New Roman" w:hAnsi="Times New Roman"/>
          <w:b/>
          <w:iCs/>
          <w:lang w:bidi="en-US"/>
        </w:rPr>
        <w:t xml:space="preserve">4. Purchase and Sale of Securities in Accordance with Liquidity Management Plans, 12 CFR 351.3(d)(3) (Mandatory). </w:t>
      </w:r>
      <w:r w:rsidRPr="00F9420A">
        <w:rPr>
          <w:rFonts w:ascii="Times New Roman" w:hAnsi="Times New Roman"/>
          <w:iCs/>
          <w:lang w:bidi="en-US"/>
        </w:rPr>
        <w:t>Section 351.3 provides details and definitions for the prohibition on proprietary trading for covered banks. The recordkeeping requirement under 12 CFR 351.3(d)(3)</w:t>
      </w:r>
      <w:r>
        <w:rPr>
          <w:rFonts w:ascii="Times New Roman" w:hAnsi="Times New Roman"/>
          <w:iCs/>
          <w:vertAlign w:val="superscript"/>
          <w:lang w:bidi="en-US"/>
        </w:rPr>
        <w:footnoteReference w:id="10"/>
      </w:r>
      <w:r w:rsidRPr="00F9420A">
        <w:rPr>
          <w:rFonts w:ascii="Times New Roman" w:hAnsi="Times New Roman"/>
          <w:iCs/>
          <w:lang w:bidi="en-US"/>
        </w:rPr>
        <w:t xml:space="preserve"> exempts the purchase or sale of specific financial instruments and securities from the proprietary trading restrictions under Part 351, provided that the purchase or sale occurs in accordance with a documented liquidity management plan that includes written policies and procedures, internal controls, analysis, and independent testing to ensure that the purchase and sale of these financial instruments and securities are for the purpose of liquidity management.</w:t>
      </w:r>
    </w:p>
    <w:p w:rsidR="00F9420A" w:rsidRPr="00F9420A" w:rsidP="00F9420A" w14:paraId="5B088DE7" w14:textId="77777777">
      <w:pPr>
        <w:rPr>
          <w:rFonts w:ascii="Times New Roman" w:hAnsi="Times New Roman"/>
          <w:iCs/>
          <w:lang w:bidi="en-US"/>
        </w:rPr>
      </w:pPr>
    </w:p>
    <w:p w:rsidR="00F9420A" w:rsidRPr="00F9420A" w:rsidP="00F9420A" w14:paraId="7238B39A" w14:textId="77777777">
      <w:pPr>
        <w:rPr>
          <w:rFonts w:ascii="Times New Roman" w:hAnsi="Times New Roman"/>
          <w:iCs/>
          <w:lang w:bidi="en-US"/>
        </w:rPr>
      </w:pPr>
      <w:r w:rsidRPr="00F9420A">
        <w:rPr>
          <w:rFonts w:ascii="Times New Roman" w:hAnsi="Times New Roman"/>
          <w:b/>
          <w:iCs/>
          <w:lang w:bidi="en-US"/>
        </w:rPr>
        <w:t xml:space="preserve">5. Trading Desk Documentation, 12 CFR 351.4(b)(3)(i)(A) (Mandatory). </w:t>
      </w:r>
      <w:r w:rsidRPr="00F9420A">
        <w:rPr>
          <w:rFonts w:ascii="Times New Roman" w:hAnsi="Times New Roman"/>
          <w:iCs/>
          <w:lang w:bidi="en-US"/>
        </w:rPr>
        <w:t>Section 351.4 discusses permitted underwriting and market making-related activities for covered banks. Section 351.4(b)(2)(ii) states that covered banks are permitted to engage in market making-related activities, provided that these activities are designed not to exceed, on an ongoing basis, the reasonably expected near term demands of clients, customers, or counterparties, taking into account the liquidity, maturity, and depth of the market for the relevant types of financial instruments. Section 351.4(b)</w:t>
      </w:r>
      <w:r w:rsidRPr="00F9420A">
        <w:rPr>
          <w:rFonts w:ascii="Times New Roman" w:hAnsi="Times New Roman"/>
          <w:iCs/>
          <w:lang w:bidi="en-US"/>
        </w:rPr>
        <w:t>(3)(i) states that the trading desk or other organizational unit of another banking entity is not a client, customer, or counterparty if it has average trading assets and liabilities over the previous consecutive four quarters, as measured as of the last day of each of the four previous calendar quarters, equal to or exceeding $50 billion. The recordkeeping requirement under 12 CFR 351.4(b)(3)(i)(A)</w:t>
      </w:r>
      <w:r>
        <w:rPr>
          <w:rFonts w:ascii="Times New Roman" w:hAnsi="Times New Roman"/>
          <w:iCs/>
          <w:vertAlign w:val="superscript"/>
          <w:lang w:bidi="en-US"/>
        </w:rPr>
        <w:footnoteReference w:id="11"/>
      </w:r>
      <w:r w:rsidRPr="00F9420A">
        <w:rPr>
          <w:rFonts w:ascii="Times New Roman" w:hAnsi="Times New Roman"/>
          <w:iCs/>
          <w:lang w:bidi="en-US"/>
        </w:rPr>
        <w:t xml:space="preserve"> requires a covered bank that wishes to treat a trading desk or other organizational unit of another banking entity as a client, customer, or counterparty for the purposes of Section 351.4(b)(2)(ii), when it would otherwise be excluded from such consideration under Section 351.4(b)(3)(i), to document how and why that particular trading desk or other organizational unit should be treated as a client, customer, or counterparty of the trading desk for purposes of market making activities.</w:t>
      </w:r>
    </w:p>
    <w:p w:rsidR="00F9420A" w:rsidRPr="00F9420A" w:rsidP="00F9420A" w14:paraId="044F0F3D" w14:textId="77777777">
      <w:pPr>
        <w:rPr>
          <w:rFonts w:ascii="Times New Roman" w:hAnsi="Times New Roman"/>
          <w:iCs/>
          <w:lang w:bidi="en-US"/>
        </w:rPr>
      </w:pPr>
    </w:p>
    <w:p w:rsidR="00F9420A" w:rsidRPr="00F9420A" w:rsidP="00F9420A" w14:paraId="6808470A" w14:textId="77777777">
      <w:pPr>
        <w:rPr>
          <w:rFonts w:ascii="Times New Roman" w:hAnsi="Times New Roman"/>
          <w:iCs/>
          <w:lang w:bidi="en-US"/>
        </w:rPr>
      </w:pPr>
      <w:r w:rsidRPr="00F9420A">
        <w:rPr>
          <w:rFonts w:ascii="Times New Roman" w:hAnsi="Times New Roman"/>
          <w:b/>
          <w:iCs/>
          <w:lang w:bidi="en-US"/>
        </w:rPr>
        <w:t xml:space="preserve">6. Limit Breaches and Increases, 12 CFR 351.4(c)(3)(i) (Mandatory). </w:t>
      </w:r>
      <w:r w:rsidRPr="00F9420A">
        <w:rPr>
          <w:rFonts w:ascii="Times New Roman" w:hAnsi="Times New Roman"/>
          <w:iCs/>
          <w:lang w:bidi="en-US"/>
        </w:rPr>
        <w:t xml:space="preserve">Section 351.4 discusses permitted underwriting and market making-related activities for covered banks. Section 351.4(c) requires covered banks that </w:t>
      </w:r>
      <w:r w:rsidRPr="004A652B">
        <w:rPr>
          <w:rFonts w:ascii="Times New Roman" w:hAnsi="Times New Roman"/>
        </w:rPr>
        <w:t>engage</w:t>
      </w:r>
      <w:r w:rsidRPr="00F9420A">
        <w:rPr>
          <w:rFonts w:ascii="Times New Roman" w:hAnsi="Times New Roman"/>
          <w:iCs/>
          <w:lang w:bidi="en-US"/>
        </w:rPr>
        <w:t xml:space="preserve"> in underwriting or market making-related activities as permitted under Part </w:t>
      </w:r>
      <w:r w:rsidRPr="00F9420A">
        <w:rPr>
          <w:rFonts w:ascii="Times New Roman" w:hAnsi="Times New Roman"/>
          <w:iCs/>
          <w:lang w:bidi="en-US"/>
        </w:rPr>
        <w:t>351.(</w:t>
      </w:r>
      <w:r w:rsidRPr="00F9420A">
        <w:rPr>
          <w:rFonts w:ascii="Times New Roman" w:hAnsi="Times New Roman"/>
          <w:iCs/>
          <w:lang w:bidi="en-US"/>
        </w:rPr>
        <w:t xml:space="preserve">a) and (b) to establish internal limits on their holdings of relevant securities and other financial instruments that </w:t>
      </w:r>
      <w:r w:rsidRPr="00F9420A">
        <w:rPr>
          <w:rFonts w:ascii="Times New Roman" w:hAnsi="Times New Roman"/>
          <w:iCs/>
          <w:lang w:bidi="en-US"/>
        </w:rPr>
        <w:t>take into account</w:t>
      </w:r>
      <w:r w:rsidRPr="00F9420A">
        <w:rPr>
          <w:rFonts w:ascii="Times New Roman" w:hAnsi="Times New Roman"/>
          <w:iCs/>
          <w:lang w:bidi="en-US"/>
        </w:rPr>
        <w:t xml:space="preserve"> the liquidity, maturity, and depth of the market. The recordkeeping requirement under Section 351.4(c)(3)(i) requires a covered bank to maintain records regarding (1) any internal trading desk limit that is exceeded and (2) any temporary or permanent increase to any internal trading desk limit</w:t>
      </w:r>
      <w:r w:rsidRPr="00F9420A">
        <w:rPr>
          <w:rFonts w:ascii="Times New Roman" w:hAnsi="Times New Roman"/>
          <w:iCs/>
          <w:lang w:bidi="en-US"/>
        </w:rPr>
        <w:t>.</w:t>
      </w:r>
    </w:p>
    <w:p w:rsidR="00F9420A" w:rsidRPr="00F9420A" w:rsidP="00F9420A" w14:paraId="209A2719" w14:textId="77777777">
      <w:pPr>
        <w:rPr>
          <w:rFonts w:ascii="Times New Roman" w:hAnsi="Times New Roman"/>
          <w:iCs/>
          <w:lang w:bidi="en-US"/>
        </w:rPr>
      </w:pPr>
    </w:p>
    <w:p w:rsidR="00F9420A" w:rsidRPr="00F9420A" w:rsidP="00F9420A" w14:paraId="54DAA31A" w14:textId="77777777">
      <w:pPr>
        <w:rPr>
          <w:rFonts w:ascii="Times New Roman" w:hAnsi="Times New Roman"/>
          <w:iCs/>
          <w:lang w:bidi="en-US"/>
        </w:rPr>
      </w:pPr>
      <w:r w:rsidRPr="00F9420A">
        <w:rPr>
          <w:rFonts w:ascii="Times New Roman" w:hAnsi="Times New Roman"/>
          <w:b/>
          <w:iCs/>
          <w:lang w:bidi="en-US"/>
        </w:rPr>
        <w:t xml:space="preserve">7. Hedging Instruments Documentation, 12 CFR 351.5(c) (Mandatory). </w:t>
      </w:r>
      <w:r w:rsidRPr="00F9420A">
        <w:rPr>
          <w:rFonts w:ascii="Times New Roman" w:hAnsi="Times New Roman"/>
          <w:iCs/>
          <w:lang w:bidi="en-US"/>
        </w:rPr>
        <w:t xml:space="preserve">Section 351.5 </w:t>
      </w:r>
      <w:r w:rsidRPr="00F9420A">
        <w:rPr>
          <w:rFonts w:ascii="Times New Roman" w:hAnsi="Times New Roman"/>
          <w:iCs/>
          <w:lang w:bidi="en-US"/>
        </w:rPr>
        <w:t xml:space="preserve">discusses risk-mitigating </w:t>
      </w:r>
      <w:r w:rsidRPr="004A652B">
        <w:rPr>
          <w:rFonts w:ascii="Times New Roman" w:hAnsi="Times New Roman"/>
        </w:rPr>
        <w:t>hedging</w:t>
      </w:r>
      <w:r w:rsidRPr="00F9420A">
        <w:rPr>
          <w:rFonts w:ascii="Times New Roman" w:hAnsi="Times New Roman"/>
          <w:iCs/>
          <w:lang w:bidi="en-US"/>
        </w:rPr>
        <w:t xml:space="preserve"> activities of a covered bank in connection with and related to individual or aggregated positions, contracts, or other holdings of the covered bank and designed to reduce the specific risks to the covered bank in connection with and related to such positions, contracts, or other holdings. The recordkeeping requirement under Section 351.5(c)</w:t>
      </w:r>
      <w:r>
        <w:rPr>
          <w:rFonts w:ascii="Times New Roman" w:hAnsi="Times New Roman"/>
          <w:iCs/>
          <w:vertAlign w:val="superscript"/>
          <w:lang w:bidi="en-US"/>
        </w:rPr>
        <w:footnoteReference w:id="12"/>
      </w:r>
      <w:r w:rsidRPr="00F9420A">
        <w:rPr>
          <w:rFonts w:ascii="Times New Roman" w:hAnsi="Times New Roman"/>
          <w:iCs/>
          <w:lang w:bidi="en-US"/>
        </w:rPr>
        <w:t xml:space="preserve"> requires a covered bank to create and retain records for a period that is no less than five years with respect to any purchases and sale of securities in connection with and related to risk-mitigating hedging activities.  </w:t>
      </w:r>
    </w:p>
    <w:p w:rsidR="00F9420A" w:rsidRPr="00F9420A" w:rsidP="00F9420A" w14:paraId="62AFFF0D" w14:textId="77777777">
      <w:pPr>
        <w:rPr>
          <w:rFonts w:ascii="Times New Roman" w:hAnsi="Times New Roman"/>
          <w:iCs/>
          <w:lang w:bidi="en-US"/>
        </w:rPr>
      </w:pPr>
    </w:p>
    <w:p w:rsidR="00F9420A" w:rsidRPr="00F9420A" w:rsidP="00F9420A" w14:paraId="14D87110" w14:textId="77777777">
      <w:pPr>
        <w:rPr>
          <w:rFonts w:ascii="Times New Roman" w:hAnsi="Times New Roman"/>
          <w:iCs/>
          <w:lang w:bidi="en-US"/>
        </w:rPr>
      </w:pPr>
      <w:r w:rsidRPr="00F9420A">
        <w:rPr>
          <w:rFonts w:ascii="Times New Roman" w:hAnsi="Times New Roman"/>
          <w:b/>
          <w:iCs/>
          <w:lang w:bidi="en-US"/>
        </w:rPr>
        <w:t>8. Customer facilitation vehicles, 12 CFR 351.10(c)(18)(ii)(C)(1) (Mandatory).</w:t>
      </w:r>
      <w:r w:rsidRPr="00F9420A">
        <w:rPr>
          <w:rFonts w:ascii="Times New Roman" w:hAnsi="Times New Roman"/>
          <w:iCs/>
          <w:lang w:bidi="en-US"/>
        </w:rPr>
        <w:t xml:space="preserve"> Section 351.10 prohibits a covered bank from acquiring or retaining an ownership interest in and having certain relationships with a covered fund.</w:t>
      </w:r>
      <w:r>
        <w:rPr>
          <w:rFonts w:ascii="Times New Roman" w:hAnsi="Times New Roman"/>
          <w:iCs/>
          <w:vertAlign w:val="superscript"/>
          <w:lang w:bidi="en-US"/>
        </w:rPr>
        <w:footnoteReference w:id="13"/>
      </w:r>
      <w:r w:rsidRPr="00F9420A">
        <w:rPr>
          <w:rFonts w:ascii="Times New Roman" w:hAnsi="Times New Roman"/>
          <w:iCs/>
          <w:lang w:bidi="en-US"/>
        </w:rPr>
        <w:t xml:space="preserve"> 12 CFR 351.10(c)(18)(i) exempts customer facilitation vehicles</w:t>
      </w:r>
      <w:r>
        <w:rPr>
          <w:rFonts w:ascii="Times New Roman" w:hAnsi="Times New Roman"/>
          <w:iCs/>
          <w:vertAlign w:val="superscript"/>
          <w:lang w:bidi="en-US"/>
        </w:rPr>
        <w:footnoteReference w:id="14"/>
      </w:r>
      <w:r w:rsidRPr="00F9420A">
        <w:rPr>
          <w:rFonts w:ascii="Times New Roman" w:hAnsi="Times New Roman"/>
          <w:iCs/>
          <w:lang w:bidi="en-US"/>
        </w:rPr>
        <w:t xml:space="preserve"> that are formed by a covered bank from the definition of a covered fund for the purposes of this prohibition, provided that that the covered bank meets certain conditions. One of these conditions is the recordkeeping requirement under Section 351.10(c)(18)(ii)(C)(1), which requires a covered bank forming a customer facilitation vehicle – an issuer that is formed by or at the request of a customer of the covered bank for the purpose of providing such customer (which may include one or more affiliates of suc</w:t>
      </w:r>
      <w:r w:rsidRPr="00F9420A">
        <w:rPr>
          <w:rFonts w:ascii="Times New Roman" w:hAnsi="Times New Roman"/>
          <w:iCs/>
          <w:lang w:bidi="en-US"/>
        </w:rPr>
        <w:t>h customer) with exposure to a transaction, investment strategy, or other service provided by the banking entity - to maintain documentation outlining how it intends to facilitate the customer's exposure to such a transaction, investment strategy, or other service.</w:t>
      </w:r>
    </w:p>
    <w:p w:rsidR="00F9420A" w:rsidRPr="00F9420A" w:rsidP="00F9420A" w14:paraId="4E763666" w14:textId="77777777">
      <w:pPr>
        <w:rPr>
          <w:rFonts w:ascii="Times New Roman" w:hAnsi="Times New Roman"/>
          <w:iCs/>
          <w:lang w:bidi="en-US"/>
        </w:rPr>
      </w:pPr>
    </w:p>
    <w:p w:rsidR="00F9420A" w:rsidRPr="00F9420A" w:rsidP="00F9420A" w14:paraId="2811BAC0" w14:textId="77777777">
      <w:pPr>
        <w:rPr>
          <w:rFonts w:ascii="Times New Roman" w:hAnsi="Times New Roman"/>
          <w:iCs/>
          <w:lang w:bidi="en-US"/>
        </w:rPr>
      </w:pPr>
      <w:r w:rsidRPr="00F9420A">
        <w:rPr>
          <w:rFonts w:ascii="Times New Roman" w:hAnsi="Times New Roman"/>
          <w:b/>
          <w:iCs/>
          <w:lang w:bidi="en-US"/>
        </w:rPr>
        <w:t xml:space="preserve">9. Documentation on Advisory or Related Services to Customers, 12 CFR 351.11(a)(2) (Mandatory). </w:t>
      </w:r>
      <w:r w:rsidRPr="00F9420A">
        <w:rPr>
          <w:rFonts w:ascii="Times New Roman" w:hAnsi="Times New Roman"/>
          <w:iCs/>
          <w:lang w:bidi="en-US"/>
        </w:rPr>
        <w:t xml:space="preserve">Section 351.11 discusses circumstances in which a covered bank may acquire or retain an ownership interest in, or act as sponsor to, a covered fund in connection with, directly or indirectly, organizing and </w:t>
      </w:r>
      <w:r w:rsidRPr="004A652B">
        <w:rPr>
          <w:rFonts w:ascii="Times New Roman" w:hAnsi="Times New Roman"/>
        </w:rPr>
        <w:t>offering</w:t>
      </w:r>
      <w:r w:rsidRPr="00F9420A">
        <w:rPr>
          <w:rFonts w:ascii="Times New Roman" w:hAnsi="Times New Roman"/>
          <w:iCs/>
          <w:lang w:bidi="en-US"/>
        </w:rPr>
        <w:t xml:space="preserve"> a covered fund, including serving as a general partner, managing member, trustee, or commodity pool operator of the covered fund and in any manner selecting or controlling (or having employees, officers, directors, or agents who constitute) a majority of the directors, trustees, or management of the covered fund. The recordkeeping requirement under 12 CFR 351.11(a)(2) requires a covered bank to prepare and maintain written documentation or a similar plan outlining how it intends to provide advisory or simi</w:t>
      </w:r>
      <w:r w:rsidRPr="00F9420A">
        <w:rPr>
          <w:rFonts w:ascii="Times New Roman" w:hAnsi="Times New Roman"/>
          <w:iCs/>
          <w:lang w:bidi="en-US"/>
        </w:rPr>
        <w:t>lar services to its customers through the organizing and offering of a covered fund.</w:t>
      </w:r>
    </w:p>
    <w:p w:rsidR="00F9420A" w:rsidRPr="00F9420A" w:rsidP="00F9420A" w14:paraId="4B362D78" w14:textId="77777777">
      <w:pPr>
        <w:rPr>
          <w:rFonts w:ascii="Times New Roman" w:hAnsi="Times New Roman"/>
          <w:iCs/>
          <w:lang w:bidi="en-US"/>
        </w:rPr>
      </w:pPr>
    </w:p>
    <w:p w:rsidR="00F9420A" w:rsidRPr="00F9420A" w:rsidP="00F9420A" w14:paraId="787B26A3" w14:textId="77777777">
      <w:pPr>
        <w:rPr>
          <w:rFonts w:ascii="Times New Roman" w:hAnsi="Times New Roman"/>
          <w:iCs/>
          <w:lang w:bidi="en-US"/>
        </w:rPr>
      </w:pPr>
      <w:r w:rsidRPr="00F9420A">
        <w:rPr>
          <w:rFonts w:ascii="Times New Roman" w:hAnsi="Times New Roman"/>
          <w:b/>
          <w:iCs/>
          <w:lang w:bidi="en-US"/>
        </w:rPr>
        <w:t xml:space="preserve">10. Compliance Program for Covered Banks with Significant Trading Assets and Liabilities, 12 CFR 351.20(b) (Mandatory). </w:t>
      </w:r>
      <w:r w:rsidRPr="00F9420A">
        <w:rPr>
          <w:rFonts w:ascii="Times New Roman" w:hAnsi="Times New Roman"/>
          <w:iCs/>
          <w:lang w:bidi="en-US"/>
        </w:rPr>
        <w:t xml:space="preserve">Section 351.20 requires each covered bank to develop and maintain a compliance plan for the restrictions and prohibitions set out in Part 351. </w:t>
      </w:r>
      <w:r w:rsidRPr="00F9420A">
        <w:rPr>
          <w:rFonts w:ascii="Times New Roman" w:hAnsi="Times New Roman"/>
          <w:iCs/>
          <w:lang w:bidi="en-US"/>
        </w:rPr>
        <w:t>The recordkeeping requirement under 12 CFR 351.20(b)</w:t>
      </w:r>
      <w:r>
        <w:rPr>
          <w:rFonts w:ascii="Times New Roman" w:hAnsi="Times New Roman"/>
          <w:iCs/>
          <w:vertAlign w:val="superscript"/>
          <w:lang w:bidi="en-US"/>
        </w:rPr>
        <w:footnoteReference w:id="15"/>
      </w:r>
      <w:r w:rsidRPr="00F9420A">
        <w:rPr>
          <w:rFonts w:ascii="Times New Roman" w:hAnsi="Times New Roman"/>
          <w:iCs/>
          <w:lang w:bidi="en-US"/>
        </w:rPr>
        <w:t xml:space="preserve"> requires a covered bank with significant trading assets and </w:t>
      </w:r>
      <w:r w:rsidRPr="004A652B">
        <w:rPr>
          <w:rFonts w:ascii="Times New Roman" w:hAnsi="Times New Roman"/>
        </w:rPr>
        <w:t>liabilities</w:t>
      </w:r>
      <w:r w:rsidRPr="00F9420A">
        <w:rPr>
          <w:rFonts w:ascii="Times New Roman" w:hAnsi="Times New Roman"/>
          <w:iCs/>
          <w:lang w:bidi="en-US"/>
        </w:rPr>
        <w:t xml:space="preserve"> to develop a compliance program designed to ensure and monitor compliance with the prohibitions and restrictions set out in Part 351. The terms, scope, and detail of the compliance program must be appropriate for the types, size, scope, and complexity of activities and business structure of the covered bank.</w:t>
      </w:r>
    </w:p>
    <w:p w:rsidR="00F9420A" w:rsidRPr="00F9420A" w:rsidP="00F9420A" w14:paraId="27863773" w14:textId="77777777">
      <w:pPr>
        <w:rPr>
          <w:rFonts w:ascii="Times New Roman" w:hAnsi="Times New Roman"/>
          <w:iCs/>
          <w:lang w:bidi="en-US"/>
        </w:rPr>
      </w:pPr>
    </w:p>
    <w:p w:rsidR="00F9420A" w:rsidRPr="00F9420A" w:rsidP="00F9420A" w14:paraId="6309F08C" w14:textId="77777777">
      <w:pPr>
        <w:rPr>
          <w:rFonts w:ascii="Times New Roman" w:hAnsi="Times New Roman"/>
          <w:iCs/>
          <w:lang w:bidi="en-US"/>
        </w:rPr>
      </w:pPr>
      <w:r w:rsidRPr="00F9420A">
        <w:rPr>
          <w:rFonts w:ascii="Times New Roman" w:hAnsi="Times New Roman"/>
          <w:b/>
          <w:iCs/>
          <w:lang w:bidi="en-US"/>
        </w:rPr>
        <w:t xml:space="preserve">11. CEO Attestation for Covered Banks with Significant Trading Assets and Liabilities, 12 CFR 351.20(c) (Mandatory). </w:t>
      </w:r>
      <w:r w:rsidRPr="00F9420A">
        <w:rPr>
          <w:rFonts w:ascii="Times New Roman" w:hAnsi="Times New Roman"/>
          <w:iCs/>
          <w:lang w:bidi="en-US"/>
        </w:rPr>
        <w:t>Section 351.20 requires each covered bank to develop and maintain a compliance plan for the restrictions and prohibitions set out in Part 351. The reporting requirement under 12 CFR 351.20(c)</w:t>
      </w:r>
      <w:r>
        <w:rPr>
          <w:rFonts w:ascii="Times New Roman" w:hAnsi="Times New Roman"/>
          <w:iCs/>
          <w:vertAlign w:val="superscript"/>
          <w:lang w:bidi="en-US"/>
        </w:rPr>
        <w:footnoteReference w:id="16"/>
      </w:r>
      <w:r w:rsidRPr="00F9420A">
        <w:rPr>
          <w:rFonts w:ascii="Times New Roman" w:hAnsi="Times New Roman"/>
          <w:iCs/>
          <w:lang w:bidi="en-US"/>
        </w:rPr>
        <w:t xml:space="preserve"> requires the CEO of a covered bank with significant trading assets and liabilities to attest in writing to the FDIC, each year, that the covered bank has processes to establish, maintain, enforce, review, test and modify the compliance program created under Section 351.20.</w:t>
      </w:r>
    </w:p>
    <w:p w:rsidR="00F9420A" w:rsidRPr="00F9420A" w:rsidP="00F9420A" w14:paraId="0F5E066D" w14:textId="77777777">
      <w:pPr>
        <w:rPr>
          <w:rFonts w:ascii="Times New Roman" w:hAnsi="Times New Roman"/>
          <w:iCs/>
          <w:lang w:bidi="en-US"/>
        </w:rPr>
      </w:pPr>
    </w:p>
    <w:p w:rsidR="00F9420A" w:rsidRPr="00F9420A" w:rsidP="00F9420A" w14:paraId="252935BA" w14:textId="77777777">
      <w:pPr>
        <w:rPr>
          <w:rFonts w:ascii="Times New Roman" w:hAnsi="Times New Roman"/>
          <w:iCs/>
          <w:lang w:bidi="en-US"/>
        </w:rPr>
      </w:pPr>
      <w:r w:rsidRPr="00F9420A">
        <w:rPr>
          <w:rFonts w:ascii="Times New Roman" w:hAnsi="Times New Roman"/>
          <w:b/>
          <w:iCs/>
          <w:lang w:bidi="en-US"/>
        </w:rPr>
        <w:t xml:space="preserve">12. Compliance Plan requirements under Appendix A for Covered Banks with Significant Trading Assets and Liabilities, 12 CFR 351.20(d) (Mandatory). </w:t>
      </w:r>
      <w:r w:rsidRPr="00F9420A">
        <w:rPr>
          <w:rFonts w:ascii="Times New Roman" w:hAnsi="Times New Roman"/>
          <w:iCs/>
          <w:lang w:bidi="en-US"/>
        </w:rPr>
        <w:t>Section 351.20 requires each covered bank to develop and maintain a compliance plan for the restrictions and prohibitions set out in Part 351. The recordkeeping requirement under 12 CFR 351.20(d) requires a covered bank with significant trading assets and liabilities to create and maintain records documenting the preparation and content of reports on quantitative measures discussed in Appendix A (see IC #2), for a period of at least 5 years from the end of the calendar year for which the measurement was tak</w:t>
      </w:r>
      <w:r w:rsidRPr="00F9420A">
        <w:rPr>
          <w:rFonts w:ascii="Times New Roman" w:hAnsi="Times New Roman"/>
          <w:iCs/>
          <w:lang w:bidi="en-US"/>
        </w:rPr>
        <w:t>en.</w:t>
      </w:r>
    </w:p>
    <w:p w:rsidR="00F9420A" w:rsidRPr="00F9420A" w:rsidP="00F9420A" w14:paraId="38FEE7E7" w14:textId="77777777">
      <w:pPr>
        <w:rPr>
          <w:rFonts w:ascii="Times New Roman" w:hAnsi="Times New Roman"/>
          <w:iCs/>
          <w:lang w:bidi="en-US"/>
        </w:rPr>
      </w:pPr>
    </w:p>
    <w:p w:rsidR="00F9420A" w:rsidRPr="00F9420A" w:rsidP="00F9420A" w14:paraId="26135FC3" w14:textId="77777777">
      <w:pPr>
        <w:rPr>
          <w:rFonts w:ascii="Times New Roman" w:hAnsi="Times New Roman"/>
          <w:b/>
          <w:iCs/>
          <w:lang w:bidi="en-US"/>
        </w:rPr>
      </w:pPr>
      <w:r w:rsidRPr="00F9420A">
        <w:rPr>
          <w:rFonts w:ascii="Times New Roman" w:hAnsi="Times New Roman"/>
          <w:b/>
          <w:iCs/>
          <w:lang w:bidi="en-US"/>
        </w:rPr>
        <w:t xml:space="preserve">13. Additional Documentation for Covered Funds for Covered Banks with Significant Trading Assets and Liabilities, 12 CFR 351.20(e) (Mandatory). </w:t>
      </w:r>
      <w:r w:rsidRPr="00F9420A">
        <w:rPr>
          <w:rFonts w:ascii="Times New Roman" w:hAnsi="Times New Roman"/>
          <w:iCs/>
          <w:lang w:bidi="en-US"/>
        </w:rPr>
        <w:t xml:space="preserve">Section 351.20 requires each covered bank to develop and maintain a compliance plan for the restrictions and prohibitions set out in Part 351. The recordkeeping requirement under 12 CFR 351.20(e) requires a covered bank with significant trading assets </w:t>
      </w:r>
      <w:r w:rsidRPr="004A652B">
        <w:rPr>
          <w:rFonts w:ascii="Times New Roman" w:hAnsi="Times New Roman"/>
        </w:rPr>
        <w:t>and</w:t>
      </w:r>
      <w:r w:rsidRPr="00F9420A">
        <w:rPr>
          <w:rFonts w:ascii="Times New Roman" w:hAnsi="Times New Roman"/>
          <w:iCs/>
          <w:lang w:bidi="en-US"/>
        </w:rPr>
        <w:t xml:space="preserve"> liabilities to maintain certain records to support their determination that certain funds sponsored by the covered bank are not covered funds for the purposes of Part 351, including, but not limited to: (1) various exemptions under the Investment Company Act of 1940 and under Part 351 used in determining whether funds sponsored by the covered bank are considered covered funds under Part 351; (2) a written plan (including marketing plans) describing when a seeding vehicle will become either a registered inv</w:t>
      </w:r>
      <w:r w:rsidRPr="00F9420A">
        <w:rPr>
          <w:rFonts w:ascii="Times New Roman" w:hAnsi="Times New Roman"/>
          <w:iCs/>
          <w:lang w:bidi="en-US"/>
        </w:rPr>
        <w:t>estment company or an SEC-registered business development company; (3) for a covered bank with aggregate amounts of ownership interests in foreign public funds exceeding $50 million at the end of two or more consecutive calendar quarters, documentation of the value of all ownership interests in any foreign public fund owned (including via affiliates) by said covered bank.</w:t>
      </w:r>
      <w:r>
        <w:rPr>
          <w:rFonts w:ascii="Times New Roman" w:hAnsi="Times New Roman"/>
          <w:iCs/>
          <w:vertAlign w:val="superscript"/>
          <w:lang w:bidi="en-US"/>
        </w:rPr>
        <w:footnoteReference w:id="17"/>
      </w:r>
    </w:p>
    <w:p w:rsidR="00F9420A" w:rsidRPr="00F9420A" w:rsidP="00F9420A" w14:paraId="504D8352" w14:textId="77777777">
      <w:pPr>
        <w:rPr>
          <w:rFonts w:ascii="Times New Roman" w:hAnsi="Times New Roman"/>
          <w:iCs/>
          <w:lang w:bidi="en-US"/>
        </w:rPr>
      </w:pPr>
    </w:p>
    <w:p w:rsidR="00F9420A" w:rsidRPr="00F9420A" w:rsidP="00F9420A" w14:paraId="48B3C591" w14:textId="77777777">
      <w:pPr>
        <w:rPr>
          <w:rFonts w:ascii="Times New Roman" w:hAnsi="Times New Roman"/>
          <w:iCs/>
          <w:lang w:bidi="en-US"/>
        </w:rPr>
      </w:pPr>
      <w:r w:rsidRPr="00F9420A">
        <w:rPr>
          <w:rFonts w:ascii="Times New Roman" w:hAnsi="Times New Roman"/>
          <w:b/>
          <w:iCs/>
          <w:lang w:bidi="en-US"/>
        </w:rPr>
        <w:t xml:space="preserve">14. Simplified Compliance Program for Covered Banks with no Trading Assets or Liabilities, 12 CFR 351.20(f)(1) (Mandatory). </w:t>
      </w:r>
      <w:r w:rsidRPr="00F9420A">
        <w:rPr>
          <w:rFonts w:ascii="Times New Roman" w:hAnsi="Times New Roman"/>
          <w:iCs/>
          <w:lang w:bidi="en-US"/>
        </w:rPr>
        <w:t xml:space="preserve">Section 351.20 requires each covered bank to develop and maintain a compliance plan for the restrictions and prohibitions set out in Part 351. </w:t>
      </w:r>
      <w:r w:rsidRPr="00F9420A">
        <w:rPr>
          <w:rFonts w:ascii="Times New Roman" w:hAnsi="Times New Roman"/>
          <w:iCs/>
          <w:lang w:bidi="en-US"/>
        </w:rPr>
        <w:t xml:space="preserve">The recordkeeping requirement under 12 CFR 351.20(f)(i) requires a covered bank with no trading assets or liabilities to develop and maintain a compliance program prior to becoming engaged in proprietary trading activities or making investments in covered funds. </w:t>
      </w:r>
    </w:p>
    <w:p w:rsidR="00F9420A" w:rsidRPr="00F9420A" w:rsidP="00F9420A" w14:paraId="33AF3148" w14:textId="77777777">
      <w:pPr>
        <w:rPr>
          <w:rFonts w:ascii="Times New Roman" w:hAnsi="Times New Roman"/>
          <w:iCs/>
          <w:lang w:bidi="en-US"/>
        </w:rPr>
      </w:pPr>
    </w:p>
    <w:p w:rsidR="00F9420A" w:rsidRPr="00F9420A" w:rsidP="00F9420A" w14:paraId="63025652" w14:textId="77777777">
      <w:pPr>
        <w:rPr>
          <w:rFonts w:ascii="Times New Roman" w:hAnsi="Times New Roman"/>
          <w:iCs/>
          <w:lang w:bidi="en-US"/>
        </w:rPr>
      </w:pPr>
      <w:r w:rsidRPr="00F9420A">
        <w:rPr>
          <w:rFonts w:ascii="Times New Roman" w:hAnsi="Times New Roman"/>
          <w:b/>
          <w:iCs/>
          <w:lang w:bidi="en-US"/>
        </w:rPr>
        <w:t xml:space="preserve">15. Simplified Compliance Program for Covered Banks with Moderate Trading Assets and Liabilities, 12 CFR 351.20(f)(2) (Mandatory). </w:t>
      </w:r>
      <w:r w:rsidRPr="00F9420A">
        <w:rPr>
          <w:rFonts w:ascii="Times New Roman" w:hAnsi="Times New Roman"/>
          <w:iCs/>
          <w:lang w:bidi="en-US"/>
        </w:rPr>
        <w:t>Section 351.20 requires each covered bank to develop and maintain a compliance plan for the restrictions and prohibitions set out in Part 351. The recordkeeping requirement under 12 CFR 351.20(f)(2) requires a covered bank with average trading assets and liabilities over the four previous calendar quarters that are greater than or equal to $1 billion but less than $20 billion (“moderate trading assets and liabilities”)</w:t>
      </w:r>
      <w:r>
        <w:rPr>
          <w:rFonts w:ascii="Times New Roman" w:hAnsi="Times New Roman"/>
          <w:iCs/>
          <w:vertAlign w:val="superscript"/>
          <w:lang w:bidi="en-US"/>
        </w:rPr>
        <w:footnoteReference w:id="18"/>
      </w:r>
      <w:r w:rsidRPr="00F9420A">
        <w:rPr>
          <w:rFonts w:ascii="Times New Roman" w:hAnsi="Times New Roman"/>
          <w:iCs/>
          <w:lang w:bidi="en-US"/>
        </w:rPr>
        <w:t xml:space="preserve"> to include in its existing compliance policies references to the requirements under Section 13 and Part 351, as well as adjustments as appropriate given the activities, size, scope, and complexity of the covered bank.</w:t>
      </w:r>
    </w:p>
    <w:p w:rsidR="00F9420A" w:rsidRPr="00F9420A" w:rsidP="00F9420A" w14:paraId="6BB66659" w14:textId="77777777">
      <w:pPr>
        <w:rPr>
          <w:rFonts w:ascii="Times New Roman" w:hAnsi="Times New Roman"/>
          <w:iCs/>
          <w:lang w:bidi="en-US"/>
        </w:rPr>
      </w:pPr>
    </w:p>
    <w:p w:rsidR="00F9420A" w:rsidRPr="00F9420A" w:rsidP="00F9420A" w14:paraId="4F814703" w14:textId="77777777">
      <w:pPr>
        <w:rPr>
          <w:rFonts w:ascii="Times New Roman" w:hAnsi="Times New Roman"/>
          <w:b/>
          <w:i/>
          <w:iCs/>
          <w:lang w:bidi="en-US"/>
        </w:rPr>
      </w:pPr>
      <w:r w:rsidRPr="00F9420A">
        <w:rPr>
          <w:rFonts w:ascii="Times New Roman" w:hAnsi="Times New Roman"/>
          <w:b/>
          <w:i/>
          <w:iCs/>
          <w:lang w:bidi="en-US"/>
        </w:rPr>
        <w:t>Disclosure Requirements</w:t>
      </w:r>
    </w:p>
    <w:p w:rsidR="00F9420A" w:rsidRPr="00F9420A" w:rsidP="00F9420A" w14:paraId="2D8E2079" w14:textId="77777777">
      <w:pPr>
        <w:rPr>
          <w:rFonts w:ascii="Times New Roman" w:hAnsi="Times New Roman"/>
          <w:iCs/>
          <w:lang w:bidi="en-US"/>
        </w:rPr>
      </w:pPr>
    </w:p>
    <w:p w:rsidR="00F9420A" w:rsidRPr="00F9420A" w:rsidP="00F9420A" w14:paraId="40808864" w14:textId="77777777">
      <w:pPr>
        <w:rPr>
          <w:rFonts w:ascii="Times New Roman" w:hAnsi="Times New Roman"/>
          <w:iCs/>
          <w:lang w:bidi="en-US"/>
        </w:rPr>
      </w:pPr>
      <w:r w:rsidRPr="00F9420A">
        <w:rPr>
          <w:rFonts w:ascii="Times New Roman" w:hAnsi="Times New Roman"/>
          <w:b/>
          <w:iCs/>
          <w:lang w:bidi="en-US"/>
        </w:rPr>
        <w:t xml:space="preserve">16. Offerings Disclosures, 12 CFR 351.11(a)(8)(i) (Mandatory). </w:t>
      </w:r>
      <w:r w:rsidRPr="00F9420A">
        <w:rPr>
          <w:rFonts w:ascii="Times New Roman" w:hAnsi="Times New Roman"/>
          <w:iCs/>
          <w:lang w:bidi="en-US"/>
        </w:rPr>
        <w:t>Section 351.11 discusses circumstances in which a covered bank may acquire or retain an ownership interest in, or act as sponsor to, a covered fund in connection with, directly or indirectly, organizing and offering a covered fund, including serving as a general partner, managing member, trustee, or commodity pool operator of the covered fund and in any manner selecting or controlling (or having employees, officers, directors, or agents who constitute) a majority of the directors, trustees, or management of</w:t>
      </w:r>
      <w:r w:rsidRPr="00F9420A">
        <w:rPr>
          <w:rFonts w:ascii="Times New Roman" w:hAnsi="Times New Roman"/>
          <w:iCs/>
          <w:lang w:bidi="en-US"/>
        </w:rPr>
        <w:t xml:space="preserve"> the covered fund. The disclosure requirement under 12 CFR 351.11(a)(8)(i) requires a covered bank to “clearly and conspicuously [disclose]” to any prospective and actual investors in a covered fund, the following: (1) that any losses in such covered fund will be borne by the investors in said fund and not by the covered bank (except to the extent of the covered bank’s or its affiliates’ ownership interests in the covered fund; (2) that such investors should read the fund offering documents before investing</w:t>
      </w:r>
      <w:r w:rsidRPr="00F9420A">
        <w:rPr>
          <w:rFonts w:ascii="Times New Roman" w:hAnsi="Times New Roman"/>
          <w:iCs/>
          <w:lang w:bidi="en-US"/>
        </w:rPr>
        <w:t xml:space="preserve"> in the covered fund; (3) that the ownership interests in the covered fund are not insured by the FDIC, and are not deposits, obligations of, or endorsed or guaranteed in any way, by any covered bank; and (4) the role of the covered bank, its affiliates, and employees in sponsoring or providing any services to the covered fund.</w:t>
      </w:r>
    </w:p>
    <w:p w:rsidR="00F9420A" w:rsidP="00F9420A" w14:paraId="1DFD3447" w14:textId="77777777">
      <w:pPr>
        <w:rPr>
          <w:rFonts w:ascii="Times New Roman" w:hAnsi="Times New Roman"/>
          <w:b/>
          <w:iCs/>
          <w:lang w:bidi="en-US"/>
        </w:rPr>
      </w:pPr>
    </w:p>
    <w:p w:rsidR="00910596" w:rsidRPr="00F9420A" w:rsidP="00910596" w14:paraId="15CB5A5E" w14:textId="77777777">
      <w:pPr>
        <w:rPr>
          <w:rFonts w:ascii="Times New Roman" w:hAnsi="Times New Roman"/>
          <w:b/>
          <w:i/>
          <w:iCs/>
          <w:lang w:bidi="en-US"/>
        </w:rPr>
      </w:pPr>
      <w:r>
        <w:rPr>
          <w:rFonts w:ascii="Times New Roman" w:hAnsi="Times New Roman"/>
          <w:b/>
          <w:i/>
          <w:iCs/>
          <w:lang w:bidi="en-US"/>
        </w:rPr>
        <w:t>Implementation and Ongoing Burden</w:t>
      </w:r>
    </w:p>
    <w:p w:rsidR="00910596" w:rsidRPr="00F9420A" w:rsidP="00F9420A" w14:paraId="35568212" w14:textId="77777777">
      <w:pPr>
        <w:rPr>
          <w:rFonts w:ascii="Times New Roman" w:hAnsi="Times New Roman"/>
          <w:b/>
          <w:iCs/>
          <w:lang w:bidi="en-US"/>
        </w:rPr>
      </w:pPr>
    </w:p>
    <w:p w:rsidR="00F9420A" w:rsidRPr="00F9420A" w:rsidP="00F9420A" w14:paraId="52C8AFAD" w14:textId="77777777">
      <w:pPr>
        <w:rPr>
          <w:rFonts w:ascii="Times New Roman" w:hAnsi="Times New Roman"/>
          <w:iCs/>
          <w:lang w:bidi="en-US"/>
        </w:rPr>
      </w:pPr>
      <w:r w:rsidRPr="00F9420A">
        <w:rPr>
          <w:rFonts w:ascii="Times New Roman" w:hAnsi="Times New Roman"/>
          <w:iCs/>
          <w:lang w:bidi="en-US"/>
        </w:rPr>
        <w:t xml:space="preserve">For each of the 16 provisions listed above, OMB No. 3064-0184 contains two ICs covering implementation and </w:t>
      </w:r>
      <w:r w:rsidRPr="004A652B">
        <w:rPr>
          <w:rFonts w:ascii="Times New Roman" w:hAnsi="Times New Roman"/>
        </w:rPr>
        <w:t>ongoing</w:t>
      </w:r>
      <w:r w:rsidRPr="00F9420A">
        <w:rPr>
          <w:rFonts w:ascii="Times New Roman" w:hAnsi="Times New Roman"/>
          <w:iCs/>
          <w:lang w:bidi="en-US"/>
        </w:rPr>
        <w:t xml:space="preserve"> burdens, totaling 32 ICs for part 351. OMB No. 3064-0184 was last approved on July 31, </w:t>
      </w:r>
      <w:r w:rsidRPr="00F9420A">
        <w:rPr>
          <w:rFonts w:ascii="Times New Roman" w:hAnsi="Times New Roman"/>
          <w:iCs/>
          <w:lang w:bidi="en-US"/>
        </w:rPr>
        <w:t>2020</w:t>
      </w:r>
      <w:r w:rsidRPr="00F9420A">
        <w:rPr>
          <w:rFonts w:ascii="Times New Roman" w:hAnsi="Times New Roman"/>
          <w:iCs/>
          <w:lang w:bidi="en-US"/>
        </w:rPr>
        <w:t xml:space="preserve"> for an estimated 967 responses totaling 3,193 hours across these 32 ICs (2020 ICR).</w:t>
      </w:r>
      <w:r>
        <w:rPr>
          <w:rFonts w:ascii="Times New Roman" w:hAnsi="Times New Roman"/>
          <w:iCs/>
          <w:vertAlign w:val="superscript"/>
          <w:lang w:bidi="en-US"/>
        </w:rPr>
        <w:footnoteReference w:id="19"/>
      </w:r>
      <w:r w:rsidRPr="00F9420A">
        <w:rPr>
          <w:rFonts w:ascii="Times New Roman" w:hAnsi="Times New Roman"/>
          <w:iCs/>
          <w:lang w:bidi="en-US"/>
        </w:rPr>
        <w:t xml:space="preserve"> </w:t>
      </w:r>
    </w:p>
    <w:p w:rsidR="00F9420A" w:rsidRPr="00F9420A" w:rsidP="00F9420A" w14:paraId="78085018" w14:textId="77777777">
      <w:pPr>
        <w:rPr>
          <w:rFonts w:ascii="Times New Roman" w:hAnsi="Times New Roman"/>
          <w:iCs/>
          <w:lang w:bidi="en-US"/>
        </w:rPr>
      </w:pPr>
    </w:p>
    <w:p w:rsidR="003D016B" w:rsidRPr="003D016B" w:rsidP="003D016B" w14:paraId="71F59729" w14:textId="77777777">
      <w:pPr>
        <w:rPr>
          <w:rFonts w:ascii="Times New Roman" w:hAnsi="Times New Roman"/>
          <w:b/>
          <w:iCs/>
          <w:lang w:bidi="en-US"/>
        </w:rPr>
      </w:pPr>
      <w:r w:rsidRPr="00F9420A">
        <w:rPr>
          <w:rFonts w:ascii="Times New Roman" w:hAnsi="Times New Roman"/>
          <w:iCs/>
          <w:lang w:bidi="en-US"/>
        </w:rPr>
        <w:t xml:space="preserve"> </w:t>
      </w:r>
      <w:r w:rsidRPr="003D016B">
        <w:rPr>
          <w:rFonts w:ascii="Times New Roman" w:hAnsi="Times New Roman"/>
          <w:b/>
          <w:iCs/>
          <w:lang w:bidi="en-US"/>
        </w:rPr>
        <w:t>Estimated Number of Respondents and Responses</w:t>
      </w:r>
    </w:p>
    <w:p w:rsidR="003D016B" w:rsidRPr="003D016B" w:rsidP="003D016B" w14:paraId="75B4F634" w14:textId="77777777">
      <w:pPr>
        <w:rPr>
          <w:rFonts w:ascii="Times New Roman" w:hAnsi="Times New Roman"/>
          <w:b/>
          <w:iCs/>
          <w:lang w:bidi="en-US"/>
        </w:rPr>
      </w:pPr>
    </w:p>
    <w:p w:rsidR="003D016B" w:rsidRPr="003D016B" w:rsidP="003D016B" w14:paraId="3A5621E7" w14:textId="77777777">
      <w:pPr>
        <w:rPr>
          <w:rFonts w:ascii="Times New Roman" w:hAnsi="Times New Roman"/>
          <w:iCs/>
          <w:lang w:bidi="en-US"/>
        </w:rPr>
      </w:pPr>
      <w:r w:rsidRPr="003D016B">
        <w:rPr>
          <w:rFonts w:ascii="Times New Roman" w:hAnsi="Times New Roman"/>
          <w:iCs/>
          <w:lang w:bidi="en-US"/>
        </w:rPr>
        <w:t>This ICR contains ICs pertaining to policies, rules, and regulations regarding periodic reporting requirements, documentation of trading activities and compliance programs, and various other recordkeeping and disclosure requirements for covered banks. As was the case in the 2020 ICR, each of the 16 numbered paragraphs in the previous sections have two distinct information collections – and thus, two sets of respondent and response count estimates - associated with each of them: one collection and set of est</w:t>
      </w:r>
      <w:r w:rsidRPr="003D016B">
        <w:rPr>
          <w:rFonts w:ascii="Times New Roman" w:hAnsi="Times New Roman"/>
          <w:iCs/>
          <w:lang w:bidi="en-US"/>
        </w:rPr>
        <w:t xml:space="preserve">imates associated with implementation and initial set-up costs and one associated with ongoing compliance. </w:t>
      </w:r>
    </w:p>
    <w:p w:rsidR="003D016B" w:rsidRPr="003D016B" w:rsidP="003D016B" w14:paraId="155F5BE2" w14:textId="77777777">
      <w:pPr>
        <w:rPr>
          <w:rFonts w:ascii="Times New Roman" w:hAnsi="Times New Roman"/>
          <w:iCs/>
          <w:lang w:bidi="en-US"/>
        </w:rPr>
      </w:pPr>
    </w:p>
    <w:p w:rsidR="003D016B" w:rsidRPr="003D016B" w:rsidP="003D016B" w14:paraId="0654B317" w14:textId="77777777">
      <w:pPr>
        <w:rPr>
          <w:rFonts w:ascii="Times New Roman" w:hAnsi="Times New Roman"/>
          <w:iCs/>
          <w:lang w:bidi="en-US"/>
        </w:rPr>
      </w:pPr>
      <w:r w:rsidRPr="003D016B">
        <w:rPr>
          <w:rFonts w:ascii="Times New Roman" w:hAnsi="Times New Roman"/>
          <w:iCs/>
          <w:lang w:bidi="en-US"/>
        </w:rPr>
        <w:t xml:space="preserve">Potential respondents to the 32 ICs contained in this ICR are FDIC-supervised IDIs that are subject to the requirements of Part 351. Part 351 applies to all covered banks for which the FDIC is the appropriate </w:t>
      </w:r>
      <w:r w:rsidRPr="004A652B">
        <w:rPr>
          <w:rFonts w:ascii="Times New Roman" w:hAnsi="Times New Roman"/>
        </w:rPr>
        <w:t>Federal</w:t>
      </w:r>
      <w:r w:rsidRPr="003D016B">
        <w:rPr>
          <w:rFonts w:ascii="Times New Roman" w:hAnsi="Times New Roman"/>
          <w:iCs/>
          <w:lang w:bidi="en-US"/>
        </w:rPr>
        <w:t xml:space="preserve"> banking agency.</w:t>
      </w:r>
      <w:r>
        <w:rPr>
          <w:rFonts w:ascii="Times New Roman" w:hAnsi="Times New Roman"/>
          <w:iCs/>
          <w:vertAlign w:val="superscript"/>
          <w:lang w:bidi="en-US"/>
        </w:rPr>
        <w:footnoteReference w:id="20"/>
      </w:r>
      <w:r w:rsidRPr="003D016B">
        <w:rPr>
          <w:rFonts w:ascii="Times New Roman" w:hAnsi="Times New Roman"/>
          <w:iCs/>
          <w:lang w:bidi="en-US"/>
        </w:rPr>
        <w:t xml:space="preserve"> </w:t>
      </w:r>
      <w:r w:rsidR="004A652B">
        <w:rPr>
          <w:rFonts w:ascii="Times New Roman" w:hAnsi="Times New Roman"/>
          <w:iCs/>
          <w:lang w:bidi="en-US"/>
        </w:rPr>
        <w:t>T</w:t>
      </w:r>
      <w:r w:rsidRPr="003D016B">
        <w:rPr>
          <w:rFonts w:ascii="Times New Roman" w:hAnsi="Times New Roman"/>
          <w:iCs/>
          <w:lang w:bidi="en-US"/>
        </w:rPr>
        <w:t>he term ‘covered bank’ does not include those IDIs that have, and if every company that controls it has, total consolidated assets of $10 billion or less and total trading assets and trading liabilities, on a consolidated basis, that are 5 percent or less of total consolidated assets. Part 351 defines three cohorts of covered banks, each subject to varying levels of supervision based on their trading activities. Covered banks with “significant” trading assets and liabilities, generally defined as those with</w:t>
      </w:r>
      <w:r w:rsidRPr="003D016B">
        <w:rPr>
          <w:rFonts w:ascii="Times New Roman" w:hAnsi="Times New Roman"/>
          <w:iCs/>
          <w:lang w:bidi="en-US"/>
        </w:rPr>
        <w:t xml:space="preserve"> average trading assets and liabilities over the four previous </w:t>
      </w:r>
      <w:r w:rsidRPr="004A652B">
        <w:rPr>
          <w:rFonts w:ascii="Times New Roman" w:hAnsi="Times New Roman"/>
        </w:rPr>
        <w:t>calendar</w:t>
      </w:r>
      <w:r w:rsidRPr="003D016B">
        <w:rPr>
          <w:rFonts w:ascii="Times New Roman" w:hAnsi="Times New Roman"/>
          <w:iCs/>
          <w:lang w:bidi="en-US"/>
        </w:rPr>
        <w:t xml:space="preserve"> quarters of $20 billion or more</w:t>
      </w:r>
      <w:r>
        <w:rPr>
          <w:rFonts w:ascii="Times New Roman" w:hAnsi="Times New Roman"/>
          <w:iCs/>
          <w:vertAlign w:val="superscript"/>
          <w:lang w:bidi="en-US"/>
        </w:rPr>
        <w:footnoteReference w:id="21"/>
      </w:r>
      <w:r w:rsidRPr="003D016B">
        <w:rPr>
          <w:rFonts w:ascii="Times New Roman" w:hAnsi="Times New Roman"/>
          <w:iCs/>
          <w:lang w:bidi="en-US"/>
        </w:rPr>
        <w:t xml:space="preserve"> – are subject to the strictest requirements under Part 351. Covered banks with “moderate” trading assets and liabilities, generally defined as those with average trading assets and liabilities over the four previous calendar quarters of between $1 billion and $20 billion</w:t>
      </w:r>
      <w:r>
        <w:rPr>
          <w:rFonts w:ascii="Times New Roman" w:hAnsi="Times New Roman"/>
          <w:iCs/>
          <w:vertAlign w:val="superscript"/>
          <w:lang w:bidi="en-US"/>
        </w:rPr>
        <w:footnoteReference w:id="22"/>
      </w:r>
      <w:r w:rsidRPr="003D016B">
        <w:rPr>
          <w:rFonts w:ascii="Times New Roman" w:hAnsi="Times New Roman"/>
          <w:iCs/>
          <w:lang w:bidi="en-US"/>
        </w:rPr>
        <w:t xml:space="preserve"> – are exempt from some obligations tailored to “significant” covered banks, but still subject to most of the requirements under Part 351. Finally, covered banks with “limited” trading assets and liabilities, defined as those with average trading assets and liabilities over the four previous calendar quarters of less than $1 billion</w:t>
      </w:r>
      <w:r>
        <w:rPr>
          <w:rFonts w:ascii="Times New Roman" w:hAnsi="Times New Roman"/>
          <w:iCs/>
          <w:vertAlign w:val="superscript"/>
          <w:lang w:bidi="en-US"/>
        </w:rPr>
        <w:footnoteReference w:id="23"/>
      </w:r>
      <w:r w:rsidRPr="003D016B">
        <w:rPr>
          <w:rFonts w:ascii="Times New Roman" w:hAnsi="Times New Roman"/>
          <w:iCs/>
          <w:lang w:bidi="en-US"/>
        </w:rPr>
        <w:t>, are presumed to be compliant with the requirements of Part 351 and are under no supervisory expectation to demonstrate compliance with Part 351 on an ongoing basis.</w:t>
      </w:r>
      <w:r>
        <w:rPr>
          <w:rFonts w:ascii="Times New Roman" w:hAnsi="Times New Roman"/>
          <w:iCs/>
          <w:vertAlign w:val="superscript"/>
          <w:lang w:bidi="en-US"/>
        </w:rPr>
        <w:footnoteReference w:id="24"/>
      </w:r>
      <w:r w:rsidRPr="003D016B">
        <w:rPr>
          <w:rFonts w:ascii="Times New Roman" w:hAnsi="Times New Roman"/>
          <w:iCs/>
          <w:lang w:bidi="en-US"/>
        </w:rPr>
        <w:t xml:space="preserve"> The FDIC may make a determination that a covered bank with “limited” trading assets and liabilities is engaged in proprietary trading or activities prohibited under Part 351 and may, as a result of such determination, subject the covered bank to requirements reserved for covered banks with “moderate” or “significant” trading assets or liabilities.</w:t>
      </w:r>
      <w:r>
        <w:rPr>
          <w:rFonts w:ascii="Times New Roman" w:hAnsi="Times New Roman"/>
          <w:iCs/>
          <w:vertAlign w:val="superscript"/>
          <w:lang w:bidi="en-US"/>
        </w:rPr>
        <w:footnoteReference w:id="25"/>
      </w:r>
    </w:p>
    <w:p w:rsidR="003D016B" w:rsidRPr="003D016B" w:rsidP="003D016B" w14:paraId="7A671F7E" w14:textId="77777777">
      <w:pPr>
        <w:rPr>
          <w:rFonts w:ascii="Times New Roman" w:hAnsi="Times New Roman"/>
          <w:iCs/>
          <w:lang w:bidi="en-US"/>
        </w:rPr>
      </w:pPr>
    </w:p>
    <w:p w:rsidR="003D016B" w:rsidRPr="003D016B" w:rsidP="003D016B" w14:paraId="61301012" w14:textId="77777777">
      <w:pPr>
        <w:rPr>
          <w:rFonts w:ascii="Times New Roman" w:hAnsi="Times New Roman"/>
          <w:iCs/>
          <w:lang w:bidi="en-US"/>
        </w:rPr>
      </w:pPr>
      <w:r w:rsidRPr="003D016B">
        <w:rPr>
          <w:rFonts w:ascii="Times New Roman" w:hAnsi="Times New Roman"/>
          <w:iCs/>
          <w:lang w:bidi="en-US"/>
        </w:rPr>
        <w:t xml:space="preserve">To identify the number </w:t>
      </w:r>
      <w:r w:rsidRPr="004A652B">
        <w:rPr>
          <w:rFonts w:ascii="Times New Roman" w:hAnsi="Times New Roman"/>
        </w:rPr>
        <w:t>of</w:t>
      </w:r>
      <w:r w:rsidRPr="003D016B">
        <w:rPr>
          <w:rFonts w:ascii="Times New Roman" w:hAnsi="Times New Roman"/>
          <w:iCs/>
          <w:lang w:bidi="en-US"/>
        </w:rPr>
        <w:t xml:space="preserve"> respondents, the RMS SME obtained a list of FDIC-supervised IDIs using data from the FDIC Reports of Condition and Income (Call Report) and Federal Reserve Consolidated Financial Statements for Holding Companies (Y-9C), as of December 31, 2022, that were not excluded under the total consolidated assets and trading assets and liabilities thresholds described above and that met the thresholds under Part 351 to be considered as having “significant” or “moderate” trading assets and liabilities. </w:t>
      </w:r>
    </w:p>
    <w:p w:rsidR="003D016B" w:rsidRPr="003D016B" w:rsidP="003D016B" w14:paraId="0BE56094" w14:textId="77777777">
      <w:pPr>
        <w:rPr>
          <w:rFonts w:ascii="Times New Roman" w:hAnsi="Times New Roman"/>
          <w:iCs/>
          <w:lang w:bidi="en-US"/>
        </w:rPr>
      </w:pPr>
    </w:p>
    <w:p w:rsidR="006A541D" w:rsidP="003D016B" w14:paraId="79B6BFAA" w14:textId="77777777">
      <w:pPr>
        <w:rPr>
          <w:rFonts w:ascii="Times New Roman" w:hAnsi="Times New Roman"/>
          <w:iCs/>
          <w:lang w:bidi="en-US"/>
        </w:rPr>
      </w:pPr>
      <w:r>
        <w:rPr>
          <w:rFonts w:ascii="Times New Roman" w:hAnsi="Times New Roman"/>
          <w:iCs/>
          <w:lang w:bidi="en-US"/>
        </w:rPr>
        <w:t>The FDIC has identified</w:t>
      </w:r>
      <w:r w:rsidRPr="003D016B" w:rsidR="003D016B">
        <w:rPr>
          <w:rFonts w:ascii="Times New Roman" w:hAnsi="Times New Roman"/>
          <w:iCs/>
          <w:lang w:bidi="en-US"/>
        </w:rPr>
        <w:t xml:space="preserve"> two covered banks that fall under the “significant” category and five covered banks that fall under the “moderate” category. The </w:t>
      </w:r>
      <w:r>
        <w:rPr>
          <w:rFonts w:ascii="Times New Roman" w:hAnsi="Times New Roman"/>
          <w:iCs/>
          <w:lang w:bidi="en-US"/>
        </w:rPr>
        <w:t>FDIC</w:t>
      </w:r>
      <w:r w:rsidRPr="003D016B" w:rsidR="003D016B">
        <w:rPr>
          <w:rFonts w:ascii="Times New Roman" w:hAnsi="Times New Roman"/>
          <w:iCs/>
          <w:lang w:bidi="en-US"/>
        </w:rPr>
        <w:t xml:space="preserve"> does not anticipate that additional FDIC-supervised IDIs will need to come into compliance with Part </w:t>
      </w:r>
      <w:r w:rsidRPr="004A652B" w:rsidR="003D016B">
        <w:rPr>
          <w:rFonts w:ascii="Times New Roman" w:hAnsi="Times New Roman"/>
        </w:rPr>
        <w:t>351</w:t>
      </w:r>
      <w:r w:rsidRPr="003D016B" w:rsidR="003D016B">
        <w:rPr>
          <w:rFonts w:ascii="Times New Roman" w:hAnsi="Times New Roman"/>
          <w:iCs/>
          <w:lang w:bidi="en-US"/>
        </w:rPr>
        <w:t xml:space="preserve"> over the upcoming three-year OMB submission cycle. Because covered banks with “limited” trading assets and liabilities are under no supervisory expectation to demonstrate compliance with Part 351, the </w:t>
      </w:r>
      <w:r>
        <w:rPr>
          <w:rFonts w:ascii="Times New Roman" w:hAnsi="Times New Roman"/>
          <w:iCs/>
          <w:lang w:bidi="en-US"/>
        </w:rPr>
        <w:t>FDIC has</w:t>
      </w:r>
      <w:r w:rsidRPr="003D016B" w:rsidR="003D016B">
        <w:rPr>
          <w:rFonts w:ascii="Times New Roman" w:hAnsi="Times New Roman"/>
          <w:iCs/>
          <w:lang w:bidi="en-US"/>
        </w:rPr>
        <w:t xml:space="preserve"> excluded from the </w:t>
      </w:r>
      <w:r>
        <w:rPr>
          <w:rFonts w:ascii="Times New Roman" w:hAnsi="Times New Roman"/>
          <w:iCs/>
          <w:lang w:bidi="en-US"/>
        </w:rPr>
        <w:t>respondent panel</w:t>
      </w:r>
      <w:r w:rsidRPr="003D016B" w:rsidR="003D016B">
        <w:rPr>
          <w:rFonts w:ascii="Times New Roman" w:hAnsi="Times New Roman"/>
          <w:iCs/>
          <w:lang w:bidi="en-US"/>
        </w:rPr>
        <w:t xml:space="preserve"> any covered bank with “limited” trading assets and liabilities. None of the covered banks that </w:t>
      </w:r>
      <w:r>
        <w:rPr>
          <w:rFonts w:ascii="Times New Roman" w:hAnsi="Times New Roman"/>
          <w:iCs/>
          <w:lang w:bidi="en-US"/>
        </w:rPr>
        <w:t>FDIC</w:t>
      </w:r>
      <w:r w:rsidRPr="003D016B" w:rsidR="003D016B">
        <w:rPr>
          <w:rFonts w:ascii="Times New Roman" w:hAnsi="Times New Roman"/>
          <w:iCs/>
          <w:lang w:bidi="en-US"/>
        </w:rPr>
        <w:t xml:space="preserve"> identified as respondents to this ICR are considered small entities for purposes of the Regulatory Flexibility Act.</w:t>
      </w:r>
      <w:r>
        <w:rPr>
          <w:rFonts w:ascii="Times New Roman" w:hAnsi="Times New Roman"/>
          <w:iCs/>
          <w:vertAlign w:val="superscript"/>
          <w:lang w:bidi="en-US"/>
        </w:rPr>
        <w:footnoteReference w:id="26"/>
      </w:r>
    </w:p>
    <w:p w:rsidR="003D016B" w:rsidRPr="003D016B" w:rsidP="003D016B" w14:paraId="72E3DBE9" w14:textId="77777777">
      <w:pPr>
        <w:rPr>
          <w:rFonts w:ascii="Times New Roman" w:hAnsi="Times New Roman"/>
          <w:iCs/>
          <w:lang w:bidi="en-US"/>
        </w:rPr>
      </w:pPr>
      <w:r w:rsidRPr="003D016B">
        <w:rPr>
          <w:rFonts w:ascii="Times New Roman" w:hAnsi="Times New Roman"/>
          <w:iCs/>
          <w:lang w:bidi="en-US"/>
        </w:rPr>
        <w:t xml:space="preserve"> </w:t>
      </w:r>
    </w:p>
    <w:p w:rsidR="003D016B" w:rsidRPr="003D016B" w:rsidP="003D016B" w14:paraId="2A785CED" w14:textId="77777777">
      <w:pPr>
        <w:rPr>
          <w:rFonts w:ascii="Times New Roman" w:hAnsi="Times New Roman"/>
          <w:iCs/>
          <w:lang w:bidi="en-US"/>
        </w:rPr>
      </w:pPr>
      <w:r w:rsidRPr="003D016B">
        <w:rPr>
          <w:rFonts w:ascii="Times New Roman" w:hAnsi="Times New Roman"/>
          <w:iCs/>
          <w:lang w:bidi="en-US"/>
        </w:rPr>
        <w:t xml:space="preserve">In determining the number of responses per respondent for each of the ICs in this ICR, the </w:t>
      </w:r>
      <w:r w:rsidR="009E240C">
        <w:rPr>
          <w:rFonts w:ascii="Times New Roman" w:hAnsi="Times New Roman"/>
          <w:iCs/>
          <w:lang w:bidi="en-US"/>
        </w:rPr>
        <w:t>FDIC</w:t>
      </w:r>
      <w:r w:rsidRPr="003D016B">
        <w:rPr>
          <w:rFonts w:ascii="Times New Roman" w:hAnsi="Times New Roman"/>
          <w:iCs/>
          <w:lang w:bidi="en-US"/>
        </w:rPr>
        <w:t xml:space="preserve"> relied on </w:t>
      </w:r>
      <w:r w:rsidR="009E240C">
        <w:rPr>
          <w:rFonts w:ascii="Times New Roman" w:hAnsi="Times New Roman"/>
          <w:iCs/>
          <w:lang w:bidi="en-US"/>
        </w:rPr>
        <w:t>its</w:t>
      </w:r>
      <w:r w:rsidRPr="003D016B">
        <w:rPr>
          <w:rFonts w:ascii="Times New Roman" w:hAnsi="Times New Roman"/>
          <w:iCs/>
          <w:lang w:bidi="en-US"/>
        </w:rPr>
        <w:t xml:space="preserve"> supervisory expertise with the respondents in this ICR, as well as discussions and </w:t>
      </w:r>
      <w:r w:rsidRPr="004A652B">
        <w:rPr>
          <w:rFonts w:ascii="Times New Roman" w:hAnsi="Times New Roman"/>
        </w:rPr>
        <w:t>consultations</w:t>
      </w:r>
      <w:r w:rsidRPr="003D016B">
        <w:rPr>
          <w:rFonts w:ascii="Times New Roman" w:hAnsi="Times New Roman"/>
          <w:iCs/>
          <w:lang w:bidi="en-US"/>
        </w:rPr>
        <w:t xml:space="preserve"> with subject-matter experts and supervisors from other federal banking regulators – namely the Federal Reserve and OCC - in arriving at an estimate for responses per respondent. Because the requirements under Section 13 are identical for a covered bank regardless of its primary federal regulator, the PRA estimates for the number of responses per respondent in each IC were identical in the 2020 PRA renewals for the requirements under Section 13 for the Federal Reserve</w:t>
      </w:r>
      <w:r>
        <w:rPr>
          <w:rFonts w:ascii="Times New Roman" w:hAnsi="Times New Roman"/>
          <w:iCs/>
          <w:vertAlign w:val="superscript"/>
          <w:lang w:bidi="en-US"/>
        </w:rPr>
        <w:footnoteReference w:id="27"/>
      </w:r>
      <w:r w:rsidRPr="003D016B">
        <w:rPr>
          <w:rFonts w:ascii="Times New Roman" w:hAnsi="Times New Roman"/>
          <w:iCs/>
          <w:lang w:bidi="en-US"/>
        </w:rPr>
        <w:t>, OCC</w:t>
      </w:r>
      <w:r>
        <w:rPr>
          <w:rFonts w:ascii="Times New Roman" w:hAnsi="Times New Roman"/>
          <w:iCs/>
          <w:vertAlign w:val="superscript"/>
          <w:lang w:bidi="en-US"/>
        </w:rPr>
        <w:footnoteReference w:id="28"/>
      </w:r>
      <w:r w:rsidRPr="003D016B">
        <w:rPr>
          <w:rFonts w:ascii="Times New Roman" w:hAnsi="Times New Roman"/>
          <w:iCs/>
          <w:lang w:bidi="en-US"/>
        </w:rPr>
        <w:t xml:space="preserve">, and FDIC. Based on discussions with subject-matter experts at the Federal Reserve and OCC, the </w:t>
      </w:r>
      <w:r w:rsidR="009E240C">
        <w:rPr>
          <w:rFonts w:ascii="Times New Roman" w:hAnsi="Times New Roman"/>
          <w:iCs/>
          <w:lang w:bidi="en-US"/>
        </w:rPr>
        <w:t>FDIC has decided to maintain</w:t>
      </w:r>
      <w:r w:rsidRPr="003D016B">
        <w:rPr>
          <w:rFonts w:ascii="Times New Roman" w:hAnsi="Times New Roman"/>
          <w:iCs/>
          <w:lang w:bidi="en-US"/>
        </w:rPr>
        <w:t xml:space="preserve"> the existing set of estimates for responses per respondent for each of the ICs in this ICR. </w:t>
      </w:r>
      <w:r w:rsidR="009E240C">
        <w:rPr>
          <w:rFonts w:ascii="Times New Roman" w:hAnsi="Times New Roman"/>
          <w:iCs/>
          <w:lang w:bidi="en-US"/>
        </w:rPr>
        <w:t xml:space="preserve"> </w:t>
      </w:r>
      <w:r w:rsidRPr="003D016B">
        <w:rPr>
          <w:rFonts w:ascii="Times New Roman" w:hAnsi="Times New Roman"/>
          <w:iCs/>
          <w:lang w:bidi="en-US"/>
        </w:rPr>
        <w:t xml:space="preserve">Thus, for this ICR, the estimated number of responses per respondent remain unchanged from the 2020 ICR for all ICs to </w:t>
      </w:r>
      <w:r w:rsidR="009E240C">
        <w:rPr>
          <w:rFonts w:ascii="Times New Roman" w:hAnsi="Times New Roman"/>
          <w:iCs/>
          <w:lang w:bidi="en-US"/>
        </w:rPr>
        <w:t>promote</w:t>
      </w:r>
      <w:r w:rsidRPr="003D016B">
        <w:rPr>
          <w:rFonts w:ascii="Times New Roman" w:hAnsi="Times New Roman"/>
          <w:iCs/>
          <w:lang w:bidi="en-US"/>
        </w:rPr>
        <w:t xml:space="preserve"> consistency across the three banking agencies’ upcoming ICR filings.</w:t>
      </w:r>
    </w:p>
    <w:p w:rsidR="003D016B" w:rsidRPr="003D016B" w:rsidP="003D016B" w14:paraId="6691BD7F" w14:textId="77777777">
      <w:pPr>
        <w:rPr>
          <w:rFonts w:ascii="Times New Roman" w:hAnsi="Times New Roman"/>
          <w:iCs/>
          <w:lang w:bidi="en-US"/>
        </w:rPr>
      </w:pPr>
    </w:p>
    <w:p w:rsidR="003D016B" w:rsidRPr="009E240C" w:rsidP="003D016B" w14:paraId="001FA355" w14:textId="77777777">
      <w:pPr>
        <w:rPr>
          <w:rFonts w:ascii="Times New Roman" w:hAnsi="Times New Roman"/>
          <w:b/>
          <w:i/>
          <w:iCs/>
          <w:lang w:bidi="en-US"/>
        </w:rPr>
      </w:pPr>
      <w:r w:rsidRPr="009E240C">
        <w:rPr>
          <w:rFonts w:ascii="Times New Roman" w:hAnsi="Times New Roman"/>
          <w:b/>
          <w:i/>
          <w:iCs/>
          <w:lang w:bidi="en-US"/>
        </w:rPr>
        <w:t>Implementation / Initial Set-up Burden Estimations</w:t>
      </w:r>
    </w:p>
    <w:p w:rsidR="003D016B" w:rsidRPr="003D016B" w:rsidP="003D016B" w14:paraId="58C9A076" w14:textId="77777777">
      <w:pPr>
        <w:rPr>
          <w:rFonts w:ascii="Times New Roman" w:hAnsi="Times New Roman"/>
          <w:i/>
          <w:iCs/>
          <w:lang w:bidi="en-US"/>
        </w:rPr>
      </w:pPr>
    </w:p>
    <w:p w:rsidR="003D016B" w:rsidRPr="003D016B" w:rsidP="003D016B" w14:paraId="4A1DABA1" w14:textId="77777777">
      <w:pPr>
        <w:rPr>
          <w:rFonts w:ascii="Times New Roman" w:hAnsi="Times New Roman"/>
          <w:i/>
          <w:iCs/>
          <w:lang w:bidi="en-US"/>
        </w:rPr>
      </w:pPr>
      <w:r>
        <w:rPr>
          <w:rFonts w:ascii="Times New Roman" w:hAnsi="Times New Roman"/>
          <w:iCs/>
          <w:lang w:bidi="en-US"/>
        </w:rPr>
        <w:t>Based upon a review of current</w:t>
      </w:r>
      <w:r w:rsidRPr="003D016B">
        <w:rPr>
          <w:rFonts w:ascii="Times New Roman" w:hAnsi="Times New Roman"/>
          <w:iCs/>
          <w:lang w:bidi="en-US"/>
        </w:rPr>
        <w:t xml:space="preserve"> Call Report and Y-9C data used to generate the list of respondents for this ICR, the </w:t>
      </w:r>
      <w:r>
        <w:rPr>
          <w:rFonts w:ascii="Times New Roman" w:hAnsi="Times New Roman"/>
          <w:iCs/>
          <w:lang w:bidi="en-US"/>
        </w:rPr>
        <w:t>FDIC</w:t>
      </w:r>
      <w:r w:rsidRPr="003D016B">
        <w:rPr>
          <w:rFonts w:ascii="Times New Roman" w:hAnsi="Times New Roman"/>
          <w:iCs/>
          <w:lang w:bidi="en-US"/>
        </w:rPr>
        <w:t xml:space="preserve"> confirmed that since the approval of the 2020 ICR, no new FDIC-supervised IDIs have become subject to the requirements</w:t>
      </w:r>
      <w:r w:rsidR="003E6285">
        <w:rPr>
          <w:rFonts w:ascii="Times New Roman" w:hAnsi="Times New Roman"/>
          <w:iCs/>
          <w:lang w:bidi="en-US"/>
        </w:rPr>
        <w:t xml:space="preserve"> of</w:t>
      </w:r>
      <w:r w:rsidRPr="003D016B">
        <w:rPr>
          <w:rFonts w:ascii="Times New Roman" w:hAnsi="Times New Roman"/>
          <w:iCs/>
          <w:lang w:bidi="en-US"/>
        </w:rPr>
        <w:t xml:space="preserve"> Part 351. As a result, the estimated number of respondents and responses per respondent related</w:t>
      </w:r>
      <w:r w:rsidR="003E6285">
        <w:rPr>
          <w:rFonts w:ascii="Times New Roman" w:hAnsi="Times New Roman"/>
          <w:iCs/>
          <w:lang w:bidi="en-US"/>
        </w:rPr>
        <w:t xml:space="preserve"> to initial implementation burden</w:t>
      </w:r>
      <w:r w:rsidRPr="003D016B">
        <w:rPr>
          <w:rFonts w:ascii="Times New Roman" w:hAnsi="Times New Roman"/>
          <w:iCs/>
          <w:lang w:bidi="en-US"/>
        </w:rPr>
        <w:t xml:space="preserve"> pursuant to Part 351 will be one. One is used as a placeholder value to preserve the burden estimates and allow for the possibility of new institutions becoming subject to this ICR in the future. </w:t>
      </w:r>
    </w:p>
    <w:p w:rsidR="003D016B" w:rsidRPr="003D016B" w:rsidP="003D016B" w14:paraId="6F4E22C4" w14:textId="77777777">
      <w:pPr>
        <w:rPr>
          <w:rFonts w:ascii="Times New Roman" w:hAnsi="Times New Roman"/>
          <w:iCs/>
          <w:lang w:bidi="en-US"/>
        </w:rPr>
      </w:pPr>
      <w:r w:rsidRPr="003D016B">
        <w:rPr>
          <w:rFonts w:ascii="Times New Roman" w:hAnsi="Times New Roman"/>
          <w:iCs/>
          <w:lang w:bidi="en-US"/>
        </w:rPr>
        <w:tab/>
      </w:r>
    </w:p>
    <w:p w:rsidR="003D016B" w:rsidRPr="003E6285" w:rsidP="003D016B" w14:paraId="2398ACE5" w14:textId="77777777">
      <w:pPr>
        <w:rPr>
          <w:rFonts w:ascii="Times New Roman" w:hAnsi="Times New Roman"/>
          <w:b/>
          <w:iCs/>
          <w:lang w:bidi="en-US"/>
        </w:rPr>
      </w:pPr>
      <w:r w:rsidRPr="003E6285">
        <w:rPr>
          <w:rFonts w:ascii="Times New Roman" w:hAnsi="Times New Roman"/>
          <w:b/>
          <w:i/>
          <w:iCs/>
          <w:lang w:bidi="en-US"/>
        </w:rPr>
        <w:t>Ongoing Burden Estimations</w:t>
      </w:r>
    </w:p>
    <w:p w:rsidR="003D016B" w:rsidRPr="003D016B" w:rsidP="003D016B" w14:paraId="332D920D" w14:textId="77777777">
      <w:pPr>
        <w:rPr>
          <w:rFonts w:ascii="Times New Roman" w:hAnsi="Times New Roman"/>
          <w:iCs/>
          <w:lang w:bidi="en-US"/>
        </w:rPr>
      </w:pPr>
    </w:p>
    <w:p w:rsidR="003D016B" w:rsidRPr="003D016B" w:rsidP="003D016B" w14:paraId="7648D3C9" w14:textId="77777777">
      <w:pPr>
        <w:rPr>
          <w:rFonts w:ascii="Times New Roman" w:hAnsi="Times New Roman"/>
          <w:iCs/>
          <w:lang w:bidi="en-US"/>
        </w:rPr>
      </w:pPr>
      <w:r w:rsidRPr="003D016B">
        <w:rPr>
          <w:rFonts w:ascii="Times New Roman" w:hAnsi="Times New Roman"/>
          <w:b/>
          <w:iCs/>
          <w:lang w:bidi="en-US"/>
        </w:rPr>
        <w:t xml:space="preserve">IC 1: (Reporting) Limit Breaches and Increases, pursuant to 12 CFR 351.4(c)(3)(i). </w:t>
      </w:r>
      <w:r w:rsidRPr="003D016B">
        <w:rPr>
          <w:rFonts w:ascii="Times New Roman" w:hAnsi="Times New Roman"/>
          <w:iCs/>
          <w:lang w:bidi="en-US"/>
        </w:rPr>
        <w:t xml:space="preserve">Respondents to this IC are all covered banks not classified as having “limited” trading assets and </w:t>
      </w:r>
      <w:r w:rsidRPr="003D016B">
        <w:rPr>
          <w:rFonts w:ascii="Times New Roman" w:hAnsi="Times New Roman"/>
          <w:iCs/>
          <w:lang w:bidi="en-US"/>
        </w:rPr>
        <w:t xml:space="preserve">liabilities. As described above, the </w:t>
      </w:r>
      <w:r w:rsidR="003E6285">
        <w:rPr>
          <w:rFonts w:ascii="Times New Roman" w:hAnsi="Times New Roman"/>
          <w:iCs/>
          <w:lang w:bidi="en-US"/>
        </w:rPr>
        <w:t>FDIC has</w:t>
      </w:r>
      <w:r w:rsidRPr="003D016B">
        <w:rPr>
          <w:rFonts w:ascii="Times New Roman" w:hAnsi="Times New Roman"/>
          <w:iCs/>
          <w:lang w:bidi="en-US"/>
        </w:rPr>
        <w:t xml:space="preserve"> identified seven covered banks not classified as having “limited” trading assets and liabilities and thus estimates an annual count of seven respondents to this IC. Based on </w:t>
      </w:r>
      <w:r w:rsidR="003E6285">
        <w:rPr>
          <w:rFonts w:ascii="Times New Roman" w:hAnsi="Times New Roman"/>
          <w:iCs/>
          <w:lang w:bidi="en-US"/>
        </w:rPr>
        <w:t>consultations</w:t>
      </w:r>
      <w:r w:rsidRPr="003D016B">
        <w:rPr>
          <w:rFonts w:ascii="Times New Roman" w:hAnsi="Times New Roman"/>
          <w:iCs/>
          <w:lang w:bidi="en-US"/>
        </w:rPr>
        <w:t xml:space="preserve"> with subject-matter experts at the Federal Reserve and OCC, the </w:t>
      </w:r>
      <w:r w:rsidR="003E6285">
        <w:rPr>
          <w:rFonts w:ascii="Times New Roman" w:hAnsi="Times New Roman"/>
          <w:iCs/>
          <w:lang w:bidi="en-US"/>
        </w:rPr>
        <w:t>FDIC has decided to maintain</w:t>
      </w:r>
      <w:r w:rsidRPr="003D016B">
        <w:rPr>
          <w:rFonts w:ascii="Times New Roman" w:hAnsi="Times New Roman"/>
          <w:iCs/>
          <w:lang w:bidi="en-US"/>
        </w:rPr>
        <w:t xml:space="preserve"> the existing estimate of 20 responses per respondent annually</w:t>
      </w:r>
      <w:r w:rsidR="003E6285">
        <w:rPr>
          <w:rFonts w:ascii="Times New Roman" w:hAnsi="Times New Roman"/>
          <w:iCs/>
          <w:lang w:bidi="en-US"/>
        </w:rPr>
        <w:t>.</w:t>
      </w:r>
    </w:p>
    <w:p w:rsidR="003D016B" w:rsidRPr="003D016B" w:rsidP="003D016B" w14:paraId="62F1C8C5" w14:textId="77777777">
      <w:pPr>
        <w:rPr>
          <w:rFonts w:ascii="Times New Roman" w:hAnsi="Times New Roman"/>
          <w:iCs/>
          <w:lang w:bidi="en-US"/>
        </w:rPr>
      </w:pPr>
    </w:p>
    <w:p w:rsidR="003D016B" w:rsidRPr="003D016B" w:rsidP="003D016B" w14:paraId="70B0060E" w14:textId="77777777">
      <w:pPr>
        <w:rPr>
          <w:rFonts w:ascii="Times New Roman" w:hAnsi="Times New Roman"/>
          <w:iCs/>
          <w:lang w:bidi="en-US"/>
        </w:rPr>
      </w:pPr>
      <w:r w:rsidRPr="003D016B">
        <w:rPr>
          <w:rFonts w:ascii="Times New Roman" w:hAnsi="Times New Roman"/>
          <w:b/>
          <w:iCs/>
          <w:lang w:bidi="en-US"/>
        </w:rPr>
        <w:t xml:space="preserve">IC 2: (Reporting) Requirements under Appendix A for Covered Banks with Significant Trading Assets &amp; Liabilities, pursuant to 12 CFR 351.20(d). </w:t>
      </w:r>
      <w:r w:rsidRPr="003D016B">
        <w:rPr>
          <w:rFonts w:ascii="Times New Roman" w:hAnsi="Times New Roman"/>
          <w:iCs/>
          <w:lang w:bidi="en-US"/>
        </w:rPr>
        <w:t xml:space="preserve">Respondents to this IC are all covered banks with “significant” trading assets and liabilities. As described above, the </w:t>
      </w:r>
      <w:r w:rsidR="003E6285">
        <w:rPr>
          <w:rFonts w:ascii="Times New Roman" w:hAnsi="Times New Roman"/>
          <w:iCs/>
          <w:lang w:bidi="en-US"/>
        </w:rPr>
        <w:t>FDIC has</w:t>
      </w:r>
      <w:r w:rsidRPr="003D016B">
        <w:rPr>
          <w:rFonts w:ascii="Times New Roman" w:hAnsi="Times New Roman"/>
          <w:iCs/>
          <w:lang w:bidi="en-US"/>
        </w:rPr>
        <w:t xml:space="preserve"> identified </w:t>
      </w:r>
      <w:r w:rsidRPr="004A652B">
        <w:rPr>
          <w:rFonts w:ascii="Times New Roman" w:hAnsi="Times New Roman"/>
        </w:rPr>
        <w:t>two</w:t>
      </w:r>
      <w:r w:rsidRPr="003D016B">
        <w:rPr>
          <w:rFonts w:ascii="Times New Roman" w:hAnsi="Times New Roman"/>
          <w:iCs/>
          <w:lang w:bidi="en-US"/>
        </w:rPr>
        <w:t xml:space="preserve"> covered banks with “significant” trading assets and liabilities and thus estimates an annual count of two respondents to this IC. In accordance with the filing schedule set out in 12 CFR 351.20(d), these reports are required to be submitted quarterly. Therefore, the </w:t>
      </w:r>
      <w:r w:rsidR="003E6285">
        <w:rPr>
          <w:rFonts w:ascii="Times New Roman" w:hAnsi="Times New Roman"/>
          <w:iCs/>
          <w:lang w:bidi="en-US"/>
        </w:rPr>
        <w:t>FDIC</w:t>
      </w:r>
      <w:r w:rsidRPr="003D016B">
        <w:rPr>
          <w:rFonts w:ascii="Times New Roman" w:hAnsi="Times New Roman"/>
          <w:iCs/>
          <w:lang w:bidi="en-US"/>
        </w:rPr>
        <w:t xml:space="preserve"> estimates that there will be </w:t>
      </w:r>
      <w:r w:rsidR="003E6285">
        <w:rPr>
          <w:rFonts w:ascii="Times New Roman" w:hAnsi="Times New Roman"/>
          <w:iCs/>
          <w:lang w:bidi="en-US"/>
        </w:rPr>
        <w:t xml:space="preserve">a frequency of </w:t>
      </w:r>
      <w:r w:rsidRPr="003D016B">
        <w:rPr>
          <w:rFonts w:ascii="Times New Roman" w:hAnsi="Times New Roman"/>
          <w:iCs/>
          <w:lang w:bidi="en-US"/>
        </w:rPr>
        <w:t>four responses per respondent annually.</w:t>
      </w:r>
    </w:p>
    <w:p w:rsidR="003D016B" w:rsidRPr="003D016B" w:rsidP="003D016B" w14:paraId="2BE534C8" w14:textId="77777777">
      <w:pPr>
        <w:rPr>
          <w:rFonts w:ascii="Times New Roman" w:hAnsi="Times New Roman"/>
          <w:iCs/>
          <w:lang w:bidi="en-US"/>
        </w:rPr>
      </w:pPr>
    </w:p>
    <w:p w:rsidR="003E6285" w:rsidRPr="003E6285" w:rsidP="003E6285" w14:paraId="1326B380" w14:textId="77777777">
      <w:pPr>
        <w:rPr>
          <w:rFonts w:ascii="Times New Roman" w:hAnsi="Times New Roman"/>
          <w:iCs/>
          <w:lang w:bidi="en-US"/>
        </w:rPr>
      </w:pPr>
      <w:r w:rsidRPr="003D016B">
        <w:rPr>
          <w:rFonts w:ascii="Times New Roman" w:hAnsi="Times New Roman"/>
          <w:b/>
          <w:iCs/>
          <w:lang w:bidi="en-US"/>
        </w:rPr>
        <w:t xml:space="preserve">IC 3: (Reporting) Notice and Response, pursuant to 12 CFR 351.20(i). </w:t>
      </w:r>
      <w:r w:rsidRPr="003D016B">
        <w:rPr>
          <w:rFonts w:ascii="Times New Roman" w:hAnsi="Times New Roman"/>
          <w:iCs/>
          <w:lang w:bidi="en-US"/>
        </w:rPr>
        <w:t xml:space="preserve">Respondents to this IC are all covered banks not classified as having “limited” trading assets and liabilities. As described above, the </w:t>
      </w:r>
      <w:r>
        <w:rPr>
          <w:rFonts w:ascii="Times New Roman" w:hAnsi="Times New Roman"/>
          <w:iCs/>
          <w:lang w:bidi="en-US"/>
        </w:rPr>
        <w:t>FDIC</w:t>
      </w:r>
      <w:r w:rsidRPr="003D016B">
        <w:rPr>
          <w:rFonts w:ascii="Times New Roman" w:hAnsi="Times New Roman"/>
          <w:iCs/>
          <w:lang w:bidi="en-US"/>
        </w:rPr>
        <w:t xml:space="preserve"> identified seven covered banks not classified as having “limited” trading assets </w:t>
      </w:r>
      <w:r w:rsidRPr="004A652B">
        <w:rPr>
          <w:rFonts w:ascii="Times New Roman" w:hAnsi="Times New Roman"/>
        </w:rPr>
        <w:t>and</w:t>
      </w:r>
      <w:r w:rsidRPr="003D016B">
        <w:rPr>
          <w:rFonts w:ascii="Times New Roman" w:hAnsi="Times New Roman"/>
          <w:iCs/>
          <w:lang w:bidi="en-US"/>
        </w:rPr>
        <w:t xml:space="preserve"> liabilities and thus estimates an annual count of seven respondents to this IC. </w:t>
      </w:r>
      <w:r w:rsidRPr="003E6285">
        <w:rPr>
          <w:rFonts w:ascii="Times New Roman" w:hAnsi="Times New Roman"/>
          <w:iCs/>
          <w:lang w:bidi="en-US"/>
        </w:rPr>
        <w:t>Based on consultations with subject-matter experts at the Federal Reserve and OCC, the FDIC has decided to maintain</w:t>
      </w:r>
      <w:r>
        <w:rPr>
          <w:rFonts w:ascii="Times New Roman" w:hAnsi="Times New Roman"/>
          <w:iCs/>
          <w:lang w:bidi="en-US"/>
        </w:rPr>
        <w:t xml:space="preserve"> the existing estimate of one response</w:t>
      </w:r>
      <w:r w:rsidRPr="003E6285">
        <w:rPr>
          <w:rFonts w:ascii="Times New Roman" w:hAnsi="Times New Roman"/>
          <w:iCs/>
          <w:lang w:bidi="en-US"/>
        </w:rPr>
        <w:t xml:space="preserve"> per respondent annually.</w:t>
      </w:r>
    </w:p>
    <w:p w:rsidR="003D016B" w:rsidRPr="004A1801" w:rsidP="003D016B" w14:paraId="4EC0FCFB" w14:textId="77777777">
      <w:pPr>
        <w:rPr>
          <w:rFonts w:ascii="Times New Roman" w:hAnsi="Times New Roman"/>
          <w:iCs/>
          <w:lang w:bidi="en-US"/>
        </w:rPr>
      </w:pPr>
      <w:r w:rsidRPr="003D016B">
        <w:rPr>
          <w:rFonts w:ascii="Times New Roman" w:hAnsi="Times New Roman"/>
          <w:iCs/>
          <w:lang w:bidi="en-US"/>
        </w:rPr>
        <w:t xml:space="preserve">. </w:t>
      </w:r>
    </w:p>
    <w:p w:rsidR="003D016B" w:rsidRPr="003D016B" w:rsidP="003D016B" w14:paraId="5CB60DF6" w14:textId="77777777">
      <w:pPr>
        <w:rPr>
          <w:rFonts w:ascii="Times New Roman" w:hAnsi="Times New Roman"/>
          <w:iCs/>
          <w:lang w:bidi="en-US"/>
        </w:rPr>
      </w:pPr>
      <w:r w:rsidRPr="003D016B">
        <w:rPr>
          <w:rFonts w:ascii="Times New Roman" w:hAnsi="Times New Roman"/>
          <w:b/>
          <w:iCs/>
          <w:lang w:bidi="en-US"/>
        </w:rPr>
        <w:t xml:space="preserve">IC 4: (Recordkeeping) Purchase and Sale of Securities in Accordance with Liquidity Management Plans, pursuant to 12 CFR 351.3(d)(3). </w:t>
      </w:r>
      <w:r w:rsidRPr="003D016B">
        <w:rPr>
          <w:rFonts w:ascii="Times New Roman" w:hAnsi="Times New Roman"/>
          <w:iCs/>
          <w:lang w:bidi="en-US"/>
        </w:rPr>
        <w:t xml:space="preserve">Respondents to this IC are all covered banks not classified as having “limited” trading assets and liabilities. As described above, the </w:t>
      </w:r>
      <w:r w:rsidR="003E6285">
        <w:rPr>
          <w:rFonts w:ascii="Times New Roman" w:hAnsi="Times New Roman"/>
          <w:iCs/>
          <w:lang w:bidi="en-US"/>
        </w:rPr>
        <w:t>FDIC</w:t>
      </w:r>
      <w:r w:rsidRPr="003D016B">
        <w:rPr>
          <w:rFonts w:ascii="Times New Roman" w:hAnsi="Times New Roman"/>
          <w:iCs/>
          <w:lang w:bidi="en-US"/>
        </w:rPr>
        <w:t xml:space="preserve"> identified seven covered banks not classified as having “limited” trading assets and liabilities and thus estimates an annual count of seven respondents to this IC. </w:t>
      </w:r>
      <w:r w:rsidRPr="003D016B" w:rsidR="003E6285">
        <w:rPr>
          <w:rFonts w:ascii="Times New Roman" w:hAnsi="Times New Roman"/>
          <w:iCs/>
          <w:lang w:bidi="en-US"/>
        </w:rPr>
        <w:t xml:space="preserve">Based on </w:t>
      </w:r>
      <w:r w:rsidR="003E6285">
        <w:rPr>
          <w:rFonts w:ascii="Times New Roman" w:hAnsi="Times New Roman"/>
          <w:iCs/>
          <w:lang w:bidi="en-US"/>
        </w:rPr>
        <w:t>consultations</w:t>
      </w:r>
      <w:r w:rsidRPr="003D016B" w:rsidR="003E6285">
        <w:rPr>
          <w:rFonts w:ascii="Times New Roman" w:hAnsi="Times New Roman"/>
          <w:iCs/>
          <w:lang w:bidi="en-US"/>
        </w:rPr>
        <w:t xml:space="preserve"> with subject-matter experts at the Federal Reserve and OCC, the </w:t>
      </w:r>
      <w:r w:rsidR="003E6285">
        <w:rPr>
          <w:rFonts w:ascii="Times New Roman" w:hAnsi="Times New Roman"/>
          <w:iCs/>
          <w:lang w:bidi="en-US"/>
        </w:rPr>
        <w:t>FDIC has decided to maintain</w:t>
      </w:r>
      <w:r w:rsidRPr="003D016B" w:rsidR="003E6285">
        <w:rPr>
          <w:rFonts w:ascii="Times New Roman" w:hAnsi="Times New Roman"/>
          <w:iCs/>
          <w:lang w:bidi="en-US"/>
        </w:rPr>
        <w:t xml:space="preserve"> the existing estimate of </w:t>
      </w:r>
      <w:r w:rsidR="003E6285">
        <w:rPr>
          <w:rFonts w:ascii="Times New Roman" w:hAnsi="Times New Roman"/>
          <w:iCs/>
          <w:lang w:bidi="en-US"/>
        </w:rPr>
        <w:t>one response</w:t>
      </w:r>
      <w:r w:rsidRPr="003D016B" w:rsidR="003E6285">
        <w:rPr>
          <w:rFonts w:ascii="Times New Roman" w:hAnsi="Times New Roman"/>
          <w:iCs/>
          <w:lang w:bidi="en-US"/>
        </w:rPr>
        <w:t xml:space="preserve"> per respondent annually</w:t>
      </w:r>
      <w:r w:rsidR="003E6285">
        <w:rPr>
          <w:rFonts w:ascii="Times New Roman" w:hAnsi="Times New Roman"/>
          <w:iCs/>
          <w:lang w:bidi="en-US"/>
        </w:rPr>
        <w:t>.</w:t>
      </w:r>
    </w:p>
    <w:p w:rsidR="003D016B" w:rsidRPr="003D016B" w:rsidP="003D016B" w14:paraId="4F427BF8" w14:textId="77777777">
      <w:pPr>
        <w:rPr>
          <w:rFonts w:ascii="Times New Roman" w:hAnsi="Times New Roman"/>
          <w:iCs/>
          <w:lang w:bidi="en-US"/>
        </w:rPr>
      </w:pPr>
    </w:p>
    <w:p w:rsidR="004A1801" w:rsidRPr="003D016B" w:rsidP="004A1801" w14:paraId="449ABE9F" w14:textId="77777777">
      <w:pPr>
        <w:rPr>
          <w:rFonts w:ascii="Times New Roman" w:hAnsi="Times New Roman"/>
          <w:iCs/>
          <w:lang w:bidi="en-US"/>
        </w:rPr>
      </w:pPr>
      <w:r w:rsidRPr="003D016B">
        <w:rPr>
          <w:rFonts w:ascii="Times New Roman" w:hAnsi="Times New Roman"/>
          <w:b/>
          <w:iCs/>
          <w:lang w:bidi="en-US"/>
        </w:rPr>
        <w:t>IC 5: (Recordkeeping) Trading Desk Documentation, pursuant to 12 CFR 351.4(b)(3)(i)(A).</w:t>
      </w:r>
      <w:r w:rsidRPr="003D016B">
        <w:rPr>
          <w:rFonts w:ascii="Times New Roman" w:hAnsi="Times New Roman"/>
          <w:iCs/>
          <w:lang w:bidi="en-US"/>
        </w:rPr>
        <w:t xml:space="preserve"> Respondents to this IC are all covered banks not classified as having “limited” trading assets and liabilities. As described above, the </w:t>
      </w:r>
      <w:r>
        <w:rPr>
          <w:rFonts w:ascii="Times New Roman" w:hAnsi="Times New Roman"/>
          <w:iCs/>
          <w:lang w:bidi="en-US"/>
        </w:rPr>
        <w:t>FDIC</w:t>
      </w:r>
      <w:r w:rsidRPr="003D016B">
        <w:rPr>
          <w:rFonts w:ascii="Times New Roman" w:hAnsi="Times New Roman"/>
          <w:iCs/>
          <w:lang w:bidi="en-US"/>
        </w:rPr>
        <w:t xml:space="preserve"> identified seven covered banks not classified as having “</w:t>
      </w:r>
      <w:r w:rsidRPr="004A652B">
        <w:rPr>
          <w:rFonts w:ascii="Times New Roman" w:hAnsi="Times New Roman"/>
        </w:rPr>
        <w:t>limited</w:t>
      </w:r>
      <w:r w:rsidRPr="003D016B">
        <w:rPr>
          <w:rFonts w:ascii="Times New Roman" w:hAnsi="Times New Roman"/>
          <w:iCs/>
          <w:lang w:bidi="en-US"/>
        </w:rPr>
        <w:t xml:space="preserve">” trading assets and liabilities and thus estimates an annual count of seven respondents to this IC. Based on </w:t>
      </w:r>
      <w:r>
        <w:rPr>
          <w:rFonts w:ascii="Times New Roman" w:hAnsi="Times New Roman"/>
          <w:iCs/>
          <w:lang w:bidi="en-US"/>
        </w:rPr>
        <w:t>consultations</w:t>
      </w:r>
      <w:r w:rsidRPr="003D016B">
        <w:rPr>
          <w:rFonts w:ascii="Times New Roman" w:hAnsi="Times New Roman"/>
          <w:iCs/>
          <w:lang w:bidi="en-US"/>
        </w:rPr>
        <w:t xml:space="preserve"> with subject-matter experts at the Federal Reserve and OCC, the </w:t>
      </w:r>
      <w:r>
        <w:rPr>
          <w:rFonts w:ascii="Times New Roman" w:hAnsi="Times New Roman"/>
          <w:iCs/>
          <w:lang w:bidi="en-US"/>
        </w:rPr>
        <w:t>FDIC has decided to maintain the existing estimate of four</w:t>
      </w:r>
      <w:r w:rsidRPr="003D016B">
        <w:rPr>
          <w:rFonts w:ascii="Times New Roman" w:hAnsi="Times New Roman"/>
          <w:iCs/>
          <w:lang w:bidi="en-US"/>
        </w:rPr>
        <w:t xml:space="preserve"> responses per respondent annually</w:t>
      </w:r>
      <w:r>
        <w:rPr>
          <w:rFonts w:ascii="Times New Roman" w:hAnsi="Times New Roman"/>
          <w:iCs/>
          <w:lang w:bidi="en-US"/>
        </w:rPr>
        <w:t>.</w:t>
      </w:r>
    </w:p>
    <w:p w:rsidR="003D016B" w:rsidRPr="003D016B" w:rsidP="003D016B" w14:paraId="7F8FB851" w14:textId="77777777">
      <w:pPr>
        <w:rPr>
          <w:rFonts w:ascii="Times New Roman" w:hAnsi="Times New Roman"/>
          <w:iCs/>
          <w:lang w:bidi="en-US"/>
        </w:rPr>
      </w:pPr>
    </w:p>
    <w:p w:rsidR="003D016B" w:rsidRPr="003D016B" w:rsidP="003D016B" w14:paraId="479F0478" w14:textId="77777777">
      <w:pPr>
        <w:rPr>
          <w:rFonts w:ascii="Times New Roman" w:hAnsi="Times New Roman"/>
          <w:iCs/>
          <w:lang w:bidi="en-US"/>
        </w:rPr>
      </w:pPr>
      <w:r w:rsidRPr="003D016B">
        <w:rPr>
          <w:rFonts w:ascii="Times New Roman" w:hAnsi="Times New Roman"/>
          <w:b/>
          <w:iCs/>
          <w:lang w:bidi="en-US"/>
        </w:rPr>
        <w:t xml:space="preserve">IC 6: (Recordkeeping) Limit Breaches and Increases, pursuant to 12 CFR 351.4(c)(3)(i). </w:t>
      </w:r>
      <w:r w:rsidRPr="003D016B">
        <w:rPr>
          <w:rFonts w:ascii="Times New Roman" w:hAnsi="Times New Roman"/>
          <w:iCs/>
          <w:lang w:bidi="en-US"/>
        </w:rPr>
        <w:t xml:space="preserve">Respondents to this IC are all covered banks not classified as having “limited” trading assets and liabilities. As described above, the </w:t>
      </w:r>
      <w:r w:rsidR="004A1801">
        <w:rPr>
          <w:rFonts w:ascii="Times New Roman" w:hAnsi="Times New Roman"/>
          <w:iCs/>
          <w:lang w:bidi="en-US"/>
        </w:rPr>
        <w:t>FDIC</w:t>
      </w:r>
      <w:r w:rsidRPr="003D016B">
        <w:rPr>
          <w:rFonts w:ascii="Times New Roman" w:hAnsi="Times New Roman"/>
          <w:iCs/>
          <w:lang w:bidi="en-US"/>
        </w:rPr>
        <w:t xml:space="preserve"> identified seven covered banks not classified as having “limited” trading assets and liabilities and thus estimates an annual count of seven respondents to this IC.  </w:t>
      </w:r>
      <w:r w:rsidRPr="003D016B" w:rsidR="004A1801">
        <w:rPr>
          <w:rFonts w:ascii="Times New Roman" w:hAnsi="Times New Roman"/>
          <w:iCs/>
          <w:lang w:bidi="en-US"/>
        </w:rPr>
        <w:t xml:space="preserve">Based on </w:t>
      </w:r>
      <w:r w:rsidR="004A1801">
        <w:rPr>
          <w:rFonts w:ascii="Times New Roman" w:hAnsi="Times New Roman"/>
          <w:iCs/>
          <w:lang w:bidi="en-US"/>
        </w:rPr>
        <w:t>consultations</w:t>
      </w:r>
      <w:r w:rsidRPr="003D016B" w:rsidR="004A1801">
        <w:rPr>
          <w:rFonts w:ascii="Times New Roman" w:hAnsi="Times New Roman"/>
          <w:iCs/>
          <w:lang w:bidi="en-US"/>
        </w:rPr>
        <w:t xml:space="preserve"> with subject-matter experts at the Federal Reserve and OCC, the </w:t>
      </w:r>
      <w:r w:rsidR="004A1801">
        <w:rPr>
          <w:rFonts w:ascii="Times New Roman" w:hAnsi="Times New Roman"/>
          <w:iCs/>
          <w:lang w:bidi="en-US"/>
        </w:rPr>
        <w:t>FDIC has decided to maintain the existing estimate of 40</w:t>
      </w:r>
      <w:r w:rsidRPr="003D016B" w:rsidR="004A1801">
        <w:rPr>
          <w:rFonts w:ascii="Times New Roman" w:hAnsi="Times New Roman"/>
          <w:iCs/>
          <w:lang w:bidi="en-US"/>
        </w:rPr>
        <w:t xml:space="preserve"> responses per respondent annually</w:t>
      </w:r>
      <w:r w:rsidR="004A1801">
        <w:rPr>
          <w:rFonts w:ascii="Times New Roman" w:hAnsi="Times New Roman"/>
          <w:iCs/>
          <w:lang w:bidi="en-US"/>
        </w:rPr>
        <w:t>.</w:t>
      </w:r>
    </w:p>
    <w:p w:rsidR="003D016B" w:rsidRPr="003D016B" w:rsidP="003D016B" w14:paraId="3A7B51FA" w14:textId="77777777">
      <w:pPr>
        <w:rPr>
          <w:rFonts w:ascii="Times New Roman" w:hAnsi="Times New Roman"/>
          <w:iCs/>
          <w:lang w:bidi="en-US"/>
        </w:rPr>
      </w:pPr>
    </w:p>
    <w:p w:rsidR="004A1801" w:rsidRPr="003D016B" w:rsidP="004A1801" w14:paraId="2804AA41" w14:textId="77777777">
      <w:pPr>
        <w:rPr>
          <w:rFonts w:ascii="Times New Roman" w:hAnsi="Times New Roman"/>
          <w:iCs/>
          <w:lang w:bidi="en-US"/>
        </w:rPr>
      </w:pPr>
      <w:r w:rsidRPr="003D016B">
        <w:rPr>
          <w:rFonts w:ascii="Times New Roman" w:hAnsi="Times New Roman"/>
          <w:b/>
          <w:iCs/>
          <w:lang w:bidi="en-US"/>
        </w:rPr>
        <w:t xml:space="preserve">IC 7: (Recordkeeping) Hedging Instruments Documentation, pursuant to 12 CFR 351.5(c). </w:t>
      </w:r>
      <w:r w:rsidRPr="003D016B">
        <w:rPr>
          <w:rFonts w:ascii="Times New Roman" w:hAnsi="Times New Roman"/>
          <w:iCs/>
          <w:lang w:bidi="en-US"/>
        </w:rPr>
        <w:t xml:space="preserve">Respondents to this IC are all covered banks with “significant” trading assets and liabilities. As described above, the </w:t>
      </w:r>
      <w:r>
        <w:rPr>
          <w:rFonts w:ascii="Times New Roman" w:hAnsi="Times New Roman"/>
          <w:iCs/>
          <w:lang w:bidi="en-US"/>
        </w:rPr>
        <w:t>FDIC</w:t>
      </w:r>
      <w:r w:rsidRPr="003D016B">
        <w:rPr>
          <w:rFonts w:ascii="Times New Roman" w:hAnsi="Times New Roman"/>
          <w:iCs/>
          <w:lang w:bidi="en-US"/>
        </w:rPr>
        <w:t xml:space="preserve"> identified two covered banks with “significant” trading assets and </w:t>
      </w:r>
      <w:r w:rsidRPr="003D016B">
        <w:rPr>
          <w:rFonts w:ascii="Times New Roman" w:hAnsi="Times New Roman"/>
          <w:iCs/>
          <w:lang w:bidi="en-US"/>
        </w:rPr>
        <w:t xml:space="preserve">liabilities and thus estimates an annual count of two respondents to this IC. Based on </w:t>
      </w:r>
      <w:r>
        <w:rPr>
          <w:rFonts w:ascii="Times New Roman" w:hAnsi="Times New Roman"/>
          <w:iCs/>
          <w:lang w:bidi="en-US"/>
        </w:rPr>
        <w:t>consultations</w:t>
      </w:r>
      <w:r w:rsidRPr="003D016B">
        <w:rPr>
          <w:rFonts w:ascii="Times New Roman" w:hAnsi="Times New Roman"/>
          <w:iCs/>
          <w:lang w:bidi="en-US"/>
        </w:rPr>
        <w:t xml:space="preserve"> with subject-matter experts at the Federal Reserve and OCC, the </w:t>
      </w:r>
      <w:r>
        <w:rPr>
          <w:rFonts w:ascii="Times New Roman" w:hAnsi="Times New Roman"/>
          <w:iCs/>
          <w:lang w:bidi="en-US"/>
        </w:rPr>
        <w:t>FDIC has decided to maintain the existing estimate of one response</w:t>
      </w:r>
      <w:r w:rsidRPr="003D016B">
        <w:rPr>
          <w:rFonts w:ascii="Times New Roman" w:hAnsi="Times New Roman"/>
          <w:iCs/>
          <w:lang w:bidi="en-US"/>
        </w:rPr>
        <w:t xml:space="preserve"> per respondent annually</w:t>
      </w:r>
      <w:r>
        <w:rPr>
          <w:rFonts w:ascii="Times New Roman" w:hAnsi="Times New Roman"/>
          <w:iCs/>
          <w:lang w:bidi="en-US"/>
        </w:rPr>
        <w:t>.</w:t>
      </w:r>
    </w:p>
    <w:p w:rsidR="003D016B" w:rsidRPr="003D016B" w:rsidP="003D016B" w14:paraId="56044F90" w14:textId="77777777">
      <w:pPr>
        <w:rPr>
          <w:rFonts w:ascii="Times New Roman" w:hAnsi="Times New Roman"/>
          <w:iCs/>
          <w:lang w:bidi="en-US"/>
        </w:rPr>
      </w:pPr>
    </w:p>
    <w:p w:rsidR="004A1801" w:rsidRPr="003D016B" w:rsidP="004A1801" w14:paraId="7E6D19E1" w14:textId="77777777">
      <w:pPr>
        <w:rPr>
          <w:rFonts w:ascii="Times New Roman" w:hAnsi="Times New Roman"/>
          <w:iCs/>
          <w:lang w:bidi="en-US"/>
        </w:rPr>
      </w:pPr>
      <w:r w:rsidRPr="003D016B">
        <w:rPr>
          <w:rFonts w:ascii="Times New Roman" w:hAnsi="Times New Roman"/>
          <w:b/>
          <w:iCs/>
          <w:lang w:bidi="en-US"/>
        </w:rPr>
        <w:t>IC 8: (Recordkeeping) Customer facilitation vehicles, pursuant to 12 CFR 351.10(c)(18)(ii)(C)(1)</w:t>
      </w:r>
      <w:r w:rsidRPr="003D016B">
        <w:rPr>
          <w:rFonts w:ascii="Times New Roman" w:hAnsi="Times New Roman"/>
          <w:iCs/>
          <w:lang w:bidi="en-US"/>
        </w:rPr>
        <w:t>. Respondents to this IC are all covered banks not classified as having “limited” trading assets and liabilities.</w:t>
      </w:r>
      <w:r>
        <w:rPr>
          <w:rFonts w:ascii="Times New Roman" w:hAnsi="Times New Roman"/>
          <w:iCs/>
          <w:lang w:bidi="en-US"/>
        </w:rPr>
        <w:t xml:space="preserve"> As described above, the FDIC</w:t>
      </w:r>
      <w:r w:rsidRPr="003D016B">
        <w:rPr>
          <w:rFonts w:ascii="Times New Roman" w:hAnsi="Times New Roman"/>
          <w:iCs/>
          <w:lang w:bidi="en-US"/>
        </w:rPr>
        <w:t xml:space="preserve"> identified seven covered banks not classified as having “limited” trading assets and liabilities and thus estimates an annual count of seven respondents to this IC. Based on </w:t>
      </w:r>
      <w:r>
        <w:rPr>
          <w:rFonts w:ascii="Times New Roman" w:hAnsi="Times New Roman"/>
          <w:iCs/>
          <w:lang w:bidi="en-US"/>
        </w:rPr>
        <w:t>consultations</w:t>
      </w:r>
      <w:r w:rsidRPr="003D016B">
        <w:rPr>
          <w:rFonts w:ascii="Times New Roman" w:hAnsi="Times New Roman"/>
          <w:iCs/>
          <w:lang w:bidi="en-US"/>
        </w:rPr>
        <w:t xml:space="preserve"> with subject-matter experts at the Federal Reserve and OCC, the </w:t>
      </w:r>
      <w:r>
        <w:rPr>
          <w:rFonts w:ascii="Times New Roman" w:hAnsi="Times New Roman"/>
          <w:iCs/>
          <w:lang w:bidi="en-US"/>
        </w:rPr>
        <w:t>FDIC has decided to maintain the existing estimate of one response</w:t>
      </w:r>
      <w:r w:rsidRPr="003D016B">
        <w:rPr>
          <w:rFonts w:ascii="Times New Roman" w:hAnsi="Times New Roman"/>
          <w:iCs/>
          <w:lang w:bidi="en-US"/>
        </w:rPr>
        <w:t xml:space="preserve"> per respondent annually</w:t>
      </w:r>
      <w:r>
        <w:rPr>
          <w:rFonts w:ascii="Times New Roman" w:hAnsi="Times New Roman"/>
          <w:iCs/>
          <w:lang w:bidi="en-US"/>
        </w:rPr>
        <w:t>.</w:t>
      </w:r>
    </w:p>
    <w:p w:rsidR="003D016B" w:rsidRPr="003D016B" w:rsidP="003D016B" w14:paraId="3A86D363" w14:textId="77777777">
      <w:pPr>
        <w:rPr>
          <w:rFonts w:ascii="Times New Roman" w:hAnsi="Times New Roman"/>
          <w:iCs/>
          <w:lang w:bidi="en-US"/>
        </w:rPr>
      </w:pPr>
    </w:p>
    <w:p w:rsidR="00C5516F" w:rsidRPr="003D016B" w:rsidP="00C5516F" w14:paraId="6168402C" w14:textId="77777777">
      <w:pPr>
        <w:rPr>
          <w:rFonts w:ascii="Times New Roman" w:hAnsi="Times New Roman"/>
          <w:iCs/>
          <w:lang w:bidi="en-US"/>
        </w:rPr>
      </w:pPr>
      <w:r w:rsidRPr="003D016B">
        <w:rPr>
          <w:rFonts w:ascii="Times New Roman" w:hAnsi="Times New Roman"/>
          <w:b/>
          <w:iCs/>
          <w:lang w:bidi="en-US"/>
        </w:rPr>
        <w:t xml:space="preserve">IC 9: (Recordkeeping) Documentation on Advisory or Related Services to Customers, pursuant to 12 CFR 351.11(a)(2). </w:t>
      </w:r>
      <w:r w:rsidRPr="003D016B">
        <w:rPr>
          <w:rFonts w:ascii="Times New Roman" w:hAnsi="Times New Roman"/>
          <w:iCs/>
          <w:lang w:bidi="en-US"/>
        </w:rPr>
        <w:t xml:space="preserve">Respondents to this IC are all covered banks not classified as having “limited” trading assets and liabilities. As described above, the </w:t>
      </w:r>
      <w:r w:rsidR="004A1801">
        <w:rPr>
          <w:rFonts w:ascii="Times New Roman" w:hAnsi="Times New Roman"/>
          <w:iCs/>
          <w:lang w:bidi="en-US"/>
        </w:rPr>
        <w:t>FDIC</w:t>
      </w:r>
      <w:r w:rsidRPr="003D016B">
        <w:rPr>
          <w:rFonts w:ascii="Times New Roman" w:hAnsi="Times New Roman"/>
          <w:iCs/>
          <w:lang w:bidi="en-US"/>
        </w:rPr>
        <w:t xml:space="preserve"> identified seven covered banks not classified as having “limited” trading assets and liabilities and thus estimates an annual </w:t>
      </w:r>
      <w:r w:rsidRPr="004A652B">
        <w:rPr>
          <w:rFonts w:ascii="Times New Roman" w:hAnsi="Times New Roman"/>
        </w:rPr>
        <w:t>count</w:t>
      </w:r>
      <w:r w:rsidRPr="003D016B">
        <w:rPr>
          <w:rFonts w:ascii="Times New Roman" w:hAnsi="Times New Roman"/>
          <w:iCs/>
          <w:lang w:bidi="en-US"/>
        </w:rPr>
        <w:t xml:space="preserve"> of seven respondents to this IC. Based on </w:t>
      </w:r>
      <w:r>
        <w:rPr>
          <w:rFonts w:ascii="Times New Roman" w:hAnsi="Times New Roman"/>
          <w:iCs/>
          <w:lang w:bidi="en-US"/>
        </w:rPr>
        <w:t>consultations</w:t>
      </w:r>
      <w:r w:rsidRPr="003D016B">
        <w:rPr>
          <w:rFonts w:ascii="Times New Roman" w:hAnsi="Times New Roman"/>
          <w:iCs/>
          <w:lang w:bidi="en-US"/>
        </w:rPr>
        <w:t xml:space="preserve"> with subject-matter experts at the Federal Reserve and OCC, the </w:t>
      </w:r>
      <w:r>
        <w:rPr>
          <w:rFonts w:ascii="Times New Roman" w:hAnsi="Times New Roman"/>
          <w:iCs/>
          <w:lang w:bidi="en-US"/>
        </w:rPr>
        <w:t>FDIC has decided to maintain</w:t>
      </w:r>
      <w:r w:rsidRPr="003D016B">
        <w:rPr>
          <w:rFonts w:ascii="Times New Roman" w:hAnsi="Times New Roman"/>
          <w:iCs/>
          <w:lang w:bidi="en-US"/>
        </w:rPr>
        <w:t xml:space="preserve"> the existing estimate of </w:t>
      </w:r>
      <w:r>
        <w:rPr>
          <w:rFonts w:ascii="Times New Roman" w:hAnsi="Times New Roman"/>
          <w:iCs/>
          <w:lang w:bidi="en-US"/>
        </w:rPr>
        <w:t>one response</w:t>
      </w:r>
      <w:r w:rsidRPr="003D016B">
        <w:rPr>
          <w:rFonts w:ascii="Times New Roman" w:hAnsi="Times New Roman"/>
          <w:iCs/>
          <w:lang w:bidi="en-US"/>
        </w:rPr>
        <w:t xml:space="preserve"> per respondent annually</w:t>
      </w:r>
      <w:r>
        <w:rPr>
          <w:rFonts w:ascii="Times New Roman" w:hAnsi="Times New Roman"/>
          <w:iCs/>
          <w:lang w:bidi="en-US"/>
        </w:rPr>
        <w:t>.</w:t>
      </w:r>
    </w:p>
    <w:p w:rsidR="003D016B" w:rsidRPr="003D016B" w:rsidP="003D016B" w14:paraId="7772D590" w14:textId="77777777">
      <w:pPr>
        <w:rPr>
          <w:rFonts w:ascii="Times New Roman" w:hAnsi="Times New Roman"/>
          <w:iCs/>
          <w:lang w:bidi="en-US"/>
        </w:rPr>
      </w:pPr>
      <w:r w:rsidRPr="003D016B">
        <w:rPr>
          <w:rFonts w:ascii="Times New Roman" w:hAnsi="Times New Roman"/>
          <w:iCs/>
          <w:lang w:bidi="en-US"/>
        </w:rPr>
        <w:t xml:space="preserve"> </w:t>
      </w:r>
    </w:p>
    <w:p w:rsidR="003D016B" w:rsidRPr="003D016B" w:rsidP="003D016B" w14:paraId="0B77DFA4" w14:textId="77777777">
      <w:pPr>
        <w:rPr>
          <w:rFonts w:ascii="Times New Roman" w:hAnsi="Times New Roman"/>
          <w:iCs/>
          <w:lang w:bidi="en-US"/>
        </w:rPr>
      </w:pPr>
      <w:r w:rsidRPr="003D016B">
        <w:rPr>
          <w:rFonts w:ascii="Times New Roman" w:hAnsi="Times New Roman"/>
          <w:b/>
          <w:iCs/>
          <w:lang w:bidi="en-US"/>
        </w:rPr>
        <w:t xml:space="preserve">IC 10: (Recordkeeping) Compliance Program for Covered Banks with Significant Trading Assets and Liabilities, pursuant to 12 CFR 351.20(b). </w:t>
      </w:r>
      <w:r w:rsidRPr="003D016B">
        <w:rPr>
          <w:rFonts w:ascii="Times New Roman" w:hAnsi="Times New Roman"/>
          <w:iCs/>
          <w:lang w:bidi="en-US"/>
        </w:rPr>
        <w:t xml:space="preserve">Respondents to this IC are all covered banks with “significant” trading assets and liabilities. As described above, the </w:t>
      </w:r>
      <w:r w:rsidR="00C5516F">
        <w:rPr>
          <w:rFonts w:ascii="Times New Roman" w:hAnsi="Times New Roman"/>
          <w:iCs/>
          <w:lang w:bidi="en-US"/>
        </w:rPr>
        <w:t>FDIC</w:t>
      </w:r>
      <w:r w:rsidRPr="003D016B">
        <w:rPr>
          <w:rFonts w:ascii="Times New Roman" w:hAnsi="Times New Roman"/>
          <w:iCs/>
          <w:lang w:bidi="en-US"/>
        </w:rPr>
        <w:t xml:space="preserve"> identified two covered </w:t>
      </w:r>
      <w:r w:rsidRPr="004A652B">
        <w:rPr>
          <w:rFonts w:ascii="Times New Roman" w:hAnsi="Times New Roman"/>
        </w:rPr>
        <w:t>banks</w:t>
      </w:r>
      <w:r w:rsidRPr="003D016B">
        <w:rPr>
          <w:rFonts w:ascii="Times New Roman" w:hAnsi="Times New Roman"/>
          <w:iCs/>
          <w:lang w:bidi="en-US"/>
        </w:rPr>
        <w:t xml:space="preserve"> with “significant” trading assets and liabilities and thus estimates an annual count of two respondents to this IC. </w:t>
      </w:r>
      <w:r w:rsidRPr="003D016B" w:rsidR="00C5516F">
        <w:rPr>
          <w:rFonts w:ascii="Times New Roman" w:hAnsi="Times New Roman"/>
          <w:iCs/>
          <w:lang w:bidi="en-US"/>
        </w:rPr>
        <w:t xml:space="preserve">Based on </w:t>
      </w:r>
      <w:r w:rsidR="00C5516F">
        <w:rPr>
          <w:rFonts w:ascii="Times New Roman" w:hAnsi="Times New Roman"/>
          <w:iCs/>
          <w:lang w:bidi="en-US"/>
        </w:rPr>
        <w:t>consultations</w:t>
      </w:r>
      <w:r w:rsidRPr="003D016B" w:rsidR="00C5516F">
        <w:rPr>
          <w:rFonts w:ascii="Times New Roman" w:hAnsi="Times New Roman"/>
          <w:iCs/>
          <w:lang w:bidi="en-US"/>
        </w:rPr>
        <w:t xml:space="preserve"> with subject-matter experts at the Federal Reserve and OCC, the </w:t>
      </w:r>
      <w:r w:rsidR="00C5516F">
        <w:rPr>
          <w:rFonts w:ascii="Times New Roman" w:hAnsi="Times New Roman"/>
          <w:iCs/>
          <w:lang w:bidi="en-US"/>
        </w:rPr>
        <w:t>FDIC has decided to maintain</w:t>
      </w:r>
      <w:r w:rsidRPr="003D016B" w:rsidR="00C5516F">
        <w:rPr>
          <w:rFonts w:ascii="Times New Roman" w:hAnsi="Times New Roman"/>
          <w:iCs/>
          <w:lang w:bidi="en-US"/>
        </w:rPr>
        <w:t xml:space="preserve"> the existing estimate of </w:t>
      </w:r>
      <w:r w:rsidR="00C5516F">
        <w:rPr>
          <w:rFonts w:ascii="Times New Roman" w:hAnsi="Times New Roman"/>
          <w:iCs/>
          <w:lang w:bidi="en-US"/>
        </w:rPr>
        <w:t>one response</w:t>
      </w:r>
      <w:r w:rsidRPr="003D016B" w:rsidR="00C5516F">
        <w:rPr>
          <w:rFonts w:ascii="Times New Roman" w:hAnsi="Times New Roman"/>
          <w:iCs/>
          <w:lang w:bidi="en-US"/>
        </w:rPr>
        <w:t xml:space="preserve"> per respondent annually</w:t>
      </w:r>
      <w:r w:rsidR="00C5516F">
        <w:rPr>
          <w:rFonts w:ascii="Times New Roman" w:hAnsi="Times New Roman"/>
          <w:iCs/>
          <w:lang w:bidi="en-US"/>
        </w:rPr>
        <w:t>.</w:t>
      </w:r>
    </w:p>
    <w:p w:rsidR="003D016B" w:rsidRPr="003D016B" w:rsidP="003D016B" w14:paraId="10CB4077" w14:textId="77777777">
      <w:pPr>
        <w:rPr>
          <w:rFonts w:ascii="Times New Roman" w:hAnsi="Times New Roman"/>
          <w:iCs/>
          <w:lang w:bidi="en-US"/>
        </w:rPr>
      </w:pPr>
    </w:p>
    <w:p w:rsidR="00C5516F" w:rsidRPr="003D016B" w:rsidP="00C5516F" w14:paraId="6074DD4F" w14:textId="77777777">
      <w:pPr>
        <w:rPr>
          <w:rFonts w:ascii="Times New Roman" w:hAnsi="Times New Roman"/>
          <w:iCs/>
          <w:lang w:bidi="en-US"/>
        </w:rPr>
      </w:pPr>
      <w:r w:rsidRPr="003D016B">
        <w:rPr>
          <w:rFonts w:ascii="Times New Roman" w:hAnsi="Times New Roman"/>
          <w:b/>
          <w:iCs/>
          <w:lang w:bidi="en-US"/>
        </w:rPr>
        <w:t xml:space="preserve">IC 11: (Reporting) CEO Attestation for Covered Banks with Significant Trading Assets and Liabilities, pursuant to 12 CFR 351.20(c). </w:t>
      </w:r>
      <w:r w:rsidRPr="003D016B">
        <w:rPr>
          <w:rFonts w:ascii="Times New Roman" w:hAnsi="Times New Roman"/>
          <w:iCs/>
          <w:lang w:bidi="en-US"/>
        </w:rPr>
        <w:t xml:space="preserve">Respondents to this IC are all covered banks with “significant” trading assets and liabilities. As described above, the </w:t>
      </w:r>
      <w:r>
        <w:rPr>
          <w:rFonts w:ascii="Times New Roman" w:hAnsi="Times New Roman"/>
          <w:iCs/>
          <w:lang w:bidi="en-US"/>
        </w:rPr>
        <w:t>FDIC</w:t>
      </w:r>
      <w:r w:rsidRPr="003D016B">
        <w:rPr>
          <w:rFonts w:ascii="Times New Roman" w:hAnsi="Times New Roman"/>
          <w:iCs/>
          <w:lang w:bidi="en-US"/>
        </w:rPr>
        <w:t xml:space="preserve"> identified two covered banks with “significant” trading assets and liabilities and thus estimates an annual count of two respondents to this IC. Based on </w:t>
      </w:r>
      <w:r>
        <w:rPr>
          <w:rFonts w:ascii="Times New Roman" w:hAnsi="Times New Roman"/>
          <w:iCs/>
          <w:lang w:bidi="en-US"/>
        </w:rPr>
        <w:t>consultations</w:t>
      </w:r>
      <w:r w:rsidRPr="003D016B">
        <w:rPr>
          <w:rFonts w:ascii="Times New Roman" w:hAnsi="Times New Roman"/>
          <w:iCs/>
          <w:lang w:bidi="en-US"/>
        </w:rPr>
        <w:t xml:space="preserve"> with subject-matter experts at the Federal Reserve and OCC, the </w:t>
      </w:r>
      <w:r>
        <w:rPr>
          <w:rFonts w:ascii="Times New Roman" w:hAnsi="Times New Roman"/>
          <w:iCs/>
          <w:lang w:bidi="en-US"/>
        </w:rPr>
        <w:t>FDIC has decided to maintain the existing estimate of one response</w:t>
      </w:r>
      <w:r w:rsidRPr="003D016B">
        <w:rPr>
          <w:rFonts w:ascii="Times New Roman" w:hAnsi="Times New Roman"/>
          <w:iCs/>
          <w:lang w:bidi="en-US"/>
        </w:rPr>
        <w:t xml:space="preserve"> per respondent annually</w:t>
      </w:r>
      <w:r>
        <w:rPr>
          <w:rFonts w:ascii="Times New Roman" w:hAnsi="Times New Roman"/>
          <w:iCs/>
          <w:lang w:bidi="en-US"/>
        </w:rPr>
        <w:t>.</w:t>
      </w:r>
    </w:p>
    <w:p w:rsidR="003D016B" w:rsidRPr="003D016B" w:rsidP="003D016B" w14:paraId="7E5B15DC" w14:textId="77777777">
      <w:pPr>
        <w:rPr>
          <w:rFonts w:ascii="Times New Roman" w:hAnsi="Times New Roman"/>
          <w:iCs/>
          <w:lang w:bidi="en-US"/>
        </w:rPr>
      </w:pPr>
    </w:p>
    <w:p w:rsidR="003D016B" w:rsidRPr="003D016B" w:rsidP="003D016B" w14:paraId="076283EC" w14:textId="77777777">
      <w:pPr>
        <w:rPr>
          <w:rFonts w:ascii="Times New Roman" w:hAnsi="Times New Roman"/>
          <w:iCs/>
          <w:lang w:bidi="en-US"/>
        </w:rPr>
      </w:pPr>
      <w:r w:rsidRPr="003D016B">
        <w:rPr>
          <w:rFonts w:ascii="Times New Roman" w:hAnsi="Times New Roman"/>
          <w:b/>
          <w:iCs/>
          <w:lang w:bidi="en-US"/>
        </w:rPr>
        <w:t xml:space="preserve">IC 12: (Recordkeeping) Compliance Plan requirements under Appendix A for Covered Banks with Significant Trading Assets and Liabilities, pursuant to 12 CFR 351.20(d). </w:t>
      </w:r>
      <w:r w:rsidRPr="003D016B">
        <w:rPr>
          <w:rFonts w:ascii="Times New Roman" w:hAnsi="Times New Roman"/>
          <w:iCs/>
          <w:lang w:bidi="en-US"/>
        </w:rPr>
        <w:t xml:space="preserve">Respondents to this IC are all covered banks with “significant” trading assets and liabilities. As described above, the </w:t>
      </w:r>
      <w:r w:rsidR="00404D95">
        <w:rPr>
          <w:rFonts w:ascii="Times New Roman" w:hAnsi="Times New Roman"/>
          <w:iCs/>
          <w:lang w:bidi="en-US"/>
        </w:rPr>
        <w:t>FDIC</w:t>
      </w:r>
      <w:r w:rsidRPr="003D016B">
        <w:rPr>
          <w:rFonts w:ascii="Times New Roman" w:hAnsi="Times New Roman"/>
          <w:iCs/>
          <w:lang w:bidi="en-US"/>
        </w:rPr>
        <w:t xml:space="preserve"> identified two covered banks with “significant” trading assets and liabilities and thus </w:t>
      </w:r>
      <w:r w:rsidRPr="004A652B">
        <w:rPr>
          <w:rFonts w:ascii="Times New Roman" w:hAnsi="Times New Roman"/>
        </w:rPr>
        <w:t>estimates</w:t>
      </w:r>
      <w:r w:rsidRPr="003D016B">
        <w:rPr>
          <w:rFonts w:ascii="Times New Roman" w:hAnsi="Times New Roman"/>
          <w:iCs/>
          <w:lang w:bidi="en-US"/>
        </w:rPr>
        <w:t xml:space="preserve"> an annual count of two respondents to this IC. </w:t>
      </w:r>
      <w:r w:rsidRPr="003D016B" w:rsidR="00404D95">
        <w:rPr>
          <w:rFonts w:ascii="Times New Roman" w:hAnsi="Times New Roman"/>
          <w:iCs/>
          <w:lang w:bidi="en-US"/>
        </w:rPr>
        <w:t xml:space="preserve">Based on </w:t>
      </w:r>
      <w:r w:rsidR="00404D95">
        <w:rPr>
          <w:rFonts w:ascii="Times New Roman" w:hAnsi="Times New Roman"/>
          <w:iCs/>
          <w:lang w:bidi="en-US"/>
        </w:rPr>
        <w:t>consultations</w:t>
      </w:r>
      <w:r w:rsidRPr="003D016B" w:rsidR="00404D95">
        <w:rPr>
          <w:rFonts w:ascii="Times New Roman" w:hAnsi="Times New Roman"/>
          <w:iCs/>
          <w:lang w:bidi="en-US"/>
        </w:rPr>
        <w:t xml:space="preserve"> with subject-matter experts at the Federal Reserve and OCC, the </w:t>
      </w:r>
      <w:r w:rsidR="00404D95">
        <w:rPr>
          <w:rFonts w:ascii="Times New Roman" w:hAnsi="Times New Roman"/>
          <w:iCs/>
          <w:lang w:bidi="en-US"/>
        </w:rPr>
        <w:t>FDIC has decided to maintain the existing estimate of one response</w:t>
      </w:r>
      <w:r w:rsidRPr="003D016B" w:rsidR="00404D95">
        <w:rPr>
          <w:rFonts w:ascii="Times New Roman" w:hAnsi="Times New Roman"/>
          <w:iCs/>
          <w:lang w:bidi="en-US"/>
        </w:rPr>
        <w:t xml:space="preserve"> per respondent annually</w:t>
      </w:r>
      <w:r w:rsidR="00404D95">
        <w:rPr>
          <w:rFonts w:ascii="Times New Roman" w:hAnsi="Times New Roman"/>
          <w:iCs/>
          <w:lang w:bidi="en-US"/>
        </w:rPr>
        <w:t>.</w:t>
      </w:r>
    </w:p>
    <w:p w:rsidR="003D016B" w:rsidRPr="003D016B" w:rsidP="003D016B" w14:paraId="696BB6E5" w14:textId="77777777">
      <w:pPr>
        <w:rPr>
          <w:rFonts w:ascii="Times New Roman" w:hAnsi="Times New Roman"/>
          <w:iCs/>
          <w:lang w:bidi="en-US"/>
        </w:rPr>
      </w:pPr>
    </w:p>
    <w:p w:rsidR="003D016B" w:rsidRPr="003D016B" w:rsidP="003D016B" w14:paraId="645457F0" w14:textId="77777777">
      <w:pPr>
        <w:rPr>
          <w:rFonts w:ascii="Times New Roman" w:hAnsi="Times New Roman"/>
          <w:iCs/>
          <w:lang w:bidi="en-US"/>
        </w:rPr>
      </w:pPr>
      <w:r w:rsidRPr="003D016B">
        <w:rPr>
          <w:rFonts w:ascii="Times New Roman" w:hAnsi="Times New Roman"/>
          <w:b/>
          <w:iCs/>
          <w:lang w:bidi="en-US"/>
        </w:rPr>
        <w:t>IC 13: (Recordkeeping) Additional Documentation for Covered Funds for Covered Banks with Significant Trading Assets and Liabilities, pursuant to 12 CFR 351.20(e).</w:t>
      </w:r>
      <w:r w:rsidRPr="003D016B">
        <w:rPr>
          <w:rFonts w:ascii="Times New Roman" w:hAnsi="Times New Roman"/>
          <w:iCs/>
          <w:lang w:bidi="en-US"/>
        </w:rPr>
        <w:t xml:space="preserve"> Respondents </w:t>
      </w:r>
      <w:r w:rsidRPr="003D016B">
        <w:rPr>
          <w:rFonts w:ascii="Times New Roman" w:hAnsi="Times New Roman"/>
          <w:iCs/>
          <w:lang w:bidi="en-US"/>
        </w:rPr>
        <w:t xml:space="preserve">to this IC are all covered banks with “significant” trading assets and liabilities. As described above, the </w:t>
      </w:r>
      <w:r w:rsidR="00404D95">
        <w:rPr>
          <w:rFonts w:ascii="Times New Roman" w:hAnsi="Times New Roman"/>
          <w:iCs/>
          <w:lang w:bidi="en-US"/>
        </w:rPr>
        <w:t>FDIC</w:t>
      </w:r>
      <w:r w:rsidRPr="003D016B">
        <w:rPr>
          <w:rFonts w:ascii="Times New Roman" w:hAnsi="Times New Roman"/>
          <w:iCs/>
          <w:lang w:bidi="en-US"/>
        </w:rPr>
        <w:t xml:space="preserve"> </w:t>
      </w:r>
      <w:r w:rsidRPr="004A652B">
        <w:rPr>
          <w:rFonts w:ascii="Times New Roman" w:hAnsi="Times New Roman"/>
        </w:rPr>
        <w:t>identified</w:t>
      </w:r>
      <w:r w:rsidRPr="003D016B">
        <w:rPr>
          <w:rFonts w:ascii="Times New Roman" w:hAnsi="Times New Roman"/>
          <w:iCs/>
          <w:lang w:bidi="en-US"/>
        </w:rPr>
        <w:t xml:space="preserve"> two covered banks with “significant” trading assets and liabilities and thus estimates an annual count of two respondents to this IC. </w:t>
      </w:r>
      <w:r w:rsidRPr="003D016B" w:rsidR="00404D95">
        <w:rPr>
          <w:rFonts w:ascii="Times New Roman" w:hAnsi="Times New Roman"/>
          <w:iCs/>
          <w:lang w:bidi="en-US"/>
        </w:rPr>
        <w:t xml:space="preserve">Based on </w:t>
      </w:r>
      <w:r w:rsidR="00404D95">
        <w:rPr>
          <w:rFonts w:ascii="Times New Roman" w:hAnsi="Times New Roman"/>
          <w:iCs/>
          <w:lang w:bidi="en-US"/>
        </w:rPr>
        <w:t>consultations</w:t>
      </w:r>
      <w:r w:rsidRPr="003D016B" w:rsidR="00404D95">
        <w:rPr>
          <w:rFonts w:ascii="Times New Roman" w:hAnsi="Times New Roman"/>
          <w:iCs/>
          <w:lang w:bidi="en-US"/>
        </w:rPr>
        <w:t xml:space="preserve"> with subject-matter experts at the Federal Reserve and OCC, the </w:t>
      </w:r>
      <w:r w:rsidR="00404D95">
        <w:rPr>
          <w:rFonts w:ascii="Times New Roman" w:hAnsi="Times New Roman"/>
          <w:iCs/>
          <w:lang w:bidi="en-US"/>
        </w:rPr>
        <w:t>FDIC has decided to maintain the existing estimate of one response</w:t>
      </w:r>
      <w:r w:rsidRPr="003D016B" w:rsidR="00404D95">
        <w:rPr>
          <w:rFonts w:ascii="Times New Roman" w:hAnsi="Times New Roman"/>
          <w:iCs/>
          <w:lang w:bidi="en-US"/>
        </w:rPr>
        <w:t xml:space="preserve"> per respondent annually</w:t>
      </w:r>
      <w:r w:rsidR="00404D95">
        <w:rPr>
          <w:rFonts w:ascii="Times New Roman" w:hAnsi="Times New Roman"/>
          <w:iCs/>
          <w:lang w:bidi="en-US"/>
        </w:rPr>
        <w:t>.</w:t>
      </w:r>
    </w:p>
    <w:p w:rsidR="003D016B" w:rsidRPr="003D016B" w:rsidP="003D016B" w14:paraId="12BE8FD8" w14:textId="77777777">
      <w:pPr>
        <w:rPr>
          <w:rFonts w:ascii="Times New Roman" w:hAnsi="Times New Roman"/>
          <w:b/>
          <w:iCs/>
          <w:lang w:bidi="en-US"/>
        </w:rPr>
      </w:pPr>
    </w:p>
    <w:p w:rsidR="003D016B" w:rsidRPr="003D016B" w:rsidP="003D016B" w14:paraId="33A11C66" w14:textId="77777777">
      <w:pPr>
        <w:rPr>
          <w:rFonts w:ascii="Times New Roman" w:hAnsi="Times New Roman"/>
          <w:iCs/>
          <w:lang w:bidi="en-US"/>
        </w:rPr>
      </w:pPr>
      <w:r w:rsidRPr="003D016B">
        <w:rPr>
          <w:rFonts w:ascii="Times New Roman" w:hAnsi="Times New Roman"/>
          <w:b/>
          <w:iCs/>
          <w:lang w:bidi="en-US"/>
        </w:rPr>
        <w:t xml:space="preserve">IC 14: (Recordkeeping) Simplified Compliance Program for Covered Banks with no Trading Assets or Liabilities, pursuant to 12 CFR 351.20(f)(1). </w:t>
      </w:r>
      <w:r w:rsidRPr="003D016B">
        <w:rPr>
          <w:rFonts w:ascii="Times New Roman" w:hAnsi="Times New Roman"/>
          <w:iCs/>
          <w:lang w:bidi="en-US"/>
        </w:rPr>
        <w:t xml:space="preserve"> As discussed above, based on a review of the existing cohort of the seven covered banks with “moderate” or “significant” trading assets and liabilities currently subject to various requirements under Part 351 and confirming that, since the approval of the 2020 ICR, no new institutions have become subject to the requirem</w:t>
      </w:r>
      <w:r w:rsidR="00404D95">
        <w:rPr>
          <w:rFonts w:ascii="Times New Roman" w:hAnsi="Times New Roman"/>
          <w:iCs/>
          <w:lang w:bidi="en-US"/>
        </w:rPr>
        <w:t>ents under Part 351, the FDIC</w:t>
      </w:r>
      <w:r w:rsidRPr="003D016B">
        <w:rPr>
          <w:rFonts w:ascii="Times New Roman" w:hAnsi="Times New Roman"/>
          <w:iCs/>
          <w:lang w:bidi="en-US"/>
        </w:rPr>
        <w:t xml:space="preserve"> believes that there will be zero respondents to this IC in the upcoming approval period. To preserve this burden estimate and in recognition of the possibility that an FDIC-supervised IDI may need to develop a compliance program if it newly meets the criteria for having “moderate” or “significant” trading assets and liabilities, the </w:t>
      </w:r>
      <w:r w:rsidR="00404D95">
        <w:rPr>
          <w:rFonts w:ascii="Times New Roman" w:hAnsi="Times New Roman"/>
          <w:iCs/>
          <w:lang w:bidi="en-US"/>
        </w:rPr>
        <w:t xml:space="preserve">FDIC has decided to maintain </w:t>
      </w:r>
      <w:r w:rsidRPr="003D016B">
        <w:rPr>
          <w:rFonts w:ascii="Times New Roman" w:hAnsi="Times New Roman"/>
          <w:iCs/>
          <w:lang w:bidi="en-US"/>
        </w:rPr>
        <w:t>an annual respondent count of one, and to maintain the existing estimate of one response per respondent annually.</w:t>
      </w:r>
    </w:p>
    <w:p w:rsidR="003D016B" w:rsidRPr="003D016B" w:rsidP="003D016B" w14:paraId="46CB411B" w14:textId="77777777">
      <w:pPr>
        <w:rPr>
          <w:rFonts w:ascii="Times New Roman" w:hAnsi="Times New Roman"/>
          <w:iCs/>
          <w:lang w:bidi="en-US"/>
        </w:rPr>
      </w:pPr>
    </w:p>
    <w:p w:rsidR="00404D95" w:rsidRPr="003D016B" w:rsidP="00404D95" w14:paraId="7E8D90A8" w14:textId="77777777">
      <w:pPr>
        <w:rPr>
          <w:rFonts w:ascii="Times New Roman" w:hAnsi="Times New Roman"/>
          <w:iCs/>
          <w:lang w:bidi="en-US"/>
        </w:rPr>
      </w:pPr>
      <w:r w:rsidRPr="003D016B">
        <w:rPr>
          <w:rFonts w:ascii="Times New Roman" w:hAnsi="Times New Roman"/>
          <w:b/>
          <w:iCs/>
          <w:lang w:bidi="en-US"/>
        </w:rPr>
        <w:t xml:space="preserve">IC 15: (Recordkeeping) Simplified Compliance Program for Covered Banks with Moderate Trading Assets and </w:t>
      </w:r>
      <w:r w:rsidRPr="004A652B">
        <w:rPr>
          <w:rFonts w:ascii="Times New Roman" w:hAnsi="Times New Roman"/>
        </w:rPr>
        <w:t>Liabilities</w:t>
      </w:r>
      <w:r w:rsidRPr="003D016B">
        <w:rPr>
          <w:rFonts w:ascii="Times New Roman" w:hAnsi="Times New Roman"/>
          <w:b/>
          <w:iCs/>
          <w:lang w:bidi="en-US"/>
        </w:rPr>
        <w:t>, pursuant to 12 CFR 351.20(f)(2).</w:t>
      </w:r>
      <w:r w:rsidRPr="003D016B">
        <w:rPr>
          <w:rFonts w:ascii="Times New Roman" w:hAnsi="Times New Roman"/>
          <w:iCs/>
          <w:lang w:bidi="en-US"/>
        </w:rPr>
        <w:t xml:space="preserve"> Respondents to this IC are all covered banks with “moderate” trading assets and liabilities. As described above, the </w:t>
      </w:r>
      <w:r>
        <w:rPr>
          <w:rFonts w:ascii="Times New Roman" w:hAnsi="Times New Roman"/>
          <w:iCs/>
          <w:lang w:bidi="en-US"/>
        </w:rPr>
        <w:t>FDIC</w:t>
      </w:r>
      <w:r w:rsidRPr="003D016B">
        <w:rPr>
          <w:rFonts w:ascii="Times New Roman" w:hAnsi="Times New Roman"/>
          <w:iCs/>
          <w:lang w:bidi="en-US"/>
        </w:rPr>
        <w:t xml:space="preserve"> identified five covered banks with “moderate” trading assets and liabilities and thus estimates an annual count of five respondents to this IC. Based on </w:t>
      </w:r>
      <w:r>
        <w:rPr>
          <w:rFonts w:ascii="Times New Roman" w:hAnsi="Times New Roman"/>
          <w:iCs/>
          <w:lang w:bidi="en-US"/>
        </w:rPr>
        <w:t>consultations</w:t>
      </w:r>
      <w:r w:rsidRPr="003D016B">
        <w:rPr>
          <w:rFonts w:ascii="Times New Roman" w:hAnsi="Times New Roman"/>
          <w:iCs/>
          <w:lang w:bidi="en-US"/>
        </w:rPr>
        <w:t xml:space="preserve"> with subject-matter experts at the Federal Reserve and OCC, the </w:t>
      </w:r>
      <w:r>
        <w:rPr>
          <w:rFonts w:ascii="Times New Roman" w:hAnsi="Times New Roman"/>
          <w:iCs/>
          <w:lang w:bidi="en-US"/>
        </w:rPr>
        <w:t>FDIC has decided to maintain the existing estimate of one response</w:t>
      </w:r>
      <w:r w:rsidRPr="003D016B">
        <w:rPr>
          <w:rFonts w:ascii="Times New Roman" w:hAnsi="Times New Roman"/>
          <w:iCs/>
          <w:lang w:bidi="en-US"/>
        </w:rPr>
        <w:t xml:space="preserve"> per respondent annually</w:t>
      </w:r>
      <w:r>
        <w:rPr>
          <w:rFonts w:ascii="Times New Roman" w:hAnsi="Times New Roman"/>
          <w:iCs/>
          <w:lang w:bidi="en-US"/>
        </w:rPr>
        <w:t>.</w:t>
      </w:r>
    </w:p>
    <w:p w:rsidR="003D016B" w:rsidRPr="003D016B" w:rsidP="003D016B" w14:paraId="17F373CC" w14:textId="77777777">
      <w:pPr>
        <w:rPr>
          <w:rFonts w:ascii="Times New Roman" w:hAnsi="Times New Roman"/>
          <w:iCs/>
          <w:lang w:bidi="en-US"/>
        </w:rPr>
      </w:pPr>
      <w:r w:rsidRPr="003D016B">
        <w:rPr>
          <w:rFonts w:ascii="Times New Roman" w:hAnsi="Times New Roman"/>
          <w:iCs/>
          <w:lang w:bidi="en-US"/>
        </w:rPr>
        <w:t xml:space="preserve"> </w:t>
      </w:r>
    </w:p>
    <w:p w:rsidR="00404D95" w:rsidRPr="003D016B" w:rsidP="00404D95" w14:paraId="71AE08D6" w14:textId="77777777">
      <w:pPr>
        <w:rPr>
          <w:rFonts w:ascii="Times New Roman" w:hAnsi="Times New Roman"/>
          <w:iCs/>
          <w:lang w:bidi="en-US"/>
        </w:rPr>
      </w:pPr>
      <w:r w:rsidRPr="003D016B">
        <w:rPr>
          <w:rFonts w:ascii="Times New Roman" w:hAnsi="Times New Roman"/>
          <w:b/>
          <w:iCs/>
          <w:lang w:bidi="en-US"/>
        </w:rPr>
        <w:t xml:space="preserve">IC 16: (Disclosure) Offerings Disclosures, pursuant to 12 CFR 351.11(a)(8)(i). </w:t>
      </w:r>
      <w:r w:rsidRPr="003D016B">
        <w:rPr>
          <w:rFonts w:ascii="Times New Roman" w:hAnsi="Times New Roman"/>
          <w:iCs/>
          <w:lang w:bidi="en-US"/>
        </w:rPr>
        <w:t xml:space="preserve">Respondents to this IC are all covered banks not classified as having “limited” trading assets and liabilities. As described above, the </w:t>
      </w:r>
      <w:r>
        <w:rPr>
          <w:rFonts w:ascii="Times New Roman" w:hAnsi="Times New Roman"/>
          <w:iCs/>
          <w:lang w:bidi="en-US"/>
        </w:rPr>
        <w:t>FDIC</w:t>
      </w:r>
      <w:r w:rsidRPr="003D016B">
        <w:rPr>
          <w:rFonts w:ascii="Times New Roman" w:hAnsi="Times New Roman"/>
          <w:iCs/>
          <w:lang w:bidi="en-US"/>
        </w:rPr>
        <w:t xml:space="preserve"> identified seven covered banks not classified as having “limited” trading assets and liabilities and thus estimates an annual count of seven respondents to this IC.  Based on </w:t>
      </w:r>
      <w:r>
        <w:rPr>
          <w:rFonts w:ascii="Times New Roman" w:hAnsi="Times New Roman"/>
          <w:iCs/>
          <w:lang w:bidi="en-US"/>
        </w:rPr>
        <w:t>consultations</w:t>
      </w:r>
      <w:r w:rsidRPr="003D016B">
        <w:rPr>
          <w:rFonts w:ascii="Times New Roman" w:hAnsi="Times New Roman"/>
          <w:iCs/>
          <w:lang w:bidi="en-US"/>
        </w:rPr>
        <w:t xml:space="preserve"> with subject-matter experts at the Federal Reserve and OCC, the </w:t>
      </w:r>
      <w:r>
        <w:rPr>
          <w:rFonts w:ascii="Times New Roman" w:hAnsi="Times New Roman"/>
          <w:iCs/>
          <w:lang w:bidi="en-US"/>
        </w:rPr>
        <w:t>FDIC has decided to maintain the existing estimate of 26 responses</w:t>
      </w:r>
      <w:r w:rsidRPr="003D016B">
        <w:rPr>
          <w:rFonts w:ascii="Times New Roman" w:hAnsi="Times New Roman"/>
          <w:iCs/>
          <w:lang w:bidi="en-US"/>
        </w:rPr>
        <w:t xml:space="preserve"> per respondent annually</w:t>
      </w:r>
      <w:r>
        <w:rPr>
          <w:rFonts w:ascii="Times New Roman" w:hAnsi="Times New Roman"/>
          <w:iCs/>
          <w:lang w:bidi="en-US"/>
        </w:rPr>
        <w:t>.</w:t>
      </w:r>
    </w:p>
    <w:p w:rsidR="003D016B" w:rsidRPr="00404D95" w:rsidP="003D016B" w14:paraId="3C95EEA1" w14:textId="77777777">
      <w:pPr>
        <w:rPr>
          <w:rFonts w:ascii="Times New Roman" w:hAnsi="Times New Roman"/>
          <w:iCs/>
          <w:lang w:bidi="en-US"/>
        </w:rPr>
      </w:pPr>
      <w:r w:rsidRPr="003D016B">
        <w:rPr>
          <w:rFonts w:ascii="Times New Roman" w:hAnsi="Times New Roman"/>
          <w:iCs/>
          <w:lang w:bidi="en-US"/>
        </w:rPr>
        <w:t xml:space="preserve"> </w:t>
      </w:r>
    </w:p>
    <w:p w:rsidR="003D016B" w:rsidRPr="003D016B" w:rsidP="003D016B" w14:paraId="5EF07E1D" w14:textId="77777777">
      <w:pPr>
        <w:rPr>
          <w:rFonts w:ascii="Times New Roman" w:hAnsi="Times New Roman"/>
          <w:b/>
          <w:iCs/>
          <w:lang w:bidi="en-US"/>
        </w:rPr>
      </w:pPr>
      <w:r w:rsidRPr="003D016B">
        <w:rPr>
          <w:rFonts w:ascii="Times New Roman" w:hAnsi="Times New Roman"/>
          <w:b/>
          <w:iCs/>
          <w:lang w:bidi="en-US"/>
        </w:rPr>
        <w:t>Estimated Time per Response</w:t>
      </w:r>
    </w:p>
    <w:p w:rsidR="003D016B" w:rsidRPr="003D016B" w:rsidP="003D016B" w14:paraId="4B230064" w14:textId="77777777">
      <w:pPr>
        <w:rPr>
          <w:rFonts w:ascii="Times New Roman" w:hAnsi="Times New Roman"/>
          <w:iCs/>
          <w:lang w:bidi="en-US"/>
        </w:rPr>
      </w:pPr>
    </w:p>
    <w:p w:rsidR="003D016B" w:rsidRPr="003D016B" w:rsidP="003D016B" w14:paraId="18D2DEB6" w14:textId="77777777">
      <w:pPr>
        <w:rPr>
          <w:rFonts w:ascii="Times New Roman" w:hAnsi="Times New Roman"/>
          <w:iCs/>
          <w:lang w:bidi="en-US"/>
        </w:rPr>
      </w:pPr>
      <w:r>
        <w:rPr>
          <w:rFonts w:ascii="Times New Roman" w:hAnsi="Times New Roman"/>
          <w:iCs/>
          <w:lang w:bidi="en-US"/>
        </w:rPr>
        <w:t>The FDIC</w:t>
      </w:r>
      <w:r w:rsidRPr="003D016B">
        <w:rPr>
          <w:rFonts w:ascii="Times New Roman" w:hAnsi="Times New Roman"/>
          <w:iCs/>
          <w:lang w:bidi="en-US"/>
        </w:rPr>
        <w:t xml:space="preserve"> derived </w:t>
      </w:r>
      <w:r>
        <w:rPr>
          <w:rFonts w:ascii="Times New Roman" w:hAnsi="Times New Roman"/>
          <w:iCs/>
          <w:lang w:bidi="en-US"/>
        </w:rPr>
        <w:t>its</w:t>
      </w:r>
      <w:r w:rsidRPr="003D016B">
        <w:rPr>
          <w:rFonts w:ascii="Times New Roman" w:hAnsi="Times New Roman"/>
          <w:iCs/>
          <w:lang w:bidi="en-US"/>
        </w:rPr>
        <w:t xml:space="preserve"> estimates of the time per res</w:t>
      </w:r>
      <w:r>
        <w:rPr>
          <w:rFonts w:ascii="Times New Roman" w:hAnsi="Times New Roman"/>
          <w:iCs/>
          <w:lang w:bidi="en-US"/>
        </w:rPr>
        <w:t>ponse for each IC based on its</w:t>
      </w:r>
      <w:r w:rsidRPr="003D016B">
        <w:rPr>
          <w:rFonts w:ascii="Times New Roman" w:hAnsi="Times New Roman"/>
          <w:iCs/>
          <w:lang w:bidi="en-US"/>
        </w:rPr>
        <w:t xml:space="preserve"> understanding and exper</w:t>
      </w:r>
      <w:r>
        <w:rPr>
          <w:rFonts w:ascii="Times New Roman" w:hAnsi="Times New Roman"/>
          <w:iCs/>
          <w:lang w:bidi="en-US"/>
        </w:rPr>
        <w:t>ience with Part 351, as well as its overall</w:t>
      </w:r>
      <w:r w:rsidRPr="003D016B">
        <w:rPr>
          <w:rFonts w:ascii="Times New Roman" w:hAnsi="Times New Roman"/>
          <w:iCs/>
          <w:lang w:bidi="en-US"/>
        </w:rPr>
        <w:t xml:space="preserve"> supervisory experience with covered banks and submissions pursuant to the requirements therein. Because the requirements under Section 13 are applied uniformly across covered banks regardless of their primary federal regulator, the </w:t>
      </w:r>
      <w:r>
        <w:rPr>
          <w:rFonts w:ascii="Times New Roman" w:hAnsi="Times New Roman"/>
          <w:iCs/>
          <w:lang w:bidi="en-US"/>
        </w:rPr>
        <w:t>FDIC has</w:t>
      </w:r>
      <w:r w:rsidRPr="003D016B">
        <w:rPr>
          <w:rFonts w:ascii="Times New Roman" w:hAnsi="Times New Roman"/>
          <w:iCs/>
          <w:lang w:bidi="en-US"/>
        </w:rPr>
        <w:t xml:space="preserve"> worked with and utilized the expertis</w:t>
      </w:r>
      <w:r>
        <w:rPr>
          <w:rFonts w:ascii="Times New Roman" w:hAnsi="Times New Roman"/>
          <w:iCs/>
          <w:lang w:bidi="en-US"/>
        </w:rPr>
        <w:t>e of subject-matter experts at</w:t>
      </w:r>
      <w:r w:rsidRPr="003D016B">
        <w:rPr>
          <w:rFonts w:ascii="Times New Roman" w:hAnsi="Times New Roman"/>
          <w:iCs/>
          <w:lang w:bidi="en-US"/>
        </w:rPr>
        <w:t xml:space="preserve"> the Federal Reserve and OCC to </w:t>
      </w:r>
      <w:r>
        <w:rPr>
          <w:rFonts w:ascii="Times New Roman" w:hAnsi="Times New Roman"/>
          <w:iCs/>
          <w:lang w:bidi="en-US"/>
        </w:rPr>
        <w:t xml:space="preserve">arrive at a uniform </w:t>
      </w:r>
      <w:r w:rsidRPr="003D016B">
        <w:rPr>
          <w:rFonts w:ascii="Times New Roman" w:hAnsi="Times New Roman"/>
          <w:iCs/>
          <w:lang w:bidi="en-US"/>
        </w:rPr>
        <w:t>estimate</w:t>
      </w:r>
      <w:r>
        <w:rPr>
          <w:rFonts w:ascii="Times New Roman" w:hAnsi="Times New Roman"/>
          <w:iCs/>
          <w:lang w:bidi="en-US"/>
        </w:rPr>
        <w:t xml:space="preserve"> of</w:t>
      </w:r>
      <w:r w:rsidRPr="003D016B">
        <w:rPr>
          <w:rFonts w:ascii="Times New Roman" w:hAnsi="Times New Roman"/>
          <w:iCs/>
          <w:lang w:bidi="en-US"/>
        </w:rPr>
        <w:t xml:space="preserve"> the time </w:t>
      </w:r>
      <w:r>
        <w:rPr>
          <w:rFonts w:ascii="Times New Roman" w:hAnsi="Times New Roman"/>
          <w:iCs/>
          <w:lang w:bidi="en-US"/>
        </w:rPr>
        <w:t xml:space="preserve">burden </w:t>
      </w:r>
      <w:r w:rsidRPr="003D016B">
        <w:rPr>
          <w:rFonts w:ascii="Times New Roman" w:hAnsi="Times New Roman"/>
          <w:iCs/>
          <w:lang w:bidi="en-US"/>
        </w:rPr>
        <w:t>per response. This process has resulted in a set of time per response estimates for each IC that is identical across the PRA submissions under Section 13 for the FDIC, Federal Reserve, and OCC. I have confirmed that subject matter experts at both the Federal Reserve and OCC believe the existing set of time per response estimates are still r</w:t>
      </w:r>
      <w:r w:rsidR="00345E3C">
        <w:rPr>
          <w:rFonts w:ascii="Times New Roman" w:hAnsi="Times New Roman"/>
          <w:iCs/>
          <w:lang w:bidi="en-US"/>
        </w:rPr>
        <w:t>easonable and appropriate. Upon</w:t>
      </w:r>
      <w:r w:rsidRPr="003D016B">
        <w:rPr>
          <w:rFonts w:ascii="Times New Roman" w:hAnsi="Times New Roman"/>
          <w:iCs/>
          <w:lang w:bidi="en-US"/>
        </w:rPr>
        <w:t xml:space="preserve"> reviewing the existing </w:t>
      </w:r>
      <w:r w:rsidRPr="003D016B">
        <w:rPr>
          <w:rFonts w:ascii="Times New Roman" w:hAnsi="Times New Roman"/>
          <w:iCs/>
          <w:lang w:bidi="en-US"/>
        </w:rPr>
        <w:t>estimates, and</w:t>
      </w:r>
      <w:r w:rsidRPr="003D016B">
        <w:rPr>
          <w:rFonts w:ascii="Times New Roman" w:hAnsi="Times New Roman"/>
          <w:iCs/>
          <w:lang w:bidi="en-US"/>
        </w:rPr>
        <w:t xml:space="preserve"> noting that the underlying regulations have not been changed or amended since the last </w:t>
      </w:r>
      <w:r w:rsidRPr="003D016B">
        <w:rPr>
          <w:rFonts w:ascii="Times New Roman" w:hAnsi="Times New Roman"/>
          <w:iCs/>
          <w:lang w:bidi="en-US"/>
        </w:rPr>
        <w:t xml:space="preserve">approval date (July 31, 2020) the </w:t>
      </w:r>
      <w:r w:rsidR="00345E3C">
        <w:rPr>
          <w:rFonts w:ascii="Times New Roman" w:hAnsi="Times New Roman"/>
          <w:iCs/>
          <w:lang w:bidi="en-US"/>
        </w:rPr>
        <w:t>FDIC has decided to</w:t>
      </w:r>
      <w:r w:rsidRPr="003D016B">
        <w:rPr>
          <w:rFonts w:ascii="Times New Roman" w:hAnsi="Times New Roman"/>
          <w:iCs/>
          <w:lang w:bidi="en-US"/>
        </w:rPr>
        <w:t xml:space="preserve"> </w:t>
      </w:r>
      <w:r w:rsidRPr="003D016B" w:rsidR="00345E3C">
        <w:rPr>
          <w:rFonts w:ascii="Times New Roman" w:hAnsi="Times New Roman"/>
          <w:iCs/>
          <w:lang w:bidi="en-US"/>
        </w:rPr>
        <w:t>mainta</w:t>
      </w:r>
      <w:r w:rsidR="00345E3C">
        <w:rPr>
          <w:rFonts w:ascii="Times New Roman" w:hAnsi="Times New Roman"/>
          <w:iCs/>
          <w:lang w:bidi="en-US"/>
        </w:rPr>
        <w:t>in</w:t>
      </w:r>
      <w:r w:rsidRPr="003D016B">
        <w:rPr>
          <w:rFonts w:ascii="Times New Roman" w:hAnsi="Times New Roman"/>
          <w:iCs/>
          <w:lang w:bidi="en-US"/>
        </w:rPr>
        <w:t xml:space="preserve"> the existing set of estimates of time per response for every IC. These time per response estimates are listed in Table 1 below. </w:t>
      </w:r>
    </w:p>
    <w:p w:rsidR="003D016B" w:rsidRPr="003D016B" w:rsidP="003D016B" w14:paraId="6CB6B28C" w14:textId="77777777">
      <w:pPr>
        <w:rPr>
          <w:rFonts w:ascii="Times New Roman" w:hAnsi="Times New Roman"/>
          <w:iCs/>
          <w:lang w:bidi="en-US"/>
        </w:rPr>
      </w:pPr>
    </w:p>
    <w:p w:rsidR="003D016B" w:rsidRPr="00524F65" w:rsidP="003D016B" w14:paraId="37EC9B2C" w14:textId="77777777">
      <w:pPr>
        <w:rPr>
          <w:rFonts w:ascii="Times New Roman" w:hAnsi="Times New Roman"/>
          <w:b/>
          <w:i/>
          <w:iCs/>
          <w:lang w:bidi="en-US"/>
        </w:rPr>
      </w:pPr>
      <w:r w:rsidRPr="00524F65">
        <w:rPr>
          <w:rFonts w:ascii="Times New Roman" w:hAnsi="Times New Roman"/>
          <w:b/>
          <w:i/>
          <w:iCs/>
          <w:lang w:bidi="en-US"/>
        </w:rPr>
        <w:t xml:space="preserve">Total Estimated Annual Burden </w:t>
      </w:r>
    </w:p>
    <w:p w:rsidR="003D016B" w:rsidRPr="003D016B" w:rsidP="003D016B" w14:paraId="0B09B9A2" w14:textId="77777777">
      <w:pPr>
        <w:rPr>
          <w:rFonts w:ascii="Times New Roman" w:hAnsi="Times New Roman"/>
          <w:iCs/>
          <w:lang w:bidi="en-US"/>
        </w:rPr>
      </w:pPr>
    </w:p>
    <w:p w:rsidR="00E20E0A" w:rsidRPr="00E20E0A" w:rsidP="00951D20" w14:paraId="0F233CBE" w14:textId="77777777">
      <w:pPr>
        <w:rPr>
          <w:rFonts w:ascii="Times New Roman" w:hAnsi="Times New Roman"/>
          <w:iCs/>
          <w:lang w:bidi="en-US"/>
        </w:rPr>
      </w:pPr>
      <w:r w:rsidRPr="003D016B">
        <w:rPr>
          <w:rFonts w:ascii="Times New Roman" w:hAnsi="Times New Roman"/>
          <w:iCs/>
          <w:lang w:bidi="en-US"/>
        </w:rPr>
        <w:t xml:space="preserve">The total estimated annual hourly burden for </w:t>
      </w:r>
      <w:r w:rsidR="00951D20">
        <w:rPr>
          <w:rFonts w:ascii="Times New Roman" w:hAnsi="Times New Roman"/>
          <w:iCs/>
          <w:lang w:bidi="en-US"/>
        </w:rPr>
        <w:t xml:space="preserve">this ICR is 4, </w:t>
      </w:r>
      <w:r w:rsidR="00044397">
        <w:rPr>
          <w:rFonts w:ascii="Times New Roman" w:hAnsi="Times New Roman"/>
          <w:iCs/>
          <w:lang w:bidi="en-US"/>
        </w:rPr>
        <w:t>049 hours consisting of 1,664 hours</w:t>
      </w:r>
      <w:r w:rsidRPr="003D016B">
        <w:rPr>
          <w:rFonts w:ascii="Times New Roman" w:hAnsi="Times New Roman"/>
          <w:iCs/>
          <w:lang w:bidi="en-US"/>
        </w:rPr>
        <w:t xml:space="preserve"> </w:t>
      </w:r>
      <w:r w:rsidR="00044397">
        <w:rPr>
          <w:rFonts w:ascii="Times New Roman" w:hAnsi="Times New Roman"/>
          <w:iCs/>
          <w:lang w:bidi="en-US"/>
        </w:rPr>
        <w:t xml:space="preserve">for implementation </w:t>
      </w:r>
      <w:r w:rsidRPr="003D016B">
        <w:rPr>
          <w:rFonts w:ascii="Times New Roman" w:hAnsi="Times New Roman"/>
          <w:iCs/>
          <w:lang w:bidi="en-US"/>
        </w:rPr>
        <w:t xml:space="preserve">and </w:t>
      </w:r>
      <w:r w:rsidRPr="00044397" w:rsidR="00044397">
        <w:rPr>
          <w:rFonts w:ascii="Times New Roman" w:hAnsi="Times New Roman"/>
          <w:bCs/>
          <w:iCs/>
          <w:snapToGrid/>
          <w:color w:val="000000"/>
          <w:sz w:val="22"/>
          <w:szCs w:val="22"/>
        </w:rPr>
        <w:t>2,385</w:t>
      </w:r>
      <w:r w:rsidR="00044397">
        <w:rPr>
          <w:rFonts w:ascii="Times New Roman" w:hAnsi="Times New Roman"/>
          <w:iCs/>
          <w:lang w:bidi="en-US"/>
        </w:rPr>
        <w:t xml:space="preserve"> hours for ongoing compliance as</w:t>
      </w:r>
      <w:r w:rsidRPr="003D016B">
        <w:rPr>
          <w:rFonts w:ascii="Times New Roman" w:hAnsi="Times New Roman"/>
          <w:iCs/>
          <w:lang w:bidi="en-US"/>
        </w:rPr>
        <w:t xml:space="preserve"> shown in Tables 1 and 2 below.</w:t>
      </w:r>
    </w:p>
    <w:p w:rsidR="00E20E0A" w:rsidP="00E20E0A" w14:paraId="1219D078" w14:textId="77777777">
      <w:pPr>
        <w:autoSpaceDE w:val="0"/>
        <w:autoSpaceDN w:val="0"/>
        <w:spacing w:line="280" w:lineRule="exact"/>
        <w:ind w:firstLine="720"/>
        <w:rPr>
          <w:rFonts w:ascii="Times New Roman" w:eastAsia="Source Sans Pro" w:hAnsi="Times New Roman"/>
          <w:b/>
          <w:i/>
          <w:snapToGrid/>
          <w:color w:val="000000"/>
          <w:szCs w:val="24"/>
          <w:lang w:bidi="en-US"/>
        </w:rPr>
      </w:pPr>
    </w:p>
    <w:tbl>
      <w:tblPr>
        <w:tblW w:w="9695" w:type="dxa"/>
        <w:tblCellMar>
          <w:top w:w="15" w:type="dxa"/>
        </w:tblCellMar>
        <w:tblLook w:val="04A0"/>
      </w:tblPr>
      <w:tblGrid>
        <w:gridCol w:w="2311"/>
        <w:gridCol w:w="1606"/>
        <w:gridCol w:w="1630"/>
        <w:gridCol w:w="1680"/>
        <w:gridCol w:w="1097"/>
        <w:gridCol w:w="15"/>
        <w:gridCol w:w="1356"/>
      </w:tblGrid>
      <w:tr w14:paraId="58A3F651" w14:textId="77777777" w:rsidTr="00D5791C">
        <w:tblPrEx>
          <w:tblW w:w="9695" w:type="dxa"/>
          <w:tblCellMar>
            <w:top w:w="15" w:type="dxa"/>
          </w:tblCellMar>
          <w:tblLook w:val="04A0"/>
        </w:tblPrEx>
        <w:trPr>
          <w:trHeight w:val="360"/>
          <w:tblHeader/>
        </w:trPr>
        <w:tc>
          <w:tcPr>
            <w:tcW w:w="9695" w:type="dxa"/>
            <w:gridSpan w:val="7"/>
            <w:tcBorders>
              <w:top w:val="single" w:sz="8" w:space="0" w:color="auto"/>
              <w:left w:val="single" w:sz="8" w:space="0" w:color="auto"/>
              <w:bottom w:val="single" w:sz="8" w:space="0" w:color="auto"/>
              <w:right w:val="single" w:sz="8" w:space="0" w:color="000000"/>
            </w:tcBorders>
            <w:vAlign w:val="center"/>
            <w:hideMark/>
          </w:tcPr>
          <w:p w:rsidR="00D5791C" w:rsidRPr="008E6E65" w:rsidP="00D03DD4" w14:paraId="7742CC49" w14:textId="77777777">
            <w:pPr>
              <w:jc w:val="center"/>
              <w:rPr>
                <w:rFonts w:ascii="Source Sans Pro" w:hAnsi="Source Sans Pro" w:cs="Calibri"/>
                <w:color w:val="000000"/>
                <w:szCs w:val="24"/>
              </w:rPr>
            </w:pPr>
            <w:r w:rsidRPr="008E6E65">
              <w:rPr>
                <w:rFonts w:ascii="Source Sans Pro" w:hAnsi="Source Sans Pro" w:cs="Calibri"/>
                <w:color w:val="000000"/>
                <w:szCs w:val="24"/>
              </w:rPr>
              <w:t>Table 1. Summary of Estimated Annual Burden (OMB No. 3064-0184)</w:t>
            </w:r>
          </w:p>
        </w:tc>
      </w:tr>
      <w:tr w14:paraId="118357BA" w14:textId="77777777" w:rsidTr="00D5791C">
        <w:tblPrEx>
          <w:tblW w:w="9695" w:type="dxa"/>
          <w:tblCellMar>
            <w:top w:w="15" w:type="dxa"/>
          </w:tblCellMar>
          <w:tblLook w:val="04A0"/>
        </w:tblPrEx>
        <w:trPr>
          <w:trHeight w:val="1140"/>
          <w:tblHeader/>
        </w:trPr>
        <w:tc>
          <w:tcPr>
            <w:tcW w:w="2311" w:type="dxa"/>
            <w:tcBorders>
              <w:top w:val="nil"/>
              <w:left w:val="single" w:sz="8" w:space="0" w:color="auto"/>
              <w:bottom w:val="single" w:sz="8" w:space="0" w:color="auto"/>
              <w:right w:val="single" w:sz="8" w:space="0" w:color="auto"/>
            </w:tcBorders>
            <w:vAlign w:val="center"/>
            <w:hideMark/>
          </w:tcPr>
          <w:p w:rsidR="00D5791C" w:rsidRPr="008E6E65" w:rsidP="00D03DD4" w14:paraId="252D6D8D" w14:textId="77777777">
            <w:pPr>
              <w:rPr>
                <w:rFonts w:ascii="Source Sans Pro" w:hAnsi="Source Sans Pro" w:cs="Calibri"/>
                <w:color w:val="000000"/>
                <w:sz w:val="20"/>
              </w:rPr>
            </w:pPr>
            <w:r w:rsidRPr="008E6E65">
              <w:rPr>
                <w:rFonts w:ascii="Source Sans Pro" w:hAnsi="Source Sans Pro" w:cs="Calibri"/>
                <w:color w:val="000000"/>
                <w:sz w:val="20"/>
              </w:rPr>
              <w:t>Information Collection (IC) (Obligation to Respond)</w:t>
            </w:r>
          </w:p>
        </w:tc>
        <w:tc>
          <w:tcPr>
            <w:tcW w:w="1606" w:type="dxa"/>
            <w:tcBorders>
              <w:top w:val="nil"/>
              <w:left w:val="nil"/>
              <w:bottom w:val="single" w:sz="8" w:space="0" w:color="auto"/>
              <w:right w:val="single" w:sz="8" w:space="0" w:color="auto"/>
            </w:tcBorders>
            <w:vAlign w:val="center"/>
            <w:hideMark/>
          </w:tcPr>
          <w:p w:rsidR="00D5791C" w:rsidRPr="008E6E65" w:rsidP="00D03DD4" w14:paraId="5AD071D1" w14:textId="77777777">
            <w:pPr>
              <w:jc w:val="center"/>
              <w:rPr>
                <w:rFonts w:ascii="Source Sans Pro" w:hAnsi="Source Sans Pro" w:cs="Calibri"/>
                <w:color w:val="000000"/>
                <w:sz w:val="20"/>
              </w:rPr>
            </w:pPr>
            <w:r w:rsidRPr="008E6E65">
              <w:rPr>
                <w:rFonts w:ascii="Source Sans Pro" w:hAnsi="Source Sans Pro" w:cs="Calibri"/>
                <w:color w:val="000000"/>
                <w:sz w:val="20"/>
              </w:rPr>
              <w:t>Type of Burden</w:t>
            </w:r>
            <w:r w:rsidRPr="008E6E65">
              <w:rPr>
                <w:rFonts w:ascii="Source Sans Pro" w:hAnsi="Source Sans Pro" w:cs="Calibri"/>
                <w:color w:val="000000"/>
                <w:sz w:val="20"/>
              </w:rPr>
              <w:br/>
              <w:t>(Frequency of Response)</w:t>
            </w:r>
          </w:p>
        </w:tc>
        <w:tc>
          <w:tcPr>
            <w:tcW w:w="1630" w:type="dxa"/>
            <w:tcBorders>
              <w:top w:val="nil"/>
              <w:left w:val="nil"/>
              <w:bottom w:val="single" w:sz="8" w:space="0" w:color="auto"/>
              <w:right w:val="single" w:sz="8" w:space="0" w:color="auto"/>
            </w:tcBorders>
            <w:vAlign w:val="center"/>
            <w:hideMark/>
          </w:tcPr>
          <w:p w:rsidR="00D5791C" w:rsidRPr="008E6E65" w:rsidP="00D03DD4" w14:paraId="09AB5697" w14:textId="77777777">
            <w:pPr>
              <w:jc w:val="center"/>
              <w:rPr>
                <w:rFonts w:ascii="Source Sans Pro" w:hAnsi="Source Sans Pro" w:cs="Calibri"/>
                <w:color w:val="000000"/>
                <w:sz w:val="20"/>
              </w:rPr>
            </w:pPr>
            <w:r w:rsidRPr="008E6E65">
              <w:rPr>
                <w:rFonts w:ascii="Source Sans Pro" w:hAnsi="Source Sans Pro" w:cs="Calibri"/>
                <w:color w:val="000000"/>
                <w:sz w:val="20"/>
              </w:rPr>
              <w:t xml:space="preserve"> Number of Respondents</w:t>
            </w:r>
          </w:p>
        </w:tc>
        <w:tc>
          <w:tcPr>
            <w:tcW w:w="1680" w:type="dxa"/>
            <w:tcBorders>
              <w:top w:val="nil"/>
              <w:left w:val="nil"/>
              <w:bottom w:val="single" w:sz="8" w:space="0" w:color="auto"/>
              <w:right w:val="single" w:sz="8" w:space="0" w:color="auto"/>
            </w:tcBorders>
            <w:vAlign w:val="center"/>
            <w:hideMark/>
          </w:tcPr>
          <w:p w:rsidR="00D5791C" w:rsidRPr="008E6E65" w:rsidP="00D03DD4" w14:paraId="0D259568" w14:textId="77777777">
            <w:pPr>
              <w:jc w:val="center"/>
              <w:rPr>
                <w:rFonts w:ascii="Source Sans Pro" w:hAnsi="Source Sans Pro" w:cs="Calibri"/>
                <w:color w:val="000000"/>
                <w:sz w:val="20"/>
              </w:rPr>
            </w:pPr>
            <w:r w:rsidRPr="008E6E65">
              <w:rPr>
                <w:rFonts w:ascii="Source Sans Pro" w:hAnsi="Source Sans Pro" w:cs="Calibri"/>
                <w:color w:val="000000"/>
                <w:sz w:val="20"/>
              </w:rPr>
              <w:t xml:space="preserve"> Number of Responses per Respondent</w:t>
            </w:r>
          </w:p>
        </w:tc>
        <w:tc>
          <w:tcPr>
            <w:tcW w:w="1097" w:type="dxa"/>
            <w:tcBorders>
              <w:top w:val="nil"/>
              <w:left w:val="nil"/>
              <w:bottom w:val="single" w:sz="8" w:space="0" w:color="auto"/>
              <w:right w:val="single" w:sz="8" w:space="0" w:color="auto"/>
            </w:tcBorders>
            <w:vAlign w:val="center"/>
            <w:hideMark/>
          </w:tcPr>
          <w:p w:rsidR="00D5791C" w:rsidRPr="008E6E65" w:rsidP="00D03DD4" w14:paraId="75E1733F" w14:textId="77777777">
            <w:pPr>
              <w:jc w:val="center"/>
              <w:rPr>
                <w:rFonts w:ascii="Source Sans Pro" w:hAnsi="Source Sans Pro" w:cs="Calibri"/>
                <w:color w:val="000000"/>
                <w:sz w:val="20"/>
              </w:rPr>
            </w:pPr>
            <w:r w:rsidRPr="008E6E65">
              <w:rPr>
                <w:rFonts w:ascii="Source Sans Pro" w:hAnsi="Source Sans Pro" w:cs="Calibri"/>
                <w:color w:val="000000"/>
                <w:sz w:val="20"/>
              </w:rPr>
              <w:t>Average Time per Response (HH:MM)</w:t>
            </w:r>
          </w:p>
        </w:tc>
        <w:tc>
          <w:tcPr>
            <w:tcW w:w="1371" w:type="dxa"/>
            <w:gridSpan w:val="2"/>
            <w:tcBorders>
              <w:top w:val="nil"/>
              <w:left w:val="nil"/>
              <w:bottom w:val="single" w:sz="8" w:space="0" w:color="auto"/>
              <w:right w:val="single" w:sz="8" w:space="0" w:color="auto"/>
            </w:tcBorders>
            <w:vAlign w:val="center"/>
            <w:hideMark/>
          </w:tcPr>
          <w:p w:rsidR="00D5791C" w:rsidRPr="008E6E65" w:rsidP="00D03DD4" w14:paraId="650F2821" w14:textId="77777777">
            <w:pPr>
              <w:jc w:val="center"/>
              <w:rPr>
                <w:rFonts w:ascii="Source Sans Pro" w:hAnsi="Source Sans Pro" w:cs="Calibri"/>
                <w:color w:val="000000"/>
                <w:sz w:val="20"/>
              </w:rPr>
            </w:pPr>
            <w:r w:rsidRPr="008E6E65">
              <w:rPr>
                <w:rFonts w:ascii="Source Sans Pro" w:hAnsi="Source Sans Pro" w:cs="Calibri"/>
                <w:color w:val="000000"/>
                <w:sz w:val="20"/>
              </w:rPr>
              <w:t>Annual Burden (Hours)</w:t>
            </w:r>
          </w:p>
        </w:tc>
      </w:tr>
      <w:tr w14:paraId="204E64A5" w14:textId="77777777" w:rsidTr="00D5791C">
        <w:tblPrEx>
          <w:tblW w:w="9695" w:type="dxa"/>
          <w:tblCellMar>
            <w:top w:w="15" w:type="dxa"/>
          </w:tblCellMar>
          <w:tblLook w:val="04A0"/>
        </w:tblPrEx>
        <w:trPr>
          <w:trHeight w:val="300"/>
        </w:trPr>
        <w:tc>
          <w:tcPr>
            <w:tcW w:w="9695" w:type="dxa"/>
            <w:gridSpan w:val="7"/>
            <w:tcBorders>
              <w:top w:val="single" w:sz="8" w:space="0" w:color="auto"/>
              <w:left w:val="single" w:sz="8" w:space="0" w:color="auto"/>
              <w:bottom w:val="single" w:sz="8" w:space="0" w:color="auto"/>
              <w:right w:val="single" w:sz="8" w:space="0" w:color="000000"/>
            </w:tcBorders>
            <w:shd w:val="clear" w:color="000000" w:fill="F2F2F2"/>
            <w:vAlign w:val="center"/>
            <w:hideMark/>
          </w:tcPr>
          <w:p w:rsidR="00D5791C" w:rsidRPr="008E6E65" w:rsidP="00D03DD4" w14:paraId="76C936F6" w14:textId="77777777">
            <w:pPr>
              <w:jc w:val="center"/>
              <w:rPr>
                <w:rFonts w:ascii="Source Sans Pro" w:hAnsi="Source Sans Pro" w:cs="Calibri"/>
                <w:b/>
                <w:bCs/>
                <w:color w:val="000000"/>
                <w:sz w:val="20"/>
              </w:rPr>
            </w:pPr>
            <w:r w:rsidRPr="008E6E65">
              <w:rPr>
                <w:rFonts w:ascii="Source Sans Pro" w:hAnsi="Source Sans Pro" w:cs="Calibri"/>
                <w:b/>
                <w:bCs/>
                <w:color w:val="000000"/>
                <w:sz w:val="20"/>
              </w:rPr>
              <w:t>Implementation / Initial Set-up</w:t>
            </w:r>
          </w:p>
        </w:tc>
      </w:tr>
      <w:tr w14:paraId="02674001" w14:textId="77777777" w:rsidTr="00D5791C">
        <w:tblPrEx>
          <w:tblW w:w="9695" w:type="dxa"/>
          <w:tblCellMar>
            <w:top w:w="15" w:type="dxa"/>
          </w:tblCellMar>
          <w:tblLook w:val="04A0"/>
        </w:tblPrEx>
        <w:trPr>
          <w:trHeight w:val="840"/>
        </w:trPr>
        <w:tc>
          <w:tcPr>
            <w:tcW w:w="2311" w:type="dxa"/>
            <w:tcBorders>
              <w:top w:val="nil"/>
              <w:left w:val="single" w:sz="8" w:space="0" w:color="auto"/>
              <w:bottom w:val="single" w:sz="8" w:space="0" w:color="auto"/>
              <w:right w:val="single" w:sz="8" w:space="0" w:color="auto"/>
            </w:tcBorders>
            <w:vAlign w:val="center"/>
            <w:hideMark/>
          </w:tcPr>
          <w:p w:rsidR="00D5791C" w:rsidRPr="008E6E65" w:rsidP="00D03DD4" w14:paraId="7A77C95B" w14:textId="77777777">
            <w:pPr>
              <w:rPr>
                <w:rFonts w:ascii="Source Sans Pro" w:hAnsi="Source Sans Pro" w:cs="Calibri"/>
                <w:color w:val="000000"/>
                <w:sz w:val="20"/>
              </w:rPr>
            </w:pPr>
            <w:r w:rsidRPr="008E6E65">
              <w:rPr>
                <w:rFonts w:ascii="Source Sans Pro" w:hAnsi="Source Sans Pro" w:cs="Calibri"/>
                <w:color w:val="000000"/>
                <w:sz w:val="20"/>
              </w:rPr>
              <w:t>1. Section 351.4(c)(3)(i) - Limit Breaches and Increases</w:t>
            </w:r>
            <w:r>
              <w:rPr>
                <w:rFonts w:ascii="Source Sans Pro" w:hAnsi="Source Sans Pro" w:cs="Calibri"/>
                <w:color w:val="000000"/>
                <w:sz w:val="20"/>
              </w:rPr>
              <w:t xml:space="preserve"> </w:t>
            </w:r>
            <w:r w:rsidRPr="001F7DAF">
              <w:rPr>
                <w:rFonts w:ascii="Source Sans Pro" w:hAnsi="Source Sans Pro" w:cs="Calibri"/>
                <w:color w:val="000000"/>
                <w:sz w:val="20"/>
              </w:rPr>
              <w:t>Initial Set-up</w:t>
            </w:r>
            <w:r w:rsidRPr="008E6E65">
              <w:rPr>
                <w:rFonts w:ascii="Source Sans Pro" w:hAnsi="Source Sans Pro" w:cs="Calibri"/>
                <w:color w:val="000000"/>
                <w:sz w:val="20"/>
              </w:rPr>
              <w:t xml:space="preserve"> (Mandatory)</w:t>
            </w:r>
          </w:p>
        </w:tc>
        <w:tc>
          <w:tcPr>
            <w:tcW w:w="1606" w:type="dxa"/>
            <w:tcBorders>
              <w:top w:val="nil"/>
              <w:left w:val="nil"/>
              <w:bottom w:val="single" w:sz="8" w:space="0" w:color="auto"/>
              <w:right w:val="single" w:sz="8" w:space="0" w:color="auto"/>
            </w:tcBorders>
            <w:vAlign w:val="center"/>
            <w:hideMark/>
          </w:tcPr>
          <w:p w:rsidR="00D5791C" w:rsidRPr="008E6E65" w:rsidP="00D03DD4" w14:paraId="6074A9D5" w14:textId="77777777">
            <w:pPr>
              <w:jc w:val="center"/>
              <w:rPr>
                <w:rFonts w:ascii="Source Sans Pro" w:hAnsi="Source Sans Pro" w:cs="Calibri"/>
                <w:color w:val="000000"/>
                <w:sz w:val="20"/>
              </w:rPr>
            </w:pPr>
            <w:r w:rsidRPr="008E6E65">
              <w:rPr>
                <w:rFonts w:ascii="Source Sans Pro" w:hAnsi="Source Sans Pro" w:cs="Calibri"/>
                <w:color w:val="000000"/>
                <w:sz w:val="20"/>
              </w:rPr>
              <w:t xml:space="preserve">Reporting </w:t>
            </w:r>
            <w:r w:rsidRPr="008E6E65">
              <w:rPr>
                <w:rFonts w:ascii="Source Sans Pro" w:hAnsi="Source Sans Pro" w:cs="Calibri"/>
                <w:color w:val="000000"/>
                <w:sz w:val="20"/>
              </w:rPr>
              <w:br/>
              <w:t>(On occasion)</w:t>
            </w:r>
          </w:p>
        </w:tc>
        <w:tc>
          <w:tcPr>
            <w:tcW w:w="1630" w:type="dxa"/>
            <w:tcBorders>
              <w:top w:val="nil"/>
              <w:left w:val="nil"/>
              <w:bottom w:val="single" w:sz="8" w:space="0" w:color="auto"/>
              <w:right w:val="single" w:sz="8" w:space="0" w:color="auto"/>
            </w:tcBorders>
            <w:noWrap/>
            <w:vAlign w:val="center"/>
            <w:hideMark/>
          </w:tcPr>
          <w:p w:rsidR="00D5791C" w:rsidRPr="008E6E65" w:rsidP="00D03DD4" w14:paraId="76A4414B" w14:textId="77777777">
            <w:pPr>
              <w:jc w:val="right"/>
              <w:rPr>
                <w:rFonts w:ascii="Source Sans Pro" w:hAnsi="Source Sans Pro" w:cs="Calibri"/>
                <w:color w:val="000000"/>
                <w:sz w:val="20"/>
              </w:rPr>
            </w:pPr>
            <w:r w:rsidRPr="008E6E65">
              <w:rPr>
                <w:rFonts w:ascii="Source Sans Pro" w:hAnsi="Source Sans Pro" w:cs="Calibri"/>
                <w:color w:val="000000"/>
                <w:sz w:val="20"/>
              </w:rPr>
              <w:t>1</w:t>
            </w:r>
            <w:r w:rsidRPr="00C83030">
              <w:rPr>
                <w:rFonts w:ascii="Source Sans Pro" w:hAnsi="Source Sans Pro" w:cs="Calibri"/>
                <w:color w:val="000000"/>
                <w:sz w:val="20"/>
                <w:vertAlign w:val="superscript"/>
              </w:rPr>
              <w:t>P</w:t>
            </w:r>
          </w:p>
        </w:tc>
        <w:tc>
          <w:tcPr>
            <w:tcW w:w="1680" w:type="dxa"/>
            <w:tcBorders>
              <w:top w:val="nil"/>
              <w:left w:val="nil"/>
              <w:bottom w:val="single" w:sz="8" w:space="0" w:color="auto"/>
              <w:right w:val="single" w:sz="8" w:space="0" w:color="auto"/>
            </w:tcBorders>
            <w:noWrap/>
            <w:vAlign w:val="center"/>
            <w:hideMark/>
          </w:tcPr>
          <w:p w:rsidR="00D5791C" w:rsidRPr="008E6E65" w:rsidP="00D03DD4" w14:paraId="1669D030" w14:textId="77777777">
            <w:pPr>
              <w:jc w:val="right"/>
              <w:rPr>
                <w:rFonts w:ascii="Source Sans Pro" w:hAnsi="Source Sans Pro" w:cs="Calibri"/>
                <w:color w:val="000000"/>
                <w:sz w:val="20"/>
              </w:rPr>
            </w:pPr>
            <w:r w:rsidRPr="008E6E65">
              <w:rPr>
                <w:rFonts w:ascii="Source Sans Pro" w:hAnsi="Source Sans Pro" w:cs="Calibri"/>
                <w:color w:val="000000"/>
                <w:sz w:val="20"/>
              </w:rPr>
              <w:t>1</w:t>
            </w:r>
          </w:p>
        </w:tc>
        <w:tc>
          <w:tcPr>
            <w:tcW w:w="1097" w:type="dxa"/>
            <w:tcBorders>
              <w:top w:val="nil"/>
              <w:left w:val="nil"/>
              <w:bottom w:val="single" w:sz="8" w:space="0" w:color="auto"/>
              <w:right w:val="nil"/>
            </w:tcBorders>
            <w:vAlign w:val="center"/>
            <w:hideMark/>
          </w:tcPr>
          <w:p w:rsidR="00D5791C" w:rsidRPr="008E6E65" w:rsidP="00D03DD4" w14:paraId="74647150" w14:textId="77777777">
            <w:pPr>
              <w:jc w:val="right"/>
              <w:rPr>
                <w:rFonts w:ascii="Source Sans Pro" w:hAnsi="Source Sans Pro" w:cs="Calibri"/>
                <w:color w:val="000000"/>
                <w:sz w:val="20"/>
              </w:rPr>
            </w:pPr>
            <w:r w:rsidRPr="008E6E65">
              <w:rPr>
                <w:rFonts w:ascii="Source Sans Pro" w:hAnsi="Source Sans Pro" w:cs="Calibri"/>
                <w:color w:val="000000"/>
                <w:sz w:val="20"/>
              </w:rPr>
              <w:t>00:15</w:t>
            </w:r>
          </w:p>
        </w:tc>
        <w:tc>
          <w:tcPr>
            <w:tcW w:w="1371" w:type="dxa"/>
            <w:gridSpan w:val="2"/>
            <w:tcBorders>
              <w:top w:val="nil"/>
              <w:left w:val="single" w:sz="8" w:space="0" w:color="auto"/>
              <w:bottom w:val="single" w:sz="8" w:space="0" w:color="auto"/>
              <w:right w:val="single" w:sz="8" w:space="0" w:color="auto"/>
            </w:tcBorders>
            <w:noWrap/>
            <w:vAlign w:val="center"/>
            <w:hideMark/>
          </w:tcPr>
          <w:p w:rsidR="00D5791C" w:rsidRPr="008E6E65" w:rsidP="00D03DD4" w14:paraId="4C5C0CE3" w14:textId="77777777">
            <w:pPr>
              <w:jc w:val="right"/>
              <w:rPr>
                <w:rFonts w:ascii="Source Sans Pro" w:hAnsi="Source Sans Pro" w:cs="Calibri"/>
                <w:color w:val="000000"/>
                <w:sz w:val="20"/>
              </w:rPr>
            </w:pPr>
            <w:r w:rsidRPr="008E6E65">
              <w:rPr>
                <w:rFonts w:ascii="Source Sans Pro" w:hAnsi="Source Sans Pro" w:cs="Calibri"/>
                <w:color w:val="000000"/>
                <w:sz w:val="20"/>
              </w:rPr>
              <w:t>0</w:t>
            </w:r>
          </w:p>
        </w:tc>
      </w:tr>
      <w:tr w14:paraId="47EFA43E" w14:textId="77777777" w:rsidTr="00D5791C">
        <w:tblPrEx>
          <w:tblW w:w="9695" w:type="dxa"/>
          <w:tblCellMar>
            <w:top w:w="15" w:type="dxa"/>
          </w:tblCellMar>
          <w:tblLook w:val="04A0"/>
        </w:tblPrEx>
        <w:trPr>
          <w:trHeight w:val="1668"/>
        </w:trPr>
        <w:tc>
          <w:tcPr>
            <w:tcW w:w="2311" w:type="dxa"/>
            <w:tcBorders>
              <w:top w:val="nil"/>
              <w:left w:val="single" w:sz="8" w:space="0" w:color="auto"/>
              <w:bottom w:val="single" w:sz="8" w:space="0" w:color="auto"/>
              <w:right w:val="single" w:sz="8" w:space="0" w:color="auto"/>
            </w:tcBorders>
            <w:vAlign w:val="center"/>
            <w:hideMark/>
          </w:tcPr>
          <w:p w:rsidR="00D5791C" w:rsidRPr="008E6E65" w:rsidP="00D03DD4" w14:paraId="4E0F0A2E" w14:textId="77777777">
            <w:pPr>
              <w:rPr>
                <w:rFonts w:ascii="Source Sans Pro" w:hAnsi="Source Sans Pro" w:cs="Calibri"/>
                <w:color w:val="000000"/>
                <w:sz w:val="20"/>
              </w:rPr>
            </w:pPr>
            <w:r w:rsidRPr="008E6E65">
              <w:rPr>
                <w:rFonts w:ascii="Source Sans Pro" w:hAnsi="Source Sans Pro" w:cs="Calibri"/>
                <w:color w:val="000000"/>
                <w:sz w:val="20"/>
              </w:rPr>
              <w:t>2. Section 351.20(d) - Requirements under Appendix A for Covered Banks with Significant Trading Assets &amp; Liabilities</w:t>
            </w:r>
            <w:r>
              <w:rPr>
                <w:rFonts w:ascii="Source Sans Pro" w:hAnsi="Source Sans Pro" w:cs="Calibri"/>
                <w:color w:val="000000"/>
                <w:sz w:val="20"/>
              </w:rPr>
              <w:t xml:space="preserve"> </w:t>
            </w:r>
            <w:r w:rsidRPr="001F7DAF">
              <w:rPr>
                <w:rFonts w:ascii="Source Sans Pro" w:hAnsi="Source Sans Pro" w:cs="Calibri"/>
                <w:color w:val="000000"/>
                <w:sz w:val="20"/>
              </w:rPr>
              <w:t>Initial Set-up</w:t>
            </w:r>
            <w:r w:rsidRPr="008E6E65">
              <w:rPr>
                <w:rFonts w:ascii="Source Sans Pro" w:hAnsi="Source Sans Pro" w:cs="Calibri"/>
                <w:color w:val="000000"/>
                <w:sz w:val="20"/>
              </w:rPr>
              <w:t xml:space="preserve"> (Mandatory)</w:t>
            </w:r>
          </w:p>
        </w:tc>
        <w:tc>
          <w:tcPr>
            <w:tcW w:w="1606" w:type="dxa"/>
            <w:tcBorders>
              <w:top w:val="nil"/>
              <w:left w:val="nil"/>
              <w:bottom w:val="single" w:sz="8" w:space="0" w:color="auto"/>
              <w:right w:val="single" w:sz="8" w:space="0" w:color="auto"/>
            </w:tcBorders>
            <w:vAlign w:val="center"/>
            <w:hideMark/>
          </w:tcPr>
          <w:p w:rsidR="00D5791C" w:rsidRPr="008E6E65" w:rsidP="00D03DD4" w14:paraId="320659CF" w14:textId="77777777">
            <w:pPr>
              <w:jc w:val="center"/>
              <w:rPr>
                <w:rFonts w:ascii="Source Sans Pro" w:hAnsi="Source Sans Pro" w:cs="Calibri"/>
                <w:color w:val="000000"/>
                <w:sz w:val="20"/>
              </w:rPr>
            </w:pPr>
            <w:r w:rsidRPr="008E6E65">
              <w:rPr>
                <w:rFonts w:ascii="Source Sans Pro" w:hAnsi="Source Sans Pro" w:cs="Calibri"/>
                <w:color w:val="000000"/>
                <w:sz w:val="20"/>
              </w:rPr>
              <w:t>Reporting</w:t>
            </w:r>
            <w:r w:rsidRPr="008E6E65">
              <w:rPr>
                <w:rFonts w:ascii="Source Sans Pro" w:hAnsi="Source Sans Pro" w:cs="Calibri"/>
                <w:color w:val="000000"/>
                <w:sz w:val="20"/>
              </w:rPr>
              <w:br/>
              <w:t>(Quarterly)</w:t>
            </w:r>
          </w:p>
        </w:tc>
        <w:tc>
          <w:tcPr>
            <w:tcW w:w="1630" w:type="dxa"/>
            <w:tcBorders>
              <w:top w:val="nil"/>
              <w:left w:val="nil"/>
              <w:bottom w:val="single" w:sz="8" w:space="0" w:color="auto"/>
              <w:right w:val="single" w:sz="8" w:space="0" w:color="auto"/>
            </w:tcBorders>
            <w:noWrap/>
            <w:vAlign w:val="center"/>
            <w:hideMark/>
          </w:tcPr>
          <w:p w:rsidR="00D5791C" w:rsidRPr="008E6E65" w:rsidP="00D03DD4" w14:paraId="38B0358A" w14:textId="77777777">
            <w:pPr>
              <w:jc w:val="right"/>
              <w:rPr>
                <w:rFonts w:ascii="Source Sans Pro" w:hAnsi="Source Sans Pro" w:cs="Calibri"/>
                <w:color w:val="000000"/>
                <w:sz w:val="20"/>
              </w:rPr>
            </w:pPr>
            <w:r w:rsidRPr="008E6E65">
              <w:rPr>
                <w:rFonts w:ascii="Source Sans Pro" w:hAnsi="Source Sans Pro" w:cs="Calibri"/>
                <w:color w:val="000000"/>
                <w:sz w:val="20"/>
              </w:rPr>
              <w:t>1</w:t>
            </w:r>
            <w:r w:rsidRPr="00DB212C">
              <w:rPr>
                <w:rFonts w:ascii="Source Sans Pro" w:hAnsi="Source Sans Pro" w:cs="Calibri"/>
                <w:color w:val="000000"/>
                <w:sz w:val="20"/>
                <w:vertAlign w:val="superscript"/>
              </w:rPr>
              <w:t xml:space="preserve"> P</w:t>
            </w:r>
          </w:p>
        </w:tc>
        <w:tc>
          <w:tcPr>
            <w:tcW w:w="1680" w:type="dxa"/>
            <w:tcBorders>
              <w:top w:val="nil"/>
              <w:left w:val="nil"/>
              <w:bottom w:val="single" w:sz="8" w:space="0" w:color="auto"/>
              <w:right w:val="single" w:sz="8" w:space="0" w:color="auto"/>
            </w:tcBorders>
            <w:noWrap/>
            <w:vAlign w:val="center"/>
            <w:hideMark/>
          </w:tcPr>
          <w:p w:rsidR="00D5791C" w:rsidRPr="008E6E65" w:rsidP="00D03DD4" w14:paraId="5B02B2B8" w14:textId="77777777">
            <w:pPr>
              <w:jc w:val="right"/>
              <w:rPr>
                <w:rFonts w:ascii="Source Sans Pro" w:hAnsi="Source Sans Pro" w:cs="Calibri"/>
                <w:color w:val="000000"/>
                <w:sz w:val="20"/>
              </w:rPr>
            </w:pPr>
            <w:r w:rsidRPr="008E6E65">
              <w:rPr>
                <w:rFonts w:ascii="Source Sans Pro" w:hAnsi="Source Sans Pro" w:cs="Calibri"/>
                <w:color w:val="000000"/>
                <w:sz w:val="20"/>
              </w:rPr>
              <w:t>1</w:t>
            </w:r>
          </w:p>
        </w:tc>
        <w:tc>
          <w:tcPr>
            <w:tcW w:w="1097" w:type="dxa"/>
            <w:tcBorders>
              <w:top w:val="nil"/>
              <w:left w:val="nil"/>
              <w:bottom w:val="single" w:sz="8" w:space="0" w:color="auto"/>
              <w:right w:val="nil"/>
            </w:tcBorders>
            <w:vAlign w:val="center"/>
            <w:hideMark/>
          </w:tcPr>
          <w:p w:rsidR="00D5791C" w:rsidRPr="008E6E65" w:rsidP="00D03DD4" w14:paraId="118F108B" w14:textId="77777777">
            <w:pPr>
              <w:jc w:val="right"/>
              <w:rPr>
                <w:rFonts w:ascii="Source Sans Pro" w:hAnsi="Source Sans Pro" w:cs="Calibri"/>
                <w:color w:val="000000"/>
                <w:sz w:val="20"/>
              </w:rPr>
            </w:pPr>
            <w:r w:rsidRPr="008E6E65">
              <w:rPr>
                <w:rFonts w:ascii="Source Sans Pro" w:hAnsi="Source Sans Pro" w:cs="Calibri"/>
                <w:color w:val="000000"/>
                <w:sz w:val="20"/>
              </w:rPr>
              <w:t>125:00</w:t>
            </w:r>
          </w:p>
        </w:tc>
        <w:tc>
          <w:tcPr>
            <w:tcW w:w="1371" w:type="dxa"/>
            <w:gridSpan w:val="2"/>
            <w:tcBorders>
              <w:top w:val="nil"/>
              <w:left w:val="single" w:sz="8" w:space="0" w:color="auto"/>
              <w:bottom w:val="single" w:sz="8" w:space="0" w:color="auto"/>
              <w:right w:val="single" w:sz="8" w:space="0" w:color="auto"/>
            </w:tcBorders>
            <w:noWrap/>
            <w:vAlign w:val="center"/>
            <w:hideMark/>
          </w:tcPr>
          <w:p w:rsidR="00D5791C" w:rsidRPr="008E6E65" w:rsidP="00D03DD4" w14:paraId="387A53DA" w14:textId="77777777">
            <w:pPr>
              <w:jc w:val="right"/>
              <w:rPr>
                <w:rFonts w:ascii="Source Sans Pro" w:hAnsi="Source Sans Pro" w:cs="Calibri"/>
                <w:color w:val="000000"/>
                <w:sz w:val="20"/>
              </w:rPr>
            </w:pPr>
            <w:r w:rsidRPr="008E6E65">
              <w:rPr>
                <w:rFonts w:ascii="Source Sans Pro" w:hAnsi="Source Sans Pro" w:cs="Calibri"/>
                <w:color w:val="000000"/>
                <w:sz w:val="20"/>
              </w:rPr>
              <w:t>125</w:t>
            </w:r>
          </w:p>
        </w:tc>
      </w:tr>
      <w:tr w14:paraId="2DD790E2" w14:textId="77777777" w:rsidTr="00D5791C">
        <w:tblPrEx>
          <w:tblW w:w="9695" w:type="dxa"/>
          <w:tblCellMar>
            <w:top w:w="15" w:type="dxa"/>
          </w:tblCellMar>
          <w:tblLook w:val="04A0"/>
        </w:tblPrEx>
        <w:trPr>
          <w:trHeight w:val="960"/>
        </w:trPr>
        <w:tc>
          <w:tcPr>
            <w:tcW w:w="2311" w:type="dxa"/>
            <w:tcBorders>
              <w:top w:val="nil"/>
              <w:left w:val="single" w:sz="8" w:space="0" w:color="auto"/>
              <w:bottom w:val="single" w:sz="8" w:space="0" w:color="auto"/>
              <w:right w:val="single" w:sz="8" w:space="0" w:color="auto"/>
            </w:tcBorders>
            <w:vAlign w:val="center"/>
            <w:hideMark/>
          </w:tcPr>
          <w:p w:rsidR="00D5791C" w:rsidRPr="008E6E65" w:rsidP="00D03DD4" w14:paraId="4F7CB464" w14:textId="77777777">
            <w:pPr>
              <w:rPr>
                <w:rFonts w:ascii="Source Sans Pro" w:hAnsi="Source Sans Pro" w:cs="Calibri"/>
                <w:color w:val="000000"/>
                <w:sz w:val="20"/>
              </w:rPr>
            </w:pPr>
            <w:r w:rsidRPr="008E6E65">
              <w:rPr>
                <w:rFonts w:ascii="Source Sans Pro" w:hAnsi="Source Sans Pro" w:cs="Calibri"/>
                <w:color w:val="000000"/>
                <w:sz w:val="20"/>
              </w:rPr>
              <w:t xml:space="preserve">3. Section 351.20(i) - Notice and Response </w:t>
            </w:r>
            <w:r w:rsidRPr="001F7DAF">
              <w:rPr>
                <w:rFonts w:ascii="Source Sans Pro" w:hAnsi="Source Sans Pro" w:cs="Calibri"/>
                <w:color w:val="000000"/>
                <w:sz w:val="20"/>
              </w:rPr>
              <w:t>Initial Set-up</w:t>
            </w:r>
            <w:r w:rsidRPr="008E6E65">
              <w:rPr>
                <w:rFonts w:ascii="Source Sans Pro" w:hAnsi="Source Sans Pro" w:cs="Calibri"/>
                <w:color w:val="000000"/>
                <w:sz w:val="20"/>
              </w:rPr>
              <w:t xml:space="preserve"> (Voluntary)</w:t>
            </w:r>
          </w:p>
        </w:tc>
        <w:tc>
          <w:tcPr>
            <w:tcW w:w="1606" w:type="dxa"/>
            <w:tcBorders>
              <w:top w:val="nil"/>
              <w:left w:val="nil"/>
              <w:bottom w:val="single" w:sz="8" w:space="0" w:color="auto"/>
              <w:right w:val="single" w:sz="8" w:space="0" w:color="auto"/>
            </w:tcBorders>
            <w:vAlign w:val="center"/>
            <w:hideMark/>
          </w:tcPr>
          <w:p w:rsidR="00D5791C" w:rsidRPr="008E6E65" w:rsidP="00D03DD4" w14:paraId="7E21404F" w14:textId="77777777">
            <w:pPr>
              <w:jc w:val="center"/>
              <w:rPr>
                <w:rFonts w:ascii="Source Sans Pro" w:hAnsi="Source Sans Pro" w:cs="Calibri"/>
                <w:color w:val="000000"/>
                <w:sz w:val="20"/>
              </w:rPr>
            </w:pPr>
            <w:r w:rsidRPr="008E6E65">
              <w:rPr>
                <w:rFonts w:ascii="Source Sans Pro" w:hAnsi="Source Sans Pro" w:cs="Calibri"/>
                <w:color w:val="000000"/>
                <w:sz w:val="20"/>
              </w:rPr>
              <w:t xml:space="preserve">Reporting </w:t>
            </w:r>
            <w:r w:rsidRPr="008E6E65">
              <w:rPr>
                <w:rFonts w:ascii="Source Sans Pro" w:hAnsi="Source Sans Pro" w:cs="Calibri"/>
                <w:color w:val="000000"/>
                <w:sz w:val="20"/>
              </w:rPr>
              <w:br/>
              <w:t>(On occasion)</w:t>
            </w:r>
          </w:p>
        </w:tc>
        <w:tc>
          <w:tcPr>
            <w:tcW w:w="1630" w:type="dxa"/>
            <w:tcBorders>
              <w:top w:val="nil"/>
              <w:left w:val="nil"/>
              <w:bottom w:val="single" w:sz="8" w:space="0" w:color="auto"/>
              <w:right w:val="single" w:sz="8" w:space="0" w:color="auto"/>
            </w:tcBorders>
            <w:noWrap/>
            <w:vAlign w:val="center"/>
            <w:hideMark/>
          </w:tcPr>
          <w:p w:rsidR="00D5791C" w:rsidRPr="008E6E65" w:rsidP="00D03DD4" w14:paraId="5CAD0AB0" w14:textId="77777777">
            <w:pPr>
              <w:jc w:val="right"/>
              <w:rPr>
                <w:rFonts w:ascii="Source Sans Pro" w:hAnsi="Source Sans Pro" w:cs="Calibri"/>
                <w:color w:val="000000"/>
                <w:sz w:val="20"/>
              </w:rPr>
            </w:pPr>
            <w:r w:rsidRPr="008E6E65">
              <w:rPr>
                <w:rFonts w:ascii="Source Sans Pro" w:hAnsi="Source Sans Pro" w:cs="Calibri"/>
                <w:color w:val="000000"/>
                <w:sz w:val="20"/>
              </w:rPr>
              <w:t>1</w:t>
            </w:r>
            <w:r w:rsidRPr="00DB212C">
              <w:rPr>
                <w:rFonts w:ascii="Source Sans Pro" w:hAnsi="Source Sans Pro" w:cs="Calibri"/>
                <w:color w:val="000000"/>
                <w:sz w:val="20"/>
                <w:vertAlign w:val="superscript"/>
              </w:rPr>
              <w:t xml:space="preserve"> P</w:t>
            </w:r>
          </w:p>
        </w:tc>
        <w:tc>
          <w:tcPr>
            <w:tcW w:w="1680" w:type="dxa"/>
            <w:tcBorders>
              <w:top w:val="nil"/>
              <w:left w:val="nil"/>
              <w:bottom w:val="single" w:sz="8" w:space="0" w:color="auto"/>
              <w:right w:val="single" w:sz="8" w:space="0" w:color="auto"/>
            </w:tcBorders>
            <w:noWrap/>
            <w:vAlign w:val="center"/>
            <w:hideMark/>
          </w:tcPr>
          <w:p w:rsidR="00D5791C" w:rsidRPr="008E6E65" w:rsidP="00D03DD4" w14:paraId="757FE2AB" w14:textId="77777777">
            <w:pPr>
              <w:jc w:val="right"/>
              <w:rPr>
                <w:rFonts w:ascii="Source Sans Pro" w:hAnsi="Source Sans Pro" w:cs="Calibri"/>
                <w:color w:val="000000"/>
                <w:sz w:val="20"/>
              </w:rPr>
            </w:pPr>
            <w:r w:rsidRPr="008E6E65">
              <w:rPr>
                <w:rFonts w:ascii="Source Sans Pro" w:hAnsi="Source Sans Pro" w:cs="Calibri"/>
                <w:color w:val="000000"/>
                <w:sz w:val="20"/>
              </w:rPr>
              <w:t>1</w:t>
            </w:r>
          </w:p>
        </w:tc>
        <w:tc>
          <w:tcPr>
            <w:tcW w:w="1097" w:type="dxa"/>
            <w:tcBorders>
              <w:top w:val="nil"/>
              <w:left w:val="nil"/>
              <w:bottom w:val="single" w:sz="8" w:space="0" w:color="auto"/>
              <w:right w:val="nil"/>
            </w:tcBorders>
            <w:vAlign w:val="center"/>
            <w:hideMark/>
          </w:tcPr>
          <w:p w:rsidR="00D5791C" w:rsidRPr="008E6E65" w:rsidP="00D03DD4" w14:paraId="4627A711" w14:textId="77777777">
            <w:pPr>
              <w:jc w:val="right"/>
              <w:rPr>
                <w:rFonts w:ascii="Source Sans Pro" w:hAnsi="Source Sans Pro" w:cs="Calibri"/>
                <w:color w:val="000000"/>
                <w:sz w:val="20"/>
              </w:rPr>
            </w:pPr>
            <w:r w:rsidRPr="008E6E65">
              <w:rPr>
                <w:rFonts w:ascii="Source Sans Pro" w:hAnsi="Source Sans Pro" w:cs="Calibri"/>
                <w:color w:val="000000"/>
                <w:sz w:val="20"/>
              </w:rPr>
              <w:t>20:00</w:t>
            </w:r>
          </w:p>
        </w:tc>
        <w:tc>
          <w:tcPr>
            <w:tcW w:w="1371" w:type="dxa"/>
            <w:gridSpan w:val="2"/>
            <w:tcBorders>
              <w:top w:val="nil"/>
              <w:left w:val="single" w:sz="8" w:space="0" w:color="auto"/>
              <w:bottom w:val="single" w:sz="8" w:space="0" w:color="auto"/>
              <w:right w:val="single" w:sz="8" w:space="0" w:color="auto"/>
            </w:tcBorders>
            <w:noWrap/>
            <w:vAlign w:val="center"/>
            <w:hideMark/>
          </w:tcPr>
          <w:p w:rsidR="00D5791C" w:rsidRPr="008E6E65" w:rsidP="00D03DD4" w14:paraId="7A411535" w14:textId="77777777">
            <w:pPr>
              <w:jc w:val="right"/>
              <w:rPr>
                <w:rFonts w:ascii="Source Sans Pro" w:hAnsi="Source Sans Pro" w:cs="Calibri"/>
                <w:color w:val="000000"/>
                <w:sz w:val="20"/>
              </w:rPr>
            </w:pPr>
            <w:r w:rsidRPr="008E6E65">
              <w:rPr>
                <w:rFonts w:ascii="Source Sans Pro" w:hAnsi="Source Sans Pro" w:cs="Calibri"/>
                <w:color w:val="000000"/>
                <w:sz w:val="20"/>
              </w:rPr>
              <w:t>20</w:t>
            </w:r>
          </w:p>
        </w:tc>
      </w:tr>
      <w:tr w14:paraId="59C45705" w14:textId="77777777" w:rsidTr="00D5791C">
        <w:tblPrEx>
          <w:tblW w:w="9695" w:type="dxa"/>
          <w:tblCellMar>
            <w:top w:w="15" w:type="dxa"/>
          </w:tblCellMar>
          <w:tblLook w:val="04A0"/>
        </w:tblPrEx>
        <w:trPr>
          <w:trHeight w:val="1392"/>
        </w:trPr>
        <w:tc>
          <w:tcPr>
            <w:tcW w:w="2311" w:type="dxa"/>
            <w:tcBorders>
              <w:top w:val="nil"/>
              <w:left w:val="single" w:sz="8" w:space="0" w:color="auto"/>
              <w:bottom w:val="single" w:sz="8" w:space="0" w:color="auto"/>
              <w:right w:val="single" w:sz="8" w:space="0" w:color="auto"/>
            </w:tcBorders>
            <w:vAlign w:val="center"/>
            <w:hideMark/>
          </w:tcPr>
          <w:p w:rsidR="00D5791C" w:rsidRPr="008E6E65" w:rsidP="00D03DD4" w14:paraId="41DE070B" w14:textId="77777777">
            <w:pPr>
              <w:rPr>
                <w:rFonts w:ascii="Source Sans Pro" w:hAnsi="Source Sans Pro" w:cs="Calibri"/>
                <w:color w:val="000000"/>
                <w:sz w:val="20"/>
              </w:rPr>
            </w:pPr>
            <w:r w:rsidRPr="008E6E65">
              <w:rPr>
                <w:rFonts w:ascii="Source Sans Pro" w:hAnsi="Source Sans Pro" w:cs="Calibri"/>
                <w:color w:val="000000"/>
                <w:sz w:val="20"/>
              </w:rPr>
              <w:t xml:space="preserve">4. Section 351.3(d)(3) - Purchase and </w:t>
            </w:r>
            <w:r>
              <w:rPr>
                <w:rFonts w:ascii="Source Sans Pro" w:hAnsi="Source Sans Pro" w:cs="Calibri"/>
                <w:color w:val="000000"/>
                <w:sz w:val="20"/>
              </w:rPr>
              <w:t>S</w:t>
            </w:r>
            <w:r w:rsidRPr="008E6E65">
              <w:rPr>
                <w:rFonts w:ascii="Source Sans Pro" w:hAnsi="Source Sans Pro" w:cs="Calibri"/>
                <w:color w:val="000000"/>
                <w:sz w:val="20"/>
              </w:rPr>
              <w:t xml:space="preserve">ale of </w:t>
            </w:r>
            <w:r>
              <w:rPr>
                <w:rFonts w:ascii="Source Sans Pro" w:hAnsi="Source Sans Pro" w:cs="Calibri"/>
                <w:color w:val="000000"/>
                <w:sz w:val="20"/>
              </w:rPr>
              <w:t>S</w:t>
            </w:r>
            <w:r w:rsidRPr="008E6E65">
              <w:rPr>
                <w:rFonts w:ascii="Source Sans Pro" w:hAnsi="Source Sans Pro" w:cs="Calibri"/>
                <w:color w:val="000000"/>
                <w:sz w:val="20"/>
              </w:rPr>
              <w:t xml:space="preserve">ecurities in Accordance with </w:t>
            </w:r>
            <w:r>
              <w:rPr>
                <w:rFonts w:ascii="Source Sans Pro" w:hAnsi="Source Sans Pro" w:cs="Calibri"/>
                <w:color w:val="000000"/>
                <w:sz w:val="20"/>
              </w:rPr>
              <w:t>L</w:t>
            </w:r>
            <w:r w:rsidRPr="008E6E65">
              <w:rPr>
                <w:rFonts w:ascii="Source Sans Pro" w:hAnsi="Source Sans Pro" w:cs="Calibri"/>
                <w:color w:val="000000"/>
                <w:sz w:val="20"/>
              </w:rPr>
              <w:t xml:space="preserve">iquidity </w:t>
            </w:r>
            <w:r>
              <w:rPr>
                <w:rFonts w:ascii="Source Sans Pro" w:hAnsi="Source Sans Pro" w:cs="Calibri"/>
                <w:color w:val="000000"/>
                <w:sz w:val="20"/>
              </w:rPr>
              <w:t>M</w:t>
            </w:r>
            <w:r w:rsidRPr="008E6E65">
              <w:rPr>
                <w:rFonts w:ascii="Source Sans Pro" w:hAnsi="Source Sans Pro" w:cs="Calibri"/>
                <w:color w:val="000000"/>
                <w:sz w:val="20"/>
              </w:rPr>
              <w:t xml:space="preserve">anagement </w:t>
            </w:r>
            <w:r>
              <w:rPr>
                <w:rFonts w:ascii="Source Sans Pro" w:hAnsi="Source Sans Pro" w:cs="Calibri"/>
                <w:color w:val="000000"/>
                <w:sz w:val="20"/>
              </w:rPr>
              <w:t>P</w:t>
            </w:r>
            <w:r w:rsidRPr="008E6E65">
              <w:rPr>
                <w:rFonts w:ascii="Source Sans Pro" w:hAnsi="Source Sans Pro" w:cs="Calibri"/>
                <w:color w:val="000000"/>
                <w:sz w:val="20"/>
              </w:rPr>
              <w:t xml:space="preserve">lans </w:t>
            </w:r>
            <w:r w:rsidRPr="001F7DAF">
              <w:rPr>
                <w:rFonts w:ascii="Source Sans Pro" w:hAnsi="Source Sans Pro" w:cs="Calibri"/>
                <w:color w:val="000000"/>
                <w:sz w:val="20"/>
              </w:rPr>
              <w:t>Initial Set-up</w:t>
            </w:r>
            <w:r w:rsidRPr="008E6E65">
              <w:rPr>
                <w:rFonts w:ascii="Source Sans Pro" w:hAnsi="Source Sans Pro" w:cs="Calibri"/>
                <w:color w:val="000000"/>
                <w:sz w:val="20"/>
              </w:rPr>
              <w:t xml:space="preserve"> (Mandatory)</w:t>
            </w:r>
          </w:p>
        </w:tc>
        <w:tc>
          <w:tcPr>
            <w:tcW w:w="1606" w:type="dxa"/>
            <w:tcBorders>
              <w:top w:val="nil"/>
              <w:left w:val="nil"/>
              <w:bottom w:val="single" w:sz="8" w:space="0" w:color="auto"/>
              <w:right w:val="single" w:sz="8" w:space="0" w:color="auto"/>
            </w:tcBorders>
            <w:vAlign w:val="center"/>
            <w:hideMark/>
          </w:tcPr>
          <w:p w:rsidR="00D5791C" w:rsidRPr="008E6E65" w:rsidP="00D03DD4" w14:paraId="7DC0FBC5" w14:textId="77777777">
            <w:pPr>
              <w:jc w:val="center"/>
              <w:rPr>
                <w:rFonts w:ascii="Source Sans Pro" w:hAnsi="Source Sans Pro" w:cs="Calibri"/>
                <w:color w:val="000000"/>
                <w:sz w:val="20"/>
              </w:rPr>
            </w:pPr>
            <w:r w:rsidRPr="008E6E65">
              <w:rPr>
                <w:rFonts w:ascii="Source Sans Pro" w:hAnsi="Source Sans Pro" w:cs="Calibri"/>
                <w:color w:val="000000"/>
                <w:sz w:val="20"/>
              </w:rPr>
              <w:t xml:space="preserve">Recordkeeping </w:t>
            </w:r>
            <w:r w:rsidRPr="008E6E65">
              <w:rPr>
                <w:rFonts w:ascii="Source Sans Pro" w:hAnsi="Source Sans Pro" w:cs="Calibri"/>
                <w:color w:val="000000"/>
                <w:sz w:val="20"/>
              </w:rPr>
              <w:br/>
              <w:t>(On occasion)</w:t>
            </w:r>
          </w:p>
        </w:tc>
        <w:tc>
          <w:tcPr>
            <w:tcW w:w="1630" w:type="dxa"/>
            <w:tcBorders>
              <w:top w:val="nil"/>
              <w:left w:val="nil"/>
              <w:bottom w:val="single" w:sz="8" w:space="0" w:color="auto"/>
              <w:right w:val="single" w:sz="8" w:space="0" w:color="auto"/>
            </w:tcBorders>
            <w:noWrap/>
            <w:vAlign w:val="center"/>
            <w:hideMark/>
          </w:tcPr>
          <w:p w:rsidR="00D5791C" w:rsidRPr="008E6E65" w:rsidP="00D03DD4" w14:paraId="6F87BF68" w14:textId="77777777">
            <w:pPr>
              <w:jc w:val="right"/>
              <w:rPr>
                <w:rFonts w:ascii="Source Sans Pro" w:hAnsi="Source Sans Pro" w:cs="Calibri"/>
                <w:color w:val="000000"/>
                <w:sz w:val="20"/>
              </w:rPr>
            </w:pPr>
            <w:r w:rsidRPr="008E6E65">
              <w:rPr>
                <w:rFonts w:ascii="Source Sans Pro" w:hAnsi="Source Sans Pro" w:cs="Calibri"/>
                <w:color w:val="000000"/>
                <w:sz w:val="20"/>
              </w:rPr>
              <w:t>1</w:t>
            </w:r>
            <w:r w:rsidRPr="00DB212C">
              <w:rPr>
                <w:rFonts w:ascii="Source Sans Pro" w:hAnsi="Source Sans Pro" w:cs="Calibri"/>
                <w:color w:val="000000"/>
                <w:sz w:val="20"/>
                <w:vertAlign w:val="superscript"/>
              </w:rPr>
              <w:t xml:space="preserve"> P</w:t>
            </w:r>
          </w:p>
        </w:tc>
        <w:tc>
          <w:tcPr>
            <w:tcW w:w="1680" w:type="dxa"/>
            <w:tcBorders>
              <w:top w:val="nil"/>
              <w:left w:val="nil"/>
              <w:bottom w:val="single" w:sz="8" w:space="0" w:color="auto"/>
              <w:right w:val="single" w:sz="8" w:space="0" w:color="auto"/>
            </w:tcBorders>
            <w:noWrap/>
            <w:vAlign w:val="center"/>
            <w:hideMark/>
          </w:tcPr>
          <w:p w:rsidR="00D5791C" w:rsidRPr="008E6E65" w:rsidP="00D03DD4" w14:paraId="45C6E8F3" w14:textId="77777777">
            <w:pPr>
              <w:jc w:val="right"/>
              <w:rPr>
                <w:rFonts w:ascii="Source Sans Pro" w:hAnsi="Source Sans Pro" w:cs="Calibri"/>
                <w:color w:val="000000"/>
                <w:sz w:val="20"/>
              </w:rPr>
            </w:pPr>
            <w:r w:rsidRPr="008E6E65">
              <w:rPr>
                <w:rFonts w:ascii="Source Sans Pro" w:hAnsi="Source Sans Pro" w:cs="Calibri"/>
                <w:color w:val="000000"/>
                <w:sz w:val="20"/>
              </w:rPr>
              <w:t>1</w:t>
            </w:r>
          </w:p>
        </w:tc>
        <w:tc>
          <w:tcPr>
            <w:tcW w:w="1097" w:type="dxa"/>
            <w:tcBorders>
              <w:top w:val="nil"/>
              <w:left w:val="nil"/>
              <w:bottom w:val="single" w:sz="8" w:space="0" w:color="auto"/>
              <w:right w:val="nil"/>
            </w:tcBorders>
            <w:vAlign w:val="center"/>
            <w:hideMark/>
          </w:tcPr>
          <w:p w:rsidR="00D5791C" w:rsidRPr="008E6E65" w:rsidP="00D03DD4" w14:paraId="7AE388F7" w14:textId="77777777">
            <w:pPr>
              <w:jc w:val="right"/>
              <w:rPr>
                <w:rFonts w:ascii="Source Sans Pro" w:hAnsi="Source Sans Pro" w:cs="Calibri"/>
                <w:color w:val="000000"/>
                <w:sz w:val="20"/>
              </w:rPr>
            </w:pPr>
            <w:r w:rsidRPr="008E6E65">
              <w:rPr>
                <w:rFonts w:ascii="Source Sans Pro" w:hAnsi="Source Sans Pro" w:cs="Calibri"/>
                <w:color w:val="000000"/>
                <w:sz w:val="20"/>
              </w:rPr>
              <w:t>3:00</w:t>
            </w:r>
          </w:p>
        </w:tc>
        <w:tc>
          <w:tcPr>
            <w:tcW w:w="1371" w:type="dxa"/>
            <w:gridSpan w:val="2"/>
            <w:tcBorders>
              <w:top w:val="nil"/>
              <w:left w:val="single" w:sz="8" w:space="0" w:color="auto"/>
              <w:bottom w:val="single" w:sz="8" w:space="0" w:color="auto"/>
              <w:right w:val="single" w:sz="8" w:space="0" w:color="auto"/>
            </w:tcBorders>
            <w:noWrap/>
            <w:vAlign w:val="center"/>
            <w:hideMark/>
          </w:tcPr>
          <w:p w:rsidR="00D5791C" w:rsidRPr="008E6E65" w:rsidP="00D03DD4" w14:paraId="060A7201" w14:textId="77777777">
            <w:pPr>
              <w:jc w:val="right"/>
              <w:rPr>
                <w:rFonts w:ascii="Source Sans Pro" w:hAnsi="Source Sans Pro" w:cs="Calibri"/>
                <w:color w:val="000000"/>
                <w:sz w:val="20"/>
              </w:rPr>
            </w:pPr>
            <w:r w:rsidRPr="008E6E65">
              <w:rPr>
                <w:rFonts w:ascii="Source Sans Pro" w:hAnsi="Source Sans Pro" w:cs="Calibri"/>
                <w:color w:val="000000"/>
                <w:sz w:val="20"/>
              </w:rPr>
              <w:t>3</w:t>
            </w:r>
          </w:p>
        </w:tc>
      </w:tr>
      <w:tr w14:paraId="3226035C" w14:textId="77777777" w:rsidTr="00D5791C">
        <w:tblPrEx>
          <w:tblW w:w="9695" w:type="dxa"/>
          <w:tblCellMar>
            <w:top w:w="15" w:type="dxa"/>
          </w:tblCellMar>
          <w:tblLook w:val="04A0"/>
        </w:tblPrEx>
        <w:trPr>
          <w:trHeight w:val="1116"/>
        </w:trPr>
        <w:tc>
          <w:tcPr>
            <w:tcW w:w="2311" w:type="dxa"/>
            <w:tcBorders>
              <w:top w:val="nil"/>
              <w:left w:val="single" w:sz="8" w:space="0" w:color="auto"/>
              <w:bottom w:val="single" w:sz="8" w:space="0" w:color="auto"/>
              <w:right w:val="single" w:sz="8" w:space="0" w:color="auto"/>
            </w:tcBorders>
            <w:vAlign w:val="center"/>
            <w:hideMark/>
          </w:tcPr>
          <w:p w:rsidR="00D5791C" w:rsidRPr="008E6E65" w:rsidP="00D03DD4" w14:paraId="5C4B3FAB" w14:textId="77777777">
            <w:pPr>
              <w:rPr>
                <w:rFonts w:ascii="Source Sans Pro" w:hAnsi="Source Sans Pro" w:cs="Calibri"/>
                <w:color w:val="000000"/>
                <w:sz w:val="20"/>
              </w:rPr>
            </w:pPr>
            <w:r w:rsidRPr="008E6E65">
              <w:rPr>
                <w:rFonts w:ascii="Source Sans Pro" w:hAnsi="Source Sans Pro" w:cs="Calibri"/>
                <w:color w:val="000000"/>
                <w:sz w:val="20"/>
              </w:rPr>
              <w:t xml:space="preserve">5. Section 351.4(b)(3)(i)(A) - Trading Desk Documentation </w:t>
            </w:r>
            <w:r w:rsidRPr="001F7DAF">
              <w:rPr>
                <w:rFonts w:ascii="Source Sans Pro" w:hAnsi="Source Sans Pro" w:cs="Calibri"/>
                <w:color w:val="000000"/>
                <w:sz w:val="20"/>
              </w:rPr>
              <w:t>Initial Set-up</w:t>
            </w:r>
            <w:r w:rsidRPr="008E6E65">
              <w:rPr>
                <w:rFonts w:ascii="Source Sans Pro" w:hAnsi="Source Sans Pro" w:cs="Calibri"/>
                <w:color w:val="000000"/>
                <w:sz w:val="20"/>
              </w:rPr>
              <w:t xml:space="preserve"> (Mandatory)</w:t>
            </w:r>
          </w:p>
        </w:tc>
        <w:tc>
          <w:tcPr>
            <w:tcW w:w="1606" w:type="dxa"/>
            <w:tcBorders>
              <w:top w:val="nil"/>
              <w:left w:val="nil"/>
              <w:bottom w:val="single" w:sz="8" w:space="0" w:color="auto"/>
              <w:right w:val="single" w:sz="8" w:space="0" w:color="auto"/>
            </w:tcBorders>
            <w:vAlign w:val="center"/>
            <w:hideMark/>
          </w:tcPr>
          <w:p w:rsidR="00D5791C" w:rsidRPr="008E6E65" w:rsidP="00D03DD4" w14:paraId="4DD66FB1" w14:textId="77777777">
            <w:pPr>
              <w:jc w:val="center"/>
              <w:rPr>
                <w:rFonts w:ascii="Source Sans Pro" w:hAnsi="Source Sans Pro" w:cs="Calibri"/>
                <w:color w:val="000000"/>
                <w:sz w:val="20"/>
              </w:rPr>
            </w:pPr>
            <w:r w:rsidRPr="008E6E65">
              <w:rPr>
                <w:rFonts w:ascii="Source Sans Pro" w:hAnsi="Source Sans Pro" w:cs="Calibri"/>
                <w:color w:val="000000"/>
                <w:sz w:val="20"/>
              </w:rPr>
              <w:t xml:space="preserve">Recordkeeping </w:t>
            </w:r>
            <w:r w:rsidRPr="008E6E65">
              <w:rPr>
                <w:rFonts w:ascii="Source Sans Pro" w:hAnsi="Source Sans Pro" w:cs="Calibri"/>
                <w:color w:val="000000"/>
                <w:sz w:val="20"/>
              </w:rPr>
              <w:br/>
              <w:t>(On occasion)</w:t>
            </w:r>
          </w:p>
        </w:tc>
        <w:tc>
          <w:tcPr>
            <w:tcW w:w="1630" w:type="dxa"/>
            <w:tcBorders>
              <w:top w:val="nil"/>
              <w:left w:val="nil"/>
              <w:bottom w:val="single" w:sz="8" w:space="0" w:color="auto"/>
              <w:right w:val="single" w:sz="8" w:space="0" w:color="auto"/>
            </w:tcBorders>
            <w:noWrap/>
            <w:vAlign w:val="center"/>
            <w:hideMark/>
          </w:tcPr>
          <w:p w:rsidR="00D5791C" w:rsidRPr="008E6E65" w:rsidP="00D03DD4" w14:paraId="3687BAB5" w14:textId="77777777">
            <w:pPr>
              <w:jc w:val="right"/>
              <w:rPr>
                <w:rFonts w:ascii="Source Sans Pro" w:hAnsi="Source Sans Pro" w:cs="Calibri"/>
                <w:color w:val="000000"/>
                <w:sz w:val="20"/>
              </w:rPr>
            </w:pPr>
            <w:r w:rsidRPr="008E6E65">
              <w:rPr>
                <w:rFonts w:ascii="Source Sans Pro" w:hAnsi="Source Sans Pro" w:cs="Calibri"/>
                <w:color w:val="000000"/>
                <w:sz w:val="20"/>
              </w:rPr>
              <w:t>1</w:t>
            </w:r>
            <w:r w:rsidRPr="00DB212C">
              <w:rPr>
                <w:rFonts w:ascii="Source Sans Pro" w:hAnsi="Source Sans Pro" w:cs="Calibri"/>
                <w:color w:val="000000"/>
                <w:sz w:val="20"/>
                <w:vertAlign w:val="superscript"/>
              </w:rPr>
              <w:t xml:space="preserve"> P</w:t>
            </w:r>
          </w:p>
        </w:tc>
        <w:tc>
          <w:tcPr>
            <w:tcW w:w="1680" w:type="dxa"/>
            <w:tcBorders>
              <w:top w:val="nil"/>
              <w:left w:val="nil"/>
              <w:bottom w:val="single" w:sz="8" w:space="0" w:color="auto"/>
              <w:right w:val="single" w:sz="8" w:space="0" w:color="auto"/>
            </w:tcBorders>
            <w:noWrap/>
            <w:vAlign w:val="center"/>
            <w:hideMark/>
          </w:tcPr>
          <w:p w:rsidR="00D5791C" w:rsidRPr="008E6E65" w:rsidP="00D03DD4" w14:paraId="101290B1" w14:textId="77777777">
            <w:pPr>
              <w:jc w:val="right"/>
              <w:rPr>
                <w:rFonts w:ascii="Source Sans Pro" w:hAnsi="Source Sans Pro" w:cs="Calibri"/>
                <w:color w:val="000000"/>
                <w:sz w:val="20"/>
              </w:rPr>
            </w:pPr>
            <w:r w:rsidRPr="008E6E65">
              <w:rPr>
                <w:rFonts w:ascii="Source Sans Pro" w:hAnsi="Source Sans Pro" w:cs="Calibri"/>
                <w:color w:val="000000"/>
                <w:sz w:val="20"/>
              </w:rPr>
              <w:t>1</w:t>
            </w:r>
          </w:p>
        </w:tc>
        <w:tc>
          <w:tcPr>
            <w:tcW w:w="1097" w:type="dxa"/>
            <w:tcBorders>
              <w:top w:val="nil"/>
              <w:left w:val="nil"/>
              <w:bottom w:val="single" w:sz="8" w:space="0" w:color="auto"/>
              <w:right w:val="nil"/>
            </w:tcBorders>
            <w:vAlign w:val="center"/>
            <w:hideMark/>
          </w:tcPr>
          <w:p w:rsidR="00D5791C" w:rsidRPr="008E6E65" w:rsidP="00D03DD4" w14:paraId="33458F19" w14:textId="77777777">
            <w:pPr>
              <w:jc w:val="right"/>
              <w:rPr>
                <w:rFonts w:ascii="Source Sans Pro" w:hAnsi="Source Sans Pro" w:cs="Calibri"/>
                <w:color w:val="000000"/>
                <w:sz w:val="20"/>
              </w:rPr>
            </w:pPr>
            <w:r w:rsidRPr="008E6E65">
              <w:rPr>
                <w:rFonts w:ascii="Source Sans Pro" w:hAnsi="Source Sans Pro" w:cs="Calibri"/>
                <w:color w:val="000000"/>
                <w:sz w:val="20"/>
              </w:rPr>
              <w:t>2:00</w:t>
            </w:r>
          </w:p>
        </w:tc>
        <w:tc>
          <w:tcPr>
            <w:tcW w:w="1371" w:type="dxa"/>
            <w:gridSpan w:val="2"/>
            <w:tcBorders>
              <w:top w:val="nil"/>
              <w:left w:val="single" w:sz="8" w:space="0" w:color="auto"/>
              <w:bottom w:val="single" w:sz="8" w:space="0" w:color="auto"/>
              <w:right w:val="single" w:sz="8" w:space="0" w:color="auto"/>
            </w:tcBorders>
            <w:noWrap/>
            <w:vAlign w:val="center"/>
            <w:hideMark/>
          </w:tcPr>
          <w:p w:rsidR="00D5791C" w:rsidRPr="008E6E65" w:rsidP="00D03DD4" w14:paraId="0E8F7FC9" w14:textId="77777777">
            <w:pPr>
              <w:jc w:val="right"/>
              <w:rPr>
                <w:rFonts w:ascii="Source Sans Pro" w:hAnsi="Source Sans Pro" w:cs="Calibri"/>
                <w:color w:val="000000"/>
                <w:sz w:val="20"/>
              </w:rPr>
            </w:pPr>
            <w:r w:rsidRPr="008E6E65">
              <w:rPr>
                <w:rFonts w:ascii="Source Sans Pro" w:hAnsi="Source Sans Pro" w:cs="Calibri"/>
                <w:color w:val="000000"/>
                <w:sz w:val="20"/>
              </w:rPr>
              <w:t>2</w:t>
            </w:r>
          </w:p>
        </w:tc>
      </w:tr>
      <w:tr w14:paraId="0FE80749" w14:textId="77777777" w:rsidTr="00D5791C">
        <w:tblPrEx>
          <w:tblW w:w="9695" w:type="dxa"/>
          <w:tblCellMar>
            <w:top w:w="15" w:type="dxa"/>
          </w:tblCellMar>
          <w:tblLook w:val="04A0"/>
        </w:tblPrEx>
        <w:trPr>
          <w:trHeight w:val="840"/>
        </w:trPr>
        <w:tc>
          <w:tcPr>
            <w:tcW w:w="2311" w:type="dxa"/>
            <w:tcBorders>
              <w:top w:val="nil"/>
              <w:left w:val="single" w:sz="8" w:space="0" w:color="auto"/>
              <w:bottom w:val="single" w:sz="8" w:space="0" w:color="auto"/>
              <w:right w:val="single" w:sz="8" w:space="0" w:color="auto"/>
            </w:tcBorders>
            <w:vAlign w:val="center"/>
            <w:hideMark/>
          </w:tcPr>
          <w:p w:rsidR="00D5791C" w:rsidRPr="008E6E65" w:rsidP="00D03DD4" w14:paraId="775BA2E1" w14:textId="77777777">
            <w:pPr>
              <w:rPr>
                <w:rFonts w:ascii="Source Sans Pro" w:hAnsi="Source Sans Pro" w:cs="Calibri"/>
                <w:color w:val="000000"/>
                <w:sz w:val="20"/>
              </w:rPr>
            </w:pPr>
            <w:r w:rsidRPr="008E6E65">
              <w:rPr>
                <w:rFonts w:ascii="Source Sans Pro" w:hAnsi="Source Sans Pro" w:cs="Calibri"/>
                <w:color w:val="000000"/>
                <w:sz w:val="20"/>
              </w:rPr>
              <w:t>6. Section 351.4(c)(3)(i) - Limit Breaches and Increases</w:t>
            </w:r>
            <w:r>
              <w:rPr>
                <w:rFonts w:ascii="Source Sans Pro" w:hAnsi="Source Sans Pro" w:cs="Calibri"/>
                <w:color w:val="000000"/>
                <w:sz w:val="20"/>
              </w:rPr>
              <w:t xml:space="preserve"> </w:t>
            </w:r>
            <w:r w:rsidRPr="001F7DAF">
              <w:rPr>
                <w:rFonts w:ascii="Source Sans Pro" w:hAnsi="Source Sans Pro" w:cs="Calibri"/>
                <w:color w:val="000000"/>
                <w:sz w:val="20"/>
              </w:rPr>
              <w:t>Initial Set-up</w:t>
            </w:r>
            <w:r w:rsidRPr="008E6E65">
              <w:rPr>
                <w:rFonts w:ascii="Source Sans Pro" w:hAnsi="Source Sans Pro" w:cs="Calibri"/>
                <w:color w:val="000000"/>
                <w:sz w:val="20"/>
              </w:rPr>
              <w:t xml:space="preserve"> (Mandatory)</w:t>
            </w:r>
          </w:p>
        </w:tc>
        <w:tc>
          <w:tcPr>
            <w:tcW w:w="1606" w:type="dxa"/>
            <w:tcBorders>
              <w:top w:val="nil"/>
              <w:left w:val="nil"/>
              <w:bottom w:val="single" w:sz="8" w:space="0" w:color="auto"/>
              <w:right w:val="single" w:sz="8" w:space="0" w:color="auto"/>
            </w:tcBorders>
            <w:vAlign w:val="center"/>
            <w:hideMark/>
          </w:tcPr>
          <w:p w:rsidR="00D5791C" w:rsidRPr="008E6E65" w:rsidP="00D03DD4" w14:paraId="1184965D" w14:textId="77777777">
            <w:pPr>
              <w:jc w:val="center"/>
              <w:rPr>
                <w:rFonts w:ascii="Source Sans Pro" w:hAnsi="Source Sans Pro" w:cs="Calibri"/>
                <w:color w:val="000000"/>
                <w:sz w:val="20"/>
              </w:rPr>
            </w:pPr>
            <w:r w:rsidRPr="008E6E65">
              <w:rPr>
                <w:rFonts w:ascii="Source Sans Pro" w:hAnsi="Source Sans Pro" w:cs="Calibri"/>
                <w:color w:val="000000"/>
                <w:sz w:val="20"/>
              </w:rPr>
              <w:t xml:space="preserve">Recordkeeping </w:t>
            </w:r>
            <w:r w:rsidRPr="008E6E65">
              <w:rPr>
                <w:rFonts w:ascii="Source Sans Pro" w:hAnsi="Source Sans Pro" w:cs="Calibri"/>
                <w:color w:val="000000"/>
                <w:sz w:val="20"/>
              </w:rPr>
              <w:br/>
              <w:t>(On occasion)</w:t>
            </w:r>
          </w:p>
        </w:tc>
        <w:tc>
          <w:tcPr>
            <w:tcW w:w="1630" w:type="dxa"/>
            <w:tcBorders>
              <w:top w:val="nil"/>
              <w:left w:val="nil"/>
              <w:bottom w:val="single" w:sz="8" w:space="0" w:color="auto"/>
              <w:right w:val="single" w:sz="8" w:space="0" w:color="auto"/>
            </w:tcBorders>
            <w:noWrap/>
            <w:vAlign w:val="center"/>
            <w:hideMark/>
          </w:tcPr>
          <w:p w:rsidR="00D5791C" w:rsidRPr="008E6E65" w:rsidP="00D03DD4" w14:paraId="268934BE" w14:textId="77777777">
            <w:pPr>
              <w:jc w:val="right"/>
              <w:rPr>
                <w:rFonts w:ascii="Source Sans Pro" w:hAnsi="Source Sans Pro" w:cs="Calibri"/>
                <w:color w:val="000000"/>
                <w:sz w:val="20"/>
              </w:rPr>
            </w:pPr>
            <w:r w:rsidRPr="008E6E65">
              <w:rPr>
                <w:rFonts w:ascii="Source Sans Pro" w:hAnsi="Source Sans Pro" w:cs="Calibri"/>
                <w:color w:val="000000"/>
                <w:sz w:val="20"/>
              </w:rPr>
              <w:t>1</w:t>
            </w:r>
            <w:r w:rsidRPr="00DB212C">
              <w:rPr>
                <w:rFonts w:ascii="Source Sans Pro" w:hAnsi="Source Sans Pro" w:cs="Calibri"/>
                <w:color w:val="000000"/>
                <w:sz w:val="20"/>
                <w:vertAlign w:val="superscript"/>
              </w:rPr>
              <w:t xml:space="preserve"> P</w:t>
            </w:r>
          </w:p>
        </w:tc>
        <w:tc>
          <w:tcPr>
            <w:tcW w:w="1680" w:type="dxa"/>
            <w:tcBorders>
              <w:top w:val="nil"/>
              <w:left w:val="nil"/>
              <w:bottom w:val="single" w:sz="8" w:space="0" w:color="auto"/>
              <w:right w:val="single" w:sz="8" w:space="0" w:color="auto"/>
            </w:tcBorders>
            <w:noWrap/>
            <w:vAlign w:val="center"/>
            <w:hideMark/>
          </w:tcPr>
          <w:p w:rsidR="00D5791C" w:rsidRPr="008E6E65" w:rsidP="00D03DD4" w14:paraId="78B93762" w14:textId="77777777">
            <w:pPr>
              <w:jc w:val="right"/>
              <w:rPr>
                <w:rFonts w:ascii="Source Sans Pro" w:hAnsi="Source Sans Pro" w:cs="Calibri"/>
                <w:color w:val="000000"/>
                <w:sz w:val="20"/>
              </w:rPr>
            </w:pPr>
            <w:r w:rsidRPr="008E6E65">
              <w:rPr>
                <w:rFonts w:ascii="Source Sans Pro" w:hAnsi="Source Sans Pro" w:cs="Calibri"/>
                <w:color w:val="000000"/>
                <w:sz w:val="20"/>
              </w:rPr>
              <w:t>1</w:t>
            </w:r>
          </w:p>
        </w:tc>
        <w:tc>
          <w:tcPr>
            <w:tcW w:w="1097" w:type="dxa"/>
            <w:tcBorders>
              <w:top w:val="nil"/>
              <w:left w:val="nil"/>
              <w:bottom w:val="single" w:sz="8" w:space="0" w:color="auto"/>
              <w:right w:val="nil"/>
            </w:tcBorders>
            <w:vAlign w:val="center"/>
            <w:hideMark/>
          </w:tcPr>
          <w:p w:rsidR="00D5791C" w:rsidRPr="008E6E65" w:rsidP="00D03DD4" w14:paraId="748EAD0D" w14:textId="77777777">
            <w:pPr>
              <w:jc w:val="right"/>
              <w:rPr>
                <w:rFonts w:ascii="Source Sans Pro" w:hAnsi="Source Sans Pro" w:cs="Calibri"/>
                <w:color w:val="000000"/>
                <w:sz w:val="20"/>
              </w:rPr>
            </w:pPr>
            <w:r w:rsidRPr="008E6E65">
              <w:rPr>
                <w:rFonts w:ascii="Source Sans Pro" w:hAnsi="Source Sans Pro" w:cs="Calibri"/>
                <w:color w:val="000000"/>
                <w:sz w:val="20"/>
              </w:rPr>
              <w:t>00:15</w:t>
            </w:r>
          </w:p>
        </w:tc>
        <w:tc>
          <w:tcPr>
            <w:tcW w:w="1371" w:type="dxa"/>
            <w:gridSpan w:val="2"/>
            <w:tcBorders>
              <w:top w:val="nil"/>
              <w:left w:val="single" w:sz="8" w:space="0" w:color="auto"/>
              <w:bottom w:val="single" w:sz="8" w:space="0" w:color="auto"/>
              <w:right w:val="single" w:sz="8" w:space="0" w:color="auto"/>
            </w:tcBorders>
            <w:noWrap/>
            <w:vAlign w:val="center"/>
            <w:hideMark/>
          </w:tcPr>
          <w:p w:rsidR="00D5791C" w:rsidRPr="008E6E65" w:rsidP="00D03DD4" w14:paraId="2091AEB5" w14:textId="77777777">
            <w:pPr>
              <w:jc w:val="right"/>
              <w:rPr>
                <w:rFonts w:ascii="Source Sans Pro" w:hAnsi="Source Sans Pro" w:cs="Calibri"/>
                <w:color w:val="000000"/>
                <w:sz w:val="20"/>
              </w:rPr>
            </w:pPr>
            <w:r w:rsidRPr="008E6E65">
              <w:rPr>
                <w:rFonts w:ascii="Source Sans Pro" w:hAnsi="Source Sans Pro" w:cs="Calibri"/>
                <w:color w:val="000000"/>
                <w:sz w:val="20"/>
              </w:rPr>
              <w:t>0</w:t>
            </w:r>
          </w:p>
        </w:tc>
      </w:tr>
      <w:tr w14:paraId="28999E8B" w14:textId="77777777" w:rsidTr="00D5791C">
        <w:tblPrEx>
          <w:tblW w:w="9695" w:type="dxa"/>
          <w:tblCellMar>
            <w:top w:w="15" w:type="dxa"/>
          </w:tblCellMar>
          <w:tblLook w:val="04A0"/>
        </w:tblPrEx>
        <w:trPr>
          <w:trHeight w:val="1116"/>
        </w:trPr>
        <w:tc>
          <w:tcPr>
            <w:tcW w:w="2311" w:type="dxa"/>
            <w:tcBorders>
              <w:top w:val="nil"/>
              <w:left w:val="single" w:sz="8" w:space="0" w:color="auto"/>
              <w:bottom w:val="single" w:sz="8" w:space="0" w:color="auto"/>
              <w:right w:val="single" w:sz="8" w:space="0" w:color="auto"/>
            </w:tcBorders>
            <w:vAlign w:val="center"/>
            <w:hideMark/>
          </w:tcPr>
          <w:p w:rsidR="00D5791C" w:rsidRPr="008E6E65" w:rsidP="00D03DD4" w14:paraId="536C3178" w14:textId="77777777">
            <w:pPr>
              <w:rPr>
                <w:rFonts w:ascii="Source Sans Pro" w:hAnsi="Source Sans Pro" w:cs="Calibri"/>
                <w:color w:val="000000"/>
                <w:sz w:val="20"/>
              </w:rPr>
            </w:pPr>
            <w:r w:rsidRPr="008E6E65">
              <w:rPr>
                <w:rFonts w:ascii="Source Sans Pro" w:hAnsi="Source Sans Pro" w:cs="Calibri"/>
                <w:color w:val="000000"/>
                <w:sz w:val="20"/>
              </w:rPr>
              <w:t xml:space="preserve">7. Section 351.5(c) - Hedging Instruments Documentation </w:t>
            </w:r>
            <w:r w:rsidRPr="001F7DAF">
              <w:rPr>
                <w:rFonts w:ascii="Source Sans Pro" w:hAnsi="Source Sans Pro" w:cs="Calibri"/>
                <w:color w:val="000000"/>
                <w:sz w:val="20"/>
              </w:rPr>
              <w:t>Initial Set-up</w:t>
            </w:r>
            <w:r w:rsidRPr="008E6E65">
              <w:rPr>
                <w:rFonts w:ascii="Source Sans Pro" w:hAnsi="Source Sans Pro" w:cs="Calibri"/>
                <w:color w:val="000000"/>
                <w:sz w:val="20"/>
              </w:rPr>
              <w:t xml:space="preserve"> (Mandatory)</w:t>
            </w:r>
          </w:p>
        </w:tc>
        <w:tc>
          <w:tcPr>
            <w:tcW w:w="1606" w:type="dxa"/>
            <w:tcBorders>
              <w:top w:val="nil"/>
              <w:left w:val="nil"/>
              <w:bottom w:val="single" w:sz="8" w:space="0" w:color="auto"/>
              <w:right w:val="single" w:sz="8" w:space="0" w:color="auto"/>
            </w:tcBorders>
            <w:vAlign w:val="center"/>
            <w:hideMark/>
          </w:tcPr>
          <w:p w:rsidR="00D5791C" w:rsidRPr="008E6E65" w:rsidP="00D03DD4" w14:paraId="78B29A0A" w14:textId="77777777">
            <w:pPr>
              <w:jc w:val="center"/>
              <w:rPr>
                <w:rFonts w:ascii="Source Sans Pro" w:hAnsi="Source Sans Pro" w:cs="Calibri"/>
                <w:color w:val="000000"/>
                <w:sz w:val="20"/>
              </w:rPr>
            </w:pPr>
            <w:r w:rsidRPr="008E6E65">
              <w:rPr>
                <w:rFonts w:ascii="Source Sans Pro" w:hAnsi="Source Sans Pro" w:cs="Calibri"/>
                <w:color w:val="000000"/>
                <w:sz w:val="20"/>
              </w:rPr>
              <w:t xml:space="preserve">Recordkeeping </w:t>
            </w:r>
            <w:r w:rsidRPr="008E6E65">
              <w:rPr>
                <w:rFonts w:ascii="Source Sans Pro" w:hAnsi="Source Sans Pro" w:cs="Calibri"/>
                <w:color w:val="000000"/>
                <w:sz w:val="20"/>
              </w:rPr>
              <w:br/>
              <w:t>(On occasion)</w:t>
            </w:r>
          </w:p>
        </w:tc>
        <w:tc>
          <w:tcPr>
            <w:tcW w:w="1630" w:type="dxa"/>
            <w:tcBorders>
              <w:top w:val="nil"/>
              <w:left w:val="nil"/>
              <w:bottom w:val="single" w:sz="8" w:space="0" w:color="auto"/>
              <w:right w:val="single" w:sz="8" w:space="0" w:color="auto"/>
            </w:tcBorders>
            <w:noWrap/>
            <w:vAlign w:val="center"/>
            <w:hideMark/>
          </w:tcPr>
          <w:p w:rsidR="00D5791C" w:rsidRPr="008E6E65" w:rsidP="00D03DD4" w14:paraId="76CC5C7A" w14:textId="77777777">
            <w:pPr>
              <w:jc w:val="right"/>
              <w:rPr>
                <w:rFonts w:ascii="Source Sans Pro" w:hAnsi="Source Sans Pro" w:cs="Calibri"/>
                <w:color w:val="000000"/>
                <w:sz w:val="20"/>
              </w:rPr>
            </w:pPr>
            <w:r w:rsidRPr="008E6E65">
              <w:rPr>
                <w:rFonts w:ascii="Source Sans Pro" w:hAnsi="Source Sans Pro" w:cs="Calibri"/>
                <w:color w:val="000000"/>
                <w:sz w:val="20"/>
              </w:rPr>
              <w:t>1</w:t>
            </w:r>
            <w:r w:rsidRPr="00DB212C">
              <w:rPr>
                <w:rFonts w:ascii="Source Sans Pro" w:hAnsi="Source Sans Pro" w:cs="Calibri"/>
                <w:color w:val="000000"/>
                <w:sz w:val="20"/>
                <w:vertAlign w:val="superscript"/>
              </w:rPr>
              <w:t xml:space="preserve"> P</w:t>
            </w:r>
          </w:p>
        </w:tc>
        <w:tc>
          <w:tcPr>
            <w:tcW w:w="1680" w:type="dxa"/>
            <w:tcBorders>
              <w:top w:val="nil"/>
              <w:left w:val="nil"/>
              <w:bottom w:val="single" w:sz="8" w:space="0" w:color="auto"/>
              <w:right w:val="single" w:sz="8" w:space="0" w:color="auto"/>
            </w:tcBorders>
            <w:noWrap/>
            <w:vAlign w:val="center"/>
            <w:hideMark/>
          </w:tcPr>
          <w:p w:rsidR="00D5791C" w:rsidRPr="008E6E65" w:rsidP="00D03DD4" w14:paraId="1904B56D" w14:textId="77777777">
            <w:pPr>
              <w:jc w:val="right"/>
              <w:rPr>
                <w:rFonts w:ascii="Source Sans Pro" w:hAnsi="Source Sans Pro" w:cs="Calibri"/>
                <w:color w:val="000000"/>
                <w:sz w:val="20"/>
              </w:rPr>
            </w:pPr>
            <w:r w:rsidRPr="008E6E65">
              <w:rPr>
                <w:rFonts w:ascii="Source Sans Pro" w:hAnsi="Source Sans Pro" w:cs="Calibri"/>
                <w:color w:val="000000"/>
                <w:sz w:val="20"/>
              </w:rPr>
              <w:t>1</w:t>
            </w:r>
          </w:p>
        </w:tc>
        <w:tc>
          <w:tcPr>
            <w:tcW w:w="1097" w:type="dxa"/>
            <w:tcBorders>
              <w:top w:val="nil"/>
              <w:left w:val="nil"/>
              <w:bottom w:val="single" w:sz="8" w:space="0" w:color="auto"/>
              <w:right w:val="nil"/>
            </w:tcBorders>
            <w:vAlign w:val="center"/>
            <w:hideMark/>
          </w:tcPr>
          <w:p w:rsidR="00D5791C" w:rsidRPr="008E6E65" w:rsidP="00D03DD4" w14:paraId="64B0C8DF" w14:textId="77777777">
            <w:pPr>
              <w:jc w:val="right"/>
              <w:rPr>
                <w:rFonts w:ascii="Source Sans Pro" w:hAnsi="Source Sans Pro" w:cs="Calibri"/>
                <w:color w:val="000000"/>
                <w:sz w:val="20"/>
              </w:rPr>
            </w:pPr>
            <w:r w:rsidRPr="008E6E65">
              <w:rPr>
                <w:rFonts w:ascii="Source Sans Pro" w:hAnsi="Source Sans Pro" w:cs="Calibri"/>
                <w:color w:val="000000"/>
                <w:sz w:val="20"/>
              </w:rPr>
              <w:t>80:00</w:t>
            </w:r>
          </w:p>
        </w:tc>
        <w:tc>
          <w:tcPr>
            <w:tcW w:w="1371" w:type="dxa"/>
            <w:gridSpan w:val="2"/>
            <w:tcBorders>
              <w:top w:val="nil"/>
              <w:left w:val="single" w:sz="8" w:space="0" w:color="auto"/>
              <w:bottom w:val="single" w:sz="8" w:space="0" w:color="auto"/>
              <w:right w:val="single" w:sz="8" w:space="0" w:color="auto"/>
            </w:tcBorders>
            <w:noWrap/>
            <w:vAlign w:val="center"/>
            <w:hideMark/>
          </w:tcPr>
          <w:p w:rsidR="00D5791C" w:rsidRPr="008E6E65" w:rsidP="00D03DD4" w14:paraId="6D170EA4" w14:textId="77777777">
            <w:pPr>
              <w:jc w:val="right"/>
              <w:rPr>
                <w:rFonts w:ascii="Source Sans Pro" w:hAnsi="Source Sans Pro" w:cs="Calibri"/>
                <w:color w:val="000000"/>
                <w:sz w:val="20"/>
              </w:rPr>
            </w:pPr>
            <w:r w:rsidRPr="008E6E65">
              <w:rPr>
                <w:rFonts w:ascii="Source Sans Pro" w:hAnsi="Source Sans Pro" w:cs="Calibri"/>
                <w:color w:val="000000"/>
                <w:sz w:val="20"/>
              </w:rPr>
              <w:t>80</w:t>
            </w:r>
          </w:p>
        </w:tc>
      </w:tr>
      <w:tr w14:paraId="62621448" w14:textId="77777777" w:rsidTr="00D5791C">
        <w:tblPrEx>
          <w:tblW w:w="9695" w:type="dxa"/>
          <w:tblCellMar>
            <w:top w:w="15" w:type="dxa"/>
          </w:tblCellMar>
          <w:tblLook w:val="04A0"/>
        </w:tblPrEx>
        <w:trPr>
          <w:trHeight w:val="1116"/>
        </w:trPr>
        <w:tc>
          <w:tcPr>
            <w:tcW w:w="2311" w:type="dxa"/>
            <w:tcBorders>
              <w:top w:val="nil"/>
              <w:left w:val="single" w:sz="8" w:space="0" w:color="auto"/>
              <w:bottom w:val="single" w:sz="8" w:space="0" w:color="auto"/>
              <w:right w:val="single" w:sz="8" w:space="0" w:color="auto"/>
            </w:tcBorders>
            <w:vAlign w:val="center"/>
            <w:hideMark/>
          </w:tcPr>
          <w:p w:rsidR="00D5791C" w:rsidRPr="008E6E65" w:rsidP="00D03DD4" w14:paraId="286402CE" w14:textId="77777777">
            <w:pPr>
              <w:rPr>
                <w:rFonts w:ascii="Source Sans Pro" w:hAnsi="Source Sans Pro" w:cs="Calibri"/>
                <w:color w:val="000000"/>
                <w:sz w:val="20"/>
              </w:rPr>
            </w:pPr>
            <w:r w:rsidRPr="008E6E65">
              <w:rPr>
                <w:rFonts w:ascii="Source Sans Pro" w:hAnsi="Source Sans Pro" w:cs="Calibri"/>
                <w:color w:val="000000"/>
                <w:sz w:val="20"/>
              </w:rPr>
              <w:t xml:space="preserve">8. Section 351.10(c)(18)(ii)(C)(1) - Customer </w:t>
            </w:r>
            <w:r>
              <w:rPr>
                <w:rFonts w:ascii="Source Sans Pro" w:hAnsi="Source Sans Pro" w:cs="Calibri"/>
                <w:color w:val="000000"/>
                <w:sz w:val="20"/>
              </w:rPr>
              <w:t>F</w:t>
            </w:r>
            <w:r w:rsidRPr="008E6E65">
              <w:rPr>
                <w:rFonts w:ascii="Source Sans Pro" w:hAnsi="Source Sans Pro" w:cs="Calibri"/>
                <w:color w:val="000000"/>
                <w:sz w:val="20"/>
              </w:rPr>
              <w:t xml:space="preserve">acilitation </w:t>
            </w:r>
            <w:r>
              <w:rPr>
                <w:rFonts w:ascii="Source Sans Pro" w:hAnsi="Source Sans Pro" w:cs="Calibri"/>
                <w:color w:val="000000"/>
                <w:sz w:val="20"/>
              </w:rPr>
              <w:t>V</w:t>
            </w:r>
            <w:r w:rsidRPr="008E6E65">
              <w:rPr>
                <w:rFonts w:ascii="Source Sans Pro" w:hAnsi="Source Sans Pro" w:cs="Calibri"/>
                <w:color w:val="000000"/>
                <w:sz w:val="20"/>
              </w:rPr>
              <w:t>ehicles</w:t>
            </w:r>
            <w:r>
              <w:rPr>
                <w:rFonts w:ascii="Source Sans Pro" w:hAnsi="Source Sans Pro" w:cs="Calibri"/>
                <w:color w:val="000000"/>
                <w:sz w:val="20"/>
              </w:rPr>
              <w:t xml:space="preserve"> </w:t>
            </w:r>
            <w:r w:rsidRPr="001F7DAF">
              <w:rPr>
                <w:rFonts w:ascii="Source Sans Pro" w:hAnsi="Source Sans Pro" w:cs="Calibri"/>
                <w:color w:val="000000"/>
                <w:sz w:val="20"/>
              </w:rPr>
              <w:t>Initial Set-up</w:t>
            </w:r>
            <w:r w:rsidRPr="008E6E65">
              <w:rPr>
                <w:rFonts w:ascii="Source Sans Pro" w:hAnsi="Source Sans Pro" w:cs="Calibri"/>
                <w:color w:val="000000"/>
                <w:sz w:val="20"/>
              </w:rPr>
              <w:t xml:space="preserve"> (Mandatory)</w:t>
            </w:r>
          </w:p>
        </w:tc>
        <w:tc>
          <w:tcPr>
            <w:tcW w:w="1606" w:type="dxa"/>
            <w:tcBorders>
              <w:top w:val="nil"/>
              <w:left w:val="nil"/>
              <w:bottom w:val="single" w:sz="8" w:space="0" w:color="auto"/>
              <w:right w:val="single" w:sz="8" w:space="0" w:color="auto"/>
            </w:tcBorders>
            <w:vAlign w:val="center"/>
            <w:hideMark/>
          </w:tcPr>
          <w:p w:rsidR="00D5791C" w:rsidRPr="008E6E65" w:rsidP="00D03DD4" w14:paraId="1FCC572E" w14:textId="77777777">
            <w:pPr>
              <w:jc w:val="center"/>
              <w:rPr>
                <w:rFonts w:ascii="Source Sans Pro" w:hAnsi="Source Sans Pro" w:cs="Calibri"/>
                <w:color w:val="000000"/>
                <w:sz w:val="20"/>
              </w:rPr>
            </w:pPr>
            <w:r w:rsidRPr="008E6E65">
              <w:rPr>
                <w:rFonts w:ascii="Source Sans Pro" w:hAnsi="Source Sans Pro" w:cs="Calibri"/>
                <w:color w:val="000000"/>
                <w:sz w:val="20"/>
              </w:rPr>
              <w:t xml:space="preserve">Recordkeeping </w:t>
            </w:r>
            <w:r w:rsidRPr="008E6E65">
              <w:rPr>
                <w:rFonts w:ascii="Source Sans Pro" w:hAnsi="Source Sans Pro" w:cs="Calibri"/>
                <w:color w:val="000000"/>
                <w:sz w:val="20"/>
              </w:rPr>
              <w:br/>
              <w:t>(On occasion)</w:t>
            </w:r>
          </w:p>
        </w:tc>
        <w:tc>
          <w:tcPr>
            <w:tcW w:w="1630" w:type="dxa"/>
            <w:tcBorders>
              <w:top w:val="nil"/>
              <w:left w:val="nil"/>
              <w:bottom w:val="single" w:sz="8" w:space="0" w:color="auto"/>
              <w:right w:val="single" w:sz="8" w:space="0" w:color="auto"/>
            </w:tcBorders>
            <w:noWrap/>
            <w:vAlign w:val="center"/>
            <w:hideMark/>
          </w:tcPr>
          <w:p w:rsidR="00D5791C" w:rsidRPr="008E6E65" w:rsidP="00D03DD4" w14:paraId="7D3937FB" w14:textId="77777777">
            <w:pPr>
              <w:jc w:val="right"/>
              <w:rPr>
                <w:rFonts w:ascii="Source Sans Pro" w:hAnsi="Source Sans Pro" w:cs="Calibri"/>
                <w:color w:val="000000"/>
                <w:sz w:val="20"/>
              </w:rPr>
            </w:pPr>
            <w:r w:rsidRPr="008E6E65">
              <w:rPr>
                <w:rFonts w:ascii="Source Sans Pro" w:hAnsi="Source Sans Pro" w:cs="Calibri"/>
                <w:color w:val="000000"/>
                <w:sz w:val="20"/>
              </w:rPr>
              <w:t>1</w:t>
            </w:r>
            <w:r w:rsidRPr="00DB212C">
              <w:rPr>
                <w:rFonts w:ascii="Source Sans Pro" w:hAnsi="Source Sans Pro" w:cs="Calibri"/>
                <w:color w:val="000000"/>
                <w:sz w:val="20"/>
                <w:vertAlign w:val="superscript"/>
              </w:rPr>
              <w:t xml:space="preserve"> P</w:t>
            </w:r>
          </w:p>
        </w:tc>
        <w:tc>
          <w:tcPr>
            <w:tcW w:w="1680" w:type="dxa"/>
            <w:tcBorders>
              <w:top w:val="nil"/>
              <w:left w:val="nil"/>
              <w:bottom w:val="single" w:sz="8" w:space="0" w:color="auto"/>
              <w:right w:val="single" w:sz="8" w:space="0" w:color="auto"/>
            </w:tcBorders>
            <w:noWrap/>
            <w:vAlign w:val="center"/>
            <w:hideMark/>
          </w:tcPr>
          <w:p w:rsidR="00D5791C" w:rsidRPr="008E6E65" w:rsidP="00D03DD4" w14:paraId="172581D6" w14:textId="77777777">
            <w:pPr>
              <w:jc w:val="right"/>
              <w:rPr>
                <w:rFonts w:ascii="Source Sans Pro" w:hAnsi="Source Sans Pro" w:cs="Calibri"/>
                <w:color w:val="000000"/>
                <w:sz w:val="20"/>
              </w:rPr>
            </w:pPr>
            <w:r w:rsidRPr="008E6E65">
              <w:rPr>
                <w:rFonts w:ascii="Source Sans Pro" w:hAnsi="Source Sans Pro" w:cs="Calibri"/>
                <w:color w:val="000000"/>
                <w:sz w:val="20"/>
              </w:rPr>
              <w:t>1</w:t>
            </w:r>
          </w:p>
        </w:tc>
        <w:tc>
          <w:tcPr>
            <w:tcW w:w="1097" w:type="dxa"/>
            <w:tcBorders>
              <w:top w:val="nil"/>
              <w:left w:val="nil"/>
              <w:bottom w:val="single" w:sz="8" w:space="0" w:color="auto"/>
              <w:right w:val="nil"/>
            </w:tcBorders>
            <w:vAlign w:val="center"/>
            <w:hideMark/>
          </w:tcPr>
          <w:p w:rsidR="00D5791C" w:rsidRPr="008E6E65" w:rsidP="00D03DD4" w14:paraId="14F2A6B7" w14:textId="77777777">
            <w:pPr>
              <w:jc w:val="right"/>
              <w:rPr>
                <w:rFonts w:ascii="Source Sans Pro" w:hAnsi="Source Sans Pro" w:cs="Calibri"/>
                <w:color w:val="000000"/>
                <w:sz w:val="20"/>
              </w:rPr>
            </w:pPr>
            <w:r w:rsidRPr="008E6E65">
              <w:rPr>
                <w:rFonts w:ascii="Source Sans Pro" w:hAnsi="Source Sans Pro" w:cs="Calibri"/>
                <w:color w:val="000000"/>
                <w:sz w:val="20"/>
              </w:rPr>
              <w:t>10:00</w:t>
            </w:r>
          </w:p>
        </w:tc>
        <w:tc>
          <w:tcPr>
            <w:tcW w:w="1371" w:type="dxa"/>
            <w:gridSpan w:val="2"/>
            <w:tcBorders>
              <w:top w:val="nil"/>
              <w:left w:val="single" w:sz="8" w:space="0" w:color="auto"/>
              <w:bottom w:val="single" w:sz="8" w:space="0" w:color="auto"/>
              <w:right w:val="single" w:sz="8" w:space="0" w:color="auto"/>
            </w:tcBorders>
            <w:noWrap/>
            <w:vAlign w:val="center"/>
            <w:hideMark/>
          </w:tcPr>
          <w:p w:rsidR="00D5791C" w:rsidRPr="008E6E65" w:rsidP="00D03DD4" w14:paraId="3BF28842" w14:textId="77777777">
            <w:pPr>
              <w:jc w:val="right"/>
              <w:rPr>
                <w:rFonts w:ascii="Source Sans Pro" w:hAnsi="Source Sans Pro" w:cs="Calibri"/>
                <w:color w:val="000000"/>
                <w:sz w:val="20"/>
              </w:rPr>
            </w:pPr>
            <w:r w:rsidRPr="008E6E65">
              <w:rPr>
                <w:rFonts w:ascii="Source Sans Pro" w:hAnsi="Source Sans Pro" w:cs="Calibri"/>
                <w:color w:val="000000"/>
                <w:sz w:val="20"/>
              </w:rPr>
              <w:t>10</w:t>
            </w:r>
          </w:p>
        </w:tc>
      </w:tr>
      <w:tr w14:paraId="7AD4B68A" w14:textId="77777777" w:rsidTr="00D5791C">
        <w:tblPrEx>
          <w:tblW w:w="9695" w:type="dxa"/>
          <w:tblCellMar>
            <w:top w:w="15" w:type="dxa"/>
          </w:tblCellMar>
          <w:tblLook w:val="04A0"/>
        </w:tblPrEx>
        <w:trPr>
          <w:trHeight w:val="1116"/>
        </w:trPr>
        <w:tc>
          <w:tcPr>
            <w:tcW w:w="2311" w:type="dxa"/>
            <w:tcBorders>
              <w:top w:val="nil"/>
              <w:left w:val="single" w:sz="8" w:space="0" w:color="auto"/>
              <w:bottom w:val="single" w:sz="8" w:space="0" w:color="auto"/>
              <w:right w:val="single" w:sz="8" w:space="0" w:color="auto"/>
            </w:tcBorders>
            <w:vAlign w:val="center"/>
            <w:hideMark/>
          </w:tcPr>
          <w:p w:rsidR="00D5791C" w:rsidRPr="008E6E65" w:rsidP="00D03DD4" w14:paraId="67B0F2DC" w14:textId="77777777">
            <w:pPr>
              <w:rPr>
                <w:rFonts w:ascii="Source Sans Pro" w:hAnsi="Source Sans Pro" w:cs="Calibri"/>
                <w:color w:val="000000"/>
                <w:sz w:val="20"/>
              </w:rPr>
            </w:pPr>
            <w:r w:rsidRPr="008E6E65">
              <w:rPr>
                <w:rFonts w:ascii="Source Sans Pro" w:hAnsi="Source Sans Pro" w:cs="Calibri"/>
                <w:color w:val="000000"/>
                <w:sz w:val="20"/>
              </w:rPr>
              <w:t xml:space="preserve">9. Section 351.11(a)(2) - Documentation on </w:t>
            </w:r>
            <w:r>
              <w:rPr>
                <w:rFonts w:ascii="Source Sans Pro" w:hAnsi="Source Sans Pro" w:cs="Calibri"/>
                <w:color w:val="000000"/>
                <w:sz w:val="20"/>
              </w:rPr>
              <w:t>A</w:t>
            </w:r>
            <w:r w:rsidRPr="008E6E65">
              <w:rPr>
                <w:rFonts w:ascii="Source Sans Pro" w:hAnsi="Source Sans Pro" w:cs="Calibri"/>
                <w:color w:val="000000"/>
                <w:sz w:val="20"/>
              </w:rPr>
              <w:t xml:space="preserve">dvisory or </w:t>
            </w:r>
            <w:r>
              <w:rPr>
                <w:rFonts w:ascii="Source Sans Pro" w:hAnsi="Source Sans Pro" w:cs="Calibri"/>
                <w:color w:val="000000"/>
                <w:sz w:val="20"/>
              </w:rPr>
              <w:t>R</w:t>
            </w:r>
            <w:r w:rsidRPr="008E6E65">
              <w:rPr>
                <w:rFonts w:ascii="Source Sans Pro" w:hAnsi="Source Sans Pro" w:cs="Calibri"/>
                <w:color w:val="000000"/>
                <w:sz w:val="20"/>
              </w:rPr>
              <w:t xml:space="preserve">elated </w:t>
            </w:r>
            <w:r>
              <w:rPr>
                <w:rFonts w:ascii="Source Sans Pro" w:hAnsi="Source Sans Pro" w:cs="Calibri"/>
                <w:color w:val="000000"/>
                <w:sz w:val="20"/>
              </w:rPr>
              <w:t>S</w:t>
            </w:r>
            <w:r w:rsidRPr="008E6E65">
              <w:rPr>
                <w:rFonts w:ascii="Source Sans Pro" w:hAnsi="Source Sans Pro" w:cs="Calibri"/>
                <w:color w:val="000000"/>
                <w:sz w:val="20"/>
              </w:rPr>
              <w:t xml:space="preserve">ervices to </w:t>
            </w:r>
            <w:r>
              <w:rPr>
                <w:rFonts w:ascii="Source Sans Pro" w:hAnsi="Source Sans Pro" w:cs="Calibri"/>
                <w:color w:val="000000"/>
                <w:sz w:val="20"/>
              </w:rPr>
              <w:t>C</w:t>
            </w:r>
            <w:r w:rsidRPr="008E6E65">
              <w:rPr>
                <w:rFonts w:ascii="Source Sans Pro" w:hAnsi="Source Sans Pro" w:cs="Calibri"/>
                <w:color w:val="000000"/>
                <w:sz w:val="20"/>
              </w:rPr>
              <w:t xml:space="preserve">ustomers </w:t>
            </w:r>
            <w:r w:rsidRPr="001F7DAF">
              <w:rPr>
                <w:rFonts w:ascii="Source Sans Pro" w:hAnsi="Source Sans Pro" w:cs="Calibri"/>
                <w:color w:val="000000"/>
                <w:sz w:val="20"/>
              </w:rPr>
              <w:t>Initial Set-up</w:t>
            </w:r>
            <w:r w:rsidRPr="008E6E65">
              <w:rPr>
                <w:rFonts w:ascii="Source Sans Pro" w:hAnsi="Source Sans Pro" w:cs="Calibri"/>
                <w:color w:val="000000"/>
                <w:sz w:val="20"/>
              </w:rPr>
              <w:t xml:space="preserve"> (Mandatory)</w:t>
            </w:r>
          </w:p>
        </w:tc>
        <w:tc>
          <w:tcPr>
            <w:tcW w:w="1606" w:type="dxa"/>
            <w:tcBorders>
              <w:top w:val="nil"/>
              <w:left w:val="nil"/>
              <w:bottom w:val="single" w:sz="8" w:space="0" w:color="auto"/>
              <w:right w:val="single" w:sz="8" w:space="0" w:color="auto"/>
            </w:tcBorders>
            <w:vAlign w:val="center"/>
            <w:hideMark/>
          </w:tcPr>
          <w:p w:rsidR="00D5791C" w:rsidRPr="008E6E65" w:rsidP="00D03DD4" w14:paraId="0A61C08F" w14:textId="77777777">
            <w:pPr>
              <w:jc w:val="center"/>
              <w:rPr>
                <w:rFonts w:ascii="Source Sans Pro" w:hAnsi="Source Sans Pro" w:cs="Calibri"/>
                <w:color w:val="000000"/>
                <w:sz w:val="20"/>
              </w:rPr>
            </w:pPr>
            <w:r w:rsidRPr="008E6E65">
              <w:rPr>
                <w:rFonts w:ascii="Source Sans Pro" w:hAnsi="Source Sans Pro" w:cs="Calibri"/>
                <w:color w:val="000000"/>
                <w:sz w:val="20"/>
              </w:rPr>
              <w:t xml:space="preserve">Recordkeeping </w:t>
            </w:r>
            <w:r w:rsidRPr="008E6E65">
              <w:rPr>
                <w:rFonts w:ascii="Source Sans Pro" w:hAnsi="Source Sans Pro" w:cs="Calibri"/>
                <w:color w:val="000000"/>
                <w:sz w:val="20"/>
              </w:rPr>
              <w:br/>
              <w:t>(On occasion)</w:t>
            </w:r>
          </w:p>
        </w:tc>
        <w:tc>
          <w:tcPr>
            <w:tcW w:w="1630" w:type="dxa"/>
            <w:tcBorders>
              <w:top w:val="nil"/>
              <w:left w:val="nil"/>
              <w:bottom w:val="single" w:sz="8" w:space="0" w:color="auto"/>
              <w:right w:val="single" w:sz="8" w:space="0" w:color="auto"/>
            </w:tcBorders>
            <w:noWrap/>
            <w:vAlign w:val="center"/>
            <w:hideMark/>
          </w:tcPr>
          <w:p w:rsidR="00D5791C" w:rsidRPr="008E6E65" w:rsidP="00D03DD4" w14:paraId="6324F13C" w14:textId="77777777">
            <w:pPr>
              <w:jc w:val="right"/>
              <w:rPr>
                <w:rFonts w:ascii="Source Sans Pro" w:hAnsi="Source Sans Pro" w:cs="Calibri"/>
                <w:color w:val="000000"/>
                <w:sz w:val="20"/>
              </w:rPr>
            </w:pPr>
            <w:r w:rsidRPr="008E6E65">
              <w:rPr>
                <w:rFonts w:ascii="Source Sans Pro" w:hAnsi="Source Sans Pro" w:cs="Calibri"/>
                <w:color w:val="000000"/>
                <w:sz w:val="20"/>
              </w:rPr>
              <w:t>1</w:t>
            </w:r>
            <w:r w:rsidRPr="00DB212C">
              <w:rPr>
                <w:rFonts w:ascii="Source Sans Pro" w:hAnsi="Source Sans Pro" w:cs="Calibri"/>
                <w:color w:val="000000"/>
                <w:sz w:val="20"/>
                <w:vertAlign w:val="superscript"/>
              </w:rPr>
              <w:t xml:space="preserve"> P</w:t>
            </w:r>
          </w:p>
        </w:tc>
        <w:tc>
          <w:tcPr>
            <w:tcW w:w="1680" w:type="dxa"/>
            <w:tcBorders>
              <w:top w:val="nil"/>
              <w:left w:val="nil"/>
              <w:bottom w:val="single" w:sz="8" w:space="0" w:color="auto"/>
              <w:right w:val="single" w:sz="8" w:space="0" w:color="auto"/>
            </w:tcBorders>
            <w:noWrap/>
            <w:vAlign w:val="center"/>
            <w:hideMark/>
          </w:tcPr>
          <w:p w:rsidR="00D5791C" w:rsidRPr="008E6E65" w:rsidP="00D03DD4" w14:paraId="1B4768FC" w14:textId="77777777">
            <w:pPr>
              <w:jc w:val="right"/>
              <w:rPr>
                <w:rFonts w:ascii="Source Sans Pro" w:hAnsi="Source Sans Pro" w:cs="Calibri"/>
                <w:color w:val="000000"/>
                <w:sz w:val="20"/>
              </w:rPr>
            </w:pPr>
            <w:r w:rsidRPr="008E6E65">
              <w:rPr>
                <w:rFonts w:ascii="Source Sans Pro" w:hAnsi="Source Sans Pro" w:cs="Calibri"/>
                <w:color w:val="000000"/>
                <w:sz w:val="20"/>
              </w:rPr>
              <w:t>1</w:t>
            </w:r>
          </w:p>
        </w:tc>
        <w:tc>
          <w:tcPr>
            <w:tcW w:w="1097" w:type="dxa"/>
            <w:tcBorders>
              <w:top w:val="nil"/>
              <w:left w:val="nil"/>
              <w:bottom w:val="single" w:sz="8" w:space="0" w:color="auto"/>
              <w:right w:val="nil"/>
            </w:tcBorders>
            <w:vAlign w:val="center"/>
            <w:hideMark/>
          </w:tcPr>
          <w:p w:rsidR="00D5791C" w:rsidRPr="008E6E65" w:rsidP="00D03DD4" w14:paraId="1D934B63" w14:textId="77777777">
            <w:pPr>
              <w:jc w:val="right"/>
              <w:rPr>
                <w:rFonts w:ascii="Source Sans Pro" w:hAnsi="Source Sans Pro" w:cs="Calibri"/>
                <w:color w:val="000000"/>
                <w:sz w:val="20"/>
              </w:rPr>
            </w:pPr>
            <w:r w:rsidRPr="008E6E65">
              <w:rPr>
                <w:rFonts w:ascii="Source Sans Pro" w:hAnsi="Source Sans Pro" w:cs="Calibri"/>
                <w:color w:val="000000"/>
                <w:sz w:val="20"/>
              </w:rPr>
              <w:t>10:00</w:t>
            </w:r>
          </w:p>
        </w:tc>
        <w:tc>
          <w:tcPr>
            <w:tcW w:w="1371" w:type="dxa"/>
            <w:gridSpan w:val="2"/>
            <w:tcBorders>
              <w:top w:val="nil"/>
              <w:left w:val="single" w:sz="8" w:space="0" w:color="auto"/>
              <w:bottom w:val="single" w:sz="8" w:space="0" w:color="auto"/>
              <w:right w:val="single" w:sz="8" w:space="0" w:color="auto"/>
            </w:tcBorders>
            <w:noWrap/>
            <w:vAlign w:val="center"/>
            <w:hideMark/>
          </w:tcPr>
          <w:p w:rsidR="00D5791C" w:rsidRPr="008E6E65" w:rsidP="00D03DD4" w14:paraId="36BFE583" w14:textId="77777777">
            <w:pPr>
              <w:jc w:val="right"/>
              <w:rPr>
                <w:rFonts w:ascii="Source Sans Pro" w:hAnsi="Source Sans Pro" w:cs="Calibri"/>
                <w:color w:val="000000"/>
                <w:sz w:val="20"/>
              </w:rPr>
            </w:pPr>
            <w:r w:rsidRPr="008E6E65">
              <w:rPr>
                <w:rFonts w:ascii="Source Sans Pro" w:hAnsi="Source Sans Pro" w:cs="Calibri"/>
                <w:color w:val="000000"/>
                <w:sz w:val="20"/>
              </w:rPr>
              <w:t>10</w:t>
            </w:r>
          </w:p>
        </w:tc>
      </w:tr>
      <w:tr w14:paraId="414877B2" w14:textId="77777777" w:rsidTr="00D5791C">
        <w:tblPrEx>
          <w:tblW w:w="9695" w:type="dxa"/>
          <w:tblCellMar>
            <w:top w:w="15" w:type="dxa"/>
          </w:tblCellMar>
          <w:tblLook w:val="04A0"/>
        </w:tblPrEx>
        <w:trPr>
          <w:trHeight w:val="1392"/>
        </w:trPr>
        <w:tc>
          <w:tcPr>
            <w:tcW w:w="2311" w:type="dxa"/>
            <w:tcBorders>
              <w:top w:val="nil"/>
              <w:left w:val="single" w:sz="8" w:space="0" w:color="auto"/>
              <w:bottom w:val="single" w:sz="8" w:space="0" w:color="auto"/>
              <w:right w:val="single" w:sz="8" w:space="0" w:color="auto"/>
            </w:tcBorders>
            <w:vAlign w:val="center"/>
            <w:hideMark/>
          </w:tcPr>
          <w:p w:rsidR="00D5791C" w:rsidRPr="008E6E65" w:rsidP="00D03DD4" w14:paraId="4D6BD82C" w14:textId="77777777">
            <w:pPr>
              <w:rPr>
                <w:rFonts w:ascii="Source Sans Pro" w:hAnsi="Source Sans Pro" w:cs="Calibri"/>
                <w:color w:val="000000"/>
                <w:sz w:val="20"/>
              </w:rPr>
            </w:pPr>
            <w:r w:rsidRPr="008E6E65">
              <w:rPr>
                <w:rFonts w:ascii="Source Sans Pro" w:hAnsi="Source Sans Pro" w:cs="Calibri"/>
                <w:color w:val="000000"/>
                <w:sz w:val="20"/>
              </w:rPr>
              <w:t xml:space="preserve">10. Section 351.20(b) - Compliance Program for Covered Banks with Significant Trading Assets &amp; Liabilities </w:t>
            </w:r>
            <w:r w:rsidRPr="001F7DAF">
              <w:rPr>
                <w:rFonts w:ascii="Source Sans Pro" w:hAnsi="Source Sans Pro" w:cs="Calibri"/>
                <w:color w:val="000000"/>
                <w:sz w:val="20"/>
              </w:rPr>
              <w:t>Initial Set-up</w:t>
            </w:r>
            <w:r w:rsidRPr="008E6E65">
              <w:rPr>
                <w:rFonts w:ascii="Source Sans Pro" w:hAnsi="Source Sans Pro" w:cs="Calibri"/>
                <w:color w:val="000000"/>
                <w:sz w:val="20"/>
              </w:rPr>
              <w:t xml:space="preserve"> (Mandatory)</w:t>
            </w:r>
          </w:p>
        </w:tc>
        <w:tc>
          <w:tcPr>
            <w:tcW w:w="1606" w:type="dxa"/>
            <w:tcBorders>
              <w:top w:val="nil"/>
              <w:left w:val="nil"/>
              <w:bottom w:val="single" w:sz="8" w:space="0" w:color="auto"/>
              <w:right w:val="single" w:sz="8" w:space="0" w:color="auto"/>
            </w:tcBorders>
            <w:vAlign w:val="center"/>
            <w:hideMark/>
          </w:tcPr>
          <w:p w:rsidR="00D5791C" w:rsidRPr="008E6E65" w:rsidP="00D03DD4" w14:paraId="3D50FC8E" w14:textId="77777777">
            <w:pPr>
              <w:jc w:val="center"/>
              <w:rPr>
                <w:rFonts w:ascii="Source Sans Pro" w:hAnsi="Source Sans Pro" w:cs="Calibri"/>
                <w:color w:val="000000"/>
                <w:sz w:val="20"/>
              </w:rPr>
            </w:pPr>
            <w:r w:rsidRPr="008E6E65">
              <w:rPr>
                <w:rFonts w:ascii="Source Sans Pro" w:hAnsi="Source Sans Pro" w:cs="Calibri"/>
                <w:color w:val="000000"/>
                <w:sz w:val="20"/>
              </w:rPr>
              <w:t xml:space="preserve">Recordkeeping </w:t>
            </w:r>
            <w:r w:rsidRPr="008E6E65">
              <w:rPr>
                <w:rFonts w:ascii="Source Sans Pro" w:hAnsi="Source Sans Pro" w:cs="Calibri"/>
                <w:color w:val="000000"/>
                <w:sz w:val="20"/>
              </w:rPr>
              <w:br/>
              <w:t>(On occasion)</w:t>
            </w:r>
          </w:p>
        </w:tc>
        <w:tc>
          <w:tcPr>
            <w:tcW w:w="1630" w:type="dxa"/>
            <w:tcBorders>
              <w:top w:val="nil"/>
              <w:left w:val="nil"/>
              <w:bottom w:val="single" w:sz="8" w:space="0" w:color="auto"/>
              <w:right w:val="single" w:sz="8" w:space="0" w:color="auto"/>
            </w:tcBorders>
            <w:noWrap/>
            <w:vAlign w:val="center"/>
            <w:hideMark/>
          </w:tcPr>
          <w:p w:rsidR="00D5791C" w:rsidRPr="008E6E65" w:rsidP="00D03DD4" w14:paraId="66F5B4FE" w14:textId="77777777">
            <w:pPr>
              <w:jc w:val="right"/>
              <w:rPr>
                <w:rFonts w:ascii="Source Sans Pro" w:hAnsi="Source Sans Pro" w:cs="Calibri"/>
                <w:color w:val="000000"/>
                <w:sz w:val="20"/>
              </w:rPr>
            </w:pPr>
            <w:r w:rsidRPr="008E6E65">
              <w:rPr>
                <w:rFonts w:ascii="Source Sans Pro" w:hAnsi="Source Sans Pro" w:cs="Calibri"/>
                <w:color w:val="000000"/>
                <w:sz w:val="20"/>
              </w:rPr>
              <w:t>1</w:t>
            </w:r>
            <w:r w:rsidRPr="00DB212C">
              <w:rPr>
                <w:rFonts w:ascii="Source Sans Pro" w:hAnsi="Source Sans Pro" w:cs="Calibri"/>
                <w:color w:val="000000"/>
                <w:sz w:val="20"/>
                <w:vertAlign w:val="superscript"/>
              </w:rPr>
              <w:t xml:space="preserve"> P</w:t>
            </w:r>
          </w:p>
        </w:tc>
        <w:tc>
          <w:tcPr>
            <w:tcW w:w="1680" w:type="dxa"/>
            <w:tcBorders>
              <w:top w:val="nil"/>
              <w:left w:val="nil"/>
              <w:bottom w:val="single" w:sz="8" w:space="0" w:color="auto"/>
              <w:right w:val="single" w:sz="8" w:space="0" w:color="auto"/>
            </w:tcBorders>
            <w:noWrap/>
            <w:vAlign w:val="center"/>
            <w:hideMark/>
          </w:tcPr>
          <w:p w:rsidR="00D5791C" w:rsidRPr="008E6E65" w:rsidP="00D03DD4" w14:paraId="7B2D5334" w14:textId="77777777">
            <w:pPr>
              <w:jc w:val="right"/>
              <w:rPr>
                <w:rFonts w:ascii="Source Sans Pro" w:hAnsi="Source Sans Pro" w:cs="Calibri"/>
                <w:color w:val="000000"/>
                <w:sz w:val="20"/>
              </w:rPr>
            </w:pPr>
            <w:r w:rsidRPr="008E6E65">
              <w:rPr>
                <w:rFonts w:ascii="Source Sans Pro" w:hAnsi="Source Sans Pro" w:cs="Calibri"/>
                <w:color w:val="000000"/>
                <w:sz w:val="20"/>
              </w:rPr>
              <w:t>1</w:t>
            </w:r>
          </w:p>
        </w:tc>
        <w:tc>
          <w:tcPr>
            <w:tcW w:w="1097" w:type="dxa"/>
            <w:tcBorders>
              <w:top w:val="nil"/>
              <w:left w:val="nil"/>
              <w:bottom w:val="single" w:sz="8" w:space="0" w:color="auto"/>
              <w:right w:val="nil"/>
            </w:tcBorders>
            <w:vAlign w:val="center"/>
            <w:hideMark/>
          </w:tcPr>
          <w:p w:rsidR="00D5791C" w:rsidRPr="008E6E65" w:rsidP="00D03DD4" w14:paraId="14DDF76A" w14:textId="77777777">
            <w:pPr>
              <w:jc w:val="right"/>
              <w:rPr>
                <w:rFonts w:ascii="Source Sans Pro" w:hAnsi="Source Sans Pro" w:cs="Calibri"/>
                <w:color w:val="000000"/>
                <w:sz w:val="20"/>
              </w:rPr>
            </w:pPr>
            <w:r w:rsidRPr="008E6E65">
              <w:rPr>
                <w:rFonts w:ascii="Source Sans Pro" w:hAnsi="Source Sans Pro" w:cs="Calibri"/>
                <w:color w:val="000000"/>
                <w:sz w:val="20"/>
              </w:rPr>
              <w:t>795:00</w:t>
            </w:r>
          </w:p>
        </w:tc>
        <w:tc>
          <w:tcPr>
            <w:tcW w:w="1371" w:type="dxa"/>
            <w:gridSpan w:val="2"/>
            <w:tcBorders>
              <w:top w:val="nil"/>
              <w:left w:val="single" w:sz="8" w:space="0" w:color="auto"/>
              <w:bottom w:val="single" w:sz="8" w:space="0" w:color="auto"/>
              <w:right w:val="single" w:sz="8" w:space="0" w:color="auto"/>
            </w:tcBorders>
            <w:noWrap/>
            <w:vAlign w:val="center"/>
            <w:hideMark/>
          </w:tcPr>
          <w:p w:rsidR="00D5791C" w:rsidRPr="008E6E65" w:rsidP="00D03DD4" w14:paraId="22696B5C" w14:textId="77777777">
            <w:pPr>
              <w:jc w:val="right"/>
              <w:rPr>
                <w:rFonts w:ascii="Source Sans Pro" w:hAnsi="Source Sans Pro" w:cs="Calibri"/>
                <w:color w:val="000000"/>
                <w:sz w:val="20"/>
              </w:rPr>
            </w:pPr>
            <w:r w:rsidRPr="008E6E65">
              <w:rPr>
                <w:rFonts w:ascii="Source Sans Pro" w:hAnsi="Source Sans Pro" w:cs="Calibri"/>
                <w:color w:val="000000"/>
                <w:sz w:val="20"/>
              </w:rPr>
              <w:t>795</w:t>
            </w:r>
          </w:p>
        </w:tc>
      </w:tr>
      <w:tr w14:paraId="76801F86" w14:textId="77777777" w:rsidTr="00D5791C">
        <w:tblPrEx>
          <w:tblW w:w="9695" w:type="dxa"/>
          <w:tblCellMar>
            <w:top w:w="15" w:type="dxa"/>
          </w:tblCellMar>
          <w:tblLook w:val="04A0"/>
        </w:tblPrEx>
        <w:trPr>
          <w:trHeight w:val="1392"/>
        </w:trPr>
        <w:tc>
          <w:tcPr>
            <w:tcW w:w="2311" w:type="dxa"/>
            <w:tcBorders>
              <w:top w:val="nil"/>
              <w:left w:val="single" w:sz="8" w:space="0" w:color="auto"/>
              <w:bottom w:val="single" w:sz="8" w:space="0" w:color="auto"/>
              <w:right w:val="single" w:sz="8" w:space="0" w:color="auto"/>
            </w:tcBorders>
            <w:vAlign w:val="center"/>
            <w:hideMark/>
          </w:tcPr>
          <w:p w:rsidR="00D5791C" w:rsidRPr="008E6E65" w:rsidP="00D03DD4" w14:paraId="1424C840" w14:textId="77777777">
            <w:pPr>
              <w:rPr>
                <w:rFonts w:ascii="Source Sans Pro" w:hAnsi="Source Sans Pro" w:cs="Calibri"/>
                <w:color w:val="000000"/>
                <w:sz w:val="20"/>
              </w:rPr>
            </w:pPr>
            <w:r w:rsidRPr="008E6E65">
              <w:rPr>
                <w:rFonts w:ascii="Source Sans Pro" w:hAnsi="Source Sans Pro" w:cs="Calibri"/>
                <w:color w:val="000000"/>
                <w:sz w:val="20"/>
              </w:rPr>
              <w:t xml:space="preserve">11. Section 351.20(c) - CEO </w:t>
            </w:r>
            <w:r>
              <w:rPr>
                <w:rFonts w:ascii="Source Sans Pro" w:hAnsi="Source Sans Pro" w:cs="Calibri"/>
                <w:color w:val="000000"/>
                <w:sz w:val="20"/>
              </w:rPr>
              <w:t>A</w:t>
            </w:r>
            <w:r w:rsidRPr="008E6E65">
              <w:rPr>
                <w:rFonts w:ascii="Source Sans Pro" w:hAnsi="Source Sans Pro" w:cs="Calibri"/>
                <w:color w:val="000000"/>
                <w:sz w:val="20"/>
              </w:rPr>
              <w:t xml:space="preserve">ttestation for Covered Banks with Significant Trading Assets &amp; Liabilities </w:t>
            </w:r>
            <w:r w:rsidRPr="001F7DAF">
              <w:rPr>
                <w:rFonts w:ascii="Source Sans Pro" w:hAnsi="Source Sans Pro" w:cs="Calibri"/>
                <w:color w:val="000000"/>
                <w:sz w:val="20"/>
              </w:rPr>
              <w:t>Initial Set-up</w:t>
            </w:r>
            <w:r w:rsidRPr="008E6E65">
              <w:rPr>
                <w:rFonts w:ascii="Source Sans Pro" w:hAnsi="Source Sans Pro" w:cs="Calibri"/>
                <w:color w:val="000000"/>
                <w:sz w:val="20"/>
              </w:rPr>
              <w:t xml:space="preserve"> (Mandatory)</w:t>
            </w:r>
          </w:p>
        </w:tc>
        <w:tc>
          <w:tcPr>
            <w:tcW w:w="1606" w:type="dxa"/>
            <w:tcBorders>
              <w:top w:val="nil"/>
              <w:left w:val="nil"/>
              <w:bottom w:val="single" w:sz="8" w:space="0" w:color="auto"/>
              <w:right w:val="single" w:sz="8" w:space="0" w:color="auto"/>
            </w:tcBorders>
            <w:vAlign w:val="center"/>
            <w:hideMark/>
          </w:tcPr>
          <w:p w:rsidR="00D5791C" w:rsidRPr="008E6E65" w:rsidP="00D03DD4" w14:paraId="6222F7E5" w14:textId="77777777">
            <w:pPr>
              <w:jc w:val="center"/>
              <w:rPr>
                <w:rFonts w:ascii="Source Sans Pro" w:hAnsi="Source Sans Pro" w:cs="Calibri"/>
                <w:color w:val="000000"/>
                <w:sz w:val="20"/>
              </w:rPr>
            </w:pPr>
            <w:r w:rsidRPr="008E6E65">
              <w:rPr>
                <w:rFonts w:ascii="Source Sans Pro" w:hAnsi="Source Sans Pro" w:cs="Calibri"/>
                <w:color w:val="000000"/>
                <w:sz w:val="20"/>
              </w:rPr>
              <w:t>Recordkeeping (Annual)</w:t>
            </w:r>
          </w:p>
        </w:tc>
        <w:tc>
          <w:tcPr>
            <w:tcW w:w="1630" w:type="dxa"/>
            <w:tcBorders>
              <w:top w:val="nil"/>
              <w:left w:val="nil"/>
              <w:bottom w:val="single" w:sz="8" w:space="0" w:color="auto"/>
              <w:right w:val="single" w:sz="8" w:space="0" w:color="auto"/>
            </w:tcBorders>
            <w:noWrap/>
            <w:vAlign w:val="center"/>
            <w:hideMark/>
          </w:tcPr>
          <w:p w:rsidR="00D5791C" w:rsidRPr="008E6E65" w:rsidP="00D03DD4" w14:paraId="728CF251" w14:textId="77777777">
            <w:pPr>
              <w:jc w:val="right"/>
              <w:rPr>
                <w:rFonts w:ascii="Source Sans Pro" w:hAnsi="Source Sans Pro" w:cs="Calibri"/>
                <w:color w:val="000000"/>
                <w:sz w:val="20"/>
              </w:rPr>
            </w:pPr>
            <w:r w:rsidRPr="008E6E65">
              <w:rPr>
                <w:rFonts w:ascii="Source Sans Pro" w:hAnsi="Source Sans Pro" w:cs="Calibri"/>
                <w:color w:val="000000"/>
                <w:sz w:val="20"/>
              </w:rPr>
              <w:t>1</w:t>
            </w:r>
            <w:r w:rsidRPr="00DB212C">
              <w:rPr>
                <w:rFonts w:ascii="Source Sans Pro" w:hAnsi="Source Sans Pro" w:cs="Calibri"/>
                <w:color w:val="000000"/>
                <w:sz w:val="20"/>
                <w:vertAlign w:val="superscript"/>
              </w:rPr>
              <w:t xml:space="preserve"> P</w:t>
            </w:r>
          </w:p>
        </w:tc>
        <w:tc>
          <w:tcPr>
            <w:tcW w:w="1680" w:type="dxa"/>
            <w:tcBorders>
              <w:top w:val="nil"/>
              <w:left w:val="nil"/>
              <w:bottom w:val="single" w:sz="8" w:space="0" w:color="auto"/>
              <w:right w:val="single" w:sz="8" w:space="0" w:color="auto"/>
            </w:tcBorders>
            <w:noWrap/>
            <w:vAlign w:val="center"/>
            <w:hideMark/>
          </w:tcPr>
          <w:p w:rsidR="00D5791C" w:rsidRPr="008E6E65" w:rsidP="00D03DD4" w14:paraId="2438FD5F" w14:textId="77777777">
            <w:pPr>
              <w:jc w:val="right"/>
              <w:rPr>
                <w:rFonts w:ascii="Source Sans Pro" w:hAnsi="Source Sans Pro" w:cs="Calibri"/>
                <w:color w:val="000000"/>
                <w:sz w:val="20"/>
              </w:rPr>
            </w:pPr>
            <w:r w:rsidRPr="008E6E65">
              <w:rPr>
                <w:rFonts w:ascii="Source Sans Pro" w:hAnsi="Source Sans Pro" w:cs="Calibri"/>
                <w:color w:val="000000"/>
                <w:sz w:val="20"/>
              </w:rPr>
              <w:t>1</w:t>
            </w:r>
          </w:p>
        </w:tc>
        <w:tc>
          <w:tcPr>
            <w:tcW w:w="1097" w:type="dxa"/>
            <w:tcBorders>
              <w:top w:val="nil"/>
              <w:left w:val="nil"/>
              <w:bottom w:val="single" w:sz="8" w:space="0" w:color="auto"/>
              <w:right w:val="nil"/>
            </w:tcBorders>
            <w:vAlign w:val="center"/>
            <w:hideMark/>
          </w:tcPr>
          <w:p w:rsidR="00D5791C" w:rsidRPr="008E6E65" w:rsidP="00D03DD4" w14:paraId="395CE760" w14:textId="77777777">
            <w:pPr>
              <w:jc w:val="right"/>
              <w:rPr>
                <w:rFonts w:ascii="Source Sans Pro" w:hAnsi="Source Sans Pro" w:cs="Calibri"/>
                <w:color w:val="000000"/>
                <w:sz w:val="20"/>
              </w:rPr>
            </w:pPr>
            <w:r w:rsidRPr="008E6E65">
              <w:rPr>
                <w:rFonts w:ascii="Source Sans Pro" w:hAnsi="Source Sans Pro" w:cs="Calibri"/>
                <w:color w:val="000000"/>
                <w:sz w:val="20"/>
              </w:rPr>
              <w:t>300:00</w:t>
            </w:r>
          </w:p>
        </w:tc>
        <w:tc>
          <w:tcPr>
            <w:tcW w:w="1371" w:type="dxa"/>
            <w:gridSpan w:val="2"/>
            <w:tcBorders>
              <w:top w:val="nil"/>
              <w:left w:val="single" w:sz="8" w:space="0" w:color="auto"/>
              <w:bottom w:val="single" w:sz="8" w:space="0" w:color="auto"/>
              <w:right w:val="single" w:sz="8" w:space="0" w:color="auto"/>
            </w:tcBorders>
            <w:noWrap/>
            <w:vAlign w:val="center"/>
            <w:hideMark/>
          </w:tcPr>
          <w:p w:rsidR="00D5791C" w:rsidRPr="008E6E65" w:rsidP="00D03DD4" w14:paraId="3C251AC1" w14:textId="77777777">
            <w:pPr>
              <w:jc w:val="right"/>
              <w:rPr>
                <w:rFonts w:ascii="Source Sans Pro" w:hAnsi="Source Sans Pro" w:cs="Calibri"/>
                <w:color w:val="000000"/>
                <w:sz w:val="20"/>
              </w:rPr>
            </w:pPr>
            <w:r w:rsidRPr="008E6E65">
              <w:rPr>
                <w:rFonts w:ascii="Source Sans Pro" w:hAnsi="Source Sans Pro" w:cs="Calibri"/>
                <w:color w:val="000000"/>
                <w:sz w:val="20"/>
              </w:rPr>
              <w:t>300</w:t>
            </w:r>
          </w:p>
        </w:tc>
      </w:tr>
      <w:tr w14:paraId="1BC2DB7E" w14:textId="77777777" w:rsidTr="00D5791C">
        <w:tblPrEx>
          <w:tblW w:w="9695" w:type="dxa"/>
          <w:tblCellMar>
            <w:top w:w="15" w:type="dxa"/>
          </w:tblCellMar>
          <w:tblLook w:val="04A0"/>
        </w:tblPrEx>
        <w:trPr>
          <w:trHeight w:val="1668"/>
        </w:trPr>
        <w:tc>
          <w:tcPr>
            <w:tcW w:w="2311" w:type="dxa"/>
            <w:tcBorders>
              <w:top w:val="nil"/>
              <w:left w:val="single" w:sz="8" w:space="0" w:color="auto"/>
              <w:bottom w:val="single" w:sz="8" w:space="0" w:color="auto"/>
              <w:right w:val="single" w:sz="8" w:space="0" w:color="auto"/>
            </w:tcBorders>
            <w:vAlign w:val="center"/>
            <w:hideMark/>
          </w:tcPr>
          <w:p w:rsidR="00D5791C" w:rsidRPr="008E6E65" w:rsidP="00D03DD4" w14:paraId="2C464779" w14:textId="77777777">
            <w:pPr>
              <w:rPr>
                <w:rFonts w:ascii="Source Sans Pro" w:hAnsi="Source Sans Pro" w:cs="Calibri"/>
                <w:color w:val="000000"/>
                <w:sz w:val="20"/>
              </w:rPr>
            </w:pPr>
            <w:r w:rsidRPr="008E6E65">
              <w:rPr>
                <w:rFonts w:ascii="Source Sans Pro" w:hAnsi="Source Sans Pro" w:cs="Calibri"/>
                <w:color w:val="000000"/>
                <w:sz w:val="20"/>
              </w:rPr>
              <w:t>12</w:t>
            </w:r>
            <w:r w:rsidRPr="008E6E65">
              <w:rPr>
                <w:rFonts w:ascii="Source Sans Pro" w:hAnsi="Source Sans Pro" w:cs="Calibri"/>
                <w:color w:val="000000"/>
                <w:sz w:val="20"/>
              </w:rPr>
              <w:t>.  Section</w:t>
            </w:r>
            <w:r w:rsidRPr="008E6E65">
              <w:rPr>
                <w:rFonts w:ascii="Source Sans Pro" w:hAnsi="Source Sans Pro" w:cs="Calibri"/>
                <w:color w:val="000000"/>
                <w:sz w:val="20"/>
              </w:rPr>
              <w:t xml:space="preserve"> 351.20(d) - Requirements under Appendix A for Covered Banks with Significant Trading Assets &amp; Liabilities</w:t>
            </w:r>
            <w:r>
              <w:rPr>
                <w:rFonts w:ascii="Source Sans Pro" w:hAnsi="Source Sans Pro" w:cs="Calibri"/>
                <w:color w:val="000000"/>
                <w:sz w:val="20"/>
              </w:rPr>
              <w:t xml:space="preserve"> </w:t>
            </w:r>
            <w:r w:rsidRPr="001F7DAF">
              <w:rPr>
                <w:rFonts w:ascii="Source Sans Pro" w:hAnsi="Source Sans Pro" w:cs="Calibri"/>
                <w:color w:val="000000"/>
                <w:sz w:val="20"/>
              </w:rPr>
              <w:t>Initial Set-up</w:t>
            </w:r>
            <w:r w:rsidRPr="008E6E65">
              <w:rPr>
                <w:rFonts w:ascii="Source Sans Pro" w:hAnsi="Source Sans Pro" w:cs="Calibri"/>
                <w:color w:val="000000"/>
                <w:sz w:val="20"/>
              </w:rPr>
              <w:t xml:space="preserve"> (Mandatory)</w:t>
            </w:r>
          </w:p>
        </w:tc>
        <w:tc>
          <w:tcPr>
            <w:tcW w:w="1606" w:type="dxa"/>
            <w:tcBorders>
              <w:top w:val="nil"/>
              <w:left w:val="nil"/>
              <w:bottom w:val="single" w:sz="8" w:space="0" w:color="auto"/>
              <w:right w:val="single" w:sz="8" w:space="0" w:color="auto"/>
            </w:tcBorders>
            <w:vAlign w:val="center"/>
            <w:hideMark/>
          </w:tcPr>
          <w:p w:rsidR="00D5791C" w:rsidRPr="008E6E65" w:rsidP="00D03DD4" w14:paraId="1F30C719" w14:textId="77777777">
            <w:pPr>
              <w:jc w:val="center"/>
              <w:rPr>
                <w:rFonts w:ascii="Source Sans Pro" w:hAnsi="Source Sans Pro" w:cs="Calibri"/>
                <w:color w:val="000000"/>
                <w:sz w:val="20"/>
              </w:rPr>
            </w:pPr>
            <w:r w:rsidRPr="008E6E65">
              <w:rPr>
                <w:rFonts w:ascii="Source Sans Pro" w:hAnsi="Source Sans Pro" w:cs="Calibri"/>
                <w:color w:val="000000"/>
                <w:sz w:val="20"/>
              </w:rPr>
              <w:t xml:space="preserve">Recordkeeping </w:t>
            </w:r>
            <w:r w:rsidRPr="008E6E65">
              <w:rPr>
                <w:rFonts w:ascii="Source Sans Pro" w:hAnsi="Source Sans Pro" w:cs="Calibri"/>
                <w:color w:val="000000"/>
                <w:sz w:val="20"/>
              </w:rPr>
              <w:br/>
              <w:t>(On occasion)</w:t>
            </w:r>
          </w:p>
        </w:tc>
        <w:tc>
          <w:tcPr>
            <w:tcW w:w="1630" w:type="dxa"/>
            <w:tcBorders>
              <w:top w:val="nil"/>
              <w:left w:val="nil"/>
              <w:bottom w:val="single" w:sz="8" w:space="0" w:color="auto"/>
              <w:right w:val="single" w:sz="8" w:space="0" w:color="auto"/>
            </w:tcBorders>
            <w:noWrap/>
            <w:vAlign w:val="center"/>
            <w:hideMark/>
          </w:tcPr>
          <w:p w:rsidR="00D5791C" w:rsidRPr="008E6E65" w:rsidP="00D03DD4" w14:paraId="2D52D144" w14:textId="77777777">
            <w:pPr>
              <w:jc w:val="right"/>
              <w:rPr>
                <w:rFonts w:ascii="Source Sans Pro" w:hAnsi="Source Sans Pro" w:cs="Calibri"/>
                <w:color w:val="000000"/>
                <w:sz w:val="20"/>
              </w:rPr>
            </w:pPr>
            <w:r w:rsidRPr="008E6E65">
              <w:rPr>
                <w:rFonts w:ascii="Source Sans Pro" w:hAnsi="Source Sans Pro" w:cs="Calibri"/>
                <w:color w:val="000000"/>
                <w:sz w:val="20"/>
              </w:rPr>
              <w:t>1</w:t>
            </w:r>
            <w:r w:rsidRPr="00DB212C">
              <w:rPr>
                <w:rFonts w:ascii="Source Sans Pro" w:hAnsi="Source Sans Pro" w:cs="Calibri"/>
                <w:color w:val="000000"/>
                <w:sz w:val="20"/>
                <w:vertAlign w:val="superscript"/>
              </w:rPr>
              <w:t xml:space="preserve"> P</w:t>
            </w:r>
          </w:p>
        </w:tc>
        <w:tc>
          <w:tcPr>
            <w:tcW w:w="1680" w:type="dxa"/>
            <w:tcBorders>
              <w:top w:val="nil"/>
              <w:left w:val="nil"/>
              <w:bottom w:val="single" w:sz="8" w:space="0" w:color="auto"/>
              <w:right w:val="single" w:sz="8" w:space="0" w:color="auto"/>
            </w:tcBorders>
            <w:noWrap/>
            <w:vAlign w:val="center"/>
            <w:hideMark/>
          </w:tcPr>
          <w:p w:rsidR="00D5791C" w:rsidRPr="008E6E65" w:rsidP="00D03DD4" w14:paraId="5D32E69B" w14:textId="77777777">
            <w:pPr>
              <w:jc w:val="right"/>
              <w:rPr>
                <w:rFonts w:ascii="Source Sans Pro" w:hAnsi="Source Sans Pro" w:cs="Calibri"/>
                <w:color w:val="000000"/>
                <w:sz w:val="20"/>
              </w:rPr>
            </w:pPr>
            <w:r w:rsidRPr="008E6E65">
              <w:rPr>
                <w:rFonts w:ascii="Source Sans Pro" w:hAnsi="Source Sans Pro" w:cs="Calibri"/>
                <w:color w:val="000000"/>
                <w:sz w:val="20"/>
              </w:rPr>
              <w:t>1</w:t>
            </w:r>
          </w:p>
        </w:tc>
        <w:tc>
          <w:tcPr>
            <w:tcW w:w="1097" w:type="dxa"/>
            <w:tcBorders>
              <w:top w:val="nil"/>
              <w:left w:val="nil"/>
              <w:bottom w:val="single" w:sz="8" w:space="0" w:color="auto"/>
              <w:right w:val="nil"/>
            </w:tcBorders>
            <w:vAlign w:val="center"/>
            <w:hideMark/>
          </w:tcPr>
          <w:p w:rsidR="00D5791C" w:rsidRPr="008E6E65" w:rsidP="00D03DD4" w14:paraId="04C5BE66" w14:textId="77777777">
            <w:pPr>
              <w:jc w:val="right"/>
              <w:rPr>
                <w:rFonts w:ascii="Source Sans Pro" w:hAnsi="Source Sans Pro" w:cs="Calibri"/>
                <w:color w:val="000000"/>
                <w:sz w:val="20"/>
              </w:rPr>
            </w:pPr>
            <w:r w:rsidRPr="008E6E65">
              <w:rPr>
                <w:rFonts w:ascii="Source Sans Pro" w:hAnsi="Source Sans Pro" w:cs="Calibri"/>
                <w:color w:val="000000"/>
                <w:sz w:val="20"/>
              </w:rPr>
              <w:t>10:00</w:t>
            </w:r>
          </w:p>
        </w:tc>
        <w:tc>
          <w:tcPr>
            <w:tcW w:w="1371" w:type="dxa"/>
            <w:gridSpan w:val="2"/>
            <w:tcBorders>
              <w:top w:val="nil"/>
              <w:left w:val="single" w:sz="8" w:space="0" w:color="auto"/>
              <w:bottom w:val="single" w:sz="8" w:space="0" w:color="auto"/>
              <w:right w:val="single" w:sz="8" w:space="0" w:color="auto"/>
            </w:tcBorders>
            <w:noWrap/>
            <w:vAlign w:val="center"/>
            <w:hideMark/>
          </w:tcPr>
          <w:p w:rsidR="00D5791C" w:rsidRPr="008E6E65" w:rsidP="00D03DD4" w14:paraId="31260CB9" w14:textId="77777777">
            <w:pPr>
              <w:jc w:val="right"/>
              <w:rPr>
                <w:rFonts w:ascii="Source Sans Pro" w:hAnsi="Source Sans Pro" w:cs="Calibri"/>
                <w:color w:val="000000"/>
                <w:sz w:val="20"/>
              </w:rPr>
            </w:pPr>
            <w:r w:rsidRPr="008E6E65">
              <w:rPr>
                <w:rFonts w:ascii="Source Sans Pro" w:hAnsi="Source Sans Pro" w:cs="Calibri"/>
                <w:color w:val="000000"/>
                <w:sz w:val="20"/>
              </w:rPr>
              <w:t>10</w:t>
            </w:r>
          </w:p>
        </w:tc>
      </w:tr>
      <w:tr w14:paraId="33BA1068" w14:textId="77777777" w:rsidTr="00D5791C">
        <w:tblPrEx>
          <w:tblW w:w="9695" w:type="dxa"/>
          <w:tblCellMar>
            <w:top w:w="15" w:type="dxa"/>
          </w:tblCellMar>
          <w:tblLook w:val="04A0"/>
        </w:tblPrEx>
        <w:trPr>
          <w:trHeight w:val="1668"/>
        </w:trPr>
        <w:tc>
          <w:tcPr>
            <w:tcW w:w="2311" w:type="dxa"/>
            <w:tcBorders>
              <w:top w:val="nil"/>
              <w:left w:val="single" w:sz="8" w:space="0" w:color="auto"/>
              <w:bottom w:val="single" w:sz="8" w:space="0" w:color="auto"/>
              <w:right w:val="single" w:sz="8" w:space="0" w:color="auto"/>
            </w:tcBorders>
            <w:vAlign w:val="center"/>
            <w:hideMark/>
          </w:tcPr>
          <w:p w:rsidR="00D5791C" w:rsidRPr="008E6E65" w:rsidP="00D03DD4" w14:paraId="1D6B32CA" w14:textId="77777777">
            <w:pPr>
              <w:rPr>
                <w:rFonts w:ascii="Source Sans Pro" w:hAnsi="Source Sans Pro" w:cs="Calibri"/>
                <w:color w:val="000000"/>
                <w:sz w:val="20"/>
              </w:rPr>
            </w:pPr>
            <w:r w:rsidRPr="008E6E65">
              <w:rPr>
                <w:rFonts w:ascii="Source Sans Pro" w:hAnsi="Source Sans Pro" w:cs="Calibri"/>
                <w:color w:val="000000"/>
                <w:sz w:val="20"/>
              </w:rPr>
              <w:t xml:space="preserve">13. Section 351.20(e) - Additional </w:t>
            </w:r>
            <w:r>
              <w:rPr>
                <w:rFonts w:ascii="Source Sans Pro" w:hAnsi="Source Sans Pro" w:cs="Calibri"/>
                <w:color w:val="000000"/>
                <w:sz w:val="20"/>
              </w:rPr>
              <w:t>D</w:t>
            </w:r>
            <w:r w:rsidRPr="008E6E65">
              <w:rPr>
                <w:rFonts w:ascii="Source Sans Pro" w:hAnsi="Source Sans Pro" w:cs="Calibri"/>
                <w:color w:val="000000"/>
                <w:sz w:val="20"/>
              </w:rPr>
              <w:t xml:space="preserve">ocumentation for </w:t>
            </w:r>
            <w:r>
              <w:rPr>
                <w:rFonts w:ascii="Source Sans Pro" w:hAnsi="Source Sans Pro" w:cs="Calibri"/>
                <w:color w:val="000000"/>
                <w:sz w:val="20"/>
              </w:rPr>
              <w:t>C</w:t>
            </w:r>
            <w:r w:rsidRPr="008E6E65">
              <w:rPr>
                <w:rFonts w:ascii="Source Sans Pro" w:hAnsi="Source Sans Pro" w:cs="Calibri"/>
                <w:color w:val="000000"/>
                <w:sz w:val="20"/>
              </w:rPr>
              <w:t xml:space="preserve">overed </w:t>
            </w:r>
            <w:r>
              <w:rPr>
                <w:rFonts w:ascii="Source Sans Pro" w:hAnsi="Source Sans Pro" w:cs="Calibri"/>
                <w:color w:val="000000"/>
                <w:sz w:val="20"/>
              </w:rPr>
              <w:t>F</w:t>
            </w:r>
            <w:r w:rsidRPr="008E6E65">
              <w:rPr>
                <w:rFonts w:ascii="Source Sans Pro" w:hAnsi="Source Sans Pro" w:cs="Calibri"/>
                <w:color w:val="000000"/>
                <w:sz w:val="20"/>
              </w:rPr>
              <w:t xml:space="preserve">unds for Covered Banks with Significant Trading Assets &amp; Liabilities </w:t>
            </w:r>
            <w:r w:rsidRPr="001F7DAF">
              <w:rPr>
                <w:rFonts w:ascii="Source Sans Pro" w:hAnsi="Source Sans Pro" w:cs="Calibri"/>
                <w:color w:val="000000"/>
                <w:sz w:val="20"/>
              </w:rPr>
              <w:t>Initial Set-up</w:t>
            </w:r>
            <w:r w:rsidRPr="008E6E65">
              <w:rPr>
                <w:rFonts w:ascii="Source Sans Pro" w:hAnsi="Source Sans Pro" w:cs="Calibri"/>
                <w:color w:val="000000"/>
                <w:sz w:val="20"/>
              </w:rPr>
              <w:t xml:space="preserve"> (Mandatory)</w:t>
            </w:r>
          </w:p>
        </w:tc>
        <w:tc>
          <w:tcPr>
            <w:tcW w:w="1606" w:type="dxa"/>
            <w:tcBorders>
              <w:top w:val="nil"/>
              <w:left w:val="nil"/>
              <w:bottom w:val="single" w:sz="8" w:space="0" w:color="auto"/>
              <w:right w:val="single" w:sz="8" w:space="0" w:color="auto"/>
            </w:tcBorders>
            <w:vAlign w:val="center"/>
            <w:hideMark/>
          </w:tcPr>
          <w:p w:rsidR="00D5791C" w:rsidRPr="008E6E65" w:rsidP="00D03DD4" w14:paraId="348823D5" w14:textId="77777777">
            <w:pPr>
              <w:jc w:val="center"/>
              <w:rPr>
                <w:rFonts w:ascii="Source Sans Pro" w:hAnsi="Source Sans Pro" w:cs="Calibri"/>
                <w:color w:val="000000"/>
                <w:sz w:val="20"/>
              </w:rPr>
            </w:pPr>
            <w:r w:rsidRPr="008E6E65">
              <w:rPr>
                <w:rFonts w:ascii="Source Sans Pro" w:hAnsi="Source Sans Pro" w:cs="Calibri"/>
                <w:color w:val="000000"/>
                <w:sz w:val="20"/>
              </w:rPr>
              <w:t xml:space="preserve">Recordkeeping </w:t>
            </w:r>
            <w:r w:rsidRPr="008E6E65">
              <w:rPr>
                <w:rFonts w:ascii="Source Sans Pro" w:hAnsi="Source Sans Pro" w:cs="Calibri"/>
                <w:color w:val="000000"/>
                <w:sz w:val="20"/>
              </w:rPr>
              <w:br/>
              <w:t>(On occasion)</w:t>
            </w:r>
          </w:p>
        </w:tc>
        <w:tc>
          <w:tcPr>
            <w:tcW w:w="1630" w:type="dxa"/>
            <w:tcBorders>
              <w:top w:val="nil"/>
              <w:left w:val="nil"/>
              <w:bottom w:val="single" w:sz="8" w:space="0" w:color="auto"/>
              <w:right w:val="single" w:sz="8" w:space="0" w:color="auto"/>
            </w:tcBorders>
            <w:noWrap/>
            <w:vAlign w:val="center"/>
            <w:hideMark/>
          </w:tcPr>
          <w:p w:rsidR="00D5791C" w:rsidRPr="008E6E65" w:rsidP="00D03DD4" w14:paraId="65D381E9" w14:textId="77777777">
            <w:pPr>
              <w:jc w:val="right"/>
              <w:rPr>
                <w:rFonts w:ascii="Source Sans Pro" w:hAnsi="Source Sans Pro" w:cs="Calibri"/>
                <w:color w:val="000000"/>
                <w:sz w:val="20"/>
              </w:rPr>
            </w:pPr>
            <w:r w:rsidRPr="008E6E65">
              <w:rPr>
                <w:rFonts w:ascii="Source Sans Pro" w:hAnsi="Source Sans Pro" w:cs="Calibri"/>
                <w:color w:val="000000"/>
                <w:sz w:val="20"/>
              </w:rPr>
              <w:t>1</w:t>
            </w:r>
            <w:r w:rsidRPr="00DB212C">
              <w:rPr>
                <w:rFonts w:ascii="Source Sans Pro" w:hAnsi="Source Sans Pro" w:cs="Calibri"/>
                <w:color w:val="000000"/>
                <w:sz w:val="20"/>
                <w:vertAlign w:val="superscript"/>
              </w:rPr>
              <w:t xml:space="preserve"> P</w:t>
            </w:r>
          </w:p>
        </w:tc>
        <w:tc>
          <w:tcPr>
            <w:tcW w:w="1680" w:type="dxa"/>
            <w:tcBorders>
              <w:top w:val="nil"/>
              <w:left w:val="nil"/>
              <w:bottom w:val="single" w:sz="8" w:space="0" w:color="auto"/>
              <w:right w:val="single" w:sz="8" w:space="0" w:color="auto"/>
            </w:tcBorders>
            <w:noWrap/>
            <w:vAlign w:val="center"/>
            <w:hideMark/>
          </w:tcPr>
          <w:p w:rsidR="00D5791C" w:rsidRPr="008E6E65" w:rsidP="00D03DD4" w14:paraId="7E2BB82F" w14:textId="77777777">
            <w:pPr>
              <w:jc w:val="right"/>
              <w:rPr>
                <w:rFonts w:ascii="Source Sans Pro" w:hAnsi="Source Sans Pro" w:cs="Calibri"/>
                <w:color w:val="000000"/>
                <w:sz w:val="20"/>
              </w:rPr>
            </w:pPr>
            <w:r w:rsidRPr="008E6E65">
              <w:rPr>
                <w:rFonts w:ascii="Source Sans Pro" w:hAnsi="Source Sans Pro" w:cs="Calibri"/>
                <w:color w:val="000000"/>
                <w:sz w:val="20"/>
              </w:rPr>
              <w:t>1</w:t>
            </w:r>
          </w:p>
        </w:tc>
        <w:tc>
          <w:tcPr>
            <w:tcW w:w="1097" w:type="dxa"/>
            <w:tcBorders>
              <w:top w:val="nil"/>
              <w:left w:val="nil"/>
              <w:bottom w:val="single" w:sz="8" w:space="0" w:color="auto"/>
              <w:right w:val="nil"/>
            </w:tcBorders>
            <w:vAlign w:val="center"/>
            <w:hideMark/>
          </w:tcPr>
          <w:p w:rsidR="00D5791C" w:rsidRPr="008E6E65" w:rsidP="00D03DD4" w14:paraId="6E45DC88" w14:textId="77777777">
            <w:pPr>
              <w:jc w:val="right"/>
              <w:rPr>
                <w:rFonts w:ascii="Source Sans Pro" w:hAnsi="Source Sans Pro" w:cs="Calibri"/>
                <w:color w:val="000000"/>
                <w:sz w:val="20"/>
              </w:rPr>
            </w:pPr>
            <w:r w:rsidRPr="008E6E65">
              <w:rPr>
                <w:rFonts w:ascii="Source Sans Pro" w:hAnsi="Source Sans Pro" w:cs="Calibri"/>
                <w:color w:val="000000"/>
                <w:sz w:val="20"/>
              </w:rPr>
              <w:t>200:00</w:t>
            </w:r>
          </w:p>
        </w:tc>
        <w:tc>
          <w:tcPr>
            <w:tcW w:w="1371" w:type="dxa"/>
            <w:gridSpan w:val="2"/>
            <w:tcBorders>
              <w:top w:val="nil"/>
              <w:left w:val="single" w:sz="8" w:space="0" w:color="auto"/>
              <w:bottom w:val="single" w:sz="8" w:space="0" w:color="auto"/>
              <w:right w:val="single" w:sz="8" w:space="0" w:color="auto"/>
            </w:tcBorders>
            <w:noWrap/>
            <w:vAlign w:val="center"/>
            <w:hideMark/>
          </w:tcPr>
          <w:p w:rsidR="00D5791C" w:rsidRPr="008E6E65" w:rsidP="00D03DD4" w14:paraId="092A382F" w14:textId="77777777">
            <w:pPr>
              <w:jc w:val="right"/>
              <w:rPr>
                <w:rFonts w:ascii="Source Sans Pro" w:hAnsi="Source Sans Pro" w:cs="Calibri"/>
                <w:color w:val="000000"/>
                <w:sz w:val="20"/>
              </w:rPr>
            </w:pPr>
            <w:r w:rsidRPr="008E6E65">
              <w:rPr>
                <w:rFonts w:ascii="Source Sans Pro" w:hAnsi="Source Sans Pro" w:cs="Calibri"/>
                <w:color w:val="000000"/>
                <w:sz w:val="20"/>
              </w:rPr>
              <w:t>200</w:t>
            </w:r>
          </w:p>
        </w:tc>
      </w:tr>
      <w:tr w14:paraId="55A42647" w14:textId="77777777" w:rsidTr="00D5791C">
        <w:tblPrEx>
          <w:tblW w:w="9695" w:type="dxa"/>
          <w:tblCellMar>
            <w:top w:w="15" w:type="dxa"/>
          </w:tblCellMar>
          <w:tblLook w:val="04A0"/>
        </w:tblPrEx>
        <w:trPr>
          <w:trHeight w:val="1392"/>
        </w:trPr>
        <w:tc>
          <w:tcPr>
            <w:tcW w:w="2311" w:type="dxa"/>
            <w:tcBorders>
              <w:top w:val="nil"/>
              <w:left w:val="single" w:sz="8" w:space="0" w:color="auto"/>
              <w:bottom w:val="single" w:sz="8" w:space="0" w:color="auto"/>
              <w:right w:val="single" w:sz="8" w:space="0" w:color="auto"/>
            </w:tcBorders>
            <w:vAlign w:val="center"/>
            <w:hideMark/>
          </w:tcPr>
          <w:p w:rsidR="00D5791C" w:rsidRPr="008E6E65" w:rsidP="00D03DD4" w14:paraId="04143B81" w14:textId="77777777">
            <w:pPr>
              <w:rPr>
                <w:rFonts w:ascii="Source Sans Pro" w:hAnsi="Source Sans Pro" w:cs="Calibri"/>
                <w:color w:val="000000"/>
                <w:sz w:val="20"/>
              </w:rPr>
            </w:pPr>
            <w:r w:rsidRPr="008E6E65">
              <w:rPr>
                <w:rFonts w:ascii="Source Sans Pro" w:hAnsi="Source Sans Pro" w:cs="Calibri"/>
                <w:color w:val="000000"/>
                <w:sz w:val="20"/>
              </w:rPr>
              <w:t xml:space="preserve">14. Section 351.20(f)(1) - Simplified </w:t>
            </w:r>
            <w:r>
              <w:rPr>
                <w:rFonts w:ascii="Source Sans Pro" w:hAnsi="Source Sans Pro" w:cs="Calibri"/>
                <w:color w:val="000000"/>
                <w:sz w:val="20"/>
              </w:rPr>
              <w:t>C</w:t>
            </w:r>
            <w:r w:rsidRPr="008E6E65">
              <w:rPr>
                <w:rFonts w:ascii="Source Sans Pro" w:hAnsi="Source Sans Pro" w:cs="Calibri"/>
                <w:color w:val="000000"/>
                <w:sz w:val="20"/>
              </w:rPr>
              <w:t xml:space="preserve">ompliance </w:t>
            </w:r>
            <w:r>
              <w:rPr>
                <w:rFonts w:ascii="Source Sans Pro" w:hAnsi="Source Sans Pro" w:cs="Calibri"/>
                <w:color w:val="000000"/>
                <w:sz w:val="20"/>
              </w:rPr>
              <w:t>P</w:t>
            </w:r>
            <w:r w:rsidRPr="008E6E65">
              <w:rPr>
                <w:rFonts w:ascii="Source Sans Pro" w:hAnsi="Source Sans Pro" w:cs="Calibri"/>
                <w:color w:val="000000"/>
                <w:sz w:val="20"/>
              </w:rPr>
              <w:t xml:space="preserve">rogram for Covered Banks with </w:t>
            </w:r>
            <w:r>
              <w:rPr>
                <w:rFonts w:ascii="Source Sans Pro" w:hAnsi="Source Sans Pro" w:cs="Calibri"/>
                <w:color w:val="000000"/>
                <w:sz w:val="20"/>
              </w:rPr>
              <w:t>N</w:t>
            </w:r>
            <w:r w:rsidRPr="008E6E65">
              <w:rPr>
                <w:rFonts w:ascii="Source Sans Pro" w:hAnsi="Source Sans Pro" w:cs="Calibri"/>
                <w:color w:val="000000"/>
                <w:sz w:val="20"/>
              </w:rPr>
              <w:t xml:space="preserve">o </w:t>
            </w:r>
            <w:r>
              <w:rPr>
                <w:rFonts w:ascii="Source Sans Pro" w:hAnsi="Source Sans Pro" w:cs="Calibri"/>
                <w:color w:val="000000"/>
                <w:sz w:val="20"/>
              </w:rPr>
              <w:t>T</w:t>
            </w:r>
            <w:r w:rsidRPr="008E6E65">
              <w:rPr>
                <w:rFonts w:ascii="Source Sans Pro" w:hAnsi="Source Sans Pro" w:cs="Calibri"/>
                <w:color w:val="000000"/>
                <w:sz w:val="20"/>
              </w:rPr>
              <w:t xml:space="preserve">rading </w:t>
            </w:r>
            <w:r>
              <w:rPr>
                <w:rFonts w:ascii="Source Sans Pro" w:hAnsi="Source Sans Pro" w:cs="Calibri"/>
                <w:color w:val="000000"/>
                <w:sz w:val="20"/>
              </w:rPr>
              <w:t>A</w:t>
            </w:r>
            <w:r w:rsidRPr="008E6E65">
              <w:rPr>
                <w:rFonts w:ascii="Source Sans Pro" w:hAnsi="Source Sans Pro" w:cs="Calibri"/>
                <w:color w:val="000000"/>
                <w:sz w:val="20"/>
              </w:rPr>
              <w:t xml:space="preserve">ssets or </w:t>
            </w:r>
            <w:r>
              <w:rPr>
                <w:rFonts w:ascii="Source Sans Pro" w:hAnsi="Source Sans Pro" w:cs="Calibri"/>
                <w:color w:val="000000"/>
                <w:sz w:val="20"/>
              </w:rPr>
              <w:t>L</w:t>
            </w:r>
            <w:r w:rsidRPr="008E6E65">
              <w:rPr>
                <w:rFonts w:ascii="Source Sans Pro" w:hAnsi="Source Sans Pro" w:cs="Calibri"/>
                <w:color w:val="000000"/>
                <w:sz w:val="20"/>
              </w:rPr>
              <w:t xml:space="preserve">iabilities </w:t>
            </w:r>
            <w:r w:rsidRPr="001F7DAF">
              <w:rPr>
                <w:rFonts w:ascii="Source Sans Pro" w:hAnsi="Source Sans Pro" w:cs="Calibri"/>
                <w:color w:val="000000"/>
                <w:sz w:val="20"/>
              </w:rPr>
              <w:t>Initial Set-up</w:t>
            </w:r>
            <w:r w:rsidRPr="008E6E65">
              <w:rPr>
                <w:rFonts w:ascii="Source Sans Pro" w:hAnsi="Source Sans Pro" w:cs="Calibri"/>
                <w:color w:val="000000"/>
                <w:sz w:val="20"/>
              </w:rPr>
              <w:t xml:space="preserve"> (Mandatory)</w:t>
            </w:r>
          </w:p>
        </w:tc>
        <w:tc>
          <w:tcPr>
            <w:tcW w:w="1606" w:type="dxa"/>
            <w:tcBorders>
              <w:top w:val="nil"/>
              <w:left w:val="nil"/>
              <w:bottom w:val="single" w:sz="8" w:space="0" w:color="auto"/>
              <w:right w:val="single" w:sz="8" w:space="0" w:color="auto"/>
            </w:tcBorders>
            <w:vAlign w:val="center"/>
            <w:hideMark/>
          </w:tcPr>
          <w:p w:rsidR="00D5791C" w:rsidRPr="008E6E65" w:rsidP="00D03DD4" w14:paraId="173B6F8D" w14:textId="77777777">
            <w:pPr>
              <w:jc w:val="center"/>
              <w:rPr>
                <w:rFonts w:ascii="Source Sans Pro" w:hAnsi="Source Sans Pro" w:cs="Calibri"/>
                <w:color w:val="000000"/>
                <w:sz w:val="20"/>
              </w:rPr>
            </w:pPr>
            <w:r w:rsidRPr="008E6E65">
              <w:rPr>
                <w:rFonts w:ascii="Source Sans Pro" w:hAnsi="Source Sans Pro" w:cs="Calibri"/>
                <w:color w:val="000000"/>
                <w:sz w:val="20"/>
              </w:rPr>
              <w:t xml:space="preserve">Recordkeeping </w:t>
            </w:r>
            <w:r w:rsidRPr="008E6E65">
              <w:rPr>
                <w:rFonts w:ascii="Source Sans Pro" w:hAnsi="Source Sans Pro" w:cs="Calibri"/>
                <w:color w:val="000000"/>
                <w:sz w:val="20"/>
              </w:rPr>
              <w:br/>
              <w:t>(On occasion)</w:t>
            </w:r>
          </w:p>
        </w:tc>
        <w:tc>
          <w:tcPr>
            <w:tcW w:w="1630" w:type="dxa"/>
            <w:tcBorders>
              <w:top w:val="nil"/>
              <w:left w:val="nil"/>
              <w:bottom w:val="single" w:sz="8" w:space="0" w:color="auto"/>
              <w:right w:val="single" w:sz="8" w:space="0" w:color="auto"/>
            </w:tcBorders>
            <w:noWrap/>
            <w:vAlign w:val="center"/>
            <w:hideMark/>
          </w:tcPr>
          <w:p w:rsidR="00D5791C" w:rsidRPr="008E6E65" w:rsidP="00D03DD4" w14:paraId="5E3323BA" w14:textId="77777777">
            <w:pPr>
              <w:jc w:val="right"/>
              <w:rPr>
                <w:rFonts w:ascii="Source Sans Pro" w:hAnsi="Source Sans Pro" w:cs="Calibri"/>
                <w:color w:val="000000"/>
                <w:sz w:val="20"/>
              </w:rPr>
            </w:pPr>
            <w:r w:rsidRPr="008E6E65">
              <w:rPr>
                <w:rFonts w:ascii="Source Sans Pro" w:hAnsi="Source Sans Pro" w:cs="Calibri"/>
                <w:color w:val="000000"/>
                <w:sz w:val="20"/>
              </w:rPr>
              <w:t>1</w:t>
            </w:r>
            <w:r w:rsidRPr="00DB212C">
              <w:rPr>
                <w:rFonts w:ascii="Source Sans Pro" w:hAnsi="Source Sans Pro" w:cs="Calibri"/>
                <w:color w:val="000000"/>
                <w:sz w:val="20"/>
                <w:vertAlign w:val="superscript"/>
              </w:rPr>
              <w:t xml:space="preserve"> P</w:t>
            </w:r>
          </w:p>
        </w:tc>
        <w:tc>
          <w:tcPr>
            <w:tcW w:w="1680" w:type="dxa"/>
            <w:tcBorders>
              <w:top w:val="nil"/>
              <w:left w:val="nil"/>
              <w:bottom w:val="single" w:sz="8" w:space="0" w:color="auto"/>
              <w:right w:val="single" w:sz="8" w:space="0" w:color="auto"/>
            </w:tcBorders>
            <w:noWrap/>
            <w:vAlign w:val="center"/>
            <w:hideMark/>
          </w:tcPr>
          <w:p w:rsidR="00D5791C" w:rsidRPr="008E6E65" w:rsidP="00D03DD4" w14:paraId="6AEE768D" w14:textId="77777777">
            <w:pPr>
              <w:jc w:val="right"/>
              <w:rPr>
                <w:rFonts w:ascii="Source Sans Pro" w:hAnsi="Source Sans Pro" w:cs="Calibri"/>
                <w:color w:val="000000"/>
                <w:sz w:val="20"/>
              </w:rPr>
            </w:pPr>
            <w:r w:rsidRPr="008E6E65">
              <w:rPr>
                <w:rFonts w:ascii="Source Sans Pro" w:hAnsi="Source Sans Pro" w:cs="Calibri"/>
                <w:color w:val="000000"/>
                <w:sz w:val="20"/>
              </w:rPr>
              <w:t>1</w:t>
            </w:r>
          </w:p>
        </w:tc>
        <w:tc>
          <w:tcPr>
            <w:tcW w:w="1097" w:type="dxa"/>
            <w:tcBorders>
              <w:top w:val="nil"/>
              <w:left w:val="nil"/>
              <w:bottom w:val="single" w:sz="8" w:space="0" w:color="auto"/>
              <w:right w:val="nil"/>
            </w:tcBorders>
            <w:vAlign w:val="center"/>
            <w:hideMark/>
          </w:tcPr>
          <w:p w:rsidR="00D5791C" w:rsidRPr="008E6E65" w:rsidP="00D03DD4" w14:paraId="5946F336" w14:textId="77777777">
            <w:pPr>
              <w:jc w:val="right"/>
              <w:rPr>
                <w:rFonts w:ascii="Source Sans Pro" w:hAnsi="Source Sans Pro" w:cs="Calibri"/>
                <w:color w:val="000000"/>
                <w:sz w:val="20"/>
              </w:rPr>
            </w:pPr>
            <w:r w:rsidRPr="008E6E65">
              <w:rPr>
                <w:rFonts w:ascii="Source Sans Pro" w:hAnsi="Source Sans Pro" w:cs="Calibri"/>
                <w:color w:val="000000"/>
                <w:sz w:val="20"/>
              </w:rPr>
              <w:t>8:00</w:t>
            </w:r>
          </w:p>
        </w:tc>
        <w:tc>
          <w:tcPr>
            <w:tcW w:w="1371" w:type="dxa"/>
            <w:gridSpan w:val="2"/>
            <w:tcBorders>
              <w:top w:val="nil"/>
              <w:left w:val="single" w:sz="8" w:space="0" w:color="auto"/>
              <w:bottom w:val="single" w:sz="8" w:space="0" w:color="auto"/>
              <w:right w:val="single" w:sz="8" w:space="0" w:color="auto"/>
            </w:tcBorders>
            <w:noWrap/>
            <w:vAlign w:val="center"/>
            <w:hideMark/>
          </w:tcPr>
          <w:p w:rsidR="00D5791C" w:rsidRPr="008E6E65" w:rsidP="00D03DD4" w14:paraId="11ED3F5A" w14:textId="77777777">
            <w:pPr>
              <w:jc w:val="right"/>
              <w:rPr>
                <w:rFonts w:ascii="Source Sans Pro" w:hAnsi="Source Sans Pro" w:cs="Calibri"/>
                <w:color w:val="000000"/>
                <w:sz w:val="20"/>
              </w:rPr>
            </w:pPr>
            <w:r w:rsidRPr="008E6E65">
              <w:rPr>
                <w:rFonts w:ascii="Source Sans Pro" w:hAnsi="Source Sans Pro" w:cs="Calibri"/>
                <w:color w:val="000000"/>
                <w:sz w:val="20"/>
              </w:rPr>
              <w:t>8</w:t>
            </w:r>
          </w:p>
        </w:tc>
      </w:tr>
      <w:tr w14:paraId="68ED9368" w14:textId="77777777" w:rsidTr="00D5791C">
        <w:tblPrEx>
          <w:tblW w:w="9695" w:type="dxa"/>
          <w:tblCellMar>
            <w:top w:w="15" w:type="dxa"/>
          </w:tblCellMar>
          <w:tblLook w:val="04A0"/>
        </w:tblPrEx>
        <w:trPr>
          <w:trHeight w:val="1668"/>
        </w:trPr>
        <w:tc>
          <w:tcPr>
            <w:tcW w:w="2311" w:type="dxa"/>
            <w:tcBorders>
              <w:top w:val="nil"/>
              <w:left w:val="single" w:sz="8" w:space="0" w:color="auto"/>
              <w:bottom w:val="single" w:sz="8" w:space="0" w:color="auto"/>
              <w:right w:val="single" w:sz="8" w:space="0" w:color="auto"/>
            </w:tcBorders>
            <w:vAlign w:val="center"/>
            <w:hideMark/>
          </w:tcPr>
          <w:p w:rsidR="00D5791C" w:rsidRPr="008E6E65" w:rsidP="00D03DD4" w14:paraId="155D4FAE" w14:textId="77777777">
            <w:pPr>
              <w:rPr>
                <w:rFonts w:ascii="Source Sans Pro" w:hAnsi="Source Sans Pro" w:cs="Calibri"/>
                <w:color w:val="000000"/>
                <w:sz w:val="20"/>
              </w:rPr>
            </w:pPr>
            <w:r w:rsidRPr="008E6E65">
              <w:rPr>
                <w:rFonts w:ascii="Source Sans Pro" w:hAnsi="Source Sans Pro" w:cs="Calibri"/>
                <w:color w:val="000000"/>
                <w:sz w:val="20"/>
              </w:rPr>
              <w:t xml:space="preserve">15. Section 351.20(f)(2) - Simplified </w:t>
            </w:r>
            <w:r>
              <w:rPr>
                <w:rFonts w:ascii="Source Sans Pro" w:hAnsi="Source Sans Pro" w:cs="Calibri"/>
                <w:color w:val="000000"/>
                <w:sz w:val="20"/>
              </w:rPr>
              <w:t>C</w:t>
            </w:r>
            <w:r w:rsidRPr="008E6E65">
              <w:rPr>
                <w:rFonts w:ascii="Source Sans Pro" w:hAnsi="Source Sans Pro" w:cs="Calibri"/>
                <w:color w:val="000000"/>
                <w:sz w:val="20"/>
              </w:rPr>
              <w:t xml:space="preserve">ompliance program for Covered Banks with </w:t>
            </w:r>
            <w:r>
              <w:rPr>
                <w:rFonts w:ascii="Source Sans Pro" w:hAnsi="Source Sans Pro" w:cs="Calibri"/>
                <w:color w:val="000000"/>
                <w:sz w:val="20"/>
              </w:rPr>
              <w:t>M</w:t>
            </w:r>
            <w:r w:rsidRPr="008E6E65">
              <w:rPr>
                <w:rFonts w:ascii="Source Sans Pro" w:hAnsi="Source Sans Pro" w:cs="Calibri"/>
                <w:color w:val="000000"/>
                <w:sz w:val="20"/>
              </w:rPr>
              <w:t xml:space="preserve">oderate </w:t>
            </w:r>
            <w:r>
              <w:rPr>
                <w:rFonts w:ascii="Source Sans Pro" w:hAnsi="Source Sans Pro" w:cs="Calibri"/>
                <w:color w:val="000000"/>
                <w:sz w:val="20"/>
              </w:rPr>
              <w:t>T</w:t>
            </w:r>
            <w:r w:rsidRPr="008E6E65">
              <w:rPr>
                <w:rFonts w:ascii="Source Sans Pro" w:hAnsi="Source Sans Pro" w:cs="Calibri"/>
                <w:color w:val="000000"/>
                <w:sz w:val="20"/>
              </w:rPr>
              <w:t xml:space="preserve">rading </w:t>
            </w:r>
            <w:r>
              <w:rPr>
                <w:rFonts w:ascii="Source Sans Pro" w:hAnsi="Source Sans Pro" w:cs="Calibri"/>
                <w:color w:val="000000"/>
                <w:sz w:val="20"/>
              </w:rPr>
              <w:t>A</w:t>
            </w:r>
            <w:r w:rsidRPr="008E6E65">
              <w:rPr>
                <w:rFonts w:ascii="Source Sans Pro" w:hAnsi="Source Sans Pro" w:cs="Calibri"/>
                <w:color w:val="000000"/>
                <w:sz w:val="20"/>
              </w:rPr>
              <w:t xml:space="preserve">ssets and </w:t>
            </w:r>
            <w:r>
              <w:rPr>
                <w:rFonts w:ascii="Source Sans Pro" w:hAnsi="Source Sans Pro" w:cs="Calibri"/>
                <w:color w:val="000000"/>
                <w:sz w:val="20"/>
              </w:rPr>
              <w:t>L</w:t>
            </w:r>
            <w:r w:rsidRPr="008E6E65">
              <w:rPr>
                <w:rFonts w:ascii="Source Sans Pro" w:hAnsi="Source Sans Pro" w:cs="Calibri"/>
                <w:color w:val="000000"/>
                <w:sz w:val="20"/>
              </w:rPr>
              <w:t>iabilities</w:t>
            </w:r>
            <w:r>
              <w:rPr>
                <w:rFonts w:ascii="Source Sans Pro" w:hAnsi="Source Sans Pro" w:cs="Calibri"/>
                <w:color w:val="000000"/>
                <w:sz w:val="20"/>
              </w:rPr>
              <w:t xml:space="preserve"> </w:t>
            </w:r>
            <w:r w:rsidRPr="001F7DAF">
              <w:rPr>
                <w:rFonts w:ascii="Source Sans Pro" w:hAnsi="Source Sans Pro" w:cs="Calibri"/>
                <w:color w:val="000000"/>
                <w:sz w:val="20"/>
              </w:rPr>
              <w:t>Initial Set-up</w:t>
            </w:r>
            <w:r w:rsidRPr="008E6E65">
              <w:rPr>
                <w:rFonts w:ascii="Source Sans Pro" w:hAnsi="Source Sans Pro" w:cs="Calibri"/>
                <w:color w:val="000000"/>
                <w:sz w:val="20"/>
              </w:rPr>
              <w:t xml:space="preserve"> (Mandatory)</w:t>
            </w:r>
          </w:p>
        </w:tc>
        <w:tc>
          <w:tcPr>
            <w:tcW w:w="1606" w:type="dxa"/>
            <w:tcBorders>
              <w:top w:val="nil"/>
              <w:left w:val="nil"/>
              <w:bottom w:val="single" w:sz="8" w:space="0" w:color="auto"/>
              <w:right w:val="single" w:sz="8" w:space="0" w:color="auto"/>
            </w:tcBorders>
            <w:vAlign w:val="center"/>
            <w:hideMark/>
          </w:tcPr>
          <w:p w:rsidR="00D5791C" w:rsidRPr="008E6E65" w:rsidP="00D03DD4" w14:paraId="37C6908A" w14:textId="77777777">
            <w:pPr>
              <w:jc w:val="center"/>
              <w:rPr>
                <w:rFonts w:ascii="Source Sans Pro" w:hAnsi="Source Sans Pro" w:cs="Calibri"/>
                <w:color w:val="000000"/>
                <w:sz w:val="20"/>
              </w:rPr>
            </w:pPr>
            <w:r w:rsidRPr="008E6E65">
              <w:rPr>
                <w:rFonts w:ascii="Source Sans Pro" w:hAnsi="Source Sans Pro" w:cs="Calibri"/>
                <w:color w:val="000000"/>
                <w:sz w:val="20"/>
              </w:rPr>
              <w:t xml:space="preserve">Recordkeeping </w:t>
            </w:r>
            <w:r w:rsidRPr="008E6E65">
              <w:rPr>
                <w:rFonts w:ascii="Source Sans Pro" w:hAnsi="Source Sans Pro" w:cs="Calibri"/>
                <w:color w:val="000000"/>
                <w:sz w:val="20"/>
              </w:rPr>
              <w:br/>
              <w:t>(On occasion)</w:t>
            </w:r>
          </w:p>
        </w:tc>
        <w:tc>
          <w:tcPr>
            <w:tcW w:w="1630" w:type="dxa"/>
            <w:tcBorders>
              <w:top w:val="nil"/>
              <w:left w:val="nil"/>
              <w:bottom w:val="single" w:sz="8" w:space="0" w:color="auto"/>
              <w:right w:val="single" w:sz="8" w:space="0" w:color="auto"/>
            </w:tcBorders>
            <w:noWrap/>
            <w:vAlign w:val="center"/>
            <w:hideMark/>
          </w:tcPr>
          <w:p w:rsidR="00D5791C" w:rsidRPr="008E6E65" w:rsidP="00D03DD4" w14:paraId="57A3DF2A" w14:textId="77777777">
            <w:pPr>
              <w:jc w:val="right"/>
              <w:rPr>
                <w:rFonts w:ascii="Source Sans Pro" w:hAnsi="Source Sans Pro" w:cs="Calibri"/>
                <w:color w:val="000000"/>
                <w:sz w:val="20"/>
              </w:rPr>
            </w:pPr>
            <w:r w:rsidRPr="008E6E65">
              <w:rPr>
                <w:rFonts w:ascii="Source Sans Pro" w:hAnsi="Source Sans Pro" w:cs="Calibri"/>
                <w:color w:val="000000"/>
                <w:sz w:val="20"/>
              </w:rPr>
              <w:t>1</w:t>
            </w:r>
            <w:r w:rsidRPr="00DB212C">
              <w:rPr>
                <w:rFonts w:ascii="Source Sans Pro" w:hAnsi="Source Sans Pro" w:cs="Calibri"/>
                <w:color w:val="000000"/>
                <w:sz w:val="20"/>
                <w:vertAlign w:val="superscript"/>
              </w:rPr>
              <w:t xml:space="preserve"> P</w:t>
            </w:r>
          </w:p>
        </w:tc>
        <w:tc>
          <w:tcPr>
            <w:tcW w:w="1680" w:type="dxa"/>
            <w:tcBorders>
              <w:top w:val="nil"/>
              <w:left w:val="nil"/>
              <w:bottom w:val="single" w:sz="8" w:space="0" w:color="auto"/>
              <w:right w:val="single" w:sz="8" w:space="0" w:color="auto"/>
            </w:tcBorders>
            <w:noWrap/>
            <w:vAlign w:val="center"/>
            <w:hideMark/>
          </w:tcPr>
          <w:p w:rsidR="00D5791C" w:rsidRPr="008E6E65" w:rsidP="00D03DD4" w14:paraId="44B530B7" w14:textId="77777777">
            <w:pPr>
              <w:jc w:val="right"/>
              <w:rPr>
                <w:rFonts w:ascii="Source Sans Pro" w:hAnsi="Source Sans Pro" w:cs="Calibri"/>
                <w:color w:val="000000"/>
                <w:sz w:val="20"/>
              </w:rPr>
            </w:pPr>
            <w:r w:rsidRPr="008E6E65">
              <w:rPr>
                <w:rFonts w:ascii="Source Sans Pro" w:hAnsi="Source Sans Pro" w:cs="Calibri"/>
                <w:color w:val="000000"/>
                <w:sz w:val="20"/>
              </w:rPr>
              <w:t>1</w:t>
            </w:r>
          </w:p>
        </w:tc>
        <w:tc>
          <w:tcPr>
            <w:tcW w:w="1097" w:type="dxa"/>
            <w:tcBorders>
              <w:top w:val="nil"/>
              <w:left w:val="nil"/>
              <w:bottom w:val="single" w:sz="8" w:space="0" w:color="auto"/>
              <w:right w:val="nil"/>
            </w:tcBorders>
            <w:vAlign w:val="center"/>
            <w:hideMark/>
          </w:tcPr>
          <w:p w:rsidR="00D5791C" w:rsidRPr="008E6E65" w:rsidP="00D03DD4" w14:paraId="761AA9E1" w14:textId="77777777">
            <w:pPr>
              <w:jc w:val="right"/>
              <w:rPr>
                <w:rFonts w:ascii="Source Sans Pro" w:hAnsi="Source Sans Pro" w:cs="Calibri"/>
                <w:color w:val="000000"/>
                <w:sz w:val="20"/>
              </w:rPr>
            </w:pPr>
            <w:r w:rsidRPr="008E6E65">
              <w:rPr>
                <w:rFonts w:ascii="Source Sans Pro" w:hAnsi="Source Sans Pro" w:cs="Calibri"/>
                <w:color w:val="000000"/>
                <w:sz w:val="20"/>
              </w:rPr>
              <w:t>100:00</w:t>
            </w:r>
          </w:p>
        </w:tc>
        <w:tc>
          <w:tcPr>
            <w:tcW w:w="1371" w:type="dxa"/>
            <w:gridSpan w:val="2"/>
            <w:tcBorders>
              <w:top w:val="nil"/>
              <w:left w:val="single" w:sz="8" w:space="0" w:color="auto"/>
              <w:bottom w:val="single" w:sz="8" w:space="0" w:color="auto"/>
              <w:right w:val="single" w:sz="8" w:space="0" w:color="auto"/>
            </w:tcBorders>
            <w:noWrap/>
            <w:vAlign w:val="center"/>
            <w:hideMark/>
          </w:tcPr>
          <w:p w:rsidR="00D5791C" w:rsidRPr="008E6E65" w:rsidP="00D03DD4" w14:paraId="77F40EED" w14:textId="77777777">
            <w:pPr>
              <w:jc w:val="right"/>
              <w:rPr>
                <w:rFonts w:ascii="Source Sans Pro" w:hAnsi="Source Sans Pro" w:cs="Calibri"/>
                <w:color w:val="000000"/>
                <w:sz w:val="20"/>
              </w:rPr>
            </w:pPr>
            <w:r w:rsidRPr="008E6E65">
              <w:rPr>
                <w:rFonts w:ascii="Source Sans Pro" w:hAnsi="Source Sans Pro" w:cs="Calibri"/>
                <w:color w:val="000000"/>
                <w:sz w:val="20"/>
              </w:rPr>
              <w:t>100</w:t>
            </w:r>
          </w:p>
        </w:tc>
      </w:tr>
      <w:tr w14:paraId="523FE2B0" w14:textId="77777777" w:rsidTr="00D5791C">
        <w:tblPrEx>
          <w:tblW w:w="9695" w:type="dxa"/>
          <w:tblCellMar>
            <w:top w:w="15" w:type="dxa"/>
          </w:tblCellMar>
          <w:tblLook w:val="04A0"/>
        </w:tblPrEx>
        <w:trPr>
          <w:trHeight w:val="840"/>
        </w:trPr>
        <w:tc>
          <w:tcPr>
            <w:tcW w:w="2311" w:type="dxa"/>
            <w:tcBorders>
              <w:top w:val="nil"/>
              <w:left w:val="single" w:sz="8" w:space="0" w:color="auto"/>
              <w:bottom w:val="single" w:sz="8" w:space="0" w:color="auto"/>
              <w:right w:val="single" w:sz="8" w:space="0" w:color="auto"/>
            </w:tcBorders>
            <w:vAlign w:val="center"/>
            <w:hideMark/>
          </w:tcPr>
          <w:p w:rsidR="00D5791C" w:rsidRPr="008E6E65" w:rsidP="00D03DD4" w14:paraId="7D3CD99D" w14:textId="77777777">
            <w:pPr>
              <w:rPr>
                <w:rFonts w:ascii="Source Sans Pro" w:hAnsi="Source Sans Pro" w:cs="Calibri"/>
                <w:color w:val="000000"/>
                <w:sz w:val="20"/>
              </w:rPr>
            </w:pPr>
            <w:r w:rsidRPr="008E6E65">
              <w:rPr>
                <w:rFonts w:ascii="Source Sans Pro" w:hAnsi="Source Sans Pro" w:cs="Calibri"/>
                <w:color w:val="000000"/>
                <w:sz w:val="20"/>
              </w:rPr>
              <w:t xml:space="preserve">16. Section 351.11(a)(8)(i) - Offerings </w:t>
            </w:r>
            <w:r>
              <w:rPr>
                <w:rFonts w:ascii="Source Sans Pro" w:hAnsi="Source Sans Pro" w:cs="Calibri"/>
                <w:color w:val="000000"/>
                <w:sz w:val="20"/>
              </w:rPr>
              <w:t>D</w:t>
            </w:r>
            <w:r w:rsidRPr="008E6E65">
              <w:rPr>
                <w:rFonts w:ascii="Source Sans Pro" w:hAnsi="Source Sans Pro" w:cs="Calibri"/>
                <w:color w:val="000000"/>
                <w:sz w:val="20"/>
              </w:rPr>
              <w:t>isclosures</w:t>
            </w:r>
            <w:r>
              <w:rPr>
                <w:rFonts w:ascii="Source Sans Pro" w:hAnsi="Source Sans Pro" w:cs="Calibri"/>
                <w:color w:val="000000"/>
                <w:sz w:val="20"/>
              </w:rPr>
              <w:t xml:space="preserve"> </w:t>
            </w:r>
            <w:r w:rsidRPr="001F7DAF">
              <w:rPr>
                <w:rFonts w:ascii="Source Sans Pro" w:hAnsi="Source Sans Pro" w:cs="Calibri"/>
                <w:color w:val="000000"/>
                <w:sz w:val="20"/>
              </w:rPr>
              <w:t>Initial Set-up</w:t>
            </w:r>
            <w:r w:rsidRPr="008E6E65">
              <w:rPr>
                <w:rFonts w:ascii="Source Sans Pro" w:hAnsi="Source Sans Pro" w:cs="Calibri"/>
                <w:color w:val="000000"/>
                <w:sz w:val="20"/>
              </w:rPr>
              <w:t xml:space="preserve"> (Mandatory)</w:t>
            </w:r>
          </w:p>
        </w:tc>
        <w:tc>
          <w:tcPr>
            <w:tcW w:w="1606" w:type="dxa"/>
            <w:tcBorders>
              <w:top w:val="nil"/>
              <w:left w:val="nil"/>
              <w:bottom w:val="single" w:sz="8" w:space="0" w:color="auto"/>
              <w:right w:val="single" w:sz="8" w:space="0" w:color="auto"/>
            </w:tcBorders>
            <w:vAlign w:val="center"/>
            <w:hideMark/>
          </w:tcPr>
          <w:p w:rsidR="00D5791C" w:rsidRPr="008E6E65" w:rsidP="00D03DD4" w14:paraId="22755E43" w14:textId="77777777">
            <w:pPr>
              <w:jc w:val="center"/>
              <w:rPr>
                <w:rFonts w:ascii="Source Sans Pro" w:hAnsi="Source Sans Pro" w:cs="Calibri"/>
                <w:color w:val="000000"/>
                <w:sz w:val="20"/>
              </w:rPr>
            </w:pPr>
            <w:r w:rsidRPr="008E6E65">
              <w:rPr>
                <w:rFonts w:ascii="Source Sans Pro" w:hAnsi="Source Sans Pro" w:cs="Calibri"/>
                <w:color w:val="000000"/>
                <w:sz w:val="20"/>
              </w:rPr>
              <w:t xml:space="preserve">Third-party Disclosure </w:t>
            </w:r>
            <w:r w:rsidRPr="008E6E65">
              <w:rPr>
                <w:rFonts w:ascii="Source Sans Pro" w:hAnsi="Source Sans Pro" w:cs="Calibri"/>
                <w:color w:val="000000"/>
                <w:sz w:val="20"/>
              </w:rPr>
              <w:br/>
              <w:t>(On Occasion)</w:t>
            </w:r>
          </w:p>
        </w:tc>
        <w:tc>
          <w:tcPr>
            <w:tcW w:w="1630" w:type="dxa"/>
            <w:tcBorders>
              <w:top w:val="nil"/>
              <w:left w:val="nil"/>
              <w:bottom w:val="single" w:sz="8" w:space="0" w:color="auto"/>
              <w:right w:val="single" w:sz="8" w:space="0" w:color="auto"/>
            </w:tcBorders>
            <w:noWrap/>
            <w:vAlign w:val="center"/>
            <w:hideMark/>
          </w:tcPr>
          <w:p w:rsidR="00D5791C" w:rsidRPr="008E6E65" w:rsidP="00D03DD4" w14:paraId="0BADFE7E" w14:textId="77777777">
            <w:pPr>
              <w:jc w:val="right"/>
              <w:rPr>
                <w:rFonts w:ascii="Source Sans Pro" w:hAnsi="Source Sans Pro" w:cs="Calibri"/>
                <w:color w:val="000000"/>
                <w:sz w:val="20"/>
              </w:rPr>
            </w:pPr>
            <w:r w:rsidRPr="008E6E65">
              <w:rPr>
                <w:rFonts w:ascii="Source Sans Pro" w:hAnsi="Source Sans Pro" w:cs="Calibri"/>
                <w:color w:val="000000"/>
                <w:sz w:val="20"/>
              </w:rPr>
              <w:t>1</w:t>
            </w:r>
            <w:r w:rsidRPr="00DB212C">
              <w:rPr>
                <w:rFonts w:ascii="Source Sans Pro" w:hAnsi="Source Sans Pro" w:cs="Calibri"/>
                <w:color w:val="000000"/>
                <w:sz w:val="20"/>
                <w:vertAlign w:val="superscript"/>
              </w:rPr>
              <w:t xml:space="preserve"> P</w:t>
            </w:r>
          </w:p>
        </w:tc>
        <w:tc>
          <w:tcPr>
            <w:tcW w:w="1680" w:type="dxa"/>
            <w:tcBorders>
              <w:top w:val="nil"/>
              <w:left w:val="nil"/>
              <w:bottom w:val="single" w:sz="8" w:space="0" w:color="auto"/>
              <w:right w:val="single" w:sz="8" w:space="0" w:color="auto"/>
            </w:tcBorders>
            <w:noWrap/>
            <w:vAlign w:val="center"/>
            <w:hideMark/>
          </w:tcPr>
          <w:p w:rsidR="00D5791C" w:rsidRPr="008E6E65" w:rsidP="00D03DD4" w14:paraId="2D08EC8F" w14:textId="77777777">
            <w:pPr>
              <w:jc w:val="right"/>
              <w:rPr>
                <w:rFonts w:ascii="Source Sans Pro" w:hAnsi="Source Sans Pro" w:cs="Calibri"/>
                <w:color w:val="000000"/>
                <w:sz w:val="20"/>
              </w:rPr>
            </w:pPr>
            <w:r w:rsidRPr="008E6E65">
              <w:rPr>
                <w:rFonts w:ascii="Source Sans Pro" w:hAnsi="Source Sans Pro" w:cs="Calibri"/>
                <w:color w:val="000000"/>
                <w:sz w:val="20"/>
              </w:rPr>
              <w:t>1</w:t>
            </w:r>
          </w:p>
        </w:tc>
        <w:tc>
          <w:tcPr>
            <w:tcW w:w="1097" w:type="dxa"/>
            <w:tcBorders>
              <w:top w:val="nil"/>
              <w:left w:val="nil"/>
              <w:bottom w:val="single" w:sz="8" w:space="0" w:color="auto"/>
              <w:right w:val="nil"/>
            </w:tcBorders>
            <w:vAlign w:val="center"/>
            <w:hideMark/>
          </w:tcPr>
          <w:p w:rsidR="00D5791C" w:rsidRPr="008E6E65" w:rsidP="00D03DD4" w14:paraId="4A67FA0C" w14:textId="77777777">
            <w:pPr>
              <w:jc w:val="right"/>
              <w:rPr>
                <w:rFonts w:ascii="Source Sans Pro" w:hAnsi="Source Sans Pro" w:cs="Calibri"/>
                <w:color w:val="000000"/>
                <w:sz w:val="20"/>
              </w:rPr>
            </w:pPr>
            <w:r w:rsidRPr="008E6E65">
              <w:rPr>
                <w:rFonts w:ascii="Source Sans Pro" w:hAnsi="Source Sans Pro" w:cs="Calibri"/>
                <w:color w:val="000000"/>
                <w:sz w:val="20"/>
              </w:rPr>
              <w:t>00:30</w:t>
            </w:r>
          </w:p>
        </w:tc>
        <w:tc>
          <w:tcPr>
            <w:tcW w:w="1371" w:type="dxa"/>
            <w:gridSpan w:val="2"/>
            <w:tcBorders>
              <w:top w:val="nil"/>
              <w:left w:val="single" w:sz="8" w:space="0" w:color="auto"/>
              <w:bottom w:val="single" w:sz="8" w:space="0" w:color="auto"/>
              <w:right w:val="single" w:sz="8" w:space="0" w:color="auto"/>
            </w:tcBorders>
            <w:noWrap/>
            <w:vAlign w:val="center"/>
            <w:hideMark/>
          </w:tcPr>
          <w:p w:rsidR="00D5791C" w:rsidRPr="008E6E65" w:rsidP="00D03DD4" w14:paraId="11F07EDF" w14:textId="77777777">
            <w:pPr>
              <w:jc w:val="right"/>
              <w:rPr>
                <w:rFonts w:ascii="Source Sans Pro" w:hAnsi="Source Sans Pro" w:cs="Calibri"/>
                <w:color w:val="000000"/>
                <w:sz w:val="20"/>
              </w:rPr>
            </w:pPr>
            <w:r w:rsidRPr="008E6E65">
              <w:rPr>
                <w:rFonts w:ascii="Source Sans Pro" w:hAnsi="Source Sans Pro" w:cs="Calibri"/>
                <w:color w:val="000000"/>
                <w:sz w:val="20"/>
              </w:rPr>
              <w:t>1</w:t>
            </w:r>
          </w:p>
        </w:tc>
      </w:tr>
      <w:tr w14:paraId="29584EA5" w14:textId="77777777" w:rsidTr="00D5791C">
        <w:tblPrEx>
          <w:tblW w:w="9695" w:type="dxa"/>
          <w:tblCellMar>
            <w:top w:w="15" w:type="dxa"/>
          </w:tblCellMar>
          <w:tblLook w:val="04A0"/>
        </w:tblPrEx>
        <w:trPr>
          <w:trHeight w:val="300"/>
        </w:trPr>
        <w:tc>
          <w:tcPr>
            <w:tcW w:w="9695" w:type="dxa"/>
            <w:gridSpan w:val="7"/>
            <w:tcBorders>
              <w:top w:val="single" w:sz="8" w:space="0" w:color="auto"/>
              <w:left w:val="single" w:sz="8" w:space="0" w:color="auto"/>
              <w:bottom w:val="single" w:sz="8" w:space="0" w:color="auto"/>
              <w:right w:val="single" w:sz="8" w:space="0" w:color="000000"/>
            </w:tcBorders>
            <w:shd w:val="clear" w:color="000000" w:fill="F2F2F2"/>
            <w:vAlign w:val="center"/>
            <w:hideMark/>
          </w:tcPr>
          <w:p w:rsidR="00D5791C" w:rsidRPr="008E6E65" w:rsidP="00D03DD4" w14:paraId="77E8642F" w14:textId="77777777">
            <w:pPr>
              <w:jc w:val="center"/>
              <w:rPr>
                <w:rFonts w:ascii="Source Sans Pro" w:hAnsi="Source Sans Pro" w:cs="Calibri"/>
                <w:b/>
                <w:bCs/>
                <w:color w:val="000000"/>
                <w:sz w:val="20"/>
              </w:rPr>
            </w:pPr>
            <w:r w:rsidRPr="008E6E65">
              <w:rPr>
                <w:rFonts w:ascii="Source Sans Pro" w:hAnsi="Source Sans Pro" w:cs="Calibri"/>
                <w:b/>
                <w:bCs/>
                <w:color w:val="000000"/>
                <w:sz w:val="20"/>
              </w:rPr>
              <w:t>Ongoing Compliance</w:t>
            </w:r>
          </w:p>
        </w:tc>
      </w:tr>
      <w:tr w14:paraId="6993B274" w14:textId="77777777" w:rsidTr="00D5791C">
        <w:tblPrEx>
          <w:tblW w:w="9695" w:type="dxa"/>
          <w:tblCellMar>
            <w:top w:w="15" w:type="dxa"/>
          </w:tblCellMar>
          <w:tblLook w:val="04A0"/>
        </w:tblPrEx>
        <w:trPr>
          <w:trHeight w:val="840"/>
        </w:trPr>
        <w:tc>
          <w:tcPr>
            <w:tcW w:w="2311" w:type="dxa"/>
            <w:tcBorders>
              <w:top w:val="nil"/>
              <w:left w:val="single" w:sz="8" w:space="0" w:color="auto"/>
              <w:bottom w:val="single" w:sz="8" w:space="0" w:color="auto"/>
              <w:right w:val="single" w:sz="8" w:space="0" w:color="auto"/>
            </w:tcBorders>
            <w:vAlign w:val="center"/>
            <w:hideMark/>
          </w:tcPr>
          <w:p w:rsidR="00D5791C" w:rsidRPr="008E6E65" w:rsidP="00D03DD4" w14:paraId="3BCDD540" w14:textId="77777777">
            <w:pPr>
              <w:rPr>
                <w:rFonts w:ascii="Source Sans Pro" w:hAnsi="Source Sans Pro" w:cs="Calibri"/>
                <w:color w:val="000000"/>
                <w:sz w:val="20"/>
              </w:rPr>
            </w:pPr>
            <w:r w:rsidRPr="008E6E65">
              <w:rPr>
                <w:rFonts w:ascii="Source Sans Pro" w:hAnsi="Source Sans Pro" w:cs="Calibri"/>
                <w:color w:val="000000"/>
                <w:sz w:val="20"/>
              </w:rPr>
              <w:t xml:space="preserve">1. Section 351.4(c)(3)(i) - Limit Breaches and Increases </w:t>
            </w:r>
            <w:r>
              <w:rPr>
                <w:rFonts w:ascii="Source Sans Pro" w:hAnsi="Source Sans Pro" w:cs="Calibri"/>
                <w:color w:val="000000"/>
                <w:sz w:val="20"/>
              </w:rPr>
              <w:t xml:space="preserve">Ongoing </w:t>
            </w:r>
            <w:r w:rsidRPr="008E6E65">
              <w:rPr>
                <w:rFonts w:ascii="Source Sans Pro" w:hAnsi="Source Sans Pro" w:cs="Calibri"/>
                <w:color w:val="000000"/>
                <w:sz w:val="20"/>
              </w:rPr>
              <w:t>(Mandatory)</w:t>
            </w:r>
          </w:p>
        </w:tc>
        <w:tc>
          <w:tcPr>
            <w:tcW w:w="1606" w:type="dxa"/>
            <w:tcBorders>
              <w:top w:val="nil"/>
              <w:left w:val="nil"/>
              <w:bottom w:val="single" w:sz="8" w:space="0" w:color="auto"/>
              <w:right w:val="single" w:sz="8" w:space="0" w:color="auto"/>
            </w:tcBorders>
            <w:vAlign w:val="center"/>
            <w:hideMark/>
          </w:tcPr>
          <w:p w:rsidR="00D5791C" w:rsidRPr="008E6E65" w:rsidP="00D03DD4" w14:paraId="627AD2C3" w14:textId="77777777">
            <w:pPr>
              <w:jc w:val="center"/>
              <w:rPr>
                <w:rFonts w:ascii="Source Sans Pro" w:hAnsi="Source Sans Pro" w:cs="Calibri"/>
                <w:color w:val="000000"/>
                <w:sz w:val="20"/>
              </w:rPr>
            </w:pPr>
            <w:r w:rsidRPr="008E6E65">
              <w:rPr>
                <w:rFonts w:ascii="Source Sans Pro" w:hAnsi="Source Sans Pro" w:cs="Calibri"/>
                <w:color w:val="000000"/>
                <w:sz w:val="20"/>
              </w:rPr>
              <w:t xml:space="preserve">Reporting </w:t>
            </w:r>
            <w:r w:rsidRPr="008E6E65">
              <w:rPr>
                <w:rFonts w:ascii="Source Sans Pro" w:hAnsi="Source Sans Pro" w:cs="Calibri"/>
                <w:color w:val="000000"/>
                <w:sz w:val="20"/>
              </w:rPr>
              <w:br/>
              <w:t>(On occasion)</w:t>
            </w:r>
          </w:p>
        </w:tc>
        <w:tc>
          <w:tcPr>
            <w:tcW w:w="1630" w:type="dxa"/>
            <w:tcBorders>
              <w:top w:val="nil"/>
              <w:left w:val="nil"/>
              <w:bottom w:val="single" w:sz="8" w:space="0" w:color="auto"/>
              <w:right w:val="single" w:sz="8" w:space="0" w:color="auto"/>
            </w:tcBorders>
            <w:noWrap/>
            <w:vAlign w:val="center"/>
            <w:hideMark/>
          </w:tcPr>
          <w:p w:rsidR="00D5791C" w:rsidRPr="008E6E65" w:rsidP="00D03DD4" w14:paraId="1CF46CDE" w14:textId="77777777">
            <w:pPr>
              <w:jc w:val="right"/>
              <w:rPr>
                <w:rFonts w:ascii="Source Sans Pro" w:hAnsi="Source Sans Pro" w:cs="Calibri"/>
                <w:color w:val="000000"/>
                <w:sz w:val="20"/>
              </w:rPr>
            </w:pPr>
            <w:r w:rsidRPr="008E6E65">
              <w:rPr>
                <w:rFonts w:ascii="Source Sans Pro" w:hAnsi="Source Sans Pro" w:cs="Calibri"/>
                <w:color w:val="000000"/>
                <w:sz w:val="20"/>
              </w:rPr>
              <w:t>5</w:t>
            </w:r>
          </w:p>
        </w:tc>
        <w:tc>
          <w:tcPr>
            <w:tcW w:w="1680" w:type="dxa"/>
            <w:tcBorders>
              <w:top w:val="nil"/>
              <w:left w:val="nil"/>
              <w:bottom w:val="single" w:sz="8" w:space="0" w:color="auto"/>
              <w:right w:val="single" w:sz="8" w:space="0" w:color="auto"/>
            </w:tcBorders>
            <w:noWrap/>
            <w:vAlign w:val="center"/>
            <w:hideMark/>
          </w:tcPr>
          <w:p w:rsidR="00D5791C" w:rsidRPr="008E6E65" w:rsidP="00D03DD4" w14:paraId="680134F2" w14:textId="77777777">
            <w:pPr>
              <w:jc w:val="right"/>
              <w:rPr>
                <w:rFonts w:ascii="Source Sans Pro" w:hAnsi="Source Sans Pro" w:cs="Calibri"/>
                <w:color w:val="000000"/>
                <w:sz w:val="20"/>
              </w:rPr>
            </w:pPr>
            <w:r w:rsidRPr="008E6E65">
              <w:rPr>
                <w:rFonts w:ascii="Source Sans Pro" w:hAnsi="Source Sans Pro" w:cs="Calibri"/>
                <w:color w:val="000000"/>
                <w:sz w:val="20"/>
              </w:rPr>
              <w:t>20</w:t>
            </w:r>
          </w:p>
        </w:tc>
        <w:tc>
          <w:tcPr>
            <w:tcW w:w="1097" w:type="dxa"/>
            <w:tcBorders>
              <w:top w:val="nil"/>
              <w:left w:val="nil"/>
              <w:bottom w:val="single" w:sz="8" w:space="0" w:color="auto"/>
              <w:right w:val="nil"/>
            </w:tcBorders>
            <w:vAlign w:val="center"/>
            <w:hideMark/>
          </w:tcPr>
          <w:p w:rsidR="00D5791C" w:rsidRPr="008E6E65" w:rsidP="00D03DD4" w14:paraId="11591FE1" w14:textId="77777777">
            <w:pPr>
              <w:jc w:val="right"/>
              <w:rPr>
                <w:rFonts w:ascii="Source Sans Pro" w:hAnsi="Source Sans Pro" w:cs="Calibri"/>
                <w:color w:val="000000"/>
                <w:sz w:val="20"/>
              </w:rPr>
            </w:pPr>
            <w:r w:rsidRPr="008E6E65">
              <w:rPr>
                <w:rFonts w:ascii="Source Sans Pro" w:hAnsi="Source Sans Pro" w:cs="Calibri"/>
                <w:color w:val="000000"/>
                <w:sz w:val="20"/>
              </w:rPr>
              <w:t>00:15</w:t>
            </w:r>
          </w:p>
        </w:tc>
        <w:tc>
          <w:tcPr>
            <w:tcW w:w="1371" w:type="dxa"/>
            <w:gridSpan w:val="2"/>
            <w:tcBorders>
              <w:top w:val="nil"/>
              <w:left w:val="single" w:sz="8" w:space="0" w:color="auto"/>
              <w:bottom w:val="single" w:sz="8" w:space="0" w:color="auto"/>
              <w:right w:val="single" w:sz="8" w:space="0" w:color="auto"/>
            </w:tcBorders>
            <w:noWrap/>
            <w:vAlign w:val="center"/>
            <w:hideMark/>
          </w:tcPr>
          <w:p w:rsidR="00D5791C" w:rsidRPr="008E6E65" w:rsidP="00D03DD4" w14:paraId="2328A6CC" w14:textId="77777777">
            <w:pPr>
              <w:jc w:val="right"/>
              <w:rPr>
                <w:rFonts w:ascii="Source Sans Pro" w:hAnsi="Source Sans Pro" w:cs="Calibri"/>
                <w:color w:val="000000"/>
                <w:sz w:val="20"/>
              </w:rPr>
            </w:pPr>
            <w:r w:rsidRPr="008E6E65">
              <w:rPr>
                <w:rFonts w:ascii="Source Sans Pro" w:hAnsi="Source Sans Pro" w:cs="Calibri"/>
                <w:color w:val="000000"/>
                <w:sz w:val="20"/>
              </w:rPr>
              <w:t>25</w:t>
            </w:r>
          </w:p>
        </w:tc>
      </w:tr>
      <w:tr w14:paraId="2BD0DF08" w14:textId="77777777" w:rsidTr="00D5791C">
        <w:tblPrEx>
          <w:tblW w:w="9695" w:type="dxa"/>
          <w:tblCellMar>
            <w:top w:w="15" w:type="dxa"/>
          </w:tblCellMar>
          <w:tblLook w:val="04A0"/>
        </w:tblPrEx>
        <w:trPr>
          <w:trHeight w:val="1668"/>
        </w:trPr>
        <w:tc>
          <w:tcPr>
            <w:tcW w:w="2311" w:type="dxa"/>
            <w:tcBorders>
              <w:top w:val="nil"/>
              <w:left w:val="single" w:sz="8" w:space="0" w:color="auto"/>
              <w:bottom w:val="single" w:sz="8" w:space="0" w:color="auto"/>
              <w:right w:val="single" w:sz="8" w:space="0" w:color="auto"/>
            </w:tcBorders>
            <w:vAlign w:val="center"/>
            <w:hideMark/>
          </w:tcPr>
          <w:p w:rsidR="00D5791C" w:rsidRPr="008E6E65" w:rsidP="00D03DD4" w14:paraId="6231FDE1" w14:textId="77777777">
            <w:pPr>
              <w:rPr>
                <w:rFonts w:ascii="Source Sans Pro" w:hAnsi="Source Sans Pro" w:cs="Calibri"/>
                <w:color w:val="000000"/>
                <w:sz w:val="20"/>
              </w:rPr>
            </w:pPr>
            <w:r w:rsidRPr="008E6E65">
              <w:rPr>
                <w:rFonts w:ascii="Source Sans Pro" w:hAnsi="Source Sans Pro" w:cs="Calibri"/>
                <w:color w:val="000000"/>
                <w:sz w:val="20"/>
              </w:rPr>
              <w:t>2. Section 351.20(d) - Requirements under Appendix A for Covered Banks with Significant Trading Assets &amp; Liabilities</w:t>
            </w:r>
            <w:r>
              <w:rPr>
                <w:rFonts w:ascii="Source Sans Pro" w:hAnsi="Source Sans Pro" w:cs="Calibri"/>
                <w:color w:val="000000"/>
                <w:sz w:val="20"/>
              </w:rPr>
              <w:t xml:space="preserve"> Ongoing</w:t>
            </w:r>
            <w:r w:rsidRPr="008E6E65">
              <w:rPr>
                <w:rFonts w:ascii="Source Sans Pro" w:hAnsi="Source Sans Pro" w:cs="Calibri"/>
                <w:color w:val="000000"/>
                <w:sz w:val="20"/>
              </w:rPr>
              <w:t xml:space="preserve"> (Mandatory)</w:t>
            </w:r>
          </w:p>
        </w:tc>
        <w:tc>
          <w:tcPr>
            <w:tcW w:w="1606" w:type="dxa"/>
            <w:tcBorders>
              <w:top w:val="nil"/>
              <w:left w:val="nil"/>
              <w:bottom w:val="single" w:sz="8" w:space="0" w:color="auto"/>
              <w:right w:val="single" w:sz="8" w:space="0" w:color="auto"/>
            </w:tcBorders>
            <w:vAlign w:val="center"/>
            <w:hideMark/>
          </w:tcPr>
          <w:p w:rsidR="00D5791C" w:rsidRPr="008E6E65" w:rsidP="00D03DD4" w14:paraId="32E5969A" w14:textId="77777777">
            <w:pPr>
              <w:jc w:val="center"/>
              <w:rPr>
                <w:rFonts w:ascii="Source Sans Pro" w:hAnsi="Source Sans Pro" w:cs="Calibri"/>
                <w:color w:val="000000"/>
                <w:sz w:val="20"/>
              </w:rPr>
            </w:pPr>
            <w:r w:rsidRPr="008E6E65">
              <w:rPr>
                <w:rFonts w:ascii="Source Sans Pro" w:hAnsi="Source Sans Pro" w:cs="Calibri"/>
                <w:color w:val="000000"/>
                <w:sz w:val="20"/>
              </w:rPr>
              <w:t>Reporting</w:t>
            </w:r>
            <w:r w:rsidRPr="008E6E65">
              <w:rPr>
                <w:rFonts w:ascii="Source Sans Pro" w:hAnsi="Source Sans Pro" w:cs="Calibri"/>
                <w:color w:val="000000"/>
                <w:sz w:val="20"/>
              </w:rPr>
              <w:br/>
              <w:t>(Quarterly)</w:t>
            </w:r>
          </w:p>
        </w:tc>
        <w:tc>
          <w:tcPr>
            <w:tcW w:w="1630" w:type="dxa"/>
            <w:tcBorders>
              <w:top w:val="nil"/>
              <w:left w:val="nil"/>
              <w:bottom w:val="single" w:sz="8" w:space="0" w:color="auto"/>
              <w:right w:val="single" w:sz="8" w:space="0" w:color="auto"/>
            </w:tcBorders>
            <w:noWrap/>
            <w:vAlign w:val="center"/>
            <w:hideMark/>
          </w:tcPr>
          <w:p w:rsidR="00D5791C" w:rsidRPr="008E6E65" w:rsidP="00D03DD4" w14:paraId="2CCF6112" w14:textId="77777777">
            <w:pPr>
              <w:jc w:val="right"/>
              <w:rPr>
                <w:rFonts w:ascii="Source Sans Pro" w:hAnsi="Source Sans Pro" w:cs="Calibri"/>
                <w:color w:val="000000"/>
                <w:sz w:val="20"/>
              </w:rPr>
            </w:pPr>
            <w:r w:rsidRPr="008E6E65">
              <w:rPr>
                <w:rFonts w:ascii="Source Sans Pro" w:hAnsi="Source Sans Pro" w:cs="Calibri"/>
                <w:color w:val="000000"/>
                <w:sz w:val="20"/>
              </w:rPr>
              <w:t>2</w:t>
            </w:r>
          </w:p>
        </w:tc>
        <w:tc>
          <w:tcPr>
            <w:tcW w:w="1680" w:type="dxa"/>
            <w:tcBorders>
              <w:top w:val="nil"/>
              <w:left w:val="nil"/>
              <w:bottom w:val="single" w:sz="8" w:space="0" w:color="auto"/>
              <w:right w:val="single" w:sz="8" w:space="0" w:color="auto"/>
            </w:tcBorders>
            <w:noWrap/>
            <w:vAlign w:val="center"/>
            <w:hideMark/>
          </w:tcPr>
          <w:p w:rsidR="00D5791C" w:rsidRPr="008E6E65" w:rsidP="00D03DD4" w14:paraId="2ACBC230" w14:textId="77777777">
            <w:pPr>
              <w:jc w:val="right"/>
              <w:rPr>
                <w:rFonts w:ascii="Source Sans Pro" w:hAnsi="Source Sans Pro" w:cs="Calibri"/>
                <w:color w:val="000000"/>
                <w:sz w:val="20"/>
              </w:rPr>
            </w:pPr>
            <w:r w:rsidRPr="008E6E65">
              <w:rPr>
                <w:rFonts w:ascii="Source Sans Pro" w:hAnsi="Source Sans Pro" w:cs="Calibri"/>
                <w:color w:val="000000"/>
                <w:sz w:val="20"/>
              </w:rPr>
              <w:t>4</w:t>
            </w:r>
          </w:p>
        </w:tc>
        <w:tc>
          <w:tcPr>
            <w:tcW w:w="1097" w:type="dxa"/>
            <w:tcBorders>
              <w:top w:val="nil"/>
              <w:left w:val="nil"/>
              <w:bottom w:val="single" w:sz="8" w:space="0" w:color="auto"/>
              <w:right w:val="nil"/>
            </w:tcBorders>
            <w:vAlign w:val="center"/>
            <w:hideMark/>
          </w:tcPr>
          <w:p w:rsidR="00D5791C" w:rsidRPr="008E6E65" w:rsidP="00D03DD4" w14:paraId="65E56C53" w14:textId="77777777">
            <w:pPr>
              <w:jc w:val="right"/>
              <w:rPr>
                <w:rFonts w:ascii="Source Sans Pro" w:hAnsi="Source Sans Pro" w:cs="Calibri"/>
                <w:color w:val="000000"/>
                <w:sz w:val="20"/>
              </w:rPr>
            </w:pPr>
            <w:r w:rsidRPr="008E6E65">
              <w:rPr>
                <w:rFonts w:ascii="Source Sans Pro" w:hAnsi="Source Sans Pro" w:cs="Calibri"/>
                <w:color w:val="000000"/>
                <w:sz w:val="20"/>
              </w:rPr>
              <w:t>41:00</w:t>
            </w:r>
          </w:p>
        </w:tc>
        <w:tc>
          <w:tcPr>
            <w:tcW w:w="1371" w:type="dxa"/>
            <w:gridSpan w:val="2"/>
            <w:tcBorders>
              <w:top w:val="nil"/>
              <w:left w:val="single" w:sz="8" w:space="0" w:color="auto"/>
              <w:bottom w:val="single" w:sz="8" w:space="0" w:color="auto"/>
              <w:right w:val="single" w:sz="8" w:space="0" w:color="auto"/>
            </w:tcBorders>
            <w:noWrap/>
            <w:vAlign w:val="center"/>
            <w:hideMark/>
          </w:tcPr>
          <w:p w:rsidR="00D5791C" w:rsidRPr="008E6E65" w:rsidP="00D03DD4" w14:paraId="2D799188" w14:textId="77777777">
            <w:pPr>
              <w:jc w:val="right"/>
              <w:rPr>
                <w:rFonts w:ascii="Source Sans Pro" w:hAnsi="Source Sans Pro" w:cs="Calibri"/>
                <w:color w:val="000000"/>
                <w:sz w:val="20"/>
              </w:rPr>
            </w:pPr>
            <w:r w:rsidRPr="008E6E65">
              <w:rPr>
                <w:rFonts w:ascii="Source Sans Pro" w:hAnsi="Source Sans Pro" w:cs="Calibri"/>
                <w:color w:val="000000"/>
                <w:sz w:val="20"/>
              </w:rPr>
              <w:t>328</w:t>
            </w:r>
          </w:p>
        </w:tc>
      </w:tr>
      <w:tr w14:paraId="1302E63D" w14:textId="77777777" w:rsidTr="00D5791C">
        <w:tblPrEx>
          <w:tblW w:w="9695" w:type="dxa"/>
          <w:tblCellMar>
            <w:top w:w="15" w:type="dxa"/>
          </w:tblCellMar>
          <w:tblLook w:val="04A0"/>
        </w:tblPrEx>
        <w:trPr>
          <w:trHeight w:val="840"/>
        </w:trPr>
        <w:tc>
          <w:tcPr>
            <w:tcW w:w="2311" w:type="dxa"/>
            <w:tcBorders>
              <w:top w:val="nil"/>
              <w:left w:val="single" w:sz="8" w:space="0" w:color="auto"/>
              <w:bottom w:val="single" w:sz="8" w:space="0" w:color="auto"/>
              <w:right w:val="single" w:sz="8" w:space="0" w:color="auto"/>
            </w:tcBorders>
            <w:vAlign w:val="center"/>
            <w:hideMark/>
          </w:tcPr>
          <w:p w:rsidR="00D5791C" w:rsidRPr="008E6E65" w:rsidP="00D03DD4" w14:paraId="0708FA78" w14:textId="77777777">
            <w:pPr>
              <w:rPr>
                <w:rFonts w:ascii="Source Sans Pro" w:hAnsi="Source Sans Pro" w:cs="Calibri"/>
                <w:color w:val="000000"/>
                <w:sz w:val="20"/>
              </w:rPr>
            </w:pPr>
            <w:r w:rsidRPr="008E6E65">
              <w:rPr>
                <w:rFonts w:ascii="Source Sans Pro" w:hAnsi="Source Sans Pro" w:cs="Calibri"/>
                <w:color w:val="000000"/>
                <w:sz w:val="20"/>
              </w:rPr>
              <w:t xml:space="preserve">3. Section 351.20(i) - Notice and Response </w:t>
            </w:r>
            <w:r>
              <w:rPr>
                <w:rFonts w:ascii="Source Sans Pro" w:hAnsi="Source Sans Pro" w:cs="Calibri"/>
                <w:color w:val="000000"/>
                <w:sz w:val="20"/>
              </w:rPr>
              <w:t xml:space="preserve">Ongoing </w:t>
            </w:r>
            <w:r w:rsidRPr="008E6E65">
              <w:rPr>
                <w:rFonts w:ascii="Source Sans Pro" w:hAnsi="Source Sans Pro" w:cs="Calibri"/>
                <w:color w:val="000000"/>
                <w:sz w:val="20"/>
              </w:rPr>
              <w:t>(Voluntary)</w:t>
            </w:r>
          </w:p>
        </w:tc>
        <w:tc>
          <w:tcPr>
            <w:tcW w:w="1606" w:type="dxa"/>
            <w:tcBorders>
              <w:top w:val="nil"/>
              <w:left w:val="nil"/>
              <w:bottom w:val="single" w:sz="8" w:space="0" w:color="auto"/>
              <w:right w:val="single" w:sz="8" w:space="0" w:color="auto"/>
            </w:tcBorders>
            <w:vAlign w:val="center"/>
            <w:hideMark/>
          </w:tcPr>
          <w:p w:rsidR="00D5791C" w:rsidRPr="008E6E65" w:rsidP="00D03DD4" w14:paraId="7E7D88C9" w14:textId="77777777">
            <w:pPr>
              <w:jc w:val="center"/>
              <w:rPr>
                <w:rFonts w:ascii="Source Sans Pro" w:hAnsi="Source Sans Pro" w:cs="Calibri"/>
                <w:color w:val="000000"/>
                <w:sz w:val="20"/>
              </w:rPr>
            </w:pPr>
            <w:r w:rsidRPr="008E6E65">
              <w:rPr>
                <w:rFonts w:ascii="Source Sans Pro" w:hAnsi="Source Sans Pro" w:cs="Calibri"/>
                <w:color w:val="000000"/>
                <w:sz w:val="20"/>
              </w:rPr>
              <w:t xml:space="preserve">Reporting </w:t>
            </w:r>
            <w:r w:rsidRPr="008E6E65">
              <w:rPr>
                <w:rFonts w:ascii="Source Sans Pro" w:hAnsi="Source Sans Pro" w:cs="Calibri"/>
                <w:color w:val="000000"/>
                <w:sz w:val="20"/>
              </w:rPr>
              <w:br/>
              <w:t>(On occasion)</w:t>
            </w:r>
          </w:p>
        </w:tc>
        <w:tc>
          <w:tcPr>
            <w:tcW w:w="1630" w:type="dxa"/>
            <w:tcBorders>
              <w:top w:val="nil"/>
              <w:left w:val="nil"/>
              <w:bottom w:val="single" w:sz="8" w:space="0" w:color="auto"/>
              <w:right w:val="single" w:sz="8" w:space="0" w:color="auto"/>
            </w:tcBorders>
            <w:noWrap/>
            <w:vAlign w:val="center"/>
            <w:hideMark/>
          </w:tcPr>
          <w:p w:rsidR="00D5791C" w:rsidRPr="008E6E65" w:rsidP="00D03DD4" w14:paraId="30F573E4" w14:textId="77777777">
            <w:pPr>
              <w:jc w:val="right"/>
              <w:rPr>
                <w:rFonts w:ascii="Source Sans Pro" w:hAnsi="Source Sans Pro" w:cs="Calibri"/>
                <w:color w:val="000000"/>
                <w:sz w:val="20"/>
              </w:rPr>
            </w:pPr>
            <w:r w:rsidRPr="008E6E65">
              <w:rPr>
                <w:rFonts w:ascii="Source Sans Pro" w:hAnsi="Source Sans Pro" w:cs="Calibri"/>
                <w:color w:val="000000"/>
                <w:sz w:val="20"/>
              </w:rPr>
              <w:t>5</w:t>
            </w:r>
          </w:p>
        </w:tc>
        <w:tc>
          <w:tcPr>
            <w:tcW w:w="1680" w:type="dxa"/>
            <w:tcBorders>
              <w:top w:val="nil"/>
              <w:left w:val="nil"/>
              <w:bottom w:val="single" w:sz="8" w:space="0" w:color="auto"/>
              <w:right w:val="single" w:sz="8" w:space="0" w:color="auto"/>
            </w:tcBorders>
            <w:noWrap/>
            <w:vAlign w:val="center"/>
            <w:hideMark/>
          </w:tcPr>
          <w:p w:rsidR="00D5791C" w:rsidRPr="008E6E65" w:rsidP="00D03DD4" w14:paraId="536BC8D2" w14:textId="77777777">
            <w:pPr>
              <w:jc w:val="right"/>
              <w:rPr>
                <w:rFonts w:ascii="Source Sans Pro" w:hAnsi="Source Sans Pro" w:cs="Calibri"/>
                <w:color w:val="000000"/>
                <w:sz w:val="20"/>
              </w:rPr>
            </w:pPr>
            <w:r w:rsidRPr="008E6E65">
              <w:rPr>
                <w:rFonts w:ascii="Source Sans Pro" w:hAnsi="Source Sans Pro" w:cs="Calibri"/>
                <w:color w:val="000000"/>
                <w:sz w:val="20"/>
              </w:rPr>
              <w:t>1</w:t>
            </w:r>
          </w:p>
        </w:tc>
        <w:tc>
          <w:tcPr>
            <w:tcW w:w="1097" w:type="dxa"/>
            <w:tcBorders>
              <w:top w:val="nil"/>
              <w:left w:val="nil"/>
              <w:bottom w:val="single" w:sz="8" w:space="0" w:color="auto"/>
              <w:right w:val="nil"/>
            </w:tcBorders>
            <w:vAlign w:val="center"/>
            <w:hideMark/>
          </w:tcPr>
          <w:p w:rsidR="00D5791C" w:rsidRPr="008E6E65" w:rsidP="00D03DD4" w14:paraId="6903F5B5" w14:textId="77777777">
            <w:pPr>
              <w:jc w:val="right"/>
              <w:rPr>
                <w:rFonts w:ascii="Source Sans Pro" w:hAnsi="Source Sans Pro" w:cs="Calibri"/>
                <w:color w:val="000000"/>
                <w:sz w:val="20"/>
              </w:rPr>
            </w:pPr>
            <w:r w:rsidRPr="008E6E65">
              <w:rPr>
                <w:rFonts w:ascii="Source Sans Pro" w:hAnsi="Source Sans Pro" w:cs="Calibri"/>
                <w:color w:val="000000"/>
                <w:sz w:val="20"/>
              </w:rPr>
              <w:t>20:00</w:t>
            </w:r>
          </w:p>
        </w:tc>
        <w:tc>
          <w:tcPr>
            <w:tcW w:w="1371" w:type="dxa"/>
            <w:gridSpan w:val="2"/>
            <w:tcBorders>
              <w:top w:val="nil"/>
              <w:left w:val="single" w:sz="8" w:space="0" w:color="auto"/>
              <w:bottom w:val="single" w:sz="8" w:space="0" w:color="auto"/>
              <w:right w:val="single" w:sz="8" w:space="0" w:color="auto"/>
            </w:tcBorders>
            <w:noWrap/>
            <w:vAlign w:val="center"/>
            <w:hideMark/>
          </w:tcPr>
          <w:p w:rsidR="00D5791C" w:rsidRPr="008E6E65" w:rsidP="00D03DD4" w14:paraId="57F5FD4A" w14:textId="77777777">
            <w:pPr>
              <w:jc w:val="right"/>
              <w:rPr>
                <w:rFonts w:ascii="Source Sans Pro" w:hAnsi="Source Sans Pro" w:cs="Calibri"/>
                <w:color w:val="000000"/>
                <w:sz w:val="20"/>
              </w:rPr>
            </w:pPr>
            <w:r w:rsidRPr="008E6E65">
              <w:rPr>
                <w:rFonts w:ascii="Source Sans Pro" w:hAnsi="Source Sans Pro" w:cs="Calibri"/>
                <w:color w:val="000000"/>
                <w:sz w:val="20"/>
              </w:rPr>
              <w:t>100</w:t>
            </w:r>
          </w:p>
        </w:tc>
      </w:tr>
      <w:tr w14:paraId="3F15EEBE" w14:textId="77777777" w:rsidTr="00D5791C">
        <w:tblPrEx>
          <w:tblW w:w="9695" w:type="dxa"/>
          <w:tblCellMar>
            <w:top w:w="15" w:type="dxa"/>
          </w:tblCellMar>
          <w:tblLook w:val="04A0"/>
        </w:tblPrEx>
        <w:trPr>
          <w:trHeight w:val="1392"/>
        </w:trPr>
        <w:tc>
          <w:tcPr>
            <w:tcW w:w="2311" w:type="dxa"/>
            <w:tcBorders>
              <w:top w:val="nil"/>
              <w:left w:val="single" w:sz="8" w:space="0" w:color="auto"/>
              <w:bottom w:val="single" w:sz="8" w:space="0" w:color="auto"/>
              <w:right w:val="single" w:sz="8" w:space="0" w:color="auto"/>
            </w:tcBorders>
            <w:vAlign w:val="center"/>
            <w:hideMark/>
          </w:tcPr>
          <w:p w:rsidR="00D5791C" w:rsidRPr="008E6E65" w:rsidP="00D03DD4" w14:paraId="71476A47" w14:textId="77777777">
            <w:pPr>
              <w:rPr>
                <w:rFonts w:ascii="Source Sans Pro" w:hAnsi="Source Sans Pro" w:cs="Calibri"/>
                <w:color w:val="000000"/>
                <w:sz w:val="20"/>
              </w:rPr>
            </w:pPr>
            <w:r w:rsidRPr="008E6E65">
              <w:rPr>
                <w:rFonts w:ascii="Source Sans Pro" w:hAnsi="Source Sans Pro" w:cs="Calibri"/>
                <w:color w:val="000000"/>
                <w:sz w:val="20"/>
              </w:rPr>
              <w:t xml:space="preserve">4. Section 351.3(d)(3) - Purchase and </w:t>
            </w:r>
            <w:r>
              <w:rPr>
                <w:rFonts w:ascii="Source Sans Pro" w:hAnsi="Source Sans Pro" w:cs="Calibri"/>
                <w:color w:val="000000"/>
                <w:sz w:val="20"/>
              </w:rPr>
              <w:t>S</w:t>
            </w:r>
            <w:r w:rsidRPr="008E6E65">
              <w:rPr>
                <w:rFonts w:ascii="Source Sans Pro" w:hAnsi="Source Sans Pro" w:cs="Calibri"/>
                <w:color w:val="000000"/>
                <w:sz w:val="20"/>
              </w:rPr>
              <w:t xml:space="preserve">ale of </w:t>
            </w:r>
            <w:r>
              <w:rPr>
                <w:rFonts w:ascii="Source Sans Pro" w:hAnsi="Source Sans Pro" w:cs="Calibri"/>
                <w:color w:val="000000"/>
                <w:sz w:val="20"/>
              </w:rPr>
              <w:t>S</w:t>
            </w:r>
            <w:r w:rsidRPr="008E6E65">
              <w:rPr>
                <w:rFonts w:ascii="Source Sans Pro" w:hAnsi="Source Sans Pro" w:cs="Calibri"/>
                <w:color w:val="000000"/>
                <w:sz w:val="20"/>
              </w:rPr>
              <w:t xml:space="preserve">ecurities in Accordance with </w:t>
            </w:r>
            <w:r>
              <w:rPr>
                <w:rFonts w:ascii="Source Sans Pro" w:hAnsi="Source Sans Pro" w:cs="Calibri"/>
                <w:color w:val="000000"/>
                <w:sz w:val="20"/>
              </w:rPr>
              <w:t>L</w:t>
            </w:r>
            <w:r w:rsidRPr="008E6E65">
              <w:rPr>
                <w:rFonts w:ascii="Source Sans Pro" w:hAnsi="Source Sans Pro" w:cs="Calibri"/>
                <w:color w:val="000000"/>
                <w:sz w:val="20"/>
              </w:rPr>
              <w:t xml:space="preserve">iquidity </w:t>
            </w:r>
            <w:r>
              <w:rPr>
                <w:rFonts w:ascii="Source Sans Pro" w:hAnsi="Source Sans Pro" w:cs="Calibri"/>
                <w:color w:val="000000"/>
                <w:sz w:val="20"/>
              </w:rPr>
              <w:t>M</w:t>
            </w:r>
            <w:r w:rsidRPr="008E6E65">
              <w:rPr>
                <w:rFonts w:ascii="Source Sans Pro" w:hAnsi="Source Sans Pro" w:cs="Calibri"/>
                <w:color w:val="000000"/>
                <w:sz w:val="20"/>
              </w:rPr>
              <w:t xml:space="preserve">anagement </w:t>
            </w:r>
            <w:r>
              <w:rPr>
                <w:rFonts w:ascii="Source Sans Pro" w:hAnsi="Source Sans Pro" w:cs="Calibri"/>
                <w:color w:val="000000"/>
                <w:sz w:val="20"/>
              </w:rPr>
              <w:t>P</w:t>
            </w:r>
            <w:r w:rsidRPr="008E6E65">
              <w:rPr>
                <w:rFonts w:ascii="Source Sans Pro" w:hAnsi="Source Sans Pro" w:cs="Calibri"/>
                <w:color w:val="000000"/>
                <w:sz w:val="20"/>
              </w:rPr>
              <w:t xml:space="preserve">lans </w:t>
            </w:r>
            <w:r>
              <w:rPr>
                <w:rFonts w:ascii="Source Sans Pro" w:hAnsi="Source Sans Pro" w:cs="Calibri"/>
                <w:color w:val="000000"/>
                <w:sz w:val="20"/>
              </w:rPr>
              <w:t xml:space="preserve">Ongoing </w:t>
            </w:r>
            <w:r w:rsidRPr="008E6E65">
              <w:rPr>
                <w:rFonts w:ascii="Source Sans Pro" w:hAnsi="Source Sans Pro" w:cs="Calibri"/>
                <w:color w:val="000000"/>
                <w:sz w:val="20"/>
              </w:rPr>
              <w:t>(Mandatory)</w:t>
            </w:r>
          </w:p>
        </w:tc>
        <w:tc>
          <w:tcPr>
            <w:tcW w:w="1606" w:type="dxa"/>
            <w:tcBorders>
              <w:top w:val="nil"/>
              <w:left w:val="nil"/>
              <w:bottom w:val="single" w:sz="8" w:space="0" w:color="auto"/>
              <w:right w:val="single" w:sz="8" w:space="0" w:color="auto"/>
            </w:tcBorders>
            <w:vAlign w:val="center"/>
            <w:hideMark/>
          </w:tcPr>
          <w:p w:rsidR="00D5791C" w:rsidRPr="008E6E65" w:rsidP="00D03DD4" w14:paraId="5BC527DE" w14:textId="77777777">
            <w:pPr>
              <w:jc w:val="center"/>
              <w:rPr>
                <w:rFonts w:ascii="Source Sans Pro" w:hAnsi="Source Sans Pro" w:cs="Calibri"/>
                <w:color w:val="000000"/>
                <w:sz w:val="20"/>
              </w:rPr>
            </w:pPr>
            <w:r w:rsidRPr="008E6E65">
              <w:rPr>
                <w:rFonts w:ascii="Source Sans Pro" w:hAnsi="Source Sans Pro" w:cs="Calibri"/>
                <w:color w:val="000000"/>
                <w:sz w:val="20"/>
              </w:rPr>
              <w:t xml:space="preserve">Recordkeeping </w:t>
            </w:r>
            <w:r w:rsidRPr="008E6E65">
              <w:rPr>
                <w:rFonts w:ascii="Source Sans Pro" w:hAnsi="Source Sans Pro" w:cs="Calibri"/>
                <w:color w:val="000000"/>
                <w:sz w:val="20"/>
              </w:rPr>
              <w:br/>
              <w:t>(On occasion)</w:t>
            </w:r>
          </w:p>
        </w:tc>
        <w:tc>
          <w:tcPr>
            <w:tcW w:w="1630" w:type="dxa"/>
            <w:tcBorders>
              <w:top w:val="nil"/>
              <w:left w:val="nil"/>
              <w:bottom w:val="single" w:sz="8" w:space="0" w:color="auto"/>
              <w:right w:val="single" w:sz="8" w:space="0" w:color="auto"/>
            </w:tcBorders>
            <w:noWrap/>
            <w:vAlign w:val="center"/>
            <w:hideMark/>
          </w:tcPr>
          <w:p w:rsidR="00D5791C" w:rsidRPr="008E6E65" w:rsidP="00D03DD4" w14:paraId="35975614" w14:textId="77777777">
            <w:pPr>
              <w:jc w:val="right"/>
              <w:rPr>
                <w:rFonts w:ascii="Source Sans Pro" w:hAnsi="Source Sans Pro" w:cs="Calibri"/>
                <w:color w:val="000000"/>
                <w:sz w:val="20"/>
              </w:rPr>
            </w:pPr>
            <w:r w:rsidRPr="008E6E65">
              <w:rPr>
                <w:rFonts w:ascii="Source Sans Pro" w:hAnsi="Source Sans Pro" w:cs="Calibri"/>
                <w:color w:val="000000"/>
                <w:sz w:val="20"/>
              </w:rPr>
              <w:t>5</w:t>
            </w:r>
          </w:p>
        </w:tc>
        <w:tc>
          <w:tcPr>
            <w:tcW w:w="1680" w:type="dxa"/>
            <w:tcBorders>
              <w:top w:val="nil"/>
              <w:left w:val="nil"/>
              <w:bottom w:val="single" w:sz="8" w:space="0" w:color="auto"/>
              <w:right w:val="single" w:sz="8" w:space="0" w:color="auto"/>
            </w:tcBorders>
            <w:noWrap/>
            <w:vAlign w:val="center"/>
            <w:hideMark/>
          </w:tcPr>
          <w:p w:rsidR="00D5791C" w:rsidRPr="008E6E65" w:rsidP="00D03DD4" w14:paraId="09CDFC5C" w14:textId="77777777">
            <w:pPr>
              <w:jc w:val="right"/>
              <w:rPr>
                <w:rFonts w:ascii="Source Sans Pro" w:hAnsi="Source Sans Pro" w:cs="Calibri"/>
                <w:color w:val="000000"/>
                <w:sz w:val="20"/>
              </w:rPr>
            </w:pPr>
            <w:r w:rsidRPr="008E6E65">
              <w:rPr>
                <w:rFonts w:ascii="Source Sans Pro" w:hAnsi="Source Sans Pro" w:cs="Calibri"/>
                <w:color w:val="000000"/>
                <w:sz w:val="20"/>
              </w:rPr>
              <w:t>1</w:t>
            </w:r>
          </w:p>
        </w:tc>
        <w:tc>
          <w:tcPr>
            <w:tcW w:w="1097" w:type="dxa"/>
            <w:tcBorders>
              <w:top w:val="nil"/>
              <w:left w:val="nil"/>
              <w:bottom w:val="single" w:sz="8" w:space="0" w:color="auto"/>
              <w:right w:val="nil"/>
            </w:tcBorders>
            <w:vAlign w:val="center"/>
            <w:hideMark/>
          </w:tcPr>
          <w:p w:rsidR="00D5791C" w:rsidRPr="008E6E65" w:rsidP="00D03DD4" w14:paraId="3E5706A6" w14:textId="77777777">
            <w:pPr>
              <w:jc w:val="right"/>
              <w:rPr>
                <w:rFonts w:ascii="Source Sans Pro" w:hAnsi="Source Sans Pro" w:cs="Calibri"/>
                <w:color w:val="000000"/>
                <w:sz w:val="20"/>
              </w:rPr>
            </w:pPr>
            <w:r w:rsidRPr="008E6E65">
              <w:rPr>
                <w:rFonts w:ascii="Source Sans Pro" w:hAnsi="Source Sans Pro" w:cs="Calibri"/>
                <w:color w:val="000000"/>
                <w:sz w:val="20"/>
              </w:rPr>
              <w:t>1:00</w:t>
            </w:r>
          </w:p>
        </w:tc>
        <w:tc>
          <w:tcPr>
            <w:tcW w:w="1371" w:type="dxa"/>
            <w:gridSpan w:val="2"/>
            <w:tcBorders>
              <w:top w:val="nil"/>
              <w:left w:val="single" w:sz="8" w:space="0" w:color="auto"/>
              <w:bottom w:val="single" w:sz="8" w:space="0" w:color="auto"/>
              <w:right w:val="single" w:sz="8" w:space="0" w:color="auto"/>
            </w:tcBorders>
            <w:noWrap/>
            <w:vAlign w:val="center"/>
            <w:hideMark/>
          </w:tcPr>
          <w:p w:rsidR="00D5791C" w:rsidRPr="008E6E65" w:rsidP="00D03DD4" w14:paraId="2BA6F51C" w14:textId="77777777">
            <w:pPr>
              <w:jc w:val="right"/>
              <w:rPr>
                <w:rFonts w:ascii="Source Sans Pro" w:hAnsi="Source Sans Pro" w:cs="Calibri"/>
                <w:color w:val="000000"/>
                <w:sz w:val="20"/>
              </w:rPr>
            </w:pPr>
            <w:r w:rsidRPr="008E6E65">
              <w:rPr>
                <w:rFonts w:ascii="Source Sans Pro" w:hAnsi="Source Sans Pro" w:cs="Calibri"/>
                <w:color w:val="000000"/>
                <w:sz w:val="20"/>
              </w:rPr>
              <w:t>5</w:t>
            </w:r>
          </w:p>
        </w:tc>
      </w:tr>
      <w:tr w14:paraId="4ACF907B" w14:textId="77777777" w:rsidTr="00D5791C">
        <w:tblPrEx>
          <w:tblW w:w="9695" w:type="dxa"/>
          <w:tblCellMar>
            <w:top w:w="15" w:type="dxa"/>
          </w:tblCellMar>
          <w:tblLook w:val="04A0"/>
        </w:tblPrEx>
        <w:trPr>
          <w:trHeight w:val="1116"/>
        </w:trPr>
        <w:tc>
          <w:tcPr>
            <w:tcW w:w="2311" w:type="dxa"/>
            <w:tcBorders>
              <w:top w:val="nil"/>
              <w:left w:val="single" w:sz="8" w:space="0" w:color="auto"/>
              <w:bottom w:val="single" w:sz="8" w:space="0" w:color="auto"/>
              <w:right w:val="single" w:sz="8" w:space="0" w:color="auto"/>
            </w:tcBorders>
            <w:vAlign w:val="center"/>
            <w:hideMark/>
          </w:tcPr>
          <w:p w:rsidR="00D5791C" w:rsidRPr="008E6E65" w:rsidP="00D03DD4" w14:paraId="4774B202" w14:textId="77777777">
            <w:pPr>
              <w:rPr>
                <w:rFonts w:ascii="Source Sans Pro" w:hAnsi="Source Sans Pro" w:cs="Calibri"/>
                <w:color w:val="000000"/>
                <w:sz w:val="20"/>
              </w:rPr>
            </w:pPr>
            <w:r w:rsidRPr="008E6E65">
              <w:rPr>
                <w:rFonts w:ascii="Source Sans Pro" w:hAnsi="Source Sans Pro" w:cs="Calibri"/>
                <w:color w:val="000000"/>
                <w:sz w:val="20"/>
              </w:rPr>
              <w:t xml:space="preserve">5. Section 351.4(b)(3)(i)(A) - Trading Desk Documentation </w:t>
            </w:r>
            <w:r>
              <w:rPr>
                <w:rFonts w:ascii="Source Sans Pro" w:hAnsi="Source Sans Pro" w:cs="Calibri"/>
                <w:color w:val="000000"/>
                <w:sz w:val="20"/>
              </w:rPr>
              <w:t xml:space="preserve">Ongoing </w:t>
            </w:r>
            <w:r w:rsidRPr="008E6E65">
              <w:rPr>
                <w:rFonts w:ascii="Source Sans Pro" w:hAnsi="Source Sans Pro" w:cs="Calibri"/>
                <w:color w:val="000000"/>
                <w:sz w:val="20"/>
              </w:rPr>
              <w:t>(Mandatory)</w:t>
            </w:r>
          </w:p>
        </w:tc>
        <w:tc>
          <w:tcPr>
            <w:tcW w:w="1606" w:type="dxa"/>
            <w:tcBorders>
              <w:top w:val="nil"/>
              <w:left w:val="nil"/>
              <w:bottom w:val="single" w:sz="8" w:space="0" w:color="auto"/>
              <w:right w:val="single" w:sz="8" w:space="0" w:color="auto"/>
            </w:tcBorders>
            <w:vAlign w:val="center"/>
            <w:hideMark/>
          </w:tcPr>
          <w:p w:rsidR="00D5791C" w:rsidRPr="008E6E65" w:rsidP="00D03DD4" w14:paraId="62DDDF66" w14:textId="77777777">
            <w:pPr>
              <w:jc w:val="center"/>
              <w:rPr>
                <w:rFonts w:ascii="Source Sans Pro" w:hAnsi="Source Sans Pro" w:cs="Calibri"/>
                <w:color w:val="000000"/>
                <w:sz w:val="20"/>
              </w:rPr>
            </w:pPr>
            <w:r w:rsidRPr="008E6E65">
              <w:rPr>
                <w:rFonts w:ascii="Source Sans Pro" w:hAnsi="Source Sans Pro" w:cs="Calibri"/>
                <w:color w:val="000000"/>
                <w:sz w:val="20"/>
              </w:rPr>
              <w:t xml:space="preserve">Recordkeeping </w:t>
            </w:r>
            <w:r w:rsidRPr="008E6E65">
              <w:rPr>
                <w:rFonts w:ascii="Source Sans Pro" w:hAnsi="Source Sans Pro" w:cs="Calibri"/>
                <w:color w:val="000000"/>
                <w:sz w:val="20"/>
              </w:rPr>
              <w:br/>
              <w:t>(On occasion)</w:t>
            </w:r>
          </w:p>
        </w:tc>
        <w:tc>
          <w:tcPr>
            <w:tcW w:w="1630" w:type="dxa"/>
            <w:tcBorders>
              <w:top w:val="nil"/>
              <w:left w:val="nil"/>
              <w:bottom w:val="single" w:sz="8" w:space="0" w:color="auto"/>
              <w:right w:val="single" w:sz="8" w:space="0" w:color="auto"/>
            </w:tcBorders>
            <w:noWrap/>
            <w:vAlign w:val="center"/>
            <w:hideMark/>
          </w:tcPr>
          <w:p w:rsidR="00D5791C" w:rsidRPr="008E6E65" w:rsidP="00D03DD4" w14:paraId="74D042BD" w14:textId="77777777">
            <w:pPr>
              <w:jc w:val="right"/>
              <w:rPr>
                <w:rFonts w:ascii="Source Sans Pro" w:hAnsi="Source Sans Pro" w:cs="Calibri"/>
                <w:color w:val="000000"/>
                <w:sz w:val="20"/>
              </w:rPr>
            </w:pPr>
            <w:r w:rsidRPr="008E6E65">
              <w:rPr>
                <w:rFonts w:ascii="Source Sans Pro" w:hAnsi="Source Sans Pro" w:cs="Calibri"/>
                <w:color w:val="000000"/>
                <w:sz w:val="20"/>
              </w:rPr>
              <w:t>5</w:t>
            </w:r>
          </w:p>
        </w:tc>
        <w:tc>
          <w:tcPr>
            <w:tcW w:w="1680" w:type="dxa"/>
            <w:tcBorders>
              <w:top w:val="nil"/>
              <w:left w:val="nil"/>
              <w:bottom w:val="single" w:sz="8" w:space="0" w:color="auto"/>
              <w:right w:val="single" w:sz="8" w:space="0" w:color="auto"/>
            </w:tcBorders>
            <w:noWrap/>
            <w:vAlign w:val="center"/>
            <w:hideMark/>
          </w:tcPr>
          <w:p w:rsidR="00D5791C" w:rsidRPr="008E6E65" w:rsidP="00D03DD4" w14:paraId="749D4212" w14:textId="77777777">
            <w:pPr>
              <w:jc w:val="right"/>
              <w:rPr>
                <w:rFonts w:ascii="Source Sans Pro" w:hAnsi="Source Sans Pro" w:cs="Calibri"/>
                <w:color w:val="000000"/>
                <w:sz w:val="20"/>
              </w:rPr>
            </w:pPr>
            <w:r w:rsidRPr="008E6E65">
              <w:rPr>
                <w:rFonts w:ascii="Source Sans Pro" w:hAnsi="Source Sans Pro" w:cs="Calibri"/>
                <w:color w:val="000000"/>
                <w:sz w:val="20"/>
              </w:rPr>
              <w:t>4</w:t>
            </w:r>
          </w:p>
        </w:tc>
        <w:tc>
          <w:tcPr>
            <w:tcW w:w="1097" w:type="dxa"/>
            <w:tcBorders>
              <w:top w:val="nil"/>
              <w:left w:val="nil"/>
              <w:bottom w:val="single" w:sz="8" w:space="0" w:color="auto"/>
              <w:right w:val="nil"/>
            </w:tcBorders>
            <w:vAlign w:val="center"/>
            <w:hideMark/>
          </w:tcPr>
          <w:p w:rsidR="00D5791C" w:rsidRPr="008E6E65" w:rsidP="00D03DD4" w14:paraId="4FFC9EA7" w14:textId="77777777">
            <w:pPr>
              <w:jc w:val="right"/>
              <w:rPr>
                <w:rFonts w:ascii="Source Sans Pro" w:hAnsi="Source Sans Pro" w:cs="Calibri"/>
                <w:color w:val="000000"/>
                <w:sz w:val="20"/>
              </w:rPr>
            </w:pPr>
            <w:r w:rsidRPr="008E6E65">
              <w:rPr>
                <w:rFonts w:ascii="Source Sans Pro" w:hAnsi="Source Sans Pro" w:cs="Calibri"/>
                <w:color w:val="000000"/>
                <w:sz w:val="20"/>
              </w:rPr>
              <w:t>2:00</w:t>
            </w:r>
          </w:p>
        </w:tc>
        <w:tc>
          <w:tcPr>
            <w:tcW w:w="1371" w:type="dxa"/>
            <w:gridSpan w:val="2"/>
            <w:tcBorders>
              <w:top w:val="nil"/>
              <w:left w:val="single" w:sz="8" w:space="0" w:color="auto"/>
              <w:bottom w:val="single" w:sz="8" w:space="0" w:color="auto"/>
              <w:right w:val="single" w:sz="8" w:space="0" w:color="auto"/>
            </w:tcBorders>
            <w:noWrap/>
            <w:vAlign w:val="center"/>
            <w:hideMark/>
          </w:tcPr>
          <w:p w:rsidR="00D5791C" w:rsidRPr="008E6E65" w:rsidP="00D03DD4" w14:paraId="295F5F16" w14:textId="77777777">
            <w:pPr>
              <w:jc w:val="right"/>
              <w:rPr>
                <w:rFonts w:ascii="Source Sans Pro" w:hAnsi="Source Sans Pro" w:cs="Calibri"/>
                <w:color w:val="000000"/>
                <w:sz w:val="20"/>
              </w:rPr>
            </w:pPr>
            <w:r w:rsidRPr="008E6E65">
              <w:rPr>
                <w:rFonts w:ascii="Source Sans Pro" w:hAnsi="Source Sans Pro" w:cs="Calibri"/>
                <w:color w:val="000000"/>
                <w:sz w:val="20"/>
              </w:rPr>
              <w:t>40</w:t>
            </w:r>
          </w:p>
        </w:tc>
      </w:tr>
      <w:tr w14:paraId="7B63A031" w14:textId="77777777" w:rsidTr="00D5791C">
        <w:tblPrEx>
          <w:tblW w:w="9695" w:type="dxa"/>
          <w:tblCellMar>
            <w:top w:w="15" w:type="dxa"/>
          </w:tblCellMar>
          <w:tblLook w:val="04A0"/>
        </w:tblPrEx>
        <w:trPr>
          <w:trHeight w:val="840"/>
        </w:trPr>
        <w:tc>
          <w:tcPr>
            <w:tcW w:w="2311" w:type="dxa"/>
            <w:tcBorders>
              <w:top w:val="nil"/>
              <w:left w:val="single" w:sz="8" w:space="0" w:color="auto"/>
              <w:bottom w:val="single" w:sz="8" w:space="0" w:color="auto"/>
              <w:right w:val="single" w:sz="8" w:space="0" w:color="auto"/>
            </w:tcBorders>
            <w:vAlign w:val="center"/>
            <w:hideMark/>
          </w:tcPr>
          <w:p w:rsidR="00D5791C" w:rsidRPr="008E6E65" w:rsidP="00D03DD4" w14:paraId="17E68F16" w14:textId="77777777">
            <w:pPr>
              <w:rPr>
                <w:rFonts w:ascii="Source Sans Pro" w:hAnsi="Source Sans Pro" w:cs="Calibri"/>
                <w:color w:val="000000"/>
                <w:sz w:val="20"/>
              </w:rPr>
            </w:pPr>
            <w:r w:rsidRPr="008E6E65">
              <w:rPr>
                <w:rFonts w:ascii="Source Sans Pro" w:hAnsi="Source Sans Pro" w:cs="Calibri"/>
                <w:color w:val="000000"/>
                <w:sz w:val="20"/>
              </w:rPr>
              <w:t>6. Section 351.4(c)(3)(i) - Limit Breaches and Increases</w:t>
            </w:r>
            <w:r>
              <w:rPr>
                <w:rFonts w:ascii="Source Sans Pro" w:hAnsi="Source Sans Pro" w:cs="Calibri"/>
                <w:color w:val="000000"/>
                <w:sz w:val="20"/>
              </w:rPr>
              <w:t xml:space="preserve"> Ongoing</w:t>
            </w:r>
            <w:r w:rsidRPr="008E6E65">
              <w:rPr>
                <w:rFonts w:ascii="Source Sans Pro" w:hAnsi="Source Sans Pro" w:cs="Calibri"/>
                <w:color w:val="000000"/>
                <w:sz w:val="20"/>
              </w:rPr>
              <w:t xml:space="preserve"> (Mandatory)</w:t>
            </w:r>
          </w:p>
        </w:tc>
        <w:tc>
          <w:tcPr>
            <w:tcW w:w="1606" w:type="dxa"/>
            <w:tcBorders>
              <w:top w:val="nil"/>
              <w:left w:val="nil"/>
              <w:bottom w:val="single" w:sz="8" w:space="0" w:color="auto"/>
              <w:right w:val="single" w:sz="8" w:space="0" w:color="auto"/>
            </w:tcBorders>
            <w:vAlign w:val="center"/>
            <w:hideMark/>
          </w:tcPr>
          <w:p w:rsidR="00D5791C" w:rsidRPr="008E6E65" w:rsidP="00D03DD4" w14:paraId="030BEEA7" w14:textId="77777777">
            <w:pPr>
              <w:jc w:val="center"/>
              <w:rPr>
                <w:rFonts w:ascii="Source Sans Pro" w:hAnsi="Source Sans Pro" w:cs="Calibri"/>
                <w:color w:val="000000"/>
                <w:sz w:val="20"/>
              </w:rPr>
            </w:pPr>
            <w:r w:rsidRPr="008E6E65">
              <w:rPr>
                <w:rFonts w:ascii="Source Sans Pro" w:hAnsi="Source Sans Pro" w:cs="Calibri"/>
                <w:color w:val="000000"/>
                <w:sz w:val="20"/>
              </w:rPr>
              <w:t xml:space="preserve">Recordkeeping </w:t>
            </w:r>
            <w:r w:rsidRPr="008E6E65">
              <w:rPr>
                <w:rFonts w:ascii="Source Sans Pro" w:hAnsi="Source Sans Pro" w:cs="Calibri"/>
                <w:color w:val="000000"/>
                <w:sz w:val="20"/>
              </w:rPr>
              <w:br/>
              <w:t>(On occasion)</w:t>
            </w:r>
          </w:p>
        </w:tc>
        <w:tc>
          <w:tcPr>
            <w:tcW w:w="1630" w:type="dxa"/>
            <w:tcBorders>
              <w:top w:val="nil"/>
              <w:left w:val="nil"/>
              <w:bottom w:val="single" w:sz="8" w:space="0" w:color="auto"/>
              <w:right w:val="single" w:sz="8" w:space="0" w:color="auto"/>
            </w:tcBorders>
            <w:noWrap/>
            <w:vAlign w:val="center"/>
            <w:hideMark/>
          </w:tcPr>
          <w:p w:rsidR="00D5791C" w:rsidRPr="008E6E65" w:rsidP="00D03DD4" w14:paraId="7BCF1DDC" w14:textId="77777777">
            <w:pPr>
              <w:jc w:val="right"/>
              <w:rPr>
                <w:rFonts w:ascii="Source Sans Pro" w:hAnsi="Source Sans Pro" w:cs="Calibri"/>
                <w:color w:val="000000"/>
                <w:sz w:val="20"/>
              </w:rPr>
            </w:pPr>
            <w:r w:rsidRPr="008E6E65">
              <w:rPr>
                <w:rFonts w:ascii="Source Sans Pro" w:hAnsi="Source Sans Pro" w:cs="Calibri"/>
                <w:color w:val="000000"/>
                <w:sz w:val="20"/>
              </w:rPr>
              <w:t>5</w:t>
            </w:r>
          </w:p>
        </w:tc>
        <w:tc>
          <w:tcPr>
            <w:tcW w:w="1680" w:type="dxa"/>
            <w:tcBorders>
              <w:top w:val="nil"/>
              <w:left w:val="nil"/>
              <w:bottom w:val="single" w:sz="8" w:space="0" w:color="auto"/>
              <w:right w:val="single" w:sz="8" w:space="0" w:color="auto"/>
            </w:tcBorders>
            <w:noWrap/>
            <w:vAlign w:val="center"/>
            <w:hideMark/>
          </w:tcPr>
          <w:p w:rsidR="00D5791C" w:rsidRPr="008E6E65" w:rsidP="00D03DD4" w14:paraId="53B96CAC" w14:textId="77777777">
            <w:pPr>
              <w:jc w:val="right"/>
              <w:rPr>
                <w:rFonts w:ascii="Source Sans Pro" w:hAnsi="Source Sans Pro" w:cs="Calibri"/>
                <w:color w:val="000000"/>
                <w:sz w:val="20"/>
              </w:rPr>
            </w:pPr>
            <w:r w:rsidRPr="008E6E65">
              <w:rPr>
                <w:rFonts w:ascii="Source Sans Pro" w:hAnsi="Source Sans Pro" w:cs="Calibri"/>
                <w:color w:val="000000"/>
                <w:sz w:val="20"/>
              </w:rPr>
              <w:t>40</w:t>
            </w:r>
          </w:p>
        </w:tc>
        <w:tc>
          <w:tcPr>
            <w:tcW w:w="1097" w:type="dxa"/>
            <w:tcBorders>
              <w:top w:val="nil"/>
              <w:left w:val="nil"/>
              <w:bottom w:val="single" w:sz="8" w:space="0" w:color="auto"/>
              <w:right w:val="nil"/>
            </w:tcBorders>
            <w:vAlign w:val="center"/>
            <w:hideMark/>
          </w:tcPr>
          <w:p w:rsidR="00D5791C" w:rsidRPr="008E6E65" w:rsidP="00D03DD4" w14:paraId="0B8AD4AF" w14:textId="77777777">
            <w:pPr>
              <w:jc w:val="right"/>
              <w:rPr>
                <w:rFonts w:ascii="Source Sans Pro" w:hAnsi="Source Sans Pro" w:cs="Calibri"/>
                <w:color w:val="000000"/>
                <w:sz w:val="20"/>
              </w:rPr>
            </w:pPr>
            <w:r w:rsidRPr="008E6E65">
              <w:rPr>
                <w:rFonts w:ascii="Source Sans Pro" w:hAnsi="Source Sans Pro" w:cs="Calibri"/>
                <w:color w:val="000000"/>
                <w:sz w:val="20"/>
              </w:rPr>
              <w:t>00:15</w:t>
            </w:r>
          </w:p>
        </w:tc>
        <w:tc>
          <w:tcPr>
            <w:tcW w:w="1371" w:type="dxa"/>
            <w:gridSpan w:val="2"/>
            <w:tcBorders>
              <w:top w:val="nil"/>
              <w:left w:val="single" w:sz="8" w:space="0" w:color="auto"/>
              <w:bottom w:val="single" w:sz="8" w:space="0" w:color="auto"/>
              <w:right w:val="single" w:sz="8" w:space="0" w:color="auto"/>
            </w:tcBorders>
            <w:noWrap/>
            <w:vAlign w:val="center"/>
            <w:hideMark/>
          </w:tcPr>
          <w:p w:rsidR="00D5791C" w:rsidRPr="008E6E65" w:rsidP="00D03DD4" w14:paraId="680DFB03" w14:textId="77777777">
            <w:pPr>
              <w:jc w:val="right"/>
              <w:rPr>
                <w:rFonts w:ascii="Source Sans Pro" w:hAnsi="Source Sans Pro" w:cs="Calibri"/>
                <w:color w:val="000000"/>
                <w:sz w:val="20"/>
              </w:rPr>
            </w:pPr>
            <w:r w:rsidRPr="008E6E65">
              <w:rPr>
                <w:rFonts w:ascii="Source Sans Pro" w:hAnsi="Source Sans Pro" w:cs="Calibri"/>
                <w:color w:val="000000"/>
                <w:sz w:val="20"/>
              </w:rPr>
              <w:t>50</w:t>
            </w:r>
          </w:p>
        </w:tc>
      </w:tr>
      <w:tr w14:paraId="3D807AB6" w14:textId="77777777" w:rsidTr="00D5791C">
        <w:tblPrEx>
          <w:tblW w:w="9695" w:type="dxa"/>
          <w:tblCellMar>
            <w:top w:w="15" w:type="dxa"/>
          </w:tblCellMar>
          <w:tblLook w:val="04A0"/>
        </w:tblPrEx>
        <w:trPr>
          <w:trHeight w:val="1116"/>
        </w:trPr>
        <w:tc>
          <w:tcPr>
            <w:tcW w:w="2311" w:type="dxa"/>
            <w:tcBorders>
              <w:top w:val="nil"/>
              <w:left w:val="single" w:sz="8" w:space="0" w:color="auto"/>
              <w:bottom w:val="single" w:sz="8" w:space="0" w:color="auto"/>
              <w:right w:val="single" w:sz="8" w:space="0" w:color="auto"/>
            </w:tcBorders>
            <w:vAlign w:val="center"/>
            <w:hideMark/>
          </w:tcPr>
          <w:p w:rsidR="00D5791C" w:rsidRPr="008E6E65" w:rsidP="00D03DD4" w14:paraId="38056C8A" w14:textId="77777777">
            <w:pPr>
              <w:rPr>
                <w:rFonts w:ascii="Source Sans Pro" w:hAnsi="Source Sans Pro" w:cs="Calibri"/>
                <w:color w:val="000000"/>
                <w:sz w:val="20"/>
              </w:rPr>
            </w:pPr>
            <w:r w:rsidRPr="008E6E65">
              <w:rPr>
                <w:rFonts w:ascii="Source Sans Pro" w:hAnsi="Source Sans Pro" w:cs="Calibri"/>
                <w:color w:val="000000"/>
                <w:sz w:val="20"/>
              </w:rPr>
              <w:t xml:space="preserve">7. Section 351.5(c) - Hedging Instruments Documentation </w:t>
            </w:r>
            <w:r>
              <w:rPr>
                <w:rFonts w:ascii="Source Sans Pro" w:hAnsi="Source Sans Pro" w:cs="Calibri"/>
                <w:color w:val="000000"/>
                <w:sz w:val="20"/>
              </w:rPr>
              <w:t xml:space="preserve">Ongoing </w:t>
            </w:r>
            <w:r w:rsidRPr="008E6E65">
              <w:rPr>
                <w:rFonts w:ascii="Source Sans Pro" w:hAnsi="Source Sans Pro" w:cs="Calibri"/>
                <w:color w:val="000000"/>
                <w:sz w:val="20"/>
              </w:rPr>
              <w:t>(Mandatory)</w:t>
            </w:r>
          </w:p>
        </w:tc>
        <w:tc>
          <w:tcPr>
            <w:tcW w:w="1606" w:type="dxa"/>
            <w:tcBorders>
              <w:top w:val="nil"/>
              <w:left w:val="nil"/>
              <w:bottom w:val="single" w:sz="8" w:space="0" w:color="auto"/>
              <w:right w:val="single" w:sz="8" w:space="0" w:color="auto"/>
            </w:tcBorders>
            <w:vAlign w:val="center"/>
            <w:hideMark/>
          </w:tcPr>
          <w:p w:rsidR="00D5791C" w:rsidRPr="008E6E65" w:rsidP="00D03DD4" w14:paraId="4321C3F9" w14:textId="77777777">
            <w:pPr>
              <w:jc w:val="center"/>
              <w:rPr>
                <w:rFonts w:ascii="Source Sans Pro" w:hAnsi="Source Sans Pro" w:cs="Calibri"/>
                <w:color w:val="000000"/>
                <w:sz w:val="20"/>
              </w:rPr>
            </w:pPr>
            <w:r w:rsidRPr="008E6E65">
              <w:rPr>
                <w:rFonts w:ascii="Source Sans Pro" w:hAnsi="Source Sans Pro" w:cs="Calibri"/>
                <w:color w:val="000000"/>
                <w:sz w:val="20"/>
              </w:rPr>
              <w:t xml:space="preserve">Recordkeeping </w:t>
            </w:r>
            <w:r w:rsidRPr="008E6E65">
              <w:rPr>
                <w:rFonts w:ascii="Source Sans Pro" w:hAnsi="Source Sans Pro" w:cs="Calibri"/>
                <w:color w:val="000000"/>
                <w:sz w:val="20"/>
              </w:rPr>
              <w:br/>
              <w:t>(On occasion)</w:t>
            </w:r>
          </w:p>
        </w:tc>
        <w:tc>
          <w:tcPr>
            <w:tcW w:w="1630" w:type="dxa"/>
            <w:tcBorders>
              <w:top w:val="nil"/>
              <w:left w:val="nil"/>
              <w:bottom w:val="single" w:sz="8" w:space="0" w:color="auto"/>
              <w:right w:val="single" w:sz="8" w:space="0" w:color="auto"/>
            </w:tcBorders>
            <w:noWrap/>
            <w:vAlign w:val="center"/>
            <w:hideMark/>
          </w:tcPr>
          <w:p w:rsidR="00D5791C" w:rsidRPr="008E6E65" w:rsidP="00D03DD4" w14:paraId="0167F922" w14:textId="77777777">
            <w:pPr>
              <w:jc w:val="right"/>
              <w:rPr>
                <w:rFonts w:ascii="Source Sans Pro" w:hAnsi="Source Sans Pro" w:cs="Calibri"/>
                <w:color w:val="000000"/>
                <w:sz w:val="20"/>
              </w:rPr>
            </w:pPr>
            <w:r w:rsidRPr="008E6E65">
              <w:rPr>
                <w:rFonts w:ascii="Source Sans Pro" w:hAnsi="Source Sans Pro" w:cs="Calibri"/>
                <w:color w:val="000000"/>
                <w:sz w:val="20"/>
              </w:rPr>
              <w:t>2</w:t>
            </w:r>
          </w:p>
        </w:tc>
        <w:tc>
          <w:tcPr>
            <w:tcW w:w="1680" w:type="dxa"/>
            <w:tcBorders>
              <w:top w:val="nil"/>
              <w:left w:val="nil"/>
              <w:bottom w:val="single" w:sz="8" w:space="0" w:color="auto"/>
              <w:right w:val="single" w:sz="8" w:space="0" w:color="auto"/>
            </w:tcBorders>
            <w:noWrap/>
            <w:vAlign w:val="center"/>
            <w:hideMark/>
          </w:tcPr>
          <w:p w:rsidR="00D5791C" w:rsidRPr="008E6E65" w:rsidP="00D03DD4" w14:paraId="0CCD4062" w14:textId="77777777">
            <w:pPr>
              <w:jc w:val="right"/>
              <w:rPr>
                <w:rFonts w:ascii="Source Sans Pro" w:hAnsi="Source Sans Pro" w:cs="Calibri"/>
                <w:color w:val="000000"/>
                <w:sz w:val="20"/>
              </w:rPr>
            </w:pPr>
            <w:r w:rsidRPr="008E6E65">
              <w:rPr>
                <w:rFonts w:ascii="Source Sans Pro" w:hAnsi="Source Sans Pro" w:cs="Calibri"/>
                <w:color w:val="000000"/>
                <w:sz w:val="20"/>
              </w:rPr>
              <w:t>1</w:t>
            </w:r>
          </w:p>
        </w:tc>
        <w:tc>
          <w:tcPr>
            <w:tcW w:w="1097" w:type="dxa"/>
            <w:tcBorders>
              <w:top w:val="nil"/>
              <w:left w:val="nil"/>
              <w:bottom w:val="single" w:sz="8" w:space="0" w:color="auto"/>
              <w:right w:val="nil"/>
            </w:tcBorders>
            <w:vAlign w:val="center"/>
            <w:hideMark/>
          </w:tcPr>
          <w:p w:rsidR="00D5791C" w:rsidRPr="008E6E65" w:rsidP="00D03DD4" w14:paraId="392B9777" w14:textId="77777777">
            <w:pPr>
              <w:jc w:val="right"/>
              <w:rPr>
                <w:rFonts w:ascii="Source Sans Pro" w:hAnsi="Source Sans Pro" w:cs="Calibri"/>
                <w:color w:val="000000"/>
                <w:sz w:val="20"/>
              </w:rPr>
            </w:pPr>
            <w:r w:rsidRPr="008E6E65">
              <w:rPr>
                <w:rFonts w:ascii="Source Sans Pro" w:hAnsi="Source Sans Pro" w:cs="Calibri"/>
                <w:color w:val="000000"/>
                <w:sz w:val="20"/>
              </w:rPr>
              <w:t>80:00</w:t>
            </w:r>
          </w:p>
        </w:tc>
        <w:tc>
          <w:tcPr>
            <w:tcW w:w="1371" w:type="dxa"/>
            <w:gridSpan w:val="2"/>
            <w:tcBorders>
              <w:top w:val="nil"/>
              <w:left w:val="single" w:sz="8" w:space="0" w:color="auto"/>
              <w:bottom w:val="single" w:sz="8" w:space="0" w:color="auto"/>
              <w:right w:val="single" w:sz="8" w:space="0" w:color="auto"/>
            </w:tcBorders>
            <w:noWrap/>
            <w:vAlign w:val="center"/>
            <w:hideMark/>
          </w:tcPr>
          <w:p w:rsidR="00D5791C" w:rsidRPr="008E6E65" w:rsidP="00D03DD4" w14:paraId="585E877C" w14:textId="77777777">
            <w:pPr>
              <w:jc w:val="right"/>
              <w:rPr>
                <w:rFonts w:ascii="Source Sans Pro" w:hAnsi="Source Sans Pro" w:cs="Calibri"/>
                <w:color w:val="000000"/>
                <w:sz w:val="20"/>
              </w:rPr>
            </w:pPr>
            <w:r w:rsidRPr="008E6E65">
              <w:rPr>
                <w:rFonts w:ascii="Source Sans Pro" w:hAnsi="Source Sans Pro" w:cs="Calibri"/>
                <w:color w:val="000000"/>
                <w:sz w:val="20"/>
              </w:rPr>
              <w:t>160</w:t>
            </w:r>
          </w:p>
        </w:tc>
      </w:tr>
      <w:tr w14:paraId="1143A82F" w14:textId="77777777" w:rsidTr="00D5791C">
        <w:tblPrEx>
          <w:tblW w:w="9695" w:type="dxa"/>
          <w:tblCellMar>
            <w:top w:w="15" w:type="dxa"/>
          </w:tblCellMar>
          <w:tblLook w:val="04A0"/>
        </w:tblPrEx>
        <w:trPr>
          <w:trHeight w:val="1116"/>
        </w:trPr>
        <w:tc>
          <w:tcPr>
            <w:tcW w:w="2311" w:type="dxa"/>
            <w:tcBorders>
              <w:top w:val="nil"/>
              <w:left w:val="single" w:sz="8" w:space="0" w:color="auto"/>
              <w:bottom w:val="single" w:sz="8" w:space="0" w:color="auto"/>
              <w:right w:val="single" w:sz="8" w:space="0" w:color="auto"/>
            </w:tcBorders>
            <w:vAlign w:val="center"/>
            <w:hideMark/>
          </w:tcPr>
          <w:p w:rsidR="00D5791C" w:rsidRPr="008E6E65" w:rsidP="00D03DD4" w14:paraId="04F069B8" w14:textId="77777777">
            <w:pPr>
              <w:rPr>
                <w:rFonts w:ascii="Source Sans Pro" w:hAnsi="Source Sans Pro" w:cs="Calibri"/>
                <w:color w:val="000000"/>
                <w:sz w:val="20"/>
              </w:rPr>
            </w:pPr>
            <w:r w:rsidRPr="008E6E65">
              <w:rPr>
                <w:rFonts w:ascii="Source Sans Pro" w:hAnsi="Source Sans Pro" w:cs="Calibri"/>
                <w:color w:val="000000"/>
                <w:sz w:val="20"/>
              </w:rPr>
              <w:t xml:space="preserve">8. Section 351.10(c)(18)(ii)(C)(1) - Customer </w:t>
            </w:r>
            <w:r>
              <w:rPr>
                <w:rFonts w:ascii="Source Sans Pro" w:hAnsi="Source Sans Pro" w:cs="Calibri"/>
                <w:color w:val="000000"/>
                <w:sz w:val="20"/>
              </w:rPr>
              <w:t>F</w:t>
            </w:r>
            <w:r w:rsidRPr="008E6E65">
              <w:rPr>
                <w:rFonts w:ascii="Source Sans Pro" w:hAnsi="Source Sans Pro" w:cs="Calibri"/>
                <w:color w:val="000000"/>
                <w:sz w:val="20"/>
              </w:rPr>
              <w:t xml:space="preserve">acilitation </w:t>
            </w:r>
            <w:r>
              <w:rPr>
                <w:rFonts w:ascii="Source Sans Pro" w:hAnsi="Source Sans Pro" w:cs="Calibri"/>
                <w:color w:val="000000"/>
                <w:sz w:val="20"/>
              </w:rPr>
              <w:t>V</w:t>
            </w:r>
            <w:r w:rsidRPr="008E6E65">
              <w:rPr>
                <w:rFonts w:ascii="Source Sans Pro" w:hAnsi="Source Sans Pro" w:cs="Calibri"/>
                <w:color w:val="000000"/>
                <w:sz w:val="20"/>
              </w:rPr>
              <w:t>ehicles</w:t>
            </w:r>
            <w:r>
              <w:rPr>
                <w:rFonts w:ascii="Source Sans Pro" w:hAnsi="Source Sans Pro" w:cs="Calibri"/>
                <w:color w:val="000000"/>
                <w:sz w:val="20"/>
              </w:rPr>
              <w:t xml:space="preserve"> Ongoing</w:t>
            </w:r>
            <w:r w:rsidRPr="008E6E65">
              <w:rPr>
                <w:rFonts w:ascii="Source Sans Pro" w:hAnsi="Source Sans Pro" w:cs="Calibri"/>
                <w:color w:val="000000"/>
                <w:sz w:val="20"/>
              </w:rPr>
              <w:t xml:space="preserve"> (Mandatory)</w:t>
            </w:r>
          </w:p>
        </w:tc>
        <w:tc>
          <w:tcPr>
            <w:tcW w:w="1606" w:type="dxa"/>
            <w:tcBorders>
              <w:top w:val="nil"/>
              <w:left w:val="nil"/>
              <w:bottom w:val="single" w:sz="8" w:space="0" w:color="auto"/>
              <w:right w:val="single" w:sz="8" w:space="0" w:color="auto"/>
            </w:tcBorders>
            <w:vAlign w:val="center"/>
            <w:hideMark/>
          </w:tcPr>
          <w:p w:rsidR="00D5791C" w:rsidRPr="008E6E65" w:rsidP="00D03DD4" w14:paraId="161463E8" w14:textId="77777777">
            <w:pPr>
              <w:jc w:val="center"/>
              <w:rPr>
                <w:rFonts w:ascii="Source Sans Pro" w:hAnsi="Source Sans Pro" w:cs="Calibri"/>
                <w:color w:val="000000"/>
                <w:sz w:val="20"/>
              </w:rPr>
            </w:pPr>
            <w:r w:rsidRPr="008E6E65">
              <w:rPr>
                <w:rFonts w:ascii="Source Sans Pro" w:hAnsi="Source Sans Pro" w:cs="Calibri"/>
                <w:color w:val="000000"/>
                <w:sz w:val="20"/>
              </w:rPr>
              <w:t xml:space="preserve">Recordkeeping </w:t>
            </w:r>
            <w:r w:rsidRPr="008E6E65">
              <w:rPr>
                <w:rFonts w:ascii="Source Sans Pro" w:hAnsi="Source Sans Pro" w:cs="Calibri"/>
                <w:color w:val="000000"/>
                <w:sz w:val="20"/>
              </w:rPr>
              <w:br/>
              <w:t>(On occasion)</w:t>
            </w:r>
          </w:p>
        </w:tc>
        <w:tc>
          <w:tcPr>
            <w:tcW w:w="1630" w:type="dxa"/>
            <w:tcBorders>
              <w:top w:val="nil"/>
              <w:left w:val="nil"/>
              <w:bottom w:val="single" w:sz="8" w:space="0" w:color="auto"/>
              <w:right w:val="single" w:sz="8" w:space="0" w:color="auto"/>
            </w:tcBorders>
            <w:noWrap/>
            <w:vAlign w:val="center"/>
            <w:hideMark/>
          </w:tcPr>
          <w:p w:rsidR="00D5791C" w:rsidRPr="008E6E65" w:rsidP="00D03DD4" w14:paraId="27496744" w14:textId="77777777">
            <w:pPr>
              <w:jc w:val="right"/>
              <w:rPr>
                <w:rFonts w:ascii="Source Sans Pro" w:hAnsi="Source Sans Pro" w:cs="Calibri"/>
                <w:color w:val="000000"/>
                <w:sz w:val="20"/>
              </w:rPr>
            </w:pPr>
            <w:r w:rsidRPr="008E6E65">
              <w:rPr>
                <w:rFonts w:ascii="Source Sans Pro" w:hAnsi="Source Sans Pro" w:cs="Calibri"/>
                <w:color w:val="000000"/>
                <w:sz w:val="20"/>
              </w:rPr>
              <w:t>5</w:t>
            </w:r>
          </w:p>
        </w:tc>
        <w:tc>
          <w:tcPr>
            <w:tcW w:w="1680" w:type="dxa"/>
            <w:tcBorders>
              <w:top w:val="nil"/>
              <w:left w:val="nil"/>
              <w:bottom w:val="single" w:sz="8" w:space="0" w:color="auto"/>
              <w:right w:val="single" w:sz="8" w:space="0" w:color="auto"/>
            </w:tcBorders>
            <w:noWrap/>
            <w:vAlign w:val="center"/>
            <w:hideMark/>
          </w:tcPr>
          <w:p w:rsidR="00D5791C" w:rsidRPr="008E6E65" w:rsidP="00D03DD4" w14:paraId="460B6715" w14:textId="77777777">
            <w:pPr>
              <w:jc w:val="right"/>
              <w:rPr>
                <w:rFonts w:ascii="Source Sans Pro" w:hAnsi="Source Sans Pro" w:cs="Calibri"/>
                <w:color w:val="000000"/>
                <w:sz w:val="20"/>
              </w:rPr>
            </w:pPr>
            <w:r w:rsidRPr="008E6E65">
              <w:rPr>
                <w:rFonts w:ascii="Source Sans Pro" w:hAnsi="Source Sans Pro" w:cs="Calibri"/>
                <w:color w:val="000000"/>
                <w:sz w:val="20"/>
              </w:rPr>
              <w:t>1</w:t>
            </w:r>
          </w:p>
        </w:tc>
        <w:tc>
          <w:tcPr>
            <w:tcW w:w="1097" w:type="dxa"/>
            <w:tcBorders>
              <w:top w:val="nil"/>
              <w:left w:val="nil"/>
              <w:bottom w:val="single" w:sz="8" w:space="0" w:color="auto"/>
              <w:right w:val="nil"/>
            </w:tcBorders>
            <w:vAlign w:val="center"/>
            <w:hideMark/>
          </w:tcPr>
          <w:p w:rsidR="00D5791C" w:rsidRPr="008E6E65" w:rsidP="00D03DD4" w14:paraId="3E7E6021" w14:textId="77777777">
            <w:pPr>
              <w:jc w:val="right"/>
              <w:rPr>
                <w:rFonts w:ascii="Source Sans Pro" w:hAnsi="Source Sans Pro" w:cs="Calibri"/>
                <w:color w:val="000000"/>
                <w:sz w:val="20"/>
              </w:rPr>
            </w:pPr>
            <w:r w:rsidRPr="008E6E65">
              <w:rPr>
                <w:rFonts w:ascii="Source Sans Pro" w:hAnsi="Source Sans Pro" w:cs="Calibri"/>
                <w:color w:val="000000"/>
                <w:sz w:val="20"/>
              </w:rPr>
              <w:t>10:00</w:t>
            </w:r>
          </w:p>
        </w:tc>
        <w:tc>
          <w:tcPr>
            <w:tcW w:w="1371" w:type="dxa"/>
            <w:gridSpan w:val="2"/>
            <w:tcBorders>
              <w:top w:val="nil"/>
              <w:left w:val="single" w:sz="8" w:space="0" w:color="auto"/>
              <w:bottom w:val="single" w:sz="8" w:space="0" w:color="auto"/>
              <w:right w:val="single" w:sz="8" w:space="0" w:color="auto"/>
            </w:tcBorders>
            <w:noWrap/>
            <w:vAlign w:val="center"/>
            <w:hideMark/>
          </w:tcPr>
          <w:p w:rsidR="00D5791C" w:rsidRPr="008E6E65" w:rsidP="00D03DD4" w14:paraId="113AA11E" w14:textId="77777777">
            <w:pPr>
              <w:jc w:val="right"/>
              <w:rPr>
                <w:rFonts w:ascii="Source Sans Pro" w:hAnsi="Source Sans Pro" w:cs="Calibri"/>
                <w:color w:val="000000"/>
                <w:sz w:val="20"/>
              </w:rPr>
            </w:pPr>
            <w:r w:rsidRPr="008E6E65">
              <w:rPr>
                <w:rFonts w:ascii="Source Sans Pro" w:hAnsi="Source Sans Pro" w:cs="Calibri"/>
                <w:color w:val="000000"/>
                <w:sz w:val="20"/>
              </w:rPr>
              <w:t>50</w:t>
            </w:r>
          </w:p>
        </w:tc>
      </w:tr>
      <w:tr w14:paraId="185C2F09" w14:textId="77777777" w:rsidTr="00D5791C">
        <w:tblPrEx>
          <w:tblW w:w="9695" w:type="dxa"/>
          <w:tblCellMar>
            <w:top w:w="15" w:type="dxa"/>
          </w:tblCellMar>
          <w:tblLook w:val="04A0"/>
        </w:tblPrEx>
        <w:trPr>
          <w:trHeight w:val="1116"/>
        </w:trPr>
        <w:tc>
          <w:tcPr>
            <w:tcW w:w="2311" w:type="dxa"/>
            <w:tcBorders>
              <w:top w:val="nil"/>
              <w:left w:val="single" w:sz="8" w:space="0" w:color="auto"/>
              <w:bottom w:val="single" w:sz="8" w:space="0" w:color="auto"/>
              <w:right w:val="single" w:sz="8" w:space="0" w:color="auto"/>
            </w:tcBorders>
            <w:vAlign w:val="center"/>
            <w:hideMark/>
          </w:tcPr>
          <w:p w:rsidR="00D5791C" w:rsidRPr="008E6E65" w:rsidP="00D03DD4" w14:paraId="6B97D3F6" w14:textId="77777777">
            <w:pPr>
              <w:rPr>
                <w:rFonts w:ascii="Source Sans Pro" w:hAnsi="Source Sans Pro" w:cs="Calibri"/>
                <w:color w:val="000000"/>
                <w:sz w:val="20"/>
              </w:rPr>
            </w:pPr>
            <w:r w:rsidRPr="008E6E65">
              <w:rPr>
                <w:rFonts w:ascii="Source Sans Pro" w:hAnsi="Source Sans Pro" w:cs="Calibri"/>
                <w:color w:val="000000"/>
                <w:sz w:val="20"/>
              </w:rPr>
              <w:t xml:space="preserve">9. Section 351.11(a)(2) - Documentation on </w:t>
            </w:r>
            <w:r>
              <w:rPr>
                <w:rFonts w:ascii="Source Sans Pro" w:hAnsi="Source Sans Pro" w:cs="Calibri"/>
                <w:color w:val="000000"/>
                <w:sz w:val="20"/>
              </w:rPr>
              <w:t>A</w:t>
            </w:r>
            <w:r w:rsidRPr="008E6E65">
              <w:rPr>
                <w:rFonts w:ascii="Source Sans Pro" w:hAnsi="Source Sans Pro" w:cs="Calibri"/>
                <w:color w:val="000000"/>
                <w:sz w:val="20"/>
              </w:rPr>
              <w:t xml:space="preserve">dvisory or </w:t>
            </w:r>
            <w:r>
              <w:rPr>
                <w:rFonts w:ascii="Source Sans Pro" w:hAnsi="Source Sans Pro" w:cs="Calibri"/>
                <w:color w:val="000000"/>
                <w:sz w:val="20"/>
              </w:rPr>
              <w:t>R</w:t>
            </w:r>
            <w:r w:rsidRPr="008E6E65">
              <w:rPr>
                <w:rFonts w:ascii="Source Sans Pro" w:hAnsi="Source Sans Pro" w:cs="Calibri"/>
                <w:color w:val="000000"/>
                <w:sz w:val="20"/>
              </w:rPr>
              <w:t xml:space="preserve">elated </w:t>
            </w:r>
            <w:r>
              <w:rPr>
                <w:rFonts w:ascii="Source Sans Pro" w:hAnsi="Source Sans Pro" w:cs="Calibri"/>
                <w:color w:val="000000"/>
                <w:sz w:val="20"/>
              </w:rPr>
              <w:t>S</w:t>
            </w:r>
            <w:r w:rsidRPr="008E6E65">
              <w:rPr>
                <w:rFonts w:ascii="Source Sans Pro" w:hAnsi="Source Sans Pro" w:cs="Calibri"/>
                <w:color w:val="000000"/>
                <w:sz w:val="20"/>
              </w:rPr>
              <w:t xml:space="preserve">ervices to </w:t>
            </w:r>
            <w:r>
              <w:rPr>
                <w:rFonts w:ascii="Source Sans Pro" w:hAnsi="Source Sans Pro" w:cs="Calibri"/>
                <w:color w:val="000000"/>
                <w:sz w:val="20"/>
              </w:rPr>
              <w:t>C</w:t>
            </w:r>
            <w:r w:rsidRPr="008E6E65">
              <w:rPr>
                <w:rFonts w:ascii="Source Sans Pro" w:hAnsi="Source Sans Pro" w:cs="Calibri"/>
                <w:color w:val="000000"/>
                <w:sz w:val="20"/>
              </w:rPr>
              <w:t xml:space="preserve">ustomers </w:t>
            </w:r>
            <w:r>
              <w:rPr>
                <w:rFonts w:ascii="Source Sans Pro" w:hAnsi="Source Sans Pro" w:cs="Calibri"/>
                <w:color w:val="000000"/>
                <w:sz w:val="20"/>
              </w:rPr>
              <w:t xml:space="preserve">Ongoing </w:t>
            </w:r>
            <w:r w:rsidRPr="008E6E65">
              <w:rPr>
                <w:rFonts w:ascii="Source Sans Pro" w:hAnsi="Source Sans Pro" w:cs="Calibri"/>
                <w:color w:val="000000"/>
                <w:sz w:val="20"/>
              </w:rPr>
              <w:t>(Mandatory)</w:t>
            </w:r>
          </w:p>
        </w:tc>
        <w:tc>
          <w:tcPr>
            <w:tcW w:w="1606" w:type="dxa"/>
            <w:tcBorders>
              <w:top w:val="nil"/>
              <w:left w:val="nil"/>
              <w:bottom w:val="single" w:sz="8" w:space="0" w:color="auto"/>
              <w:right w:val="single" w:sz="8" w:space="0" w:color="auto"/>
            </w:tcBorders>
            <w:vAlign w:val="center"/>
            <w:hideMark/>
          </w:tcPr>
          <w:p w:rsidR="00D5791C" w:rsidRPr="008E6E65" w:rsidP="00D03DD4" w14:paraId="3AAB69BF" w14:textId="77777777">
            <w:pPr>
              <w:jc w:val="center"/>
              <w:rPr>
                <w:rFonts w:ascii="Source Sans Pro" w:hAnsi="Source Sans Pro" w:cs="Calibri"/>
                <w:color w:val="000000"/>
                <w:sz w:val="20"/>
              </w:rPr>
            </w:pPr>
            <w:r w:rsidRPr="008E6E65">
              <w:rPr>
                <w:rFonts w:ascii="Source Sans Pro" w:hAnsi="Source Sans Pro" w:cs="Calibri"/>
                <w:color w:val="000000"/>
                <w:sz w:val="20"/>
              </w:rPr>
              <w:t xml:space="preserve">Recordkeeping </w:t>
            </w:r>
            <w:r w:rsidRPr="008E6E65">
              <w:rPr>
                <w:rFonts w:ascii="Source Sans Pro" w:hAnsi="Source Sans Pro" w:cs="Calibri"/>
                <w:color w:val="000000"/>
                <w:sz w:val="20"/>
              </w:rPr>
              <w:br/>
              <w:t>(On occasion)</w:t>
            </w:r>
          </w:p>
        </w:tc>
        <w:tc>
          <w:tcPr>
            <w:tcW w:w="1630" w:type="dxa"/>
            <w:tcBorders>
              <w:top w:val="nil"/>
              <w:left w:val="nil"/>
              <w:bottom w:val="single" w:sz="8" w:space="0" w:color="auto"/>
              <w:right w:val="single" w:sz="8" w:space="0" w:color="auto"/>
            </w:tcBorders>
            <w:noWrap/>
            <w:vAlign w:val="center"/>
            <w:hideMark/>
          </w:tcPr>
          <w:p w:rsidR="00D5791C" w:rsidRPr="008E6E65" w:rsidP="00D03DD4" w14:paraId="5D049515" w14:textId="77777777">
            <w:pPr>
              <w:jc w:val="right"/>
              <w:rPr>
                <w:rFonts w:ascii="Source Sans Pro" w:hAnsi="Source Sans Pro" w:cs="Calibri"/>
                <w:color w:val="000000"/>
                <w:sz w:val="20"/>
              </w:rPr>
            </w:pPr>
            <w:r w:rsidRPr="008E6E65">
              <w:rPr>
                <w:rFonts w:ascii="Source Sans Pro" w:hAnsi="Source Sans Pro" w:cs="Calibri"/>
                <w:color w:val="000000"/>
                <w:sz w:val="20"/>
              </w:rPr>
              <w:t>5</w:t>
            </w:r>
          </w:p>
        </w:tc>
        <w:tc>
          <w:tcPr>
            <w:tcW w:w="1680" w:type="dxa"/>
            <w:tcBorders>
              <w:top w:val="nil"/>
              <w:left w:val="nil"/>
              <w:bottom w:val="single" w:sz="8" w:space="0" w:color="auto"/>
              <w:right w:val="single" w:sz="8" w:space="0" w:color="auto"/>
            </w:tcBorders>
            <w:noWrap/>
            <w:vAlign w:val="center"/>
            <w:hideMark/>
          </w:tcPr>
          <w:p w:rsidR="00D5791C" w:rsidRPr="008E6E65" w:rsidP="00D03DD4" w14:paraId="13D83886" w14:textId="77777777">
            <w:pPr>
              <w:jc w:val="right"/>
              <w:rPr>
                <w:rFonts w:ascii="Source Sans Pro" w:hAnsi="Source Sans Pro" w:cs="Calibri"/>
                <w:color w:val="000000"/>
                <w:sz w:val="20"/>
              </w:rPr>
            </w:pPr>
            <w:r w:rsidRPr="008E6E65">
              <w:rPr>
                <w:rFonts w:ascii="Source Sans Pro" w:hAnsi="Source Sans Pro" w:cs="Calibri"/>
                <w:color w:val="000000"/>
                <w:sz w:val="20"/>
              </w:rPr>
              <w:t>1</w:t>
            </w:r>
          </w:p>
        </w:tc>
        <w:tc>
          <w:tcPr>
            <w:tcW w:w="1097" w:type="dxa"/>
            <w:tcBorders>
              <w:top w:val="nil"/>
              <w:left w:val="nil"/>
              <w:bottom w:val="single" w:sz="8" w:space="0" w:color="auto"/>
              <w:right w:val="nil"/>
            </w:tcBorders>
            <w:vAlign w:val="center"/>
            <w:hideMark/>
          </w:tcPr>
          <w:p w:rsidR="00D5791C" w:rsidRPr="008E6E65" w:rsidP="00D03DD4" w14:paraId="68FD23C0" w14:textId="77777777">
            <w:pPr>
              <w:jc w:val="right"/>
              <w:rPr>
                <w:rFonts w:ascii="Source Sans Pro" w:hAnsi="Source Sans Pro" w:cs="Calibri"/>
                <w:color w:val="000000"/>
                <w:sz w:val="20"/>
              </w:rPr>
            </w:pPr>
            <w:r w:rsidRPr="008E6E65">
              <w:rPr>
                <w:rFonts w:ascii="Source Sans Pro" w:hAnsi="Source Sans Pro" w:cs="Calibri"/>
                <w:color w:val="000000"/>
                <w:sz w:val="20"/>
              </w:rPr>
              <w:t>10:00</w:t>
            </w:r>
          </w:p>
        </w:tc>
        <w:tc>
          <w:tcPr>
            <w:tcW w:w="1371" w:type="dxa"/>
            <w:gridSpan w:val="2"/>
            <w:tcBorders>
              <w:top w:val="nil"/>
              <w:left w:val="single" w:sz="8" w:space="0" w:color="auto"/>
              <w:bottom w:val="single" w:sz="8" w:space="0" w:color="auto"/>
              <w:right w:val="single" w:sz="8" w:space="0" w:color="auto"/>
            </w:tcBorders>
            <w:noWrap/>
            <w:vAlign w:val="center"/>
            <w:hideMark/>
          </w:tcPr>
          <w:p w:rsidR="00D5791C" w:rsidRPr="008E6E65" w:rsidP="00D03DD4" w14:paraId="525169FF" w14:textId="77777777">
            <w:pPr>
              <w:jc w:val="right"/>
              <w:rPr>
                <w:rFonts w:ascii="Source Sans Pro" w:hAnsi="Source Sans Pro" w:cs="Calibri"/>
                <w:color w:val="000000"/>
                <w:sz w:val="20"/>
              </w:rPr>
            </w:pPr>
            <w:r w:rsidRPr="008E6E65">
              <w:rPr>
                <w:rFonts w:ascii="Source Sans Pro" w:hAnsi="Source Sans Pro" w:cs="Calibri"/>
                <w:color w:val="000000"/>
                <w:sz w:val="20"/>
              </w:rPr>
              <w:t>50</w:t>
            </w:r>
          </w:p>
        </w:tc>
      </w:tr>
      <w:tr w14:paraId="5DBD1F06" w14:textId="77777777" w:rsidTr="00D5791C">
        <w:tblPrEx>
          <w:tblW w:w="9695" w:type="dxa"/>
          <w:tblCellMar>
            <w:top w:w="15" w:type="dxa"/>
          </w:tblCellMar>
          <w:tblLook w:val="04A0"/>
        </w:tblPrEx>
        <w:trPr>
          <w:trHeight w:val="1392"/>
        </w:trPr>
        <w:tc>
          <w:tcPr>
            <w:tcW w:w="2311" w:type="dxa"/>
            <w:tcBorders>
              <w:top w:val="nil"/>
              <w:left w:val="single" w:sz="8" w:space="0" w:color="auto"/>
              <w:bottom w:val="single" w:sz="8" w:space="0" w:color="auto"/>
              <w:right w:val="single" w:sz="8" w:space="0" w:color="auto"/>
            </w:tcBorders>
            <w:vAlign w:val="center"/>
            <w:hideMark/>
          </w:tcPr>
          <w:p w:rsidR="00D5791C" w:rsidRPr="008E6E65" w:rsidP="00D03DD4" w14:paraId="2385261E" w14:textId="77777777">
            <w:pPr>
              <w:rPr>
                <w:rFonts w:ascii="Source Sans Pro" w:hAnsi="Source Sans Pro" w:cs="Calibri"/>
                <w:color w:val="000000"/>
                <w:sz w:val="20"/>
              </w:rPr>
            </w:pPr>
            <w:r w:rsidRPr="008E6E65">
              <w:rPr>
                <w:rFonts w:ascii="Source Sans Pro" w:hAnsi="Source Sans Pro" w:cs="Calibri"/>
                <w:color w:val="000000"/>
                <w:sz w:val="20"/>
              </w:rPr>
              <w:t xml:space="preserve">10. Section 351.20(b) - Compliance Program for Covered Banks with Significant Trading Assets &amp; Liabilities </w:t>
            </w:r>
            <w:r>
              <w:rPr>
                <w:rFonts w:ascii="Source Sans Pro" w:hAnsi="Source Sans Pro" w:cs="Calibri"/>
                <w:color w:val="000000"/>
                <w:sz w:val="20"/>
              </w:rPr>
              <w:t xml:space="preserve">Ongoing </w:t>
            </w:r>
            <w:r w:rsidRPr="008E6E65">
              <w:rPr>
                <w:rFonts w:ascii="Source Sans Pro" w:hAnsi="Source Sans Pro" w:cs="Calibri"/>
                <w:color w:val="000000"/>
                <w:sz w:val="20"/>
              </w:rPr>
              <w:t>(Mandatory)</w:t>
            </w:r>
          </w:p>
        </w:tc>
        <w:tc>
          <w:tcPr>
            <w:tcW w:w="1606" w:type="dxa"/>
            <w:tcBorders>
              <w:top w:val="nil"/>
              <w:left w:val="nil"/>
              <w:bottom w:val="single" w:sz="8" w:space="0" w:color="auto"/>
              <w:right w:val="single" w:sz="8" w:space="0" w:color="auto"/>
            </w:tcBorders>
            <w:vAlign w:val="center"/>
            <w:hideMark/>
          </w:tcPr>
          <w:p w:rsidR="00D5791C" w:rsidRPr="008E6E65" w:rsidP="00D03DD4" w14:paraId="46140911" w14:textId="77777777">
            <w:pPr>
              <w:jc w:val="center"/>
              <w:rPr>
                <w:rFonts w:ascii="Source Sans Pro" w:hAnsi="Source Sans Pro" w:cs="Calibri"/>
                <w:color w:val="000000"/>
                <w:sz w:val="20"/>
              </w:rPr>
            </w:pPr>
            <w:r w:rsidRPr="008E6E65">
              <w:rPr>
                <w:rFonts w:ascii="Source Sans Pro" w:hAnsi="Source Sans Pro" w:cs="Calibri"/>
                <w:color w:val="000000"/>
                <w:sz w:val="20"/>
              </w:rPr>
              <w:t xml:space="preserve">Recordkeeping </w:t>
            </w:r>
            <w:r w:rsidRPr="008E6E65">
              <w:rPr>
                <w:rFonts w:ascii="Source Sans Pro" w:hAnsi="Source Sans Pro" w:cs="Calibri"/>
                <w:color w:val="000000"/>
                <w:sz w:val="20"/>
              </w:rPr>
              <w:br/>
              <w:t>(On occasion)</w:t>
            </w:r>
          </w:p>
        </w:tc>
        <w:tc>
          <w:tcPr>
            <w:tcW w:w="1630" w:type="dxa"/>
            <w:tcBorders>
              <w:top w:val="nil"/>
              <w:left w:val="nil"/>
              <w:bottom w:val="single" w:sz="8" w:space="0" w:color="auto"/>
              <w:right w:val="single" w:sz="8" w:space="0" w:color="auto"/>
            </w:tcBorders>
            <w:noWrap/>
            <w:vAlign w:val="center"/>
            <w:hideMark/>
          </w:tcPr>
          <w:p w:rsidR="00D5791C" w:rsidRPr="008E6E65" w:rsidP="00D03DD4" w14:paraId="09ACA58C" w14:textId="77777777">
            <w:pPr>
              <w:jc w:val="right"/>
              <w:rPr>
                <w:rFonts w:ascii="Source Sans Pro" w:hAnsi="Source Sans Pro" w:cs="Calibri"/>
                <w:color w:val="000000"/>
                <w:sz w:val="20"/>
              </w:rPr>
            </w:pPr>
            <w:r w:rsidRPr="008E6E65">
              <w:rPr>
                <w:rFonts w:ascii="Source Sans Pro" w:hAnsi="Source Sans Pro" w:cs="Calibri"/>
                <w:color w:val="000000"/>
                <w:sz w:val="20"/>
              </w:rPr>
              <w:t>2</w:t>
            </w:r>
          </w:p>
        </w:tc>
        <w:tc>
          <w:tcPr>
            <w:tcW w:w="1680" w:type="dxa"/>
            <w:tcBorders>
              <w:top w:val="nil"/>
              <w:left w:val="nil"/>
              <w:bottom w:val="single" w:sz="8" w:space="0" w:color="auto"/>
              <w:right w:val="single" w:sz="8" w:space="0" w:color="auto"/>
            </w:tcBorders>
            <w:noWrap/>
            <w:vAlign w:val="center"/>
            <w:hideMark/>
          </w:tcPr>
          <w:p w:rsidR="00D5791C" w:rsidRPr="008E6E65" w:rsidP="00D03DD4" w14:paraId="3F57B391" w14:textId="77777777">
            <w:pPr>
              <w:jc w:val="right"/>
              <w:rPr>
                <w:rFonts w:ascii="Source Sans Pro" w:hAnsi="Source Sans Pro" w:cs="Calibri"/>
                <w:color w:val="000000"/>
                <w:sz w:val="20"/>
              </w:rPr>
            </w:pPr>
            <w:r w:rsidRPr="008E6E65">
              <w:rPr>
                <w:rFonts w:ascii="Source Sans Pro" w:hAnsi="Source Sans Pro" w:cs="Calibri"/>
                <w:color w:val="000000"/>
                <w:sz w:val="20"/>
              </w:rPr>
              <w:t>1</w:t>
            </w:r>
          </w:p>
        </w:tc>
        <w:tc>
          <w:tcPr>
            <w:tcW w:w="1097" w:type="dxa"/>
            <w:tcBorders>
              <w:top w:val="nil"/>
              <w:left w:val="nil"/>
              <w:bottom w:val="single" w:sz="8" w:space="0" w:color="auto"/>
              <w:right w:val="nil"/>
            </w:tcBorders>
            <w:vAlign w:val="center"/>
            <w:hideMark/>
          </w:tcPr>
          <w:p w:rsidR="00D5791C" w:rsidRPr="008E6E65" w:rsidP="00D03DD4" w14:paraId="22909500" w14:textId="77777777">
            <w:pPr>
              <w:jc w:val="right"/>
              <w:rPr>
                <w:rFonts w:ascii="Source Sans Pro" w:hAnsi="Source Sans Pro" w:cs="Calibri"/>
                <w:color w:val="000000"/>
                <w:sz w:val="20"/>
              </w:rPr>
            </w:pPr>
            <w:r w:rsidRPr="008E6E65">
              <w:rPr>
                <w:rFonts w:ascii="Source Sans Pro" w:hAnsi="Source Sans Pro" w:cs="Calibri"/>
                <w:color w:val="000000"/>
                <w:sz w:val="20"/>
              </w:rPr>
              <w:t>265:00</w:t>
            </w:r>
          </w:p>
        </w:tc>
        <w:tc>
          <w:tcPr>
            <w:tcW w:w="1371" w:type="dxa"/>
            <w:gridSpan w:val="2"/>
            <w:tcBorders>
              <w:top w:val="nil"/>
              <w:left w:val="single" w:sz="8" w:space="0" w:color="auto"/>
              <w:bottom w:val="single" w:sz="8" w:space="0" w:color="auto"/>
              <w:right w:val="single" w:sz="8" w:space="0" w:color="auto"/>
            </w:tcBorders>
            <w:noWrap/>
            <w:vAlign w:val="center"/>
            <w:hideMark/>
          </w:tcPr>
          <w:p w:rsidR="00D5791C" w:rsidRPr="008E6E65" w:rsidP="00D03DD4" w14:paraId="1FB0D3E1" w14:textId="77777777">
            <w:pPr>
              <w:jc w:val="right"/>
              <w:rPr>
                <w:rFonts w:ascii="Source Sans Pro" w:hAnsi="Source Sans Pro" w:cs="Calibri"/>
                <w:color w:val="000000"/>
                <w:sz w:val="20"/>
              </w:rPr>
            </w:pPr>
            <w:r w:rsidRPr="008E6E65">
              <w:rPr>
                <w:rFonts w:ascii="Source Sans Pro" w:hAnsi="Source Sans Pro" w:cs="Calibri"/>
                <w:color w:val="000000"/>
                <w:sz w:val="20"/>
              </w:rPr>
              <w:t>530</w:t>
            </w:r>
          </w:p>
        </w:tc>
      </w:tr>
      <w:tr w14:paraId="710A26C4" w14:textId="77777777" w:rsidTr="00D5791C">
        <w:tblPrEx>
          <w:tblW w:w="9695" w:type="dxa"/>
          <w:tblCellMar>
            <w:top w:w="15" w:type="dxa"/>
          </w:tblCellMar>
          <w:tblLook w:val="04A0"/>
        </w:tblPrEx>
        <w:trPr>
          <w:trHeight w:val="1392"/>
        </w:trPr>
        <w:tc>
          <w:tcPr>
            <w:tcW w:w="2311" w:type="dxa"/>
            <w:tcBorders>
              <w:top w:val="nil"/>
              <w:left w:val="single" w:sz="8" w:space="0" w:color="auto"/>
              <w:bottom w:val="single" w:sz="8" w:space="0" w:color="auto"/>
              <w:right w:val="single" w:sz="8" w:space="0" w:color="auto"/>
            </w:tcBorders>
            <w:vAlign w:val="center"/>
            <w:hideMark/>
          </w:tcPr>
          <w:p w:rsidR="00D5791C" w:rsidRPr="008E6E65" w:rsidP="00D03DD4" w14:paraId="3B5C238A" w14:textId="77777777">
            <w:pPr>
              <w:rPr>
                <w:rFonts w:ascii="Source Sans Pro" w:hAnsi="Source Sans Pro" w:cs="Calibri"/>
                <w:color w:val="000000"/>
                <w:sz w:val="20"/>
              </w:rPr>
            </w:pPr>
            <w:r w:rsidRPr="008E6E65">
              <w:rPr>
                <w:rFonts w:ascii="Source Sans Pro" w:hAnsi="Source Sans Pro" w:cs="Calibri"/>
                <w:color w:val="000000"/>
                <w:sz w:val="20"/>
              </w:rPr>
              <w:t xml:space="preserve">11. Section 351.20(c) - CEO </w:t>
            </w:r>
            <w:r>
              <w:rPr>
                <w:rFonts w:ascii="Source Sans Pro" w:hAnsi="Source Sans Pro" w:cs="Calibri"/>
                <w:color w:val="000000"/>
                <w:sz w:val="20"/>
              </w:rPr>
              <w:t>A</w:t>
            </w:r>
            <w:r w:rsidRPr="008E6E65">
              <w:rPr>
                <w:rFonts w:ascii="Source Sans Pro" w:hAnsi="Source Sans Pro" w:cs="Calibri"/>
                <w:color w:val="000000"/>
                <w:sz w:val="20"/>
              </w:rPr>
              <w:t xml:space="preserve">ttestation for Covered Banks with Significant Trading Assets &amp; Liabilities </w:t>
            </w:r>
            <w:r>
              <w:rPr>
                <w:rFonts w:ascii="Source Sans Pro" w:hAnsi="Source Sans Pro" w:cs="Calibri"/>
                <w:color w:val="000000"/>
                <w:sz w:val="20"/>
              </w:rPr>
              <w:t xml:space="preserve">Ongoing </w:t>
            </w:r>
            <w:r w:rsidRPr="008E6E65">
              <w:rPr>
                <w:rFonts w:ascii="Source Sans Pro" w:hAnsi="Source Sans Pro" w:cs="Calibri"/>
                <w:color w:val="000000"/>
                <w:sz w:val="20"/>
              </w:rPr>
              <w:t>(Mandatory)</w:t>
            </w:r>
          </w:p>
        </w:tc>
        <w:tc>
          <w:tcPr>
            <w:tcW w:w="1606" w:type="dxa"/>
            <w:tcBorders>
              <w:top w:val="nil"/>
              <w:left w:val="nil"/>
              <w:bottom w:val="single" w:sz="8" w:space="0" w:color="auto"/>
              <w:right w:val="single" w:sz="8" w:space="0" w:color="auto"/>
            </w:tcBorders>
            <w:vAlign w:val="center"/>
            <w:hideMark/>
          </w:tcPr>
          <w:p w:rsidR="00D5791C" w:rsidRPr="008E6E65" w:rsidP="00D03DD4" w14:paraId="58CC305C" w14:textId="77777777">
            <w:pPr>
              <w:jc w:val="center"/>
              <w:rPr>
                <w:rFonts w:ascii="Source Sans Pro" w:hAnsi="Source Sans Pro" w:cs="Calibri"/>
                <w:color w:val="000000"/>
                <w:sz w:val="20"/>
              </w:rPr>
            </w:pPr>
            <w:r w:rsidRPr="008E6E65">
              <w:rPr>
                <w:rFonts w:ascii="Source Sans Pro" w:hAnsi="Source Sans Pro" w:cs="Calibri"/>
                <w:color w:val="000000"/>
                <w:sz w:val="20"/>
              </w:rPr>
              <w:t>Recordkeeping (Annual)</w:t>
            </w:r>
          </w:p>
        </w:tc>
        <w:tc>
          <w:tcPr>
            <w:tcW w:w="1630" w:type="dxa"/>
            <w:tcBorders>
              <w:top w:val="nil"/>
              <w:left w:val="nil"/>
              <w:bottom w:val="single" w:sz="8" w:space="0" w:color="auto"/>
              <w:right w:val="single" w:sz="8" w:space="0" w:color="auto"/>
            </w:tcBorders>
            <w:noWrap/>
            <w:vAlign w:val="center"/>
            <w:hideMark/>
          </w:tcPr>
          <w:p w:rsidR="00D5791C" w:rsidRPr="008E6E65" w:rsidP="00D03DD4" w14:paraId="2C682159" w14:textId="77777777">
            <w:pPr>
              <w:jc w:val="right"/>
              <w:rPr>
                <w:rFonts w:ascii="Source Sans Pro" w:hAnsi="Source Sans Pro" w:cs="Calibri"/>
                <w:color w:val="000000"/>
                <w:sz w:val="20"/>
              </w:rPr>
            </w:pPr>
            <w:r w:rsidRPr="008E6E65">
              <w:rPr>
                <w:rFonts w:ascii="Source Sans Pro" w:hAnsi="Source Sans Pro" w:cs="Calibri"/>
                <w:color w:val="000000"/>
                <w:sz w:val="20"/>
              </w:rPr>
              <w:t>2</w:t>
            </w:r>
          </w:p>
        </w:tc>
        <w:tc>
          <w:tcPr>
            <w:tcW w:w="1680" w:type="dxa"/>
            <w:tcBorders>
              <w:top w:val="nil"/>
              <w:left w:val="nil"/>
              <w:bottom w:val="single" w:sz="8" w:space="0" w:color="auto"/>
              <w:right w:val="single" w:sz="8" w:space="0" w:color="auto"/>
            </w:tcBorders>
            <w:noWrap/>
            <w:vAlign w:val="center"/>
            <w:hideMark/>
          </w:tcPr>
          <w:p w:rsidR="00D5791C" w:rsidRPr="008E6E65" w:rsidP="00D03DD4" w14:paraId="31D42AB3" w14:textId="77777777">
            <w:pPr>
              <w:jc w:val="right"/>
              <w:rPr>
                <w:rFonts w:ascii="Source Sans Pro" w:hAnsi="Source Sans Pro" w:cs="Calibri"/>
                <w:color w:val="000000"/>
                <w:sz w:val="20"/>
              </w:rPr>
            </w:pPr>
            <w:r w:rsidRPr="008E6E65">
              <w:rPr>
                <w:rFonts w:ascii="Source Sans Pro" w:hAnsi="Source Sans Pro" w:cs="Calibri"/>
                <w:color w:val="000000"/>
                <w:sz w:val="20"/>
              </w:rPr>
              <w:t>1</w:t>
            </w:r>
          </w:p>
        </w:tc>
        <w:tc>
          <w:tcPr>
            <w:tcW w:w="1097" w:type="dxa"/>
            <w:tcBorders>
              <w:top w:val="nil"/>
              <w:left w:val="nil"/>
              <w:bottom w:val="single" w:sz="8" w:space="0" w:color="auto"/>
              <w:right w:val="nil"/>
            </w:tcBorders>
            <w:vAlign w:val="center"/>
            <w:hideMark/>
          </w:tcPr>
          <w:p w:rsidR="00D5791C" w:rsidRPr="008E6E65" w:rsidP="00D03DD4" w14:paraId="3376E6ED" w14:textId="77777777">
            <w:pPr>
              <w:jc w:val="right"/>
              <w:rPr>
                <w:rFonts w:ascii="Source Sans Pro" w:hAnsi="Source Sans Pro" w:cs="Calibri"/>
                <w:color w:val="000000"/>
                <w:sz w:val="20"/>
              </w:rPr>
            </w:pPr>
            <w:r w:rsidRPr="008E6E65">
              <w:rPr>
                <w:rFonts w:ascii="Source Sans Pro" w:hAnsi="Source Sans Pro" w:cs="Calibri"/>
                <w:color w:val="000000"/>
                <w:sz w:val="20"/>
              </w:rPr>
              <w:t>100:00</w:t>
            </w:r>
          </w:p>
        </w:tc>
        <w:tc>
          <w:tcPr>
            <w:tcW w:w="1371" w:type="dxa"/>
            <w:gridSpan w:val="2"/>
            <w:tcBorders>
              <w:top w:val="nil"/>
              <w:left w:val="single" w:sz="8" w:space="0" w:color="auto"/>
              <w:bottom w:val="single" w:sz="8" w:space="0" w:color="auto"/>
              <w:right w:val="single" w:sz="8" w:space="0" w:color="auto"/>
            </w:tcBorders>
            <w:noWrap/>
            <w:vAlign w:val="center"/>
            <w:hideMark/>
          </w:tcPr>
          <w:p w:rsidR="00D5791C" w:rsidRPr="008E6E65" w:rsidP="00D03DD4" w14:paraId="7385DA07" w14:textId="77777777">
            <w:pPr>
              <w:jc w:val="right"/>
              <w:rPr>
                <w:rFonts w:ascii="Source Sans Pro" w:hAnsi="Source Sans Pro" w:cs="Calibri"/>
                <w:color w:val="000000"/>
                <w:sz w:val="20"/>
              </w:rPr>
            </w:pPr>
            <w:r w:rsidRPr="008E6E65">
              <w:rPr>
                <w:rFonts w:ascii="Source Sans Pro" w:hAnsi="Source Sans Pro" w:cs="Calibri"/>
                <w:color w:val="000000"/>
                <w:sz w:val="20"/>
              </w:rPr>
              <w:t>200</w:t>
            </w:r>
          </w:p>
        </w:tc>
      </w:tr>
      <w:tr w14:paraId="2F871FBE" w14:textId="77777777" w:rsidTr="00D5791C">
        <w:tblPrEx>
          <w:tblW w:w="9695" w:type="dxa"/>
          <w:tblCellMar>
            <w:top w:w="15" w:type="dxa"/>
          </w:tblCellMar>
          <w:tblLook w:val="04A0"/>
        </w:tblPrEx>
        <w:trPr>
          <w:trHeight w:val="1668"/>
        </w:trPr>
        <w:tc>
          <w:tcPr>
            <w:tcW w:w="2311" w:type="dxa"/>
            <w:tcBorders>
              <w:top w:val="nil"/>
              <w:left w:val="single" w:sz="8" w:space="0" w:color="auto"/>
              <w:bottom w:val="single" w:sz="8" w:space="0" w:color="auto"/>
              <w:right w:val="single" w:sz="8" w:space="0" w:color="auto"/>
            </w:tcBorders>
            <w:vAlign w:val="center"/>
            <w:hideMark/>
          </w:tcPr>
          <w:p w:rsidR="00D5791C" w:rsidRPr="008E6E65" w:rsidP="00D03DD4" w14:paraId="2D7E2085" w14:textId="77777777">
            <w:pPr>
              <w:rPr>
                <w:rFonts w:ascii="Source Sans Pro" w:hAnsi="Source Sans Pro" w:cs="Calibri"/>
                <w:color w:val="000000"/>
                <w:sz w:val="20"/>
              </w:rPr>
            </w:pPr>
            <w:r w:rsidRPr="008E6E65">
              <w:rPr>
                <w:rFonts w:ascii="Source Sans Pro" w:hAnsi="Source Sans Pro" w:cs="Calibri"/>
                <w:color w:val="000000"/>
                <w:sz w:val="20"/>
              </w:rPr>
              <w:t>12</w:t>
            </w:r>
            <w:r w:rsidRPr="008E6E65">
              <w:rPr>
                <w:rFonts w:ascii="Source Sans Pro" w:hAnsi="Source Sans Pro" w:cs="Calibri"/>
                <w:color w:val="000000"/>
                <w:sz w:val="20"/>
              </w:rPr>
              <w:t>.  Section</w:t>
            </w:r>
            <w:r w:rsidRPr="008E6E65">
              <w:rPr>
                <w:rFonts w:ascii="Source Sans Pro" w:hAnsi="Source Sans Pro" w:cs="Calibri"/>
                <w:color w:val="000000"/>
                <w:sz w:val="20"/>
              </w:rPr>
              <w:t xml:space="preserve"> 351.20(d) - Requirements under Appendix A for Covered Banks with Significant Trading Assets &amp; Liabilities</w:t>
            </w:r>
            <w:r>
              <w:rPr>
                <w:rFonts w:ascii="Source Sans Pro" w:hAnsi="Source Sans Pro" w:cs="Calibri"/>
                <w:color w:val="000000"/>
                <w:sz w:val="20"/>
              </w:rPr>
              <w:t xml:space="preserve"> Ongoing</w:t>
            </w:r>
            <w:r w:rsidRPr="008E6E65">
              <w:rPr>
                <w:rFonts w:ascii="Source Sans Pro" w:hAnsi="Source Sans Pro" w:cs="Calibri"/>
                <w:color w:val="000000"/>
                <w:sz w:val="20"/>
              </w:rPr>
              <w:t xml:space="preserve"> (Mandatory)</w:t>
            </w:r>
          </w:p>
        </w:tc>
        <w:tc>
          <w:tcPr>
            <w:tcW w:w="1606" w:type="dxa"/>
            <w:tcBorders>
              <w:top w:val="nil"/>
              <w:left w:val="nil"/>
              <w:bottom w:val="single" w:sz="8" w:space="0" w:color="auto"/>
              <w:right w:val="single" w:sz="8" w:space="0" w:color="auto"/>
            </w:tcBorders>
            <w:vAlign w:val="center"/>
            <w:hideMark/>
          </w:tcPr>
          <w:p w:rsidR="00D5791C" w:rsidRPr="008E6E65" w:rsidP="00D03DD4" w14:paraId="5AB256C5" w14:textId="77777777">
            <w:pPr>
              <w:jc w:val="center"/>
              <w:rPr>
                <w:rFonts w:ascii="Source Sans Pro" w:hAnsi="Source Sans Pro" w:cs="Calibri"/>
                <w:color w:val="000000"/>
                <w:sz w:val="20"/>
              </w:rPr>
            </w:pPr>
            <w:r w:rsidRPr="008E6E65">
              <w:rPr>
                <w:rFonts w:ascii="Source Sans Pro" w:hAnsi="Source Sans Pro" w:cs="Calibri"/>
                <w:color w:val="000000"/>
                <w:sz w:val="20"/>
              </w:rPr>
              <w:t xml:space="preserve">Recordkeeping </w:t>
            </w:r>
            <w:r w:rsidRPr="008E6E65">
              <w:rPr>
                <w:rFonts w:ascii="Source Sans Pro" w:hAnsi="Source Sans Pro" w:cs="Calibri"/>
                <w:color w:val="000000"/>
                <w:sz w:val="20"/>
              </w:rPr>
              <w:br/>
              <w:t>(On occasion)</w:t>
            </w:r>
          </w:p>
        </w:tc>
        <w:tc>
          <w:tcPr>
            <w:tcW w:w="1630" w:type="dxa"/>
            <w:tcBorders>
              <w:top w:val="nil"/>
              <w:left w:val="nil"/>
              <w:bottom w:val="single" w:sz="8" w:space="0" w:color="auto"/>
              <w:right w:val="single" w:sz="8" w:space="0" w:color="auto"/>
            </w:tcBorders>
            <w:noWrap/>
            <w:vAlign w:val="center"/>
            <w:hideMark/>
          </w:tcPr>
          <w:p w:rsidR="00D5791C" w:rsidRPr="008E6E65" w:rsidP="00D03DD4" w14:paraId="06B7B636" w14:textId="77777777">
            <w:pPr>
              <w:jc w:val="right"/>
              <w:rPr>
                <w:rFonts w:ascii="Source Sans Pro" w:hAnsi="Source Sans Pro" w:cs="Calibri"/>
                <w:color w:val="000000"/>
                <w:sz w:val="20"/>
              </w:rPr>
            </w:pPr>
            <w:r w:rsidRPr="008E6E65">
              <w:rPr>
                <w:rFonts w:ascii="Source Sans Pro" w:hAnsi="Source Sans Pro" w:cs="Calibri"/>
                <w:color w:val="000000"/>
                <w:sz w:val="20"/>
              </w:rPr>
              <w:t>2</w:t>
            </w:r>
          </w:p>
        </w:tc>
        <w:tc>
          <w:tcPr>
            <w:tcW w:w="1680" w:type="dxa"/>
            <w:tcBorders>
              <w:top w:val="nil"/>
              <w:left w:val="nil"/>
              <w:bottom w:val="single" w:sz="8" w:space="0" w:color="auto"/>
              <w:right w:val="single" w:sz="8" w:space="0" w:color="auto"/>
            </w:tcBorders>
            <w:noWrap/>
            <w:vAlign w:val="center"/>
            <w:hideMark/>
          </w:tcPr>
          <w:p w:rsidR="00D5791C" w:rsidRPr="008E6E65" w:rsidP="00D03DD4" w14:paraId="50D5E5A5" w14:textId="77777777">
            <w:pPr>
              <w:jc w:val="right"/>
              <w:rPr>
                <w:rFonts w:ascii="Source Sans Pro" w:hAnsi="Source Sans Pro" w:cs="Calibri"/>
                <w:color w:val="000000"/>
                <w:sz w:val="20"/>
              </w:rPr>
            </w:pPr>
            <w:r w:rsidRPr="008E6E65">
              <w:rPr>
                <w:rFonts w:ascii="Source Sans Pro" w:hAnsi="Source Sans Pro" w:cs="Calibri"/>
                <w:color w:val="000000"/>
                <w:sz w:val="20"/>
              </w:rPr>
              <w:t>1</w:t>
            </w:r>
          </w:p>
        </w:tc>
        <w:tc>
          <w:tcPr>
            <w:tcW w:w="1097" w:type="dxa"/>
            <w:tcBorders>
              <w:top w:val="nil"/>
              <w:left w:val="nil"/>
              <w:bottom w:val="single" w:sz="8" w:space="0" w:color="auto"/>
              <w:right w:val="nil"/>
            </w:tcBorders>
            <w:vAlign w:val="center"/>
            <w:hideMark/>
          </w:tcPr>
          <w:p w:rsidR="00D5791C" w:rsidRPr="008E6E65" w:rsidP="00D03DD4" w14:paraId="38D7D557" w14:textId="77777777">
            <w:pPr>
              <w:jc w:val="right"/>
              <w:rPr>
                <w:rFonts w:ascii="Source Sans Pro" w:hAnsi="Source Sans Pro" w:cs="Calibri"/>
                <w:color w:val="000000"/>
                <w:sz w:val="20"/>
              </w:rPr>
            </w:pPr>
            <w:r w:rsidRPr="008E6E65">
              <w:rPr>
                <w:rFonts w:ascii="Source Sans Pro" w:hAnsi="Source Sans Pro" w:cs="Calibri"/>
                <w:color w:val="000000"/>
                <w:sz w:val="20"/>
              </w:rPr>
              <w:t>10:00</w:t>
            </w:r>
          </w:p>
        </w:tc>
        <w:tc>
          <w:tcPr>
            <w:tcW w:w="1371" w:type="dxa"/>
            <w:gridSpan w:val="2"/>
            <w:tcBorders>
              <w:top w:val="nil"/>
              <w:left w:val="single" w:sz="8" w:space="0" w:color="auto"/>
              <w:bottom w:val="single" w:sz="8" w:space="0" w:color="auto"/>
              <w:right w:val="single" w:sz="8" w:space="0" w:color="auto"/>
            </w:tcBorders>
            <w:noWrap/>
            <w:vAlign w:val="center"/>
            <w:hideMark/>
          </w:tcPr>
          <w:p w:rsidR="00D5791C" w:rsidRPr="008E6E65" w:rsidP="00D03DD4" w14:paraId="4B2041BF" w14:textId="77777777">
            <w:pPr>
              <w:jc w:val="right"/>
              <w:rPr>
                <w:rFonts w:ascii="Source Sans Pro" w:hAnsi="Source Sans Pro" w:cs="Calibri"/>
                <w:color w:val="000000"/>
                <w:sz w:val="20"/>
              </w:rPr>
            </w:pPr>
            <w:r w:rsidRPr="008E6E65">
              <w:rPr>
                <w:rFonts w:ascii="Source Sans Pro" w:hAnsi="Source Sans Pro" w:cs="Calibri"/>
                <w:color w:val="000000"/>
                <w:sz w:val="20"/>
              </w:rPr>
              <w:t>20</w:t>
            </w:r>
          </w:p>
        </w:tc>
      </w:tr>
      <w:tr w14:paraId="7034832D" w14:textId="77777777" w:rsidTr="00D5791C">
        <w:tblPrEx>
          <w:tblW w:w="9695" w:type="dxa"/>
          <w:tblCellMar>
            <w:top w:w="15" w:type="dxa"/>
          </w:tblCellMar>
          <w:tblLook w:val="04A0"/>
        </w:tblPrEx>
        <w:trPr>
          <w:trHeight w:val="1668"/>
        </w:trPr>
        <w:tc>
          <w:tcPr>
            <w:tcW w:w="2311" w:type="dxa"/>
            <w:tcBorders>
              <w:top w:val="nil"/>
              <w:left w:val="single" w:sz="8" w:space="0" w:color="auto"/>
              <w:bottom w:val="single" w:sz="8" w:space="0" w:color="auto"/>
              <w:right w:val="single" w:sz="8" w:space="0" w:color="auto"/>
            </w:tcBorders>
            <w:vAlign w:val="center"/>
            <w:hideMark/>
          </w:tcPr>
          <w:p w:rsidR="00D5791C" w:rsidRPr="008E6E65" w:rsidP="00D03DD4" w14:paraId="6DD99051" w14:textId="77777777">
            <w:pPr>
              <w:rPr>
                <w:rFonts w:ascii="Source Sans Pro" w:hAnsi="Source Sans Pro" w:cs="Calibri"/>
                <w:color w:val="000000"/>
                <w:sz w:val="20"/>
              </w:rPr>
            </w:pPr>
            <w:r w:rsidRPr="008E6E65">
              <w:rPr>
                <w:rFonts w:ascii="Source Sans Pro" w:hAnsi="Source Sans Pro" w:cs="Calibri"/>
                <w:color w:val="000000"/>
                <w:sz w:val="20"/>
              </w:rPr>
              <w:t xml:space="preserve">13. Section 351.20(e) - Additional </w:t>
            </w:r>
            <w:r>
              <w:rPr>
                <w:rFonts w:ascii="Source Sans Pro" w:hAnsi="Source Sans Pro" w:cs="Calibri"/>
                <w:color w:val="000000"/>
                <w:sz w:val="20"/>
              </w:rPr>
              <w:t>D</w:t>
            </w:r>
            <w:r w:rsidRPr="008E6E65">
              <w:rPr>
                <w:rFonts w:ascii="Source Sans Pro" w:hAnsi="Source Sans Pro" w:cs="Calibri"/>
                <w:color w:val="000000"/>
                <w:sz w:val="20"/>
              </w:rPr>
              <w:t xml:space="preserve">ocumentation for </w:t>
            </w:r>
            <w:r>
              <w:rPr>
                <w:rFonts w:ascii="Source Sans Pro" w:hAnsi="Source Sans Pro" w:cs="Calibri"/>
                <w:color w:val="000000"/>
                <w:sz w:val="20"/>
              </w:rPr>
              <w:t>C</w:t>
            </w:r>
            <w:r w:rsidRPr="008E6E65">
              <w:rPr>
                <w:rFonts w:ascii="Source Sans Pro" w:hAnsi="Source Sans Pro" w:cs="Calibri"/>
                <w:color w:val="000000"/>
                <w:sz w:val="20"/>
              </w:rPr>
              <w:t xml:space="preserve">overed </w:t>
            </w:r>
            <w:r>
              <w:rPr>
                <w:rFonts w:ascii="Source Sans Pro" w:hAnsi="Source Sans Pro" w:cs="Calibri"/>
                <w:color w:val="000000"/>
                <w:sz w:val="20"/>
              </w:rPr>
              <w:t>F</w:t>
            </w:r>
            <w:r w:rsidRPr="008E6E65">
              <w:rPr>
                <w:rFonts w:ascii="Source Sans Pro" w:hAnsi="Source Sans Pro" w:cs="Calibri"/>
                <w:color w:val="000000"/>
                <w:sz w:val="20"/>
              </w:rPr>
              <w:t xml:space="preserve">unds for Covered Banks with Significant Trading Assets &amp; Liabilities </w:t>
            </w:r>
            <w:r>
              <w:rPr>
                <w:rFonts w:ascii="Source Sans Pro" w:hAnsi="Source Sans Pro" w:cs="Calibri"/>
                <w:color w:val="000000"/>
                <w:sz w:val="20"/>
              </w:rPr>
              <w:t xml:space="preserve">Ongoing </w:t>
            </w:r>
            <w:r w:rsidRPr="008E6E65">
              <w:rPr>
                <w:rFonts w:ascii="Source Sans Pro" w:hAnsi="Source Sans Pro" w:cs="Calibri"/>
                <w:color w:val="000000"/>
                <w:sz w:val="20"/>
              </w:rPr>
              <w:t>(Mandatory)</w:t>
            </w:r>
          </w:p>
        </w:tc>
        <w:tc>
          <w:tcPr>
            <w:tcW w:w="1606" w:type="dxa"/>
            <w:tcBorders>
              <w:top w:val="nil"/>
              <w:left w:val="nil"/>
              <w:bottom w:val="single" w:sz="8" w:space="0" w:color="auto"/>
              <w:right w:val="single" w:sz="8" w:space="0" w:color="auto"/>
            </w:tcBorders>
            <w:vAlign w:val="center"/>
            <w:hideMark/>
          </w:tcPr>
          <w:p w:rsidR="00D5791C" w:rsidRPr="008E6E65" w:rsidP="00D03DD4" w14:paraId="4E825A87" w14:textId="77777777">
            <w:pPr>
              <w:jc w:val="center"/>
              <w:rPr>
                <w:rFonts w:ascii="Source Sans Pro" w:hAnsi="Source Sans Pro" w:cs="Calibri"/>
                <w:color w:val="000000"/>
                <w:sz w:val="20"/>
              </w:rPr>
            </w:pPr>
            <w:r w:rsidRPr="008E6E65">
              <w:rPr>
                <w:rFonts w:ascii="Source Sans Pro" w:hAnsi="Source Sans Pro" w:cs="Calibri"/>
                <w:color w:val="000000"/>
                <w:sz w:val="20"/>
              </w:rPr>
              <w:t xml:space="preserve">Recordkeeping </w:t>
            </w:r>
            <w:r w:rsidRPr="008E6E65">
              <w:rPr>
                <w:rFonts w:ascii="Source Sans Pro" w:hAnsi="Source Sans Pro" w:cs="Calibri"/>
                <w:color w:val="000000"/>
                <w:sz w:val="20"/>
              </w:rPr>
              <w:br/>
              <w:t>(On occasion)</w:t>
            </w:r>
          </w:p>
        </w:tc>
        <w:tc>
          <w:tcPr>
            <w:tcW w:w="1630" w:type="dxa"/>
            <w:tcBorders>
              <w:top w:val="nil"/>
              <w:left w:val="nil"/>
              <w:bottom w:val="single" w:sz="8" w:space="0" w:color="auto"/>
              <w:right w:val="single" w:sz="8" w:space="0" w:color="auto"/>
            </w:tcBorders>
            <w:noWrap/>
            <w:vAlign w:val="center"/>
            <w:hideMark/>
          </w:tcPr>
          <w:p w:rsidR="00D5791C" w:rsidRPr="008E6E65" w:rsidP="00D03DD4" w14:paraId="79D7C47B" w14:textId="77777777">
            <w:pPr>
              <w:jc w:val="right"/>
              <w:rPr>
                <w:rFonts w:ascii="Source Sans Pro" w:hAnsi="Source Sans Pro" w:cs="Calibri"/>
                <w:color w:val="000000"/>
                <w:sz w:val="20"/>
              </w:rPr>
            </w:pPr>
            <w:r w:rsidRPr="008E6E65">
              <w:rPr>
                <w:rFonts w:ascii="Source Sans Pro" w:hAnsi="Source Sans Pro" w:cs="Calibri"/>
                <w:color w:val="000000"/>
                <w:sz w:val="20"/>
              </w:rPr>
              <w:t>2</w:t>
            </w:r>
          </w:p>
        </w:tc>
        <w:tc>
          <w:tcPr>
            <w:tcW w:w="1680" w:type="dxa"/>
            <w:tcBorders>
              <w:top w:val="nil"/>
              <w:left w:val="nil"/>
              <w:bottom w:val="single" w:sz="8" w:space="0" w:color="auto"/>
              <w:right w:val="single" w:sz="8" w:space="0" w:color="auto"/>
            </w:tcBorders>
            <w:noWrap/>
            <w:vAlign w:val="center"/>
            <w:hideMark/>
          </w:tcPr>
          <w:p w:rsidR="00D5791C" w:rsidRPr="008E6E65" w:rsidP="00D03DD4" w14:paraId="6599A1E9" w14:textId="77777777">
            <w:pPr>
              <w:jc w:val="right"/>
              <w:rPr>
                <w:rFonts w:ascii="Source Sans Pro" w:hAnsi="Source Sans Pro" w:cs="Calibri"/>
                <w:color w:val="000000"/>
                <w:sz w:val="20"/>
              </w:rPr>
            </w:pPr>
            <w:r w:rsidRPr="008E6E65">
              <w:rPr>
                <w:rFonts w:ascii="Source Sans Pro" w:hAnsi="Source Sans Pro" w:cs="Calibri"/>
                <w:color w:val="000000"/>
                <w:sz w:val="20"/>
              </w:rPr>
              <w:t>1</w:t>
            </w:r>
          </w:p>
        </w:tc>
        <w:tc>
          <w:tcPr>
            <w:tcW w:w="1097" w:type="dxa"/>
            <w:tcBorders>
              <w:top w:val="nil"/>
              <w:left w:val="nil"/>
              <w:bottom w:val="single" w:sz="8" w:space="0" w:color="auto"/>
              <w:right w:val="nil"/>
            </w:tcBorders>
            <w:vAlign w:val="center"/>
            <w:hideMark/>
          </w:tcPr>
          <w:p w:rsidR="00D5791C" w:rsidRPr="008E6E65" w:rsidP="00D03DD4" w14:paraId="51E551F8" w14:textId="77777777">
            <w:pPr>
              <w:jc w:val="right"/>
              <w:rPr>
                <w:rFonts w:ascii="Source Sans Pro" w:hAnsi="Source Sans Pro" w:cs="Calibri"/>
                <w:color w:val="000000"/>
                <w:sz w:val="20"/>
              </w:rPr>
            </w:pPr>
            <w:r w:rsidRPr="008E6E65">
              <w:rPr>
                <w:rFonts w:ascii="Source Sans Pro" w:hAnsi="Source Sans Pro" w:cs="Calibri"/>
                <w:color w:val="000000"/>
                <w:sz w:val="20"/>
              </w:rPr>
              <w:t>200:00</w:t>
            </w:r>
          </w:p>
        </w:tc>
        <w:tc>
          <w:tcPr>
            <w:tcW w:w="1371" w:type="dxa"/>
            <w:gridSpan w:val="2"/>
            <w:tcBorders>
              <w:top w:val="nil"/>
              <w:left w:val="single" w:sz="8" w:space="0" w:color="auto"/>
              <w:bottom w:val="single" w:sz="8" w:space="0" w:color="auto"/>
              <w:right w:val="single" w:sz="8" w:space="0" w:color="auto"/>
            </w:tcBorders>
            <w:noWrap/>
            <w:vAlign w:val="center"/>
            <w:hideMark/>
          </w:tcPr>
          <w:p w:rsidR="00D5791C" w:rsidRPr="008E6E65" w:rsidP="00D03DD4" w14:paraId="65866744" w14:textId="77777777">
            <w:pPr>
              <w:jc w:val="right"/>
              <w:rPr>
                <w:rFonts w:ascii="Source Sans Pro" w:hAnsi="Source Sans Pro" w:cs="Calibri"/>
                <w:color w:val="000000"/>
                <w:sz w:val="20"/>
              </w:rPr>
            </w:pPr>
            <w:r w:rsidRPr="008E6E65">
              <w:rPr>
                <w:rFonts w:ascii="Source Sans Pro" w:hAnsi="Source Sans Pro" w:cs="Calibri"/>
                <w:color w:val="000000"/>
                <w:sz w:val="20"/>
              </w:rPr>
              <w:t>400</w:t>
            </w:r>
          </w:p>
        </w:tc>
      </w:tr>
      <w:tr w14:paraId="2AC1474C" w14:textId="77777777" w:rsidTr="00D5791C">
        <w:tblPrEx>
          <w:tblW w:w="9695" w:type="dxa"/>
          <w:tblCellMar>
            <w:top w:w="15" w:type="dxa"/>
          </w:tblCellMar>
          <w:tblLook w:val="04A0"/>
        </w:tblPrEx>
        <w:trPr>
          <w:trHeight w:val="1392"/>
        </w:trPr>
        <w:tc>
          <w:tcPr>
            <w:tcW w:w="2311" w:type="dxa"/>
            <w:tcBorders>
              <w:top w:val="nil"/>
              <w:left w:val="single" w:sz="8" w:space="0" w:color="auto"/>
              <w:bottom w:val="single" w:sz="8" w:space="0" w:color="auto"/>
              <w:right w:val="single" w:sz="8" w:space="0" w:color="auto"/>
            </w:tcBorders>
            <w:vAlign w:val="center"/>
            <w:hideMark/>
          </w:tcPr>
          <w:p w:rsidR="00D5791C" w:rsidRPr="008E6E65" w:rsidP="00D03DD4" w14:paraId="29994FA2" w14:textId="77777777">
            <w:pPr>
              <w:rPr>
                <w:rFonts w:ascii="Source Sans Pro" w:hAnsi="Source Sans Pro" w:cs="Calibri"/>
                <w:color w:val="000000"/>
                <w:sz w:val="20"/>
              </w:rPr>
            </w:pPr>
            <w:r w:rsidRPr="008E6E65">
              <w:rPr>
                <w:rFonts w:ascii="Source Sans Pro" w:hAnsi="Source Sans Pro" w:cs="Calibri"/>
                <w:color w:val="000000"/>
                <w:sz w:val="20"/>
              </w:rPr>
              <w:t xml:space="preserve">14. Section 351.20(f)(1) - Simplified </w:t>
            </w:r>
            <w:r>
              <w:rPr>
                <w:rFonts w:ascii="Source Sans Pro" w:hAnsi="Source Sans Pro" w:cs="Calibri"/>
                <w:color w:val="000000"/>
                <w:sz w:val="20"/>
              </w:rPr>
              <w:t>C</w:t>
            </w:r>
            <w:r w:rsidRPr="008E6E65">
              <w:rPr>
                <w:rFonts w:ascii="Source Sans Pro" w:hAnsi="Source Sans Pro" w:cs="Calibri"/>
                <w:color w:val="000000"/>
                <w:sz w:val="20"/>
              </w:rPr>
              <w:t xml:space="preserve">ompliance </w:t>
            </w:r>
            <w:r>
              <w:rPr>
                <w:rFonts w:ascii="Source Sans Pro" w:hAnsi="Source Sans Pro" w:cs="Calibri"/>
                <w:color w:val="000000"/>
                <w:sz w:val="20"/>
              </w:rPr>
              <w:t>P</w:t>
            </w:r>
            <w:r w:rsidRPr="008E6E65">
              <w:rPr>
                <w:rFonts w:ascii="Source Sans Pro" w:hAnsi="Source Sans Pro" w:cs="Calibri"/>
                <w:color w:val="000000"/>
                <w:sz w:val="20"/>
              </w:rPr>
              <w:t xml:space="preserve">rogram for Covered Banks with </w:t>
            </w:r>
            <w:r>
              <w:rPr>
                <w:rFonts w:ascii="Source Sans Pro" w:hAnsi="Source Sans Pro" w:cs="Calibri"/>
                <w:color w:val="000000"/>
                <w:sz w:val="20"/>
              </w:rPr>
              <w:t>N</w:t>
            </w:r>
            <w:r w:rsidRPr="008E6E65">
              <w:rPr>
                <w:rFonts w:ascii="Source Sans Pro" w:hAnsi="Source Sans Pro" w:cs="Calibri"/>
                <w:color w:val="000000"/>
                <w:sz w:val="20"/>
              </w:rPr>
              <w:t xml:space="preserve">o </w:t>
            </w:r>
            <w:r>
              <w:rPr>
                <w:rFonts w:ascii="Source Sans Pro" w:hAnsi="Source Sans Pro" w:cs="Calibri"/>
                <w:color w:val="000000"/>
                <w:sz w:val="20"/>
              </w:rPr>
              <w:t>T</w:t>
            </w:r>
            <w:r w:rsidRPr="008E6E65">
              <w:rPr>
                <w:rFonts w:ascii="Source Sans Pro" w:hAnsi="Source Sans Pro" w:cs="Calibri"/>
                <w:color w:val="000000"/>
                <w:sz w:val="20"/>
              </w:rPr>
              <w:t xml:space="preserve">rading </w:t>
            </w:r>
            <w:r>
              <w:rPr>
                <w:rFonts w:ascii="Source Sans Pro" w:hAnsi="Source Sans Pro" w:cs="Calibri"/>
                <w:color w:val="000000"/>
                <w:sz w:val="20"/>
              </w:rPr>
              <w:t>A</w:t>
            </w:r>
            <w:r w:rsidRPr="008E6E65">
              <w:rPr>
                <w:rFonts w:ascii="Source Sans Pro" w:hAnsi="Source Sans Pro" w:cs="Calibri"/>
                <w:color w:val="000000"/>
                <w:sz w:val="20"/>
              </w:rPr>
              <w:t xml:space="preserve">ssets or </w:t>
            </w:r>
            <w:r>
              <w:rPr>
                <w:rFonts w:ascii="Source Sans Pro" w:hAnsi="Source Sans Pro" w:cs="Calibri"/>
                <w:color w:val="000000"/>
                <w:sz w:val="20"/>
              </w:rPr>
              <w:t>L</w:t>
            </w:r>
            <w:r w:rsidRPr="008E6E65">
              <w:rPr>
                <w:rFonts w:ascii="Source Sans Pro" w:hAnsi="Source Sans Pro" w:cs="Calibri"/>
                <w:color w:val="000000"/>
                <w:sz w:val="20"/>
              </w:rPr>
              <w:t xml:space="preserve">iabilities </w:t>
            </w:r>
            <w:r>
              <w:rPr>
                <w:rFonts w:ascii="Source Sans Pro" w:hAnsi="Source Sans Pro" w:cs="Calibri"/>
                <w:color w:val="000000"/>
                <w:sz w:val="20"/>
              </w:rPr>
              <w:t xml:space="preserve">Ongoing </w:t>
            </w:r>
            <w:r w:rsidRPr="008E6E65">
              <w:rPr>
                <w:rFonts w:ascii="Source Sans Pro" w:hAnsi="Source Sans Pro" w:cs="Calibri"/>
                <w:color w:val="000000"/>
                <w:sz w:val="20"/>
              </w:rPr>
              <w:t>(Mandatory)</w:t>
            </w:r>
          </w:p>
        </w:tc>
        <w:tc>
          <w:tcPr>
            <w:tcW w:w="1606" w:type="dxa"/>
            <w:tcBorders>
              <w:top w:val="nil"/>
              <w:left w:val="nil"/>
              <w:bottom w:val="single" w:sz="8" w:space="0" w:color="auto"/>
              <w:right w:val="single" w:sz="8" w:space="0" w:color="auto"/>
            </w:tcBorders>
            <w:vAlign w:val="center"/>
            <w:hideMark/>
          </w:tcPr>
          <w:p w:rsidR="00D5791C" w:rsidRPr="008E6E65" w:rsidP="00D03DD4" w14:paraId="7990BE1C" w14:textId="77777777">
            <w:pPr>
              <w:jc w:val="center"/>
              <w:rPr>
                <w:rFonts w:ascii="Source Sans Pro" w:hAnsi="Source Sans Pro" w:cs="Calibri"/>
                <w:color w:val="000000"/>
                <w:sz w:val="20"/>
              </w:rPr>
            </w:pPr>
            <w:r w:rsidRPr="008E6E65">
              <w:rPr>
                <w:rFonts w:ascii="Source Sans Pro" w:hAnsi="Source Sans Pro" w:cs="Calibri"/>
                <w:color w:val="000000"/>
                <w:sz w:val="20"/>
              </w:rPr>
              <w:t xml:space="preserve">Recordkeeping </w:t>
            </w:r>
            <w:r w:rsidRPr="008E6E65">
              <w:rPr>
                <w:rFonts w:ascii="Source Sans Pro" w:hAnsi="Source Sans Pro" w:cs="Calibri"/>
                <w:color w:val="000000"/>
                <w:sz w:val="20"/>
              </w:rPr>
              <w:br/>
              <w:t>(On occasion)</w:t>
            </w:r>
          </w:p>
        </w:tc>
        <w:tc>
          <w:tcPr>
            <w:tcW w:w="1630" w:type="dxa"/>
            <w:tcBorders>
              <w:top w:val="nil"/>
              <w:left w:val="nil"/>
              <w:bottom w:val="single" w:sz="8" w:space="0" w:color="auto"/>
              <w:right w:val="single" w:sz="8" w:space="0" w:color="auto"/>
            </w:tcBorders>
            <w:noWrap/>
            <w:vAlign w:val="center"/>
            <w:hideMark/>
          </w:tcPr>
          <w:p w:rsidR="00D5791C" w:rsidRPr="008E6E65" w:rsidP="00D03DD4" w14:paraId="40DA2438" w14:textId="77777777">
            <w:pPr>
              <w:jc w:val="right"/>
              <w:rPr>
                <w:rFonts w:ascii="Source Sans Pro" w:hAnsi="Source Sans Pro" w:cs="Calibri"/>
                <w:color w:val="000000"/>
                <w:sz w:val="20"/>
              </w:rPr>
            </w:pPr>
            <w:r w:rsidRPr="008E6E65">
              <w:rPr>
                <w:rFonts w:ascii="Source Sans Pro" w:hAnsi="Source Sans Pro" w:cs="Calibri"/>
                <w:color w:val="000000"/>
                <w:sz w:val="20"/>
              </w:rPr>
              <w:t>1</w:t>
            </w:r>
          </w:p>
        </w:tc>
        <w:tc>
          <w:tcPr>
            <w:tcW w:w="1680" w:type="dxa"/>
            <w:tcBorders>
              <w:top w:val="nil"/>
              <w:left w:val="nil"/>
              <w:bottom w:val="single" w:sz="8" w:space="0" w:color="auto"/>
              <w:right w:val="single" w:sz="8" w:space="0" w:color="auto"/>
            </w:tcBorders>
            <w:noWrap/>
            <w:vAlign w:val="center"/>
            <w:hideMark/>
          </w:tcPr>
          <w:p w:rsidR="00D5791C" w:rsidRPr="008E6E65" w:rsidP="00D03DD4" w14:paraId="0BAC4F7D" w14:textId="77777777">
            <w:pPr>
              <w:jc w:val="right"/>
              <w:rPr>
                <w:rFonts w:ascii="Source Sans Pro" w:hAnsi="Source Sans Pro" w:cs="Calibri"/>
                <w:color w:val="000000"/>
                <w:sz w:val="20"/>
              </w:rPr>
            </w:pPr>
            <w:r w:rsidRPr="008E6E65">
              <w:rPr>
                <w:rFonts w:ascii="Source Sans Pro" w:hAnsi="Source Sans Pro" w:cs="Calibri"/>
                <w:color w:val="000000"/>
                <w:sz w:val="20"/>
              </w:rPr>
              <w:t>1</w:t>
            </w:r>
          </w:p>
        </w:tc>
        <w:tc>
          <w:tcPr>
            <w:tcW w:w="1097" w:type="dxa"/>
            <w:tcBorders>
              <w:top w:val="nil"/>
              <w:left w:val="nil"/>
              <w:bottom w:val="single" w:sz="8" w:space="0" w:color="auto"/>
              <w:right w:val="nil"/>
            </w:tcBorders>
            <w:vAlign w:val="center"/>
            <w:hideMark/>
          </w:tcPr>
          <w:p w:rsidR="00D5791C" w:rsidRPr="008E6E65" w:rsidP="00D03DD4" w14:paraId="6C722B66" w14:textId="77777777">
            <w:pPr>
              <w:jc w:val="right"/>
              <w:rPr>
                <w:rFonts w:ascii="Source Sans Pro" w:hAnsi="Source Sans Pro" w:cs="Calibri"/>
                <w:color w:val="000000"/>
                <w:sz w:val="20"/>
              </w:rPr>
            </w:pPr>
            <w:r w:rsidRPr="008E6E65">
              <w:rPr>
                <w:rFonts w:ascii="Source Sans Pro" w:hAnsi="Source Sans Pro" w:cs="Calibri"/>
                <w:color w:val="000000"/>
                <w:sz w:val="20"/>
              </w:rPr>
              <w:t>8:00</w:t>
            </w:r>
          </w:p>
        </w:tc>
        <w:tc>
          <w:tcPr>
            <w:tcW w:w="1371" w:type="dxa"/>
            <w:gridSpan w:val="2"/>
            <w:tcBorders>
              <w:top w:val="nil"/>
              <w:left w:val="single" w:sz="8" w:space="0" w:color="auto"/>
              <w:bottom w:val="single" w:sz="8" w:space="0" w:color="auto"/>
              <w:right w:val="single" w:sz="8" w:space="0" w:color="auto"/>
            </w:tcBorders>
            <w:noWrap/>
            <w:vAlign w:val="center"/>
            <w:hideMark/>
          </w:tcPr>
          <w:p w:rsidR="00D5791C" w:rsidRPr="008E6E65" w:rsidP="00D03DD4" w14:paraId="72F7E2B6" w14:textId="77777777">
            <w:pPr>
              <w:jc w:val="right"/>
              <w:rPr>
                <w:rFonts w:ascii="Source Sans Pro" w:hAnsi="Source Sans Pro" w:cs="Calibri"/>
                <w:color w:val="000000"/>
                <w:sz w:val="20"/>
              </w:rPr>
            </w:pPr>
            <w:r w:rsidRPr="008E6E65">
              <w:rPr>
                <w:rFonts w:ascii="Source Sans Pro" w:hAnsi="Source Sans Pro" w:cs="Calibri"/>
                <w:color w:val="000000"/>
                <w:sz w:val="20"/>
              </w:rPr>
              <w:t>8</w:t>
            </w:r>
          </w:p>
        </w:tc>
      </w:tr>
      <w:tr w14:paraId="602785F8" w14:textId="77777777" w:rsidTr="00D5791C">
        <w:tblPrEx>
          <w:tblW w:w="9695" w:type="dxa"/>
          <w:tblCellMar>
            <w:top w:w="15" w:type="dxa"/>
          </w:tblCellMar>
          <w:tblLook w:val="04A0"/>
        </w:tblPrEx>
        <w:trPr>
          <w:trHeight w:val="1668"/>
        </w:trPr>
        <w:tc>
          <w:tcPr>
            <w:tcW w:w="2311" w:type="dxa"/>
            <w:tcBorders>
              <w:top w:val="nil"/>
              <w:left w:val="single" w:sz="8" w:space="0" w:color="auto"/>
              <w:bottom w:val="single" w:sz="8" w:space="0" w:color="auto"/>
              <w:right w:val="single" w:sz="8" w:space="0" w:color="auto"/>
            </w:tcBorders>
            <w:vAlign w:val="center"/>
            <w:hideMark/>
          </w:tcPr>
          <w:p w:rsidR="00D5791C" w:rsidRPr="008E6E65" w:rsidP="00D03DD4" w14:paraId="53D8E6BB" w14:textId="77777777">
            <w:pPr>
              <w:rPr>
                <w:rFonts w:ascii="Source Sans Pro" w:hAnsi="Source Sans Pro" w:cs="Calibri"/>
                <w:color w:val="000000"/>
                <w:sz w:val="20"/>
              </w:rPr>
            </w:pPr>
            <w:r w:rsidRPr="008E6E65">
              <w:rPr>
                <w:rFonts w:ascii="Source Sans Pro" w:hAnsi="Source Sans Pro" w:cs="Calibri"/>
                <w:color w:val="000000"/>
                <w:sz w:val="20"/>
              </w:rPr>
              <w:t xml:space="preserve">15. Section 351.20(f)(2) - Simplified </w:t>
            </w:r>
            <w:r>
              <w:rPr>
                <w:rFonts w:ascii="Source Sans Pro" w:hAnsi="Source Sans Pro" w:cs="Calibri"/>
                <w:color w:val="000000"/>
                <w:sz w:val="20"/>
              </w:rPr>
              <w:t>C</w:t>
            </w:r>
            <w:r w:rsidRPr="008E6E65">
              <w:rPr>
                <w:rFonts w:ascii="Source Sans Pro" w:hAnsi="Source Sans Pro" w:cs="Calibri"/>
                <w:color w:val="000000"/>
                <w:sz w:val="20"/>
              </w:rPr>
              <w:t xml:space="preserve">ompliance </w:t>
            </w:r>
            <w:r>
              <w:rPr>
                <w:rFonts w:ascii="Source Sans Pro" w:hAnsi="Source Sans Pro" w:cs="Calibri"/>
                <w:color w:val="000000"/>
                <w:sz w:val="20"/>
              </w:rPr>
              <w:t>P</w:t>
            </w:r>
            <w:r w:rsidRPr="008E6E65">
              <w:rPr>
                <w:rFonts w:ascii="Source Sans Pro" w:hAnsi="Source Sans Pro" w:cs="Calibri"/>
                <w:color w:val="000000"/>
                <w:sz w:val="20"/>
              </w:rPr>
              <w:t xml:space="preserve">rogram for Covered Banks with </w:t>
            </w:r>
            <w:r>
              <w:rPr>
                <w:rFonts w:ascii="Source Sans Pro" w:hAnsi="Source Sans Pro" w:cs="Calibri"/>
                <w:color w:val="000000"/>
                <w:sz w:val="20"/>
              </w:rPr>
              <w:t>M</w:t>
            </w:r>
            <w:r w:rsidRPr="008E6E65">
              <w:rPr>
                <w:rFonts w:ascii="Source Sans Pro" w:hAnsi="Source Sans Pro" w:cs="Calibri"/>
                <w:color w:val="000000"/>
                <w:sz w:val="20"/>
              </w:rPr>
              <w:t xml:space="preserve">oderate </w:t>
            </w:r>
            <w:r>
              <w:rPr>
                <w:rFonts w:ascii="Source Sans Pro" w:hAnsi="Source Sans Pro" w:cs="Calibri"/>
                <w:color w:val="000000"/>
                <w:sz w:val="20"/>
              </w:rPr>
              <w:t>T</w:t>
            </w:r>
            <w:r w:rsidRPr="008E6E65">
              <w:rPr>
                <w:rFonts w:ascii="Source Sans Pro" w:hAnsi="Source Sans Pro" w:cs="Calibri"/>
                <w:color w:val="000000"/>
                <w:sz w:val="20"/>
              </w:rPr>
              <w:t xml:space="preserve">rading assets and </w:t>
            </w:r>
            <w:r>
              <w:rPr>
                <w:rFonts w:ascii="Source Sans Pro" w:hAnsi="Source Sans Pro" w:cs="Calibri"/>
                <w:color w:val="000000"/>
                <w:sz w:val="20"/>
              </w:rPr>
              <w:t>L</w:t>
            </w:r>
            <w:r w:rsidRPr="008E6E65">
              <w:rPr>
                <w:rFonts w:ascii="Source Sans Pro" w:hAnsi="Source Sans Pro" w:cs="Calibri"/>
                <w:color w:val="000000"/>
                <w:sz w:val="20"/>
              </w:rPr>
              <w:t xml:space="preserve">iabilities </w:t>
            </w:r>
            <w:r>
              <w:rPr>
                <w:rFonts w:ascii="Source Sans Pro" w:hAnsi="Source Sans Pro" w:cs="Calibri"/>
                <w:color w:val="000000"/>
                <w:sz w:val="20"/>
              </w:rPr>
              <w:t xml:space="preserve">Ongoing </w:t>
            </w:r>
            <w:r w:rsidRPr="008E6E65">
              <w:rPr>
                <w:rFonts w:ascii="Source Sans Pro" w:hAnsi="Source Sans Pro" w:cs="Calibri"/>
                <w:color w:val="000000"/>
                <w:sz w:val="20"/>
              </w:rPr>
              <w:t>(Mandatory)</w:t>
            </w:r>
          </w:p>
        </w:tc>
        <w:tc>
          <w:tcPr>
            <w:tcW w:w="1606" w:type="dxa"/>
            <w:tcBorders>
              <w:top w:val="nil"/>
              <w:left w:val="nil"/>
              <w:bottom w:val="single" w:sz="8" w:space="0" w:color="auto"/>
              <w:right w:val="single" w:sz="8" w:space="0" w:color="auto"/>
            </w:tcBorders>
            <w:vAlign w:val="center"/>
            <w:hideMark/>
          </w:tcPr>
          <w:p w:rsidR="00D5791C" w:rsidRPr="008E6E65" w:rsidP="00D03DD4" w14:paraId="43186FA5" w14:textId="77777777">
            <w:pPr>
              <w:jc w:val="center"/>
              <w:rPr>
                <w:rFonts w:ascii="Source Sans Pro" w:hAnsi="Source Sans Pro" w:cs="Calibri"/>
                <w:color w:val="000000"/>
                <w:sz w:val="20"/>
              </w:rPr>
            </w:pPr>
            <w:r w:rsidRPr="008E6E65">
              <w:rPr>
                <w:rFonts w:ascii="Source Sans Pro" w:hAnsi="Source Sans Pro" w:cs="Calibri"/>
                <w:color w:val="000000"/>
                <w:sz w:val="20"/>
              </w:rPr>
              <w:t xml:space="preserve">Recordkeeping </w:t>
            </w:r>
            <w:r w:rsidRPr="008E6E65">
              <w:rPr>
                <w:rFonts w:ascii="Source Sans Pro" w:hAnsi="Source Sans Pro" w:cs="Calibri"/>
                <w:color w:val="000000"/>
                <w:sz w:val="20"/>
              </w:rPr>
              <w:br/>
              <w:t>(On occasion)</w:t>
            </w:r>
          </w:p>
        </w:tc>
        <w:tc>
          <w:tcPr>
            <w:tcW w:w="1630" w:type="dxa"/>
            <w:tcBorders>
              <w:top w:val="nil"/>
              <w:left w:val="nil"/>
              <w:bottom w:val="single" w:sz="8" w:space="0" w:color="auto"/>
              <w:right w:val="single" w:sz="8" w:space="0" w:color="auto"/>
            </w:tcBorders>
            <w:noWrap/>
            <w:vAlign w:val="center"/>
            <w:hideMark/>
          </w:tcPr>
          <w:p w:rsidR="00D5791C" w:rsidRPr="008E6E65" w:rsidP="00D03DD4" w14:paraId="1B7FF35F" w14:textId="77777777">
            <w:pPr>
              <w:jc w:val="right"/>
              <w:rPr>
                <w:rFonts w:ascii="Source Sans Pro" w:hAnsi="Source Sans Pro" w:cs="Calibri"/>
                <w:color w:val="000000"/>
                <w:sz w:val="20"/>
              </w:rPr>
            </w:pPr>
            <w:r w:rsidRPr="008E6E65">
              <w:rPr>
                <w:rFonts w:ascii="Source Sans Pro" w:hAnsi="Source Sans Pro" w:cs="Calibri"/>
                <w:color w:val="000000"/>
                <w:sz w:val="20"/>
              </w:rPr>
              <w:t>3</w:t>
            </w:r>
          </w:p>
        </w:tc>
        <w:tc>
          <w:tcPr>
            <w:tcW w:w="1680" w:type="dxa"/>
            <w:tcBorders>
              <w:top w:val="nil"/>
              <w:left w:val="nil"/>
              <w:bottom w:val="single" w:sz="8" w:space="0" w:color="auto"/>
              <w:right w:val="single" w:sz="8" w:space="0" w:color="auto"/>
            </w:tcBorders>
            <w:noWrap/>
            <w:vAlign w:val="center"/>
            <w:hideMark/>
          </w:tcPr>
          <w:p w:rsidR="00D5791C" w:rsidRPr="008E6E65" w:rsidP="00D03DD4" w14:paraId="16A8429B" w14:textId="77777777">
            <w:pPr>
              <w:jc w:val="right"/>
              <w:rPr>
                <w:rFonts w:ascii="Source Sans Pro" w:hAnsi="Source Sans Pro" w:cs="Calibri"/>
                <w:color w:val="000000"/>
                <w:sz w:val="20"/>
              </w:rPr>
            </w:pPr>
            <w:r w:rsidRPr="008E6E65">
              <w:rPr>
                <w:rFonts w:ascii="Source Sans Pro" w:hAnsi="Source Sans Pro" w:cs="Calibri"/>
                <w:color w:val="000000"/>
                <w:sz w:val="20"/>
              </w:rPr>
              <w:t>1</w:t>
            </w:r>
          </w:p>
        </w:tc>
        <w:tc>
          <w:tcPr>
            <w:tcW w:w="1097" w:type="dxa"/>
            <w:tcBorders>
              <w:top w:val="nil"/>
              <w:left w:val="nil"/>
              <w:bottom w:val="single" w:sz="8" w:space="0" w:color="auto"/>
              <w:right w:val="nil"/>
            </w:tcBorders>
            <w:vAlign w:val="center"/>
            <w:hideMark/>
          </w:tcPr>
          <w:p w:rsidR="00D5791C" w:rsidRPr="008E6E65" w:rsidP="00D03DD4" w14:paraId="500FE589" w14:textId="77777777">
            <w:pPr>
              <w:jc w:val="right"/>
              <w:rPr>
                <w:rFonts w:ascii="Source Sans Pro" w:hAnsi="Source Sans Pro" w:cs="Calibri"/>
                <w:color w:val="000000"/>
                <w:sz w:val="20"/>
              </w:rPr>
            </w:pPr>
            <w:r w:rsidRPr="008E6E65">
              <w:rPr>
                <w:rFonts w:ascii="Source Sans Pro" w:hAnsi="Source Sans Pro" w:cs="Calibri"/>
                <w:color w:val="000000"/>
                <w:sz w:val="20"/>
              </w:rPr>
              <w:t>40:00</w:t>
            </w:r>
          </w:p>
        </w:tc>
        <w:tc>
          <w:tcPr>
            <w:tcW w:w="1371" w:type="dxa"/>
            <w:gridSpan w:val="2"/>
            <w:tcBorders>
              <w:top w:val="nil"/>
              <w:left w:val="single" w:sz="8" w:space="0" w:color="auto"/>
              <w:bottom w:val="single" w:sz="8" w:space="0" w:color="auto"/>
              <w:right w:val="single" w:sz="8" w:space="0" w:color="auto"/>
            </w:tcBorders>
            <w:noWrap/>
            <w:vAlign w:val="center"/>
            <w:hideMark/>
          </w:tcPr>
          <w:p w:rsidR="00D5791C" w:rsidRPr="008E6E65" w:rsidP="00D03DD4" w14:paraId="0CE59F93" w14:textId="77777777">
            <w:pPr>
              <w:jc w:val="right"/>
              <w:rPr>
                <w:rFonts w:ascii="Source Sans Pro" w:hAnsi="Source Sans Pro" w:cs="Calibri"/>
                <w:color w:val="000000"/>
                <w:sz w:val="20"/>
              </w:rPr>
            </w:pPr>
            <w:r w:rsidRPr="008E6E65">
              <w:rPr>
                <w:rFonts w:ascii="Source Sans Pro" w:hAnsi="Source Sans Pro" w:cs="Calibri"/>
                <w:color w:val="000000"/>
                <w:sz w:val="20"/>
              </w:rPr>
              <w:t>120</w:t>
            </w:r>
          </w:p>
        </w:tc>
      </w:tr>
      <w:tr w14:paraId="1122E390" w14:textId="77777777" w:rsidTr="00D5791C">
        <w:tblPrEx>
          <w:tblW w:w="9695" w:type="dxa"/>
          <w:tblCellMar>
            <w:top w:w="15" w:type="dxa"/>
          </w:tblCellMar>
          <w:tblLook w:val="04A0"/>
        </w:tblPrEx>
        <w:trPr>
          <w:trHeight w:val="840"/>
        </w:trPr>
        <w:tc>
          <w:tcPr>
            <w:tcW w:w="2311" w:type="dxa"/>
            <w:tcBorders>
              <w:top w:val="nil"/>
              <w:left w:val="single" w:sz="8" w:space="0" w:color="auto"/>
              <w:bottom w:val="single" w:sz="8" w:space="0" w:color="auto"/>
              <w:right w:val="single" w:sz="8" w:space="0" w:color="auto"/>
            </w:tcBorders>
            <w:vAlign w:val="center"/>
            <w:hideMark/>
          </w:tcPr>
          <w:p w:rsidR="00D5791C" w:rsidRPr="008E6E65" w:rsidP="00D03DD4" w14:paraId="674B6471" w14:textId="77777777">
            <w:pPr>
              <w:rPr>
                <w:rFonts w:ascii="Source Sans Pro" w:hAnsi="Source Sans Pro" w:cs="Calibri"/>
                <w:color w:val="000000"/>
                <w:sz w:val="20"/>
              </w:rPr>
            </w:pPr>
            <w:r w:rsidRPr="008E6E65">
              <w:rPr>
                <w:rFonts w:ascii="Source Sans Pro" w:hAnsi="Source Sans Pro" w:cs="Calibri"/>
                <w:color w:val="000000"/>
                <w:sz w:val="20"/>
              </w:rPr>
              <w:t xml:space="preserve">16. Section 351.11(a)(8)(i) - Offerings </w:t>
            </w:r>
            <w:r>
              <w:rPr>
                <w:rFonts w:ascii="Source Sans Pro" w:hAnsi="Source Sans Pro" w:cs="Calibri"/>
                <w:color w:val="000000"/>
                <w:sz w:val="20"/>
              </w:rPr>
              <w:t>D</w:t>
            </w:r>
            <w:r w:rsidRPr="008E6E65">
              <w:rPr>
                <w:rFonts w:ascii="Source Sans Pro" w:hAnsi="Source Sans Pro" w:cs="Calibri"/>
                <w:color w:val="000000"/>
                <w:sz w:val="20"/>
              </w:rPr>
              <w:t xml:space="preserve">isclosures </w:t>
            </w:r>
            <w:r>
              <w:rPr>
                <w:rFonts w:ascii="Source Sans Pro" w:hAnsi="Source Sans Pro" w:cs="Calibri"/>
                <w:color w:val="000000"/>
                <w:sz w:val="20"/>
              </w:rPr>
              <w:t xml:space="preserve">Ongoing </w:t>
            </w:r>
            <w:r w:rsidRPr="008E6E65">
              <w:rPr>
                <w:rFonts w:ascii="Source Sans Pro" w:hAnsi="Source Sans Pro" w:cs="Calibri"/>
                <w:color w:val="000000"/>
                <w:sz w:val="20"/>
              </w:rPr>
              <w:t>(Mandatory)</w:t>
            </w:r>
          </w:p>
        </w:tc>
        <w:tc>
          <w:tcPr>
            <w:tcW w:w="1606" w:type="dxa"/>
            <w:tcBorders>
              <w:top w:val="nil"/>
              <w:left w:val="nil"/>
              <w:bottom w:val="single" w:sz="8" w:space="0" w:color="auto"/>
              <w:right w:val="single" w:sz="8" w:space="0" w:color="auto"/>
            </w:tcBorders>
            <w:vAlign w:val="center"/>
            <w:hideMark/>
          </w:tcPr>
          <w:p w:rsidR="00D5791C" w:rsidRPr="008E6E65" w:rsidP="00D03DD4" w14:paraId="52592BBA" w14:textId="77777777">
            <w:pPr>
              <w:jc w:val="center"/>
              <w:rPr>
                <w:rFonts w:ascii="Source Sans Pro" w:hAnsi="Source Sans Pro" w:cs="Calibri"/>
                <w:color w:val="000000"/>
                <w:sz w:val="20"/>
              </w:rPr>
            </w:pPr>
            <w:r w:rsidRPr="008E6E65">
              <w:rPr>
                <w:rFonts w:ascii="Source Sans Pro" w:hAnsi="Source Sans Pro" w:cs="Calibri"/>
                <w:color w:val="000000"/>
                <w:sz w:val="20"/>
              </w:rPr>
              <w:t xml:space="preserve">Third-party Disclosure </w:t>
            </w:r>
            <w:r w:rsidRPr="008E6E65">
              <w:rPr>
                <w:rFonts w:ascii="Source Sans Pro" w:hAnsi="Source Sans Pro" w:cs="Calibri"/>
                <w:color w:val="000000"/>
                <w:sz w:val="20"/>
              </w:rPr>
              <w:br/>
              <w:t>(On Occasion)</w:t>
            </w:r>
          </w:p>
        </w:tc>
        <w:tc>
          <w:tcPr>
            <w:tcW w:w="1630" w:type="dxa"/>
            <w:tcBorders>
              <w:top w:val="nil"/>
              <w:left w:val="nil"/>
              <w:bottom w:val="single" w:sz="8" w:space="0" w:color="auto"/>
              <w:right w:val="single" w:sz="8" w:space="0" w:color="auto"/>
            </w:tcBorders>
            <w:noWrap/>
            <w:vAlign w:val="center"/>
            <w:hideMark/>
          </w:tcPr>
          <w:p w:rsidR="00D5791C" w:rsidRPr="008E6E65" w:rsidP="00D03DD4" w14:paraId="41EF4EE5" w14:textId="77777777">
            <w:pPr>
              <w:jc w:val="right"/>
              <w:rPr>
                <w:rFonts w:ascii="Source Sans Pro" w:hAnsi="Source Sans Pro" w:cs="Calibri"/>
                <w:color w:val="000000"/>
                <w:sz w:val="20"/>
              </w:rPr>
            </w:pPr>
            <w:r w:rsidRPr="008E6E65">
              <w:rPr>
                <w:rFonts w:ascii="Source Sans Pro" w:hAnsi="Source Sans Pro" w:cs="Calibri"/>
                <w:color w:val="000000"/>
                <w:sz w:val="20"/>
              </w:rPr>
              <w:t>5</w:t>
            </w:r>
          </w:p>
        </w:tc>
        <w:tc>
          <w:tcPr>
            <w:tcW w:w="1680" w:type="dxa"/>
            <w:tcBorders>
              <w:top w:val="nil"/>
              <w:left w:val="nil"/>
              <w:bottom w:val="single" w:sz="8" w:space="0" w:color="auto"/>
              <w:right w:val="single" w:sz="8" w:space="0" w:color="auto"/>
            </w:tcBorders>
            <w:noWrap/>
            <w:vAlign w:val="center"/>
            <w:hideMark/>
          </w:tcPr>
          <w:p w:rsidR="00D5791C" w:rsidRPr="008E6E65" w:rsidP="00D03DD4" w14:paraId="14B2763E" w14:textId="77777777">
            <w:pPr>
              <w:jc w:val="right"/>
              <w:rPr>
                <w:rFonts w:ascii="Source Sans Pro" w:hAnsi="Source Sans Pro" w:cs="Calibri"/>
                <w:color w:val="000000"/>
                <w:sz w:val="20"/>
              </w:rPr>
            </w:pPr>
            <w:r w:rsidRPr="008E6E65">
              <w:rPr>
                <w:rFonts w:ascii="Source Sans Pro" w:hAnsi="Source Sans Pro" w:cs="Calibri"/>
                <w:color w:val="000000"/>
                <w:sz w:val="20"/>
              </w:rPr>
              <w:t>26</w:t>
            </w:r>
          </w:p>
        </w:tc>
        <w:tc>
          <w:tcPr>
            <w:tcW w:w="1097" w:type="dxa"/>
            <w:tcBorders>
              <w:top w:val="nil"/>
              <w:left w:val="nil"/>
              <w:bottom w:val="single" w:sz="8" w:space="0" w:color="auto"/>
              <w:right w:val="nil"/>
            </w:tcBorders>
            <w:vAlign w:val="center"/>
            <w:hideMark/>
          </w:tcPr>
          <w:p w:rsidR="00D5791C" w:rsidRPr="008E6E65" w:rsidP="00D03DD4" w14:paraId="1D6EF434" w14:textId="77777777">
            <w:pPr>
              <w:jc w:val="right"/>
              <w:rPr>
                <w:rFonts w:ascii="Source Sans Pro" w:hAnsi="Source Sans Pro" w:cs="Calibri"/>
                <w:color w:val="000000"/>
                <w:sz w:val="20"/>
              </w:rPr>
            </w:pPr>
            <w:r w:rsidRPr="008E6E65">
              <w:rPr>
                <w:rFonts w:ascii="Source Sans Pro" w:hAnsi="Source Sans Pro" w:cs="Calibri"/>
                <w:color w:val="000000"/>
                <w:sz w:val="20"/>
              </w:rPr>
              <w:t>00:30</w:t>
            </w:r>
          </w:p>
        </w:tc>
        <w:tc>
          <w:tcPr>
            <w:tcW w:w="1371" w:type="dxa"/>
            <w:gridSpan w:val="2"/>
            <w:tcBorders>
              <w:top w:val="nil"/>
              <w:left w:val="single" w:sz="8" w:space="0" w:color="auto"/>
              <w:bottom w:val="single" w:sz="8" w:space="0" w:color="auto"/>
              <w:right w:val="single" w:sz="8" w:space="0" w:color="auto"/>
            </w:tcBorders>
            <w:noWrap/>
            <w:vAlign w:val="center"/>
            <w:hideMark/>
          </w:tcPr>
          <w:p w:rsidR="00D5791C" w:rsidRPr="008E6E65" w:rsidP="00D03DD4" w14:paraId="449B33E6" w14:textId="77777777">
            <w:pPr>
              <w:jc w:val="right"/>
              <w:rPr>
                <w:rFonts w:ascii="Source Sans Pro" w:hAnsi="Source Sans Pro" w:cs="Calibri"/>
                <w:color w:val="000000"/>
                <w:sz w:val="20"/>
              </w:rPr>
            </w:pPr>
            <w:r w:rsidRPr="008E6E65">
              <w:rPr>
                <w:rFonts w:ascii="Source Sans Pro" w:hAnsi="Source Sans Pro" w:cs="Calibri"/>
                <w:color w:val="000000"/>
                <w:sz w:val="20"/>
              </w:rPr>
              <w:t>65</w:t>
            </w:r>
          </w:p>
        </w:tc>
      </w:tr>
      <w:tr w14:paraId="67940BC9" w14:textId="77777777" w:rsidTr="00D5791C">
        <w:tblPrEx>
          <w:tblW w:w="9695" w:type="dxa"/>
          <w:tblCellMar>
            <w:top w:w="15" w:type="dxa"/>
          </w:tblCellMar>
          <w:tblLook w:val="04A0"/>
        </w:tblPrEx>
        <w:trPr>
          <w:trHeight w:val="300"/>
        </w:trPr>
        <w:tc>
          <w:tcPr>
            <w:tcW w:w="8339" w:type="dxa"/>
            <w:gridSpan w:val="6"/>
            <w:tcBorders>
              <w:top w:val="single" w:sz="8" w:space="0" w:color="auto"/>
              <w:left w:val="single" w:sz="8" w:space="0" w:color="auto"/>
              <w:bottom w:val="single" w:sz="8" w:space="0" w:color="auto"/>
              <w:right w:val="nil"/>
            </w:tcBorders>
            <w:shd w:val="clear" w:color="000000" w:fill="FFFFFF"/>
            <w:noWrap/>
            <w:vAlign w:val="center"/>
            <w:hideMark/>
          </w:tcPr>
          <w:p w:rsidR="00D5791C" w:rsidRPr="008E6E65" w:rsidP="00D03DD4" w14:paraId="0280B919" w14:textId="77777777">
            <w:pPr>
              <w:jc w:val="right"/>
              <w:rPr>
                <w:rFonts w:ascii="Source Sans Pro" w:hAnsi="Source Sans Pro" w:cs="Calibri"/>
                <w:b/>
                <w:bCs/>
                <w:i/>
                <w:iCs/>
                <w:color w:val="000000"/>
              </w:rPr>
            </w:pPr>
            <w:r w:rsidRPr="008E6E65">
              <w:rPr>
                <w:rFonts w:ascii="Source Sans Pro" w:hAnsi="Source Sans Pro" w:cs="Calibri"/>
                <w:b/>
                <w:bCs/>
                <w:i/>
                <w:iCs/>
                <w:color w:val="000000"/>
              </w:rPr>
              <w:t>Total Annual Burden (Hours):</w:t>
            </w:r>
          </w:p>
        </w:tc>
        <w:tc>
          <w:tcPr>
            <w:tcW w:w="1356" w:type="dxa"/>
            <w:tcBorders>
              <w:top w:val="nil"/>
              <w:left w:val="nil"/>
              <w:bottom w:val="single" w:sz="8" w:space="0" w:color="auto"/>
              <w:right w:val="single" w:sz="8" w:space="0" w:color="auto"/>
            </w:tcBorders>
            <w:noWrap/>
            <w:vAlign w:val="bottom"/>
            <w:hideMark/>
          </w:tcPr>
          <w:p w:rsidR="00D5791C" w:rsidRPr="008E6E65" w:rsidP="00D03DD4" w14:paraId="1F49A6E3" w14:textId="77777777">
            <w:pPr>
              <w:jc w:val="right"/>
              <w:rPr>
                <w:rFonts w:ascii="Source Sans Pro" w:hAnsi="Source Sans Pro" w:cs="Calibri"/>
                <w:b/>
                <w:bCs/>
                <w:i/>
                <w:iCs/>
                <w:color w:val="000000"/>
              </w:rPr>
            </w:pPr>
            <w:r w:rsidRPr="008E6E65">
              <w:rPr>
                <w:rFonts w:ascii="Source Sans Pro" w:hAnsi="Source Sans Pro" w:cs="Calibri"/>
                <w:b/>
                <w:bCs/>
                <w:i/>
                <w:iCs/>
                <w:color w:val="000000"/>
              </w:rPr>
              <w:t>3,815</w:t>
            </w:r>
          </w:p>
        </w:tc>
      </w:tr>
      <w:tr w14:paraId="720A0D8E" w14:textId="77777777" w:rsidTr="00D5791C">
        <w:tblPrEx>
          <w:tblW w:w="9695" w:type="dxa"/>
          <w:tblCellMar>
            <w:top w:w="15" w:type="dxa"/>
          </w:tblCellMar>
          <w:tblLook w:val="04A0"/>
        </w:tblPrEx>
        <w:trPr>
          <w:trHeight w:val="252"/>
        </w:trPr>
        <w:tc>
          <w:tcPr>
            <w:tcW w:w="9695" w:type="dxa"/>
            <w:gridSpan w:val="7"/>
            <w:tcBorders>
              <w:top w:val="single" w:sz="8" w:space="0" w:color="auto"/>
              <w:left w:val="single" w:sz="8" w:space="0" w:color="auto"/>
              <w:bottom w:val="nil"/>
              <w:right w:val="single" w:sz="8" w:space="0" w:color="000000"/>
            </w:tcBorders>
            <w:noWrap/>
            <w:hideMark/>
          </w:tcPr>
          <w:p w:rsidR="00D5791C" w:rsidP="00D03DD4" w14:paraId="35950D24" w14:textId="77777777">
            <w:pPr>
              <w:rPr>
                <w:rFonts w:ascii="Source Sans Pro" w:hAnsi="Source Sans Pro" w:cs="Calibri"/>
                <w:color w:val="000000"/>
                <w:sz w:val="18"/>
                <w:szCs w:val="18"/>
              </w:rPr>
            </w:pPr>
            <w:r w:rsidRPr="008E6E65">
              <w:rPr>
                <w:rFonts w:ascii="Source Sans Pro" w:hAnsi="Source Sans Pro" w:cs="Calibri"/>
                <w:color w:val="000000"/>
                <w:sz w:val="18"/>
                <w:szCs w:val="18"/>
              </w:rPr>
              <w:t>Source: FDIC.</w:t>
            </w:r>
          </w:p>
          <w:p w:rsidR="00D5791C" w:rsidRPr="00C47009" w:rsidP="00D03DD4" w14:paraId="3225DFDE" w14:textId="77777777">
            <w:pPr>
              <w:rPr>
                <w:rFonts w:ascii="Source Sans Pro" w:hAnsi="Source Sans Pro" w:cs="Calibri"/>
                <w:color w:val="000000"/>
                <w:sz w:val="18"/>
                <w:szCs w:val="18"/>
              </w:rPr>
            </w:pPr>
            <w:r w:rsidRPr="00A61C73">
              <w:rPr>
                <w:rFonts w:ascii="Source Sans Pro" w:hAnsi="Source Sans Pro" w:cs="Calibri"/>
                <w:color w:val="000000"/>
                <w:sz w:val="18"/>
                <w:szCs w:val="18"/>
                <w:vertAlign w:val="superscript"/>
              </w:rPr>
              <w:t xml:space="preserve">P </w:t>
            </w:r>
            <w:r w:rsidRPr="00A61C73">
              <w:rPr>
                <w:rFonts w:ascii="Source Sans Pro" w:hAnsi="Source Sans Pro" w:cs="Calibri"/>
                <w:b/>
                <w:bCs/>
                <w:color w:val="000000"/>
                <w:sz w:val="18"/>
                <w:szCs w:val="18"/>
                <w:vertAlign w:val="superscript"/>
              </w:rPr>
              <w:t xml:space="preserve"> </w:t>
            </w:r>
            <w:r w:rsidRPr="00A61C73">
              <w:rPr>
                <w:rFonts w:ascii="Source Sans Pro" w:hAnsi="Source Sans Pro" w:cs="Calibri"/>
                <w:color w:val="000000"/>
                <w:sz w:val="18"/>
                <w:szCs w:val="18"/>
              </w:rPr>
              <w:t>The</w:t>
            </w:r>
            <w:r w:rsidRPr="00A61C73">
              <w:rPr>
                <w:rFonts w:ascii="Source Sans Pro" w:hAnsi="Source Sans Pro" w:cs="Calibri"/>
                <w:color w:val="000000"/>
                <w:sz w:val="18"/>
                <w:szCs w:val="18"/>
              </w:rPr>
              <w:t xml:space="preserve"> FDIC anticipates zero respondents in the upcoming cycle and use</w:t>
            </w:r>
            <w:r>
              <w:rPr>
                <w:rFonts w:ascii="Source Sans Pro" w:hAnsi="Source Sans Pro" w:cs="Calibri"/>
                <w:color w:val="000000"/>
                <w:sz w:val="18"/>
                <w:szCs w:val="18"/>
              </w:rPr>
              <w:t>s</w:t>
            </w:r>
            <w:r w:rsidRPr="00A61C73">
              <w:rPr>
                <w:rFonts w:ascii="Source Sans Pro" w:hAnsi="Source Sans Pro" w:cs="Calibri"/>
                <w:color w:val="000000"/>
                <w:sz w:val="18"/>
                <w:szCs w:val="18"/>
              </w:rPr>
              <w:t xml:space="preserve"> a placeholder </w:t>
            </w:r>
            <w:r>
              <w:rPr>
                <w:rFonts w:ascii="Source Sans Pro" w:hAnsi="Source Sans Pro" w:cs="Calibri"/>
                <w:color w:val="000000"/>
                <w:sz w:val="18"/>
                <w:szCs w:val="18"/>
              </w:rPr>
              <w:t xml:space="preserve">respondent count </w:t>
            </w:r>
            <w:r w:rsidRPr="00A61C73">
              <w:rPr>
                <w:rFonts w:ascii="Source Sans Pro" w:hAnsi="Source Sans Pro" w:cs="Calibri"/>
                <w:color w:val="000000"/>
                <w:sz w:val="18"/>
                <w:szCs w:val="18"/>
              </w:rPr>
              <w:t xml:space="preserve">of 1 to preserve the </w:t>
            </w:r>
            <w:r>
              <w:rPr>
                <w:rFonts w:ascii="Source Sans Pro" w:hAnsi="Source Sans Pro" w:cs="Calibri"/>
                <w:color w:val="000000"/>
                <w:sz w:val="18"/>
                <w:szCs w:val="18"/>
              </w:rPr>
              <w:t>potential burden</w:t>
            </w:r>
            <w:r w:rsidRPr="00A61C73">
              <w:rPr>
                <w:rFonts w:ascii="Source Sans Pro" w:hAnsi="Source Sans Pro" w:cs="Calibri"/>
                <w:color w:val="000000"/>
                <w:sz w:val="18"/>
                <w:szCs w:val="18"/>
              </w:rPr>
              <w:t>.</w:t>
            </w:r>
          </w:p>
        </w:tc>
      </w:tr>
      <w:tr w14:paraId="329B1A1A" w14:textId="77777777" w:rsidTr="00D5791C">
        <w:tblPrEx>
          <w:tblW w:w="9695" w:type="dxa"/>
          <w:tblCellMar>
            <w:top w:w="15" w:type="dxa"/>
          </w:tblCellMar>
          <w:tblLook w:val="04A0"/>
        </w:tblPrEx>
        <w:trPr>
          <w:trHeight w:val="458"/>
        </w:trPr>
        <w:tc>
          <w:tcPr>
            <w:tcW w:w="9695" w:type="dxa"/>
            <w:gridSpan w:val="7"/>
            <w:vMerge w:val="restart"/>
            <w:tcBorders>
              <w:top w:val="nil"/>
              <w:left w:val="single" w:sz="8" w:space="0" w:color="auto"/>
              <w:bottom w:val="single" w:sz="8" w:space="0" w:color="000000"/>
              <w:right w:val="single" w:sz="8" w:space="0" w:color="000000"/>
            </w:tcBorders>
            <w:vAlign w:val="center"/>
            <w:hideMark/>
          </w:tcPr>
          <w:p w:rsidR="00D5791C" w:rsidRPr="008E6E65" w:rsidP="00D03DD4" w14:paraId="06B6EC7D" w14:textId="77777777">
            <w:pPr>
              <w:rPr>
                <w:rFonts w:ascii="Source Sans Pro" w:hAnsi="Source Sans Pro" w:cs="Calibri"/>
                <w:color w:val="000000"/>
                <w:sz w:val="18"/>
                <w:szCs w:val="18"/>
              </w:rPr>
            </w:pPr>
            <w:r w:rsidRPr="008E6E65">
              <w:rPr>
                <w:rFonts w:ascii="Source Sans Pro" w:hAnsi="Source Sans Pro" w:cs="Calibri"/>
                <w:color w:val="000000"/>
                <w:sz w:val="18"/>
                <w:szCs w:val="18"/>
              </w:rPr>
              <w:t>Note: The estimated annual IC time burden is the product, rounded to the nearest hour, of the estimated annual number of responses and the estimated time per response for a given IC. The estimated annual number of responses is the product, rounded to the nearest whole number, of the estimated annual number of respondents and the estimated annual number of responses per respondent. This methodology ensures the estimated annual burdens in the table are consistent with the values recorded in OMB’s consolidated information system.</w:t>
            </w:r>
          </w:p>
        </w:tc>
      </w:tr>
      <w:tr w14:paraId="11132899" w14:textId="77777777" w:rsidTr="00D5791C">
        <w:tblPrEx>
          <w:tblW w:w="9695" w:type="dxa"/>
          <w:tblCellMar>
            <w:top w:w="15" w:type="dxa"/>
          </w:tblCellMar>
          <w:tblLook w:val="04A0"/>
        </w:tblPrEx>
        <w:trPr>
          <w:trHeight w:val="288"/>
        </w:trPr>
        <w:tc>
          <w:tcPr>
            <w:tcW w:w="9695" w:type="dxa"/>
            <w:gridSpan w:val="7"/>
            <w:vMerge/>
            <w:tcBorders>
              <w:top w:val="nil"/>
              <w:left w:val="single" w:sz="8" w:space="0" w:color="auto"/>
              <w:bottom w:val="single" w:sz="8" w:space="0" w:color="000000"/>
              <w:right w:val="single" w:sz="8" w:space="0" w:color="000000"/>
            </w:tcBorders>
            <w:vAlign w:val="center"/>
            <w:hideMark/>
          </w:tcPr>
          <w:p w:rsidR="00D5791C" w:rsidRPr="008E6E65" w:rsidP="00D03DD4" w14:paraId="0345351C" w14:textId="77777777">
            <w:pPr>
              <w:rPr>
                <w:rFonts w:ascii="Source Sans Pro" w:hAnsi="Source Sans Pro" w:cs="Calibri"/>
                <w:color w:val="000000"/>
                <w:sz w:val="18"/>
                <w:szCs w:val="18"/>
              </w:rPr>
            </w:pPr>
          </w:p>
        </w:tc>
      </w:tr>
      <w:tr w14:paraId="28674B5F" w14:textId="77777777" w:rsidTr="00D5791C">
        <w:tblPrEx>
          <w:tblW w:w="9695" w:type="dxa"/>
          <w:tblCellMar>
            <w:top w:w="15" w:type="dxa"/>
          </w:tblCellMar>
          <w:tblLook w:val="04A0"/>
        </w:tblPrEx>
        <w:trPr>
          <w:trHeight w:val="312"/>
        </w:trPr>
        <w:tc>
          <w:tcPr>
            <w:tcW w:w="9695" w:type="dxa"/>
            <w:gridSpan w:val="7"/>
            <w:vMerge/>
            <w:tcBorders>
              <w:top w:val="nil"/>
              <w:left w:val="single" w:sz="8" w:space="0" w:color="auto"/>
              <w:bottom w:val="single" w:sz="8" w:space="0" w:color="000000"/>
              <w:right w:val="single" w:sz="8" w:space="0" w:color="000000"/>
            </w:tcBorders>
            <w:vAlign w:val="center"/>
            <w:hideMark/>
          </w:tcPr>
          <w:p w:rsidR="00D5791C" w:rsidRPr="008E6E65" w:rsidP="00D03DD4" w14:paraId="27093C9E" w14:textId="77777777">
            <w:pPr>
              <w:rPr>
                <w:rFonts w:ascii="Source Sans Pro" w:hAnsi="Source Sans Pro" w:cs="Calibri"/>
                <w:color w:val="000000"/>
                <w:sz w:val="18"/>
                <w:szCs w:val="18"/>
              </w:rPr>
            </w:pPr>
          </w:p>
        </w:tc>
      </w:tr>
      <w:tr w14:paraId="680A823F" w14:textId="77777777" w:rsidTr="00D5791C">
        <w:tblPrEx>
          <w:tblW w:w="9695" w:type="dxa"/>
          <w:tblCellMar>
            <w:top w:w="15" w:type="dxa"/>
          </w:tblCellMar>
          <w:tblLook w:val="04A0"/>
        </w:tblPrEx>
        <w:trPr>
          <w:trHeight w:val="408"/>
        </w:trPr>
        <w:tc>
          <w:tcPr>
            <w:tcW w:w="9695" w:type="dxa"/>
            <w:gridSpan w:val="7"/>
            <w:vMerge/>
            <w:tcBorders>
              <w:top w:val="nil"/>
              <w:left w:val="single" w:sz="8" w:space="0" w:color="auto"/>
              <w:bottom w:val="single" w:sz="8" w:space="0" w:color="000000"/>
              <w:right w:val="single" w:sz="8" w:space="0" w:color="000000"/>
            </w:tcBorders>
            <w:vAlign w:val="center"/>
            <w:hideMark/>
          </w:tcPr>
          <w:p w:rsidR="00D5791C" w:rsidRPr="008E6E65" w:rsidP="00D03DD4" w14:paraId="1DC34A6A" w14:textId="77777777">
            <w:pPr>
              <w:rPr>
                <w:rFonts w:ascii="Source Sans Pro" w:hAnsi="Source Sans Pro" w:cs="Calibri"/>
                <w:color w:val="000000"/>
                <w:sz w:val="18"/>
                <w:szCs w:val="18"/>
              </w:rPr>
            </w:pPr>
          </w:p>
        </w:tc>
      </w:tr>
    </w:tbl>
    <w:p w:rsidR="00D5791C" w:rsidRPr="00D5791C" w:rsidP="00E20E0A" w14:paraId="18E07DB2" w14:textId="77777777">
      <w:pPr>
        <w:autoSpaceDE w:val="0"/>
        <w:autoSpaceDN w:val="0"/>
        <w:spacing w:line="280" w:lineRule="exact"/>
        <w:ind w:firstLine="720"/>
        <w:rPr>
          <w:rFonts w:ascii="Times New Roman" w:eastAsia="Source Sans Pro" w:hAnsi="Times New Roman"/>
          <w:b/>
          <w:iCs/>
          <w:snapToGrid/>
          <w:color w:val="000000"/>
          <w:szCs w:val="24"/>
          <w:lang w:bidi="en-US"/>
        </w:rPr>
      </w:pPr>
    </w:p>
    <w:p w:rsidR="00D5791C" w:rsidRPr="00E20E0A" w:rsidP="00E20E0A" w14:paraId="31C3AA6A" w14:textId="77777777">
      <w:pPr>
        <w:autoSpaceDE w:val="0"/>
        <w:autoSpaceDN w:val="0"/>
        <w:spacing w:line="280" w:lineRule="exact"/>
        <w:ind w:firstLine="720"/>
        <w:rPr>
          <w:rFonts w:ascii="Times New Roman" w:eastAsia="Source Sans Pro" w:hAnsi="Times New Roman"/>
          <w:b/>
          <w:i/>
          <w:snapToGrid/>
          <w:color w:val="000000"/>
          <w:sz w:val="22"/>
          <w:szCs w:val="19"/>
          <w:lang w:bidi="en-US"/>
        </w:rPr>
      </w:pPr>
    </w:p>
    <w:tbl>
      <w:tblPr>
        <w:tblW w:w="9620" w:type="dxa"/>
        <w:tblLook w:val="04A0"/>
      </w:tblPr>
      <w:tblGrid>
        <w:gridCol w:w="2540"/>
        <w:gridCol w:w="1767"/>
        <w:gridCol w:w="1313"/>
        <w:gridCol w:w="1720"/>
        <w:gridCol w:w="1120"/>
        <w:gridCol w:w="1160"/>
      </w:tblGrid>
      <w:tr w14:paraId="77B2EAD4" w14:textId="77777777" w:rsidTr="00951D20">
        <w:tblPrEx>
          <w:tblW w:w="9620" w:type="dxa"/>
          <w:tblLook w:val="04A0"/>
        </w:tblPrEx>
        <w:trPr>
          <w:trHeight w:val="360"/>
        </w:trPr>
        <w:tc>
          <w:tcPr>
            <w:tcW w:w="9620" w:type="dxa"/>
            <w:gridSpan w:val="6"/>
            <w:tcBorders>
              <w:top w:val="single" w:sz="8" w:space="0" w:color="auto"/>
              <w:left w:val="single" w:sz="8" w:space="0" w:color="auto"/>
              <w:bottom w:val="single" w:sz="8" w:space="0" w:color="auto"/>
              <w:right w:val="single" w:sz="8" w:space="0" w:color="000000"/>
            </w:tcBorders>
            <w:vAlign w:val="center"/>
            <w:hideMark/>
          </w:tcPr>
          <w:p w:rsidR="00E20E0A" w:rsidRPr="00E20E0A" w:rsidP="00E20E0A" w14:paraId="035F3CFA" w14:textId="77777777">
            <w:pPr>
              <w:widowControl/>
              <w:jc w:val="center"/>
              <w:rPr>
                <w:rFonts w:ascii="Times New Roman" w:hAnsi="Times New Roman"/>
                <w:snapToGrid/>
                <w:color w:val="000000"/>
                <w:szCs w:val="24"/>
              </w:rPr>
            </w:pPr>
            <w:r w:rsidRPr="00E20E0A">
              <w:rPr>
                <w:rFonts w:ascii="Times New Roman" w:hAnsi="Times New Roman"/>
                <w:snapToGrid/>
                <w:color w:val="000000"/>
                <w:szCs w:val="24"/>
              </w:rPr>
              <w:t>Table 2. Summary of Estimated Annual Burden (OMB No. 3064-0184)</w:t>
            </w:r>
          </w:p>
        </w:tc>
      </w:tr>
      <w:tr w14:paraId="23A7BF50" w14:textId="77777777" w:rsidTr="00951D20">
        <w:tblPrEx>
          <w:tblW w:w="9620" w:type="dxa"/>
          <w:tblLook w:val="04A0"/>
        </w:tblPrEx>
        <w:trPr>
          <w:trHeight w:val="840"/>
        </w:trPr>
        <w:tc>
          <w:tcPr>
            <w:tcW w:w="2540" w:type="dxa"/>
            <w:tcBorders>
              <w:top w:val="nil"/>
              <w:left w:val="single" w:sz="8" w:space="0" w:color="auto"/>
              <w:bottom w:val="single" w:sz="8" w:space="0" w:color="auto"/>
              <w:right w:val="single" w:sz="8" w:space="0" w:color="auto"/>
            </w:tcBorders>
            <w:vAlign w:val="center"/>
            <w:hideMark/>
          </w:tcPr>
          <w:p w:rsidR="00E20E0A" w:rsidRPr="00E20E0A" w:rsidP="00E20E0A" w14:paraId="25E7C712" w14:textId="77777777">
            <w:pPr>
              <w:widowControl/>
              <w:rPr>
                <w:rFonts w:ascii="Times New Roman" w:hAnsi="Times New Roman"/>
                <w:snapToGrid/>
                <w:color w:val="000000"/>
                <w:sz w:val="20"/>
              </w:rPr>
            </w:pPr>
            <w:r w:rsidRPr="00E20E0A">
              <w:rPr>
                <w:rFonts w:ascii="Times New Roman" w:hAnsi="Times New Roman"/>
                <w:snapToGrid/>
                <w:color w:val="000000"/>
                <w:sz w:val="20"/>
              </w:rPr>
              <w:t>Information Collection (Obligation to Respond)</w:t>
            </w:r>
          </w:p>
        </w:tc>
        <w:tc>
          <w:tcPr>
            <w:tcW w:w="1767" w:type="dxa"/>
            <w:tcBorders>
              <w:top w:val="nil"/>
              <w:left w:val="nil"/>
              <w:bottom w:val="single" w:sz="8" w:space="0" w:color="auto"/>
              <w:right w:val="single" w:sz="8" w:space="0" w:color="auto"/>
            </w:tcBorders>
            <w:vAlign w:val="center"/>
            <w:hideMark/>
          </w:tcPr>
          <w:p w:rsidR="00E20E0A" w:rsidRPr="00E20E0A" w:rsidP="00E20E0A" w14:paraId="47CCC159" w14:textId="77777777">
            <w:pPr>
              <w:widowControl/>
              <w:jc w:val="center"/>
              <w:rPr>
                <w:rFonts w:ascii="Times New Roman" w:hAnsi="Times New Roman"/>
                <w:snapToGrid/>
                <w:color w:val="000000"/>
                <w:sz w:val="20"/>
              </w:rPr>
            </w:pPr>
            <w:r w:rsidRPr="00E20E0A">
              <w:rPr>
                <w:rFonts w:ascii="Times New Roman" w:hAnsi="Times New Roman"/>
                <w:snapToGrid/>
                <w:color w:val="000000"/>
                <w:sz w:val="20"/>
              </w:rPr>
              <w:t>Type of Burden</w:t>
            </w:r>
            <w:r w:rsidRPr="00E20E0A">
              <w:rPr>
                <w:rFonts w:ascii="Times New Roman" w:hAnsi="Times New Roman"/>
                <w:snapToGrid/>
                <w:color w:val="000000"/>
                <w:sz w:val="20"/>
              </w:rPr>
              <w:br/>
              <w:t>(Frequency of Response)</w:t>
            </w:r>
          </w:p>
        </w:tc>
        <w:tc>
          <w:tcPr>
            <w:tcW w:w="1313" w:type="dxa"/>
            <w:tcBorders>
              <w:top w:val="nil"/>
              <w:left w:val="nil"/>
              <w:bottom w:val="single" w:sz="8" w:space="0" w:color="auto"/>
              <w:right w:val="single" w:sz="8" w:space="0" w:color="auto"/>
            </w:tcBorders>
            <w:vAlign w:val="center"/>
            <w:hideMark/>
          </w:tcPr>
          <w:p w:rsidR="00E20E0A" w:rsidRPr="00E20E0A" w:rsidP="00E20E0A" w14:paraId="15225BEF" w14:textId="77777777">
            <w:pPr>
              <w:widowControl/>
              <w:jc w:val="center"/>
              <w:rPr>
                <w:rFonts w:ascii="Times New Roman" w:hAnsi="Times New Roman"/>
                <w:snapToGrid/>
                <w:color w:val="000000"/>
                <w:sz w:val="20"/>
              </w:rPr>
            </w:pPr>
            <w:r w:rsidRPr="00E20E0A">
              <w:rPr>
                <w:rFonts w:ascii="Times New Roman" w:hAnsi="Times New Roman"/>
                <w:snapToGrid/>
                <w:color w:val="000000"/>
                <w:sz w:val="20"/>
              </w:rPr>
              <w:t xml:space="preserve"> Number of Respondents</w:t>
            </w:r>
          </w:p>
        </w:tc>
        <w:tc>
          <w:tcPr>
            <w:tcW w:w="1720" w:type="dxa"/>
            <w:tcBorders>
              <w:top w:val="nil"/>
              <w:left w:val="nil"/>
              <w:bottom w:val="single" w:sz="8" w:space="0" w:color="auto"/>
              <w:right w:val="single" w:sz="8" w:space="0" w:color="auto"/>
            </w:tcBorders>
            <w:vAlign w:val="center"/>
            <w:hideMark/>
          </w:tcPr>
          <w:p w:rsidR="00E20E0A" w:rsidRPr="00E20E0A" w:rsidP="00E20E0A" w14:paraId="622DA92D" w14:textId="77777777">
            <w:pPr>
              <w:widowControl/>
              <w:jc w:val="center"/>
              <w:rPr>
                <w:rFonts w:ascii="Times New Roman" w:hAnsi="Times New Roman"/>
                <w:snapToGrid/>
                <w:color w:val="000000"/>
                <w:sz w:val="20"/>
              </w:rPr>
            </w:pPr>
            <w:r w:rsidRPr="00E20E0A">
              <w:rPr>
                <w:rFonts w:ascii="Times New Roman" w:hAnsi="Times New Roman"/>
                <w:snapToGrid/>
                <w:color w:val="000000"/>
                <w:sz w:val="20"/>
              </w:rPr>
              <w:t xml:space="preserve"> Number of Responses per Respondent</w:t>
            </w:r>
          </w:p>
        </w:tc>
        <w:tc>
          <w:tcPr>
            <w:tcW w:w="1120" w:type="dxa"/>
            <w:tcBorders>
              <w:top w:val="nil"/>
              <w:left w:val="nil"/>
              <w:bottom w:val="single" w:sz="8" w:space="0" w:color="auto"/>
              <w:right w:val="single" w:sz="8" w:space="0" w:color="auto"/>
            </w:tcBorders>
            <w:vAlign w:val="center"/>
            <w:hideMark/>
          </w:tcPr>
          <w:p w:rsidR="00E20E0A" w:rsidRPr="00E20E0A" w:rsidP="00E20E0A" w14:paraId="0CC01CE3" w14:textId="77777777">
            <w:pPr>
              <w:widowControl/>
              <w:jc w:val="center"/>
              <w:rPr>
                <w:rFonts w:ascii="Times New Roman" w:hAnsi="Times New Roman"/>
                <w:snapToGrid/>
                <w:color w:val="000000"/>
                <w:sz w:val="20"/>
              </w:rPr>
            </w:pPr>
            <w:r w:rsidRPr="00E20E0A">
              <w:rPr>
                <w:rFonts w:ascii="Times New Roman" w:hAnsi="Times New Roman"/>
                <w:snapToGrid/>
                <w:color w:val="000000"/>
                <w:sz w:val="20"/>
              </w:rPr>
              <w:t>Time per Response (HH:MM)</w:t>
            </w:r>
          </w:p>
        </w:tc>
        <w:tc>
          <w:tcPr>
            <w:tcW w:w="1160" w:type="dxa"/>
            <w:tcBorders>
              <w:top w:val="nil"/>
              <w:left w:val="nil"/>
              <w:bottom w:val="single" w:sz="8" w:space="0" w:color="auto"/>
              <w:right w:val="single" w:sz="8" w:space="0" w:color="auto"/>
            </w:tcBorders>
            <w:vAlign w:val="center"/>
            <w:hideMark/>
          </w:tcPr>
          <w:p w:rsidR="00E20E0A" w:rsidRPr="00E20E0A" w:rsidP="00E20E0A" w14:paraId="4120D568" w14:textId="77777777">
            <w:pPr>
              <w:widowControl/>
              <w:jc w:val="center"/>
              <w:rPr>
                <w:rFonts w:ascii="Times New Roman" w:hAnsi="Times New Roman"/>
                <w:snapToGrid/>
                <w:color w:val="000000"/>
                <w:sz w:val="20"/>
              </w:rPr>
            </w:pPr>
            <w:r w:rsidRPr="00E20E0A">
              <w:rPr>
                <w:rFonts w:ascii="Times New Roman" w:hAnsi="Times New Roman"/>
                <w:snapToGrid/>
                <w:color w:val="000000"/>
                <w:sz w:val="20"/>
              </w:rPr>
              <w:t>Annual Burden (Hours)</w:t>
            </w:r>
          </w:p>
        </w:tc>
      </w:tr>
      <w:tr w14:paraId="2BFE5127" w14:textId="77777777" w:rsidTr="00951D20">
        <w:tblPrEx>
          <w:tblW w:w="9620" w:type="dxa"/>
          <w:tblLook w:val="04A0"/>
        </w:tblPrEx>
        <w:trPr>
          <w:trHeight w:val="840"/>
        </w:trPr>
        <w:tc>
          <w:tcPr>
            <w:tcW w:w="2540" w:type="dxa"/>
            <w:tcBorders>
              <w:top w:val="nil"/>
              <w:left w:val="single" w:sz="8" w:space="0" w:color="auto"/>
              <w:bottom w:val="single" w:sz="8" w:space="0" w:color="auto"/>
              <w:right w:val="single" w:sz="8" w:space="0" w:color="auto"/>
            </w:tcBorders>
            <w:vAlign w:val="center"/>
            <w:hideMark/>
          </w:tcPr>
          <w:p w:rsidR="00E20E0A" w:rsidRPr="00E20E0A" w:rsidP="00E20E0A" w14:paraId="7563334E" w14:textId="77777777">
            <w:pPr>
              <w:widowControl/>
              <w:rPr>
                <w:rFonts w:ascii="Times New Roman" w:hAnsi="Times New Roman"/>
                <w:snapToGrid/>
                <w:color w:val="000000"/>
                <w:sz w:val="20"/>
              </w:rPr>
            </w:pPr>
            <w:r w:rsidRPr="00E20E0A">
              <w:rPr>
                <w:rFonts w:ascii="Times New Roman" w:eastAsia="Source Sans Pro" w:hAnsi="Times New Roman"/>
                <w:snapToGrid/>
                <w:color w:val="000000"/>
                <w:sz w:val="20"/>
                <w:lang w:bidi="en-US"/>
              </w:rPr>
              <w:t>1. Section 351.4(c)(3)(i) - Limit Breaches and Increases (Mandatory)</w:t>
            </w:r>
          </w:p>
        </w:tc>
        <w:tc>
          <w:tcPr>
            <w:tcW w:w="1767" w:type="dxa"/>
            <w:tcBorders>
              <w:top w:val="nil"/>
              <w:left w:val="nil"/>
              <w:bottom w:val="single" w:sz="8" w:space="0" w:color="auto"/>
              <w:right w:val="single" w:sz="8" w:space="0" w:color="auto"/>
            </w:tcBorders>
            <w:vAlign w:val="center"/>
            <w:hideMark/>
          </w:tcPr>
          <w:p w:rsidR="00E20E0A" w:rsidRPr="00E20E0A" w:rsidP="00E20E0A" w14:paraId="79B42FF8" w14:textId="77777777">
            <w:pPr>
              <w:widowControl/>
              <w:jc w:val="center"/>
              <w:rPr>
                <w:rFonts w:ascii="Times New Roman" w:hAnsi="Times New Roman"/>
                <w:snapToGrid/>
                <w:color w:val="000000"/>
                <w:sz w:val="20"/>
              </w:rPr>
            </w:pPr>
            <w:r w:rsidRPr="00E20E0A">
              <w:rPr>
                <w:rFonts w:ascii="Times New Roman" w:hAnsi="Times New Roman"/>
                <w:snapToGrid/>
                <w:color w:val="000000"/>
                <w:sz w:val="20"/>
              </w:rPr>
              <w:t xml:space="preserve">Reporting </w:t>
            </w:r>
            <w:r w:rsidRPr="00E20E0A">
              <w:rPr>
                <w:rFonts w:ascii="Times New Roman" w:hAnsi="Times New Roman"/>
                <w:snapToGrid/>
                <w:color w:val="000000"/>
                <w:sz w:val="20"/>
              </w:rPr>
              <w:br/>
              <w:t>(On occasion)</w:t>
            </w:r>
          </w:p>
        </w:tc>
        <w:tc>
          <w:tcPr>
            <w:tcW w:w="1313" w:type="dxa"/>
            <w:tcBorders>
              <w:top w:val="nil"/>
              <w:left w:val="nil"/>
              <w:bottom w:val="single" w:sz="8" w:space="0" w:color="auto"/>
              <w:right w:val="single" w:sz="8" w:space="0" w:color="auto"/>
            </w:tcBorders>
            <w:noWrap/>
            <w:vAlign w:val="center"/>
            <w:hideMark/>
          </w:tcPr>
          <w:p w:rsidR="00E20E0A" w:rsidRPr="00E20E0A" w:rsidP="00E20E0A" w14:paraId="10A12805" w14:textId="77777777">
            <w:pPr>
              <w:widowControl/>
              <w:jc w:val="right"/>
              <w:rPr>
                <w:rFonts w:ascii="Times New Roman" w:hAnsi="Times New Roman"/>
                <w:snapToGrid/>
                <w:color w:val="000000"/>
                <w:sz w:val="20"/>
              </w:rPr>
            </w:pPr>
            <w:r w:rsidRPr="00E20E0A">
              <w:rPr>
                <w:rFonts w:ascii="Times New Roman" w:hAnsi="Times New Roman"/>
                <w:snapToGrid/>
                <w:color w:val="000000"/>
                <w:sz w:val="20"/>
              </w:rPr>
              <w:t>7</w:t>
            </w:r>
          </w:p>
        </w:tc>
        <w:tc>
          <w:tcPr>
            <w:tcW w:w="1720" w:type="dxa"/>
            <w:tcBorders>
              <w:top w:val="nil"/>
              <w:left w:val="nil"/>
              <w:bottom w:val="single" w:sz="8" w:space="0" w:color="auto"/>
              <w:right w:val="single" w:sz="8" w:space="0" w:color="auto"/>
            </w:tcBorders>
            <w:noWrap/>
            <w:vAlign w:val="center"/>
            <w:hideMark/>
          </w:tcPr>
          <w:p w:rsidR="00E20E0A" w:rsidRPr="00E20E0A" w:rsidP="00E20E0A" w14:paraId="11890316" w14:textId="77777777">
            <w:pPr>
              <w:widowControl/>
              <w:jc w:val="right"/>
              <w:rPr>
                <w:rFonts w:ascii="Times New Roman" w:hAnsi="Times New Roman"/>
                <w:snapToGrid/>
                <w:color w:val="000000"/>
                <w:sz w:val="20"/>
              </w:rPr>
            </w:pPr>
            <w:r w:rsidRPr="00E20E0A">
              <w:rPr>
                <w:rFonts w:ascii="Times New Roman" w:hAnsi="Times New Roman"/>
                <w:snapToGrid/>
                <w:color w:val="000000"/>
                <w:sz w:val="20"/>
              </w:rPr>
              <w:t>20</w:t>
            </w:r>
          </w:p>
        </w:tc>
        <w:tc>
          <w:tcPr>
            <w:tcW w:w="1120" w:type="dxa"/>
            <w:tcBorders>
              <w:top w:val="nil"/>
              <w:left w:val="nil"/>
              <w:bottom w:val="single" w:sz="8" w:space="0" w:color="auto"/>
              <w:right w:val="nil"/>
            </w:tcBorders>
            <w:vAlign w:val="center"/>
            <w:hideMark/>
          </w:tcPr>
          <w:p w:rsidR="00E20E0A" w:rsidRPr="00E20E0A" w:rsidP="00E20E0A" w14:paraId="50483078" w14:textId="77777777">
            <w:pPr>
              <w:widowControl/>
              <w:jc w:val="right"/>
              <w:rPr>
                <w:rFonts w:ascii="Times New Roman" w:hAnsi="Times New Roman"/>
                <w:snapToGrid/>
                <w:color w:val="000000"/>
                <w:sz w:val="20"/>
              </w:rPr>
            </w:pPr>
            <w:r w:rsidRPr="00E20E0A">
              <w:rPr>
                <w:rFonts w:ascii="Times New Roman" w:hAnsi="Times New Roman"/>
                <w:snapToGrid/>
                <w:color w:val="000000"/>
                <w:sz w:val="20"/>
              </w:rPr>
              <w:t>00:15</w:t>
            </w:r>
          </w:p>
        </w:tc>
        <w:tc>
          <w:tcPr>
            <w:tcW w:w="1160" w:type="dxa"/>
            <w:tcBorders>
              <w:top w:val="nil"/>
              <w:left w:val="single" w:sz="8" w:space="0" w:color="auto"/>
              <w:bottom w:val="single" w:sz="8" w:space="0" w:color="auto"/>
              <w:right w:val="single" w:sz="8" w:space="0" w:color="auto"/>
            </w:tcBorders>
            <w:noWrap/>
            <w:vAlign w:val="center"/>
            <w:hideMark/>
          </w:tcPr>
          <w:p w:rsidR="00E20E0A" w:rsidRPr="00E20E0A" w:rsidP="00E20E0A" w14:paraId="7C783E63" w14:textId="77777777">
            <w:pPr>
              <w:widowControl/>
              <w:jc w:val="right"/>
              <w:rPr>
                <w:rFonts w:ascii="Times New Roman" w:hAnsi="Times New Roman"/>
                <w:snapToGrid/>
                <w:color w:val="000000"/>
                <w:sz w:val="20"/>
              </w:rPr>
            </w:pPr>
            <w:r w:rsidRPr="00E20E0A">
              <w:rPr>
                <w:rFonts w:ascii="Times New Roman" w:hAnsi="Times New Roman"/>
                <w:snapToGrid/>
                <w:color w:val="000000"/>
                <w:sz w:val="20"/>
              </w:rPr>
              <w:t>35</w:t>
            </w:r>
          </w:p>
        </w:tc>
      </w:tr>
      <w:tr w14:paraId="57C2D2A7" w14:textId="77777777" w:rsidTr="00951D20">
        <w:tblPrEx>
          <w:tblW w:w="9620" w:type="dxa"/>
          <w:tblLook w:val="04A0"/>
        </w:tblPrEx>
        <w:trPr>
          <w:trHeight w:val="1668"/>
        </w:trPr>
        <w:tc>
          <w:tcPr>
            <w:tcW w:w="2540" w:type="dxa"/>
            <w:tcBorders>
              <w:top w:val="nil"/>
              <w:left w:val="single" w:sz="8" w:space="0" w:color="auto"/>
              <w:bottom w:val="single" w:sz="8" w:space="0" w:color="auto"/>
              <w:right w:val="single" w:sz="8" w:space="0" w:color="auto"/>
            </w:tcBorders>
            <w:vAlign w:val="center"/>
            <w:hideMark/>
          </w:tcPr>
          <w:p w:rsidR="00E20E0A" w:rsidRPr="00E20E0A" w:rsidP="00E20E0A" w14:paraId="567C224E" w14:textId="77777777">
            <w:pPr>
              <w:widowControl/>
              <w:rPr>
                <w:rFonts w:ascii="Times New Roman" w:hAnsi="Times New Roman"/>
                <w:snapToGrid/>
                <w:color w:val="000000"/>
                <w:sz w:val="20"/>
              </w:rPr>
            </w:pPr>
            <w:r w:rsidRPr="00E20E0A">
              <w:rPr>
                <w:rFonts w:ascii="Times New Roman" w:eastAsia="Source Sans Pro" w:hAnsi="Times New Roman"/>
                <w:snapToGrid/>
                <w:color w:val="000000"/>
                <w:sz w:val="20"/>
                <w:lang w:bidi="en-US"/>
              </w:rPr>
              <w:t>2. Section 351.20(d) - Requirements under Appendix A for Covered Banks with Significant Trading Assets &amp; Liabilities (Mandatory)</w:t>
            </w:r>
          </w:p>
        </w:tc>
        <w:tc>
          <w:tcPr>
            <w:tcW w:w="1767" w:type="dxa"/>
            <w:tcBorders>
              <w:top w:val="nil"/>
              <w:left w:val="nil"/>
              <w:bottom w:val="single" w:sz="8" w:space="0" w:color="auto"/>
              <w:right w:val="single" w:sz="8" w:space="0" w:color="auto"/>
            </w:tcBorders>
            <w:vAlign w:val="center"/>
            <w:hideMark/>
          </w:tcPr>
          <w:p w:rsidR="00E20E0A" w:rsidRPr="00E20E0A" w:rsidP="00E20E0A" w14:paraId="733CDBB5" w14:textId="77777777">
            <w:pPr>
              <w:widowControl/>
              <w:jc w:val="center"/>
              <w:rPr>
                <w:rFonts w:ascii="Times New Roman" w:hAnsi="Times New Roman"/>
                <w:snapToGrid/>
                <w:color w:val="000000"/>
                <w:sz w:val="20"/>
              </w:rPr>
            </w:pPr>
            <w:r w:rsidRPr="00E20E0A">
              <w:rPr>
                <w:rFonts w:ascii="Times New Roman" w:hAnsi="Times New Roman"/>
                <w:snapToGrid/>
                <w:color w:val="000000"/>
                <w:sz w:val="20"/>
              </w:rPr>
              <w:t>Reporting</w:t>
            </w:r>
            <w:r w:rsidRPr="00E20E0A">
              <w:rPr>
                <w:rFonts w:ascii="Times New Roman" w:hAnsi="Times New Roman"/>
                <w:snapToGrid/>
                <w:color w:val="000000"/>
                <w:sz w:val="20"/>
              </w:rPr>
              <w:br/>
              <w:t>(Quarterly)</w:t>
            </w:r>
          </w:p>
        </w:tc>
        <w:tc>
          <w:tcPr>
            <w:tcW w:w="1313" w:type="dxa"/>
            <w:tcBorders>
              <w:top w:val="nil"/>
              <w:left w:val="nil"/>
              <w:bottom w:val="single" w:sz="8" w:space="0" w:color="auto"/>
              <w:right w:val="single" w:sz="8" w:space="0" w:color="auto"/>
            </w:tcBorders>
            <w:noWrap/>
            <w:vAlign w:val="center"/>
            <w:hideMark/>
          </w:tcPr>
          <w:p w:rsidR="00E20E0A" w:rsidRPr="00E20E0A" w:rsidP="00E20E0A" w14:paraId="00C592A3" w14:textId="77777777">
            <w:pPr>
              <w:widowControl/>
              <w:jc w:val="right"/>
              <w:rPr>
                <w:rFonts w:ascii="Times New Roman" w:hAnsi="Times New Roman"/>
                <w:snapToGrid/>
                <w:color w:val="000000"/>
                <w:sz w:val="20"/>
              </w:rPr>
            </w:pPr>
            <w:r w:rsidRPr="00E20E0A">
              <w:rPr>
                <w:rFonts w:ascii="Times New Roman" w:hAnsi="Times New Roman"/>
                <w:snapToGrid/>
                <w:color w:val="000000"/>
                <w:sz w:val="20"/>
              </w:rPr>
              <w:t>2</w:t>
            </w:r>
          </w:p>
        </w:tc>
        <w:tc>
          <w:tcPr>
            <w:tcW w:w="1720" w:type="dxa"/>
            <w:tcBorders>
              <w:top w:val="nil"/>
              <w:left w:val="nil"/>
              <w:bottom w:val="single" w:sz="8" w:space="0" w:color="auto"/>
              <w:right w:val="single" w:sz="8" w:space="0" w:color="auto"/>
            </w:tcBorders>
            <w:noWrap/>
            <w:vAlign w:val="center"/>
            <w:hideMark/>
          </w:tcPr>
          <w:p w:rsidR="00E20E0A" w:rsidRPr="00E20E0A" w:rsidP="00E20E0A" w14:paraId="36972FA3" w14:textId="77777777">
            <w:pPr>
              <w:widowControl/>
              <w:jc w:val="right"/>
              <w:rPr>
                <w:rFonts w:ascii="Times New Roman" w:hAnsi="Times New Roman"/>
                <w:snapToGrid/>
                <w:color w:val="000000"/>
                <w:sz w:val="20"/>
              </w:rPr>
            </w:pPr>
            <w:r w:rsidRPr="00E20E0A">
              <w:rPr>
                <w:rFonts w:ascii="Times New Roman" w:hAnsi="Times New Roman"/>
                <w:snapToGrid/>
                <w:color w:val="000000"/>
                <w:sz w:val="20"/>
              </w:rPr>
              <w:t>4</w:t>
            </w:r>
          </w:p>
        </w:tc>
        <w:tc>
          <w:tcPr>
            <w:tcW w:w="1120" w:type="dxa"/>
            <w:tcBorders>
              <w:top w:val="nil"/>
              <w:left w:val="nil"/>
              <w:bottom w:val="single" w:sz="8" w:space="0" w:color="auto"/>
              <w:right w:val="nil"/>
            </w:tcBorders>
            <w:vAlign w:val="center"/>
            <w:hideMark/>
          </w:tcPr>
          <w:p w:rsidR="00E20E0A" w:rsidRPr="00E20E0A" w:rsidP="00E20E0A" w14:paraId="610B5170" w14:textId="77777777">
            <w:pPr>
              <w:widowControl/>
              <w:jc w:val="right"/>
              <w:rPr>
                <w:rFonts w:ascii="Times New Roman" w:hAnsi="Times New Roman"/>
                <w:snapToGrid/>
                <w:color w:val="000000"/>
                <w:sz w:val="20"/>
              </w:rPr>
            </w:pPr>
            <w:r w:rsidRPr="00E20E0A">
              <w:rPr>
                <w:rFonts w:ascii="Times New Roman" w:hAnsi="Times New Roman"/>
                <w:snapToGrid/>
                <w:color w:val="000000"/>
                <w:sz w:val="20"/>
              </w:rPr>
              <w:t>41:00</w:t>
            </w:r>
          </w:p>
        </w:tc>
        <w:tc>
          <w:tcPr>
            <w:tcW w:w="1160" w:type="dxa"/>
            <w:tcBorders>
              <w:top w:val="nil"/>
              <w:left w:val="single" w:sz="8" w:space="0" w:color="auto"/>
              <w:bottom w:val="single" w:sz="8" w:space="0" w:color="auto"/>
              <w:right w:val="single" w:sz="8" w:space="0" w:color="auto"/>
            </w:tcBorders>
            <w:noWrap/>
            <w:vAlign w:val="center"/>
            <w:hideMark/>
          </w:tcPr>
          <w:p w:rsidR="00E20E0A" w:rsidRPr="00E20E0A" w:rsidP="00E20E0A" w14:paraId="0A401719" w14:textId="77777777">
            <w:pPr>
              <w:widowControl/>
              <w:jc w:val="right"/>
              <w:rPr>
                <w:rFonts w:ascii="Times New Roman" w:hAnsi="Times New Roman"/>
                <w:snapToGrid/>
                <w:color w:val="000000"/>
                <w:sz w:val="20"/>
              </w:rPr>
            </w:pPr>
            <w:r w:rsidRPr="00E20E0A">
              <w:rPr>
                <w:rFonts w:ascii="Times New Roman" w:hAnsi="Times New Roman"/>
                <w:snapToGrid/>
                <w:color w:val="000000"/>
                <w:sz w:val="20"/>
              </w:rPr>
              <w:t>328</w:t>
            </w:r>
          </w:p>
        </w:tc>
      </w:tr>
      <w:tr w14:paraId="07751658" w14:textId="77777777" w:rsidTr="00951D20">
        <w:tblPrEx>
          <w:tblW w:w="9620" w:type="dxa"/>
          <w:tblLook w:val="04A0"/>
        </w:tblPrEx>
        <w:trPr>
          <w:trHeight w:val="564"/>
        </w:trPr>
        <w:tc>
          <w:tcPr>
            <w:tcW w:w="2540" w:type="dxa"/>
            <w:tcBorders>
              <w:top w:val="nil"/>
              <w:left w:val="single" w:sz="8" w:space="0" w:color="auto"/>
              <w:bottom w:val="single" w:sz="8" w:space="0" w:color="auto"/>
              <w:right w:val="single" w:sz="8" w:space="0" w:color="auto"/>
            </w:tcBorders>
            <w:vAlign w:val="center"/>
            <w:hideMark/>
          </w:tcPr>
          <w:p w:rsidR="00E20E0A" w:rsidRPr="00E20E0A" w:rsidP="00E20E0A" w14:paraId="68182FD3" w14:textId="77777777">
            <w:pPr>
              <w:widowControl/>
              <w:rPr>
                <w:rFonts w:ascii="Times New Roman" w:hAnsi="Times New Roman"/>
                <w:snapToGrid/>
                <w:color w:val="000000"/>
                <w:sz w:val="20"/>
              </w:rPr>
            </w:pPr>
            <w:r w:rsidRPr="00E20E0A">
              <w:rPr>
                <w:rFonts w:ascii="Times New Roman" w:eastAsia="Source Sans Pro" w:hAnsi="Times New Roman"/>
                <w:snapToGrid/>
                <w:color w:val="000000"/>
                <w:sz w:val="20"/>
                <w:lang w:bidi="en-US"/>
              </w:rPr>
              <w:t>3. Section 351.20(i) - Notice and Response (Voluntary)</w:t>
            </w:r>
          </w:p>
        </w:tc>
        <w:tc>
          <w:tcPr>
            <w:tcW w:w="1767" w:type="dxa"/>
            <w:tcBorders>
              <w:top w:val="nil"/>
              <w:left w:val="nil"/>
              <w:bottom w:val="single" w:sz="8" w:space="0" w:color="auto"/>
              <w:right w:val="single" w:sz="8" w:space="0" w:color="auto"/>
            </w:tcBorders>
            <w:vAlign w:val="center"/>
            <w:hideMark/>
          </w:tcPr>
          <w:p w:rsidR="00E20E0A" w:rsidRPr="00E20E0A" w:rsidP="00E20E0A" w14:paraId="02EFA5B8" w14:textId="77777777">
            <w:pPr>
              <w:widowControl/>
              <w:jc w:val="center"/>
              <w:rPr>
                <w:rFonts w:ascii="Times New Roman" w:hAnsi="Times New Roman"/>
                <w:snapToGrid/>
                <w:color w:val="000000"/>
                <w:sz w:val="20"/>
              </w:rPr>
            </w:pPr>
            <w:r w:rsidRPr="00E20E0A">
              <w:rPr>
                <w:rFonts w:ascii="Times New Roman" w:hAnsi="Times New Roman"/>
                <w:snapToGrid/>
                <w:color w:val="000000"/>
                <w:sz w:val="20"/>
              </w:rPr>
              <w:t xml:space="preserve">Reporting </w:t>
            </w:r>
            <w:r w:rsidRPr="00E20E0A">
              <w:rPr>
                <w:rFonts w:ascii="Times New Roman" w:hAnsi="Times New Roman"/>
                <w:snapToGrid/>
                <w:color w:val="000000"/>
                <w:sz w:val="20"/>
              </w:rPr>
              <w:br/>
              <w:t>(On occasion)</w:t>
            </w:r>
          </w:p>
        </w:tc>
        <w:tc>
          <w:tcPr>
            <w:tcW w:w="1313" w:type="dxa"/>
            <w:tcBorders>
              <w:top w:val="nil"/>
              <w:left w:val="nil"/>
              <w:bottom w:val="single" w:sz="8" w:space="0" w:color="auto"/>
              <w:right w:val="single" w:sz="8" w:space="0" w:color="auto"/>
            </w:tcBorders>
            <w:noWrap/>
            <w:vAlign w:val="center"/>
            <w:hideMark/>
          </w:tcPr>
          <w:p w:rsidR="00E20E0A" w:rsidRPr="00E20E0A" w:rsidP="00E20E0A" w14:paraId="3EB5452E" w14:textId="77777777">
            <w:pPr>
              <w:widowControl/>
              <w:jc w:val="right"/>
              <w:rPr>
                <w:rFonts w:ascii="Times New Roman" w:hAnsi="Times New Roman"/>
                <w:snapToGrid/>
                <w:color w:val="000000"/>
                <w:sz w:val="20"/>
              </w:rPr>
            </w:pPr>
            <w:r w:rsidRPr="00E20E0A">
              <w:rPr>
                <w:rFonts w:ascii="Times New Roman" w:hAnsi="Times New Roman"/>
                <w:snapToGrid/>
                <w:color w:val="000000"/>
                <w:sz w:val="20"/>
              </w:rPr>
              <w:t>7</w:t>
            </w:r>
          </w:p>
        </w:tc>
        <w:tc>
          <w:tcPr>
            <w:tcW w:w="1720" w:type="dxa"/>
            <w:tcBorders>
              <w:top w:val="nil"/>
              <w:left w:val="nil"/>
              <w:bottom w:val="single" w:sz="8" w:space="0" w:color="auto"/>
              <w:right w:val="single" w:sz="8" w:space="0" w:color="auto"/>
            </w:tcBorders>
            <w:noWrap/>
            <w:vAlign w:val="center"/>
            <w:hideMark/>
          </w:tcPr>
          <w:p w:rsidR="00E20E0A" w:rsidRPr="00E20E0A" w:rsidP="00E20E0A" w14:paraId="4B2BDE8A" w14:textId="77777777">
            <w:pPr>
              <w:widowControl/>
              <w:jc w:val="right"/>
              <w:rPr>
                <w:rFonts w:ascii="Times New Roman" w:hAnsi="Times New Roman"/>
                <w:snapToGrid/>
                <w:color w:val="000000"/>
                <w:sz w:val="20"/>
              </w:rPr>
            </w:pPr>
            <w:r w:rsidRPr="00E20E0A">
              <w:rPr>
                <w:rFonts w:ascii="Times New Roman" w:hAnsi="Times New Roman"/>
                <w:snapToGrid/>
                <w:color w:val="000000"/>
                <w:sz w:val="20"/>
              </w:rPr>
              <w:t>1</w:t>
            </w:r>
          </w:p>
        </w:tc>
        <w:tc>
          <w:tcPr>
            <w:tcW w:w="1120" w:type="dxa"/>
            <w:tcBorders>
              <w:top w:val="nil"/>
              <w:left w:val="nil"/>
              <w:bottom w:val="single" w:sz="8" w:space="0" w:color="auto"/>
              <w:right w:val="nil"/>
            </w:tcBorders>
            <w:vAlign w:val="center"/>
            <w:hideMark/>
          </w:tcPr>
          <w:p w:rsidR="00E20E0A" w:rsidRPr="00E20E0A" w:rsidP="00E20E0A" w14:paraId="6D052308" w14:textId="77777777">
            <w:pPr>
              <w:widowControl/>
              <w:jc w:val="right"/>
              <w:rPr>
                <w:rFonts w:ascii="Times New Roman" w:hAnsi="Times New Roman"/>
                <w:snapToGrid/>
                <w:color w:val="000000"/>
                <w:sz w:val="20"/>
              </w:rPr>
            </w:pPr>
            <w:r w:rsidRPr="00E20E0A">
              <w:rPr>
                <w:rFonts w:ascii="Times New Roman" w:hAnsi="Times New Roman"/>
                <w:snapToGrid/>
                <w:color w:val="000000"/>
                <w:sz w:val="20"/>
              </w:rPr>
              <w:t>20:00</w:t>
            </w:r>
          </w:p>
        </w:tc>
        <w:tc>
          <w:tcPr>
            <w:tcW w:w="1160" w:type="dxa"/>
            <w:tcBorders>
              <w:top w:val="nil"/>
              <w:left w:val="single" w:sz="8" w:space="0" w:color="auto"/>
              <w:bottom w:val="single" w:sz="8" w:space="0" w:color="auto"/>
              <w:right w:val="single" w:sz="8" w:space="0" w:color="auto"/>
            </w:tcBorders>
            <w:noWrap/>
            <w:vAlign w:val="center"/>
            <w:hideMark/>
          </w:tcPr>
          <w:p w:rsidR="00E20E0A" w:rsidRPr="00E20E0A" w:rsidP="00E20E0A" w14:paraId="791DCE02" w14:textId="77777777">
            <w:pPr>
              <w:widowControl/>
              <w:jc w:val="right"/>
              <w:rPr>
                <w:rFonts w:ascii="Times New Roman" w:hAnsi="Times New Roman"/>
                <w:snapToGrid/>
                <w:color w:val="000000"/>
                <w:sz w:val="20"/>
              </w:rPr>
            </w:pPr>
            <w:r w:rsidRPr="00E20E0A">
              <w:rPr>
                <w:rFonts w:ascii="Times New Roman" w:hAnsi="Times New Roman"/>
                <w:snapToGrid/>
                <w:color w:val="000000"/>
                <w:sz w:val="20"/>
              </w:rPr>
              <w:t>140</w:t>
            </w:r>
          </w:p>
        </w:tc>
      </w:tr>
      <w:tr w14:paraId="288FBE83" w14:textId="77777777" w:rsidTr="00951D20">
        <w:tblPrEx>
          <w:tblW w:w="9620" w:type="dxa"/>
          <w:tblLook w:val="04A0"/>
        </w:tblPrEx>
        <w:trPr>
          <w:trHeight w:val="1392"/>
        </w:trPr>
        <w:tc>
          <w:tcPr>
            <w:tcW w:w="2540" w:type="dxa"/>
            <w:tcBorders>
              <w:top w:val="nil"/>
              <w:left w:val="single" w:sz="8" w:space="0" w:color="auto"/>
              <w:bottom w:val="single" w:sz="8" w:space="0" w:color="auto"/>
              <w:right w:val="single" w:sz="8" w:space="0" w:color="auto"/>
            </w:tcBorders>
            <w:vAlign w:val="center"/>
            <w:hideMark/>
          </w:tcPr>
          <w:p w:rsidR="00E20E0A" w:rsidRPr="00E20E0A" w:rsidP="00E20E0A" w14:paraId="31E6EBF0" w14:textId="77777777">
            <w:pPr>
              <w:widowControl/>
              <w:rPr>
                <w:rFonts w:ascii="Times New Roman" w:hAnsi="Times New Roman"/>
                <w:snapToGrid/>
                <w:color w:val="000000"/>
                <w:sz w:val="20"/>
              </w:rPr>
            </w:pPr>
            <w:r w:rsidRPr="00E20E0A">
              <w:rPr>
                <w:rFonts w:ascii="Times New Roman" w:eastAsia="Source Sans Pro" w:hAnsi="Times New Roman"/>
                <w:snapToGrid/>
                <w:color w:val="000000"/>
                <w:sz w:val="20"/>
                <w:lang w:bidi="en-US"/>
              </w:rPr>
              <w:t>4. Section 351.3(d)(3) - Purchase and sale of securities in Accordance with liquidity management plans (Mandatory)</w:t>
            </w:r>
          </w:p>
        </w:tc>
        <w:tc>
          <w:tcPr>
            <w:tcW w:w="1767" w:type="dxa"/>
            <w:tcBorders>
              <w:top w:val="nil"/>
              <w:left w:val="nil"/>
              <w:bottom w:val="single" w:sz="8" w:space="0" w:color="auto"/>
              <w:right w:val="single" w:sz="8" w:space="0" w:color="auto"/>
            </w:tcBorders>
            <w:vAlign w:val="center"/>
            <w:hideMark/>
          </w:tcPr>
          <w:p w:rsidR="00E20E0A" w:rsidRPr="00E20E0A" w:rsidP="00E20E0A" w14:paraId="02F611FC" w14:textId="77777777">
            <w:pPr>
              <w:widowControl/>
              <w:jc w:val="center"/>
              <w:rPr>
                <w:rFonts w:ascii="Times New Roman" w:hAnsi="Times New Roman"/>
                <w:snapToGrid/>
                <w:color w:val="000000"/>
                <w:sz w:val="20"/>
              </w:rPr>
            </w:pPr>
            <w:r w:rsidRPr="00E20E0A">
              <w:rPr>
                <w:rFonts w:ascii="Times New Roman" w:hAnsi="Times New Roman"/>
                <w:snapToGrid/>
                <w:color w:val="000000"/>
                <w:sz w:val="20"/>
              </w:rPr>
              <w:t xml:space="preserve">Recordkeeping </w:t>
            </w:r>
            <w:r w:rsidRPr="00E20E0A">
              <w:rPr>
                <w:rFonts w:ascii="Times New Roman" w:hAnsi="Times New Roman"/>
                <w:snapToGrid/>
                <w:color w:val="000000"/>
                <w:sz w:val="20"/>
              </w:rPr>
              <w:br/>
              <w:t>(On occasion)</w:t>
            </w:r>
          </w:p>
        </w:tc>
        <w:tc>
          <w:tcPr>
            <w:tcW w:w="1313" w:type="dxa"/>
            <w:tcBorders>
              <w:top w:val="nil"/>
              <w:left w:val="nil"/>
              <w:bottom w:val="single" w:sz="8" w:space="0" w:color="auto"/>
              <w:right w:val="single" w:sz="8" w:space="0" w:color="auto"/>
            </w:tcBorders>
            <w:noWrap/>
            <w:vAlign w:val="center"/>
            <w:hideMark/>
          </w:tcPr>
          <w:p w:rsidR="00E20E0A" w:rsidRPr="00E20E0A" w:rsidP="00E20E0A" w14:paraId="351CA213" w14:textId="77777777">
            <w:pPr>
              <w:widowControl/>
              <w:jc w:val="right"/>
              <w:rPr>
                <w:rFonts w:ascii="Times New Roman" w:hAnsi="Times New Roman"/>
                <w:snapToGrid/>
                <w:color w:val="000000"/>
                <w:sz w:val="20"/>
              </w:rPr>
            </w:pPr>
            <w:r w:rsidRPr="00E20E0A">
              <w:rPr>
                <w:rFonts w:ascii="Times New Roman" w:hAnsi="Times New Roman"/>
                <w:snapToGrid/>
                <w:color w:val="000000"/>
                <w:sz w:val="20"/>
              </w:rPr>
              <w:t>7</w:t>
            </w:r>
          </w:p>
        </w:tc>
        <w:tc>
          <w:tcPr>
            <w:tcW w:w="1720" w:type="dxa"/>
            <w:tcBorders>
              <w:top w:val="nil"/>
              <w:left w:val="nil"/>
              <w:bottom w:val="single" w:sz="8" w:space="0" w:color="auto"/>
              <w:right w:val="single" w:sz="8" w:space="0" w:color="auto"/>
            </w:tcBorders>
            <w:noWrap/>
            <w:vAlign w:val="center"/>
            <w:hideMark/>
          </w:tcPr>
          <w:p w:rsidR="00E20E0A" w:rsidRPr="00E20E0A" w:rsidP="00E20E0A" w14:paraId="26828F38" w14:textId="77777777">
            <w:pPr>
              <w:widowControl/>
              <w:jc w:val="right"/>
              <w:rPr>
                <w:rFonts w:ascii="Times New Roman" w:hAnsi="Times New Roman"/>
                <w:snapToGrid/>
                <w:color w:val="000000"/>
                <w:sz w:val="20"/>
              </w:rPr>
            </w:pPr>
            <w:r w:rsidRPr="00E20E0A">
              <w:rPr>
                <w:rFonts w:ascii="Times New Roman" w:hAnsi="Times New Roman"/>
                <w:snapToGrid/>
                <w:color w:val="000000"/>
                <w:sz w:val="20"/>
              </w:rPr>
              <w:t>1</w:t>
            </w:r>
          </w:p>
        </w:tc>
        <w:tc>
          <w:tcPr>
            <w:tcW w:w="1120" w:type="dxa"/>
            <w:tcBorders>
              <w:top w:val="nil"/>
              <w:left w:val="nil"/>
              <w:bottom w:val="single" w:sz="8" w:space="0" w:color="auto"/>
              <w:right w:val="nil"/>
            </w:tcBorders>
            <w:vAlign w:val="center"/>
            <w:hideMark/>
          </w:tcPr>
          <w:p w:rsidR="00E20E0A" w:rsidRPr="00E20E0A" w:rsidP="00E20E0A" w14:paraId="79BD196D" w14:textId="77777777">
            <w:pPr>
              <w:widowControl/>
              <w:jc w:val="right"/>
              <w:rPr>
                <w:rFonts w:ascii="Times New Roman" w:hAnsi="Times New Roman"/>
                <w:snapToGrid/>
                <w:color w:val="000000"/>
                <w:sz w:val="20"/>
              </w:rPr>
            </w:pPr>
            <w:r w:rsidRPr="00E20E0A">
              <w:rPr>
                <w:rFonts w:ascii="Times New Roman" w:hAnsi="Times New Roman"/>
                <w:snapToGrid/>
                <w:color w:val="000000"/>
                <w:sz w:val="20"/>
              </w:rPr>
              <w:t>1:00</w:t>
            </w:r>
          </w:p>
        </w:tc>
        <w:tc>
          <w:tcPr>
            <w:tcW w:w="1160" w:type="dxa"/>
            <w:tcBorders>
              <w:top w:val="nil"/>
              <w:left w:val="single" w:sz="8" w:space="0" w:color="auto"/>
              <w:bottom w:val="single" w:sz="8" w:space="0" w:color="auto"/>
              <w:right w:val="single" w:sz="8" w:space="0" w:color="auto"/>
            </w:tcBorders>
            <w:noWrap/>
            <w:vAlign w:val="center"/>
            <w:hideMark/>
          </w:tcPr>
          <w:p w:rsidR="00E20E0A" w:rsidRPr="00E20E0A" w:rsidP="00E20E0A" w14:paraId="668572BE" w14:textId="77777777">
            <w:pPr>
              <w:widowControl/>
              <w:jc w:val="right"/>
              <w:rPr>
                <w:rFonts w:ascii="Times New Roman" w:hAnsi="Times New Roman"/>
                <w:snapToGrid/>
                <w:color w:val="000000"/>
                <w:sz w:val="20"/>
              </w:rPr>
            </w:pPr>
            <w:r w:rsidRPr="00E20E0A">
              <w:rPr>
                <w:rFonts w:ascii="Times New Roman" w:hAnsi="Times New Roman"/>
                <w:snapToGrid/>
                <w:color w:val="000000"/>
                <w:sz w:val="20"/>
              </w:rPr>
              <w:t>7</w:t>
            </w:r>
          </w:p>
        </w:tc>
      </w:tr>
      <w:tr w14:paraId="37F1041E" w14:textId="77777777" w:rsidTr="00951D20">
        <w:tblPrEx>
          <w:tblW w:w="9620" w:type="dxa"/>
          <w:tblLook w:val="04A0"/>
        </w:tblPrEx>
        <w:trPr>
          <w:trHeight w:val="840"/>
        </w:trPr>
        <w:tc>
          <w:tcPr>
            <w:tcW w:w="2540" w:type="dxa"/>
            <w:tcBorders>
              <w:top w:val="nil"/>
              <w:left w:val="single" w:sz="8" w:space="0" w:color="auto"/>
              <w:bottom w:val="single" w:sz="8" w:space="0" w:color="auto"/>
              <w:right w:val="single" w:sz="8" w:space="0" w:color="auto"/>
            </w:tcBorders>
            <w:vAlign w:val="center"/>
            <w:hideMark/>
          </w:tcPr>
          <w:p w:rsidR="00E20E0A" w:rsidRPr="00E20E0A" w:rsidP="00E20E0A" w14:paraId="2D8C791D" w14:textId="77777777">
            <w:pPr>
              <w:widowControl/>
              <w:rPr>
                <w:rFonts w:ascii="Times New Roman" w:hAnsi="Times New Roman"/>
                <w:snapToGrid/>
                <w:color w:val="000000"/>
                <w:sz w:val="20"/>
              </w:rPr>
            </w:pPr>
            <w:r w:rsidRPr="00E20E0A">
              <w:rPr>
                <w:rFonts w:ascii="Times New Roman" w:eastAsia="Source Sans Pro" w:hAnsi="Times New Roman"/>
                <w:snapToGrid/>
                <w:color w:val="000000"/>
                <w:sz w:val="20"/>
                <w:lang w:bidi="en-US"/>
              </w:rPr>
              <w:t>5. Section 351.4(b)(3)(i)(A) - Trading Desk Documentation (Mandatory)</w:t>
            </w:r>
          </w:p>
        </w:tc>
        <w:tc>
          <w:tcPr>
            <w:tcW w:w="1767" w:type="dxa"/>
            <w:tcBorders>
              <w:top w:val="nil"/>
              <w:left w:val="nil"/>
              <w:bottom w:val="single" w:sz="8" w:space="0" w:color="auto"/>
              <w:right w:val="single" w:sz="8" w:space="0" w:color="auto"/>
            </w:tcBorders>
            <w:vAlign w:val="center"/>
            <w:hideMark/>
          </w:tcPr>
          <w:p w:rsidR="00E20E0A" w:rsidRPr="00E20E0A" w:rsidP="00E20E0A" w14:paraId="010F18FE" w14:textId="77777777">
            <w:pPr>
              <w:widowControl/>
              <w:jc w:val="center"/>
              <w:rPr>
                <w:rFonts w:ascii="Times New Roman" w:hAnsi="Times New Roman"/>
                <w:snapToGrid/>
                <w:color w:val="000000"/>
                <w:sz w:val="20"/>
              </w:rPr>
            </w:pPr>
            <w:r w:rsidRPr="00E20E0A">
              <w:rPr>
                <w:rFonts w:ascii="Times New Roman" w:hAnsi="Times New Roman"/>
                <w:snapToGrid/>
                <w:color w:val="000000"/>
                <w:sz w:val="20"/>
              </w:rPr>
              <w:t xml:space="preserve">Recordkeeping </w:t>
            </w:r>
            <w:r w:rsidRPr="00E20E0A">
              <w:rPr>
                <w:rFonts w:ascii="Times New Roman" w:hAnsi="Times New Roman"/>
                <w:snapToGrid/>
                <w:color w:val="000000"/>
                <w:sz w:val="20"/>
              </w:rPr>
              <w:br/>
              <w:t>(On occasion)</w:t>
            </w:r>
          </w:p>
        </w:tc>
        <w:tc>
          <w:tcPr>
            <w:tcW w:w="1313" w:type="dxa"/>
            <w:tcBorders>
              <w:top w:val="nil"/>
              <w:left w:val="nil"/>
              <w:bottom w:val="single" w:sz="8" w:space="0" w:color="auto"/>
              <w:right w:val="single" w:sz="8" w:space="0" w:color="auto"/>
            </w:tcBorders>
            <w:noWrap/>
            <w:vAlign w:val="center"/>
            <w:hideMark/>
          </w:tcPr>
          <w:p w:rsidR="00E20E0A" w:rsidRPr="00E20E0A" w:rsidP="00E20E0A" w14:paraId="3B3E7861" w14:textId="77777777">
            <w:pPr>
              <w:widowControl/>
              <w:jc w:val="right"/>
              <w:rPr>
                <w:rFonts w:ascii="Times New Roman" w:hAnsi="Times New Roman"/>
                <w:snapToGrid/>
                <w:color w:val="000000"/>
                <w:sz w:val="20"/>
              </w:rPr>
            </w:pPr>
            <w:r w:rsidRPr="00E20E0A">
              <w:rPr>
                <w:rFonts w:ascii="Times New Roman" w:hAnsi="Times New Roman"/>
                <w:snapToGrid/>
                <w:color w:val="000000"/>
                <w:sz w:val="20"/>
              </w:rPr>
              <w:t>7</w:t>
            </w:r>
          </w:p>
        </w:tc>
        <w:tc>
          <w:tcPr>
            <w:tcW w:w="1720" w:type="dxa"/>
            <w:tcBorders>
              <w:top w:val="nil"/>
              <w:left w:val="nil"/>
              <w:bottom w:val="single" w:sz="8" w:space="0" w:color="auto"/>
              <w:right w:val="single" w:sz="8" w:space="0" w:color="auto"/>
            </w:tcBorders>
            <w:noWrap/>
            <w:vAlign w:val="center"/>
            <w:hideMark/>
          </w:tcPr>
          <w:p w:rsidR="00E20E0A" w:rsidRPr="00E20E0A" w:rsidP="00E20E0A" w14:paraId="669CEC3E" w14:textId="77777777">
            <w:pPr>
              <w:widowControl/>
              <w:jc w:val="right"/>
              <w:rPr>
                <w:rFonts w:ascii="Times New Roman" w:hAnsi="Times New Roman"/>
                <w:snapToGrid/>
                <w:color w:val="000000"/>
                <w:sz w:val="20"/>
              </w:rPr>
            </w:pPr>
            <w:r w:rsidRPr="00E20E0A">
              <w:rPr>
                <w:rFonts w:ascii="Times New Roman" w:hAnsi="Times New Roman"/>
                <w:snapToGrid/>
                <w:color w:val="000000"/>
                <w:sz w:val="20"/>
              </w:rPr>
              <w:t>4</w:t>
            </w:r>
          </w:p>
        </w:tc>
        <w:tc>
          <w:tcPr>
            <w:tcW w:w="1120" w:type="dxa"/>
            <w:tcBorders>
              <w:top w:val="nil"/>
              <w:left w:val="nil"/>
              <w:bottom w:val="single" w:sz="8" w:space="0" w:color="auto"/>
              <w:right w:val="nil"/>
            </w:tcBorders>
            <w:vAlign w:val="center"/>
            <w:hideMark/>
          </w:tcPr>
          <w:p w:rsidR="00E20E0A" w:rsidRPr="00E20E0A" w:rsidP="00E20E0A" w14:paraId="2D1FE502" w14:textId="77777777">
            <w:pPr>
              <w:widowControl/>
              <w:jc w:val="right"/>
              <w:rPr>
                <w:rFonts w:ascii="Times New Roman" w:hAnsi="Times New Roman"/>
                <w:snapToGrid/>
                <w:color w:val="000000"/>
                <w:sz w:val="20"/>
              </w:rPr>
            </w:pPr>
            <w:r w:rsidRPr="00E20E0A">
              <w:rPr>
                <w:rFonts w:ascii="Times New Roman" w:hAnsi="Times New Roman"/>
                <w:snapToGrid/>
                <w:color w:val="000000"/>
                <w:sz w:val="20"/>
              </w:rPr>
              <w:t>2:00</w:t>
            </w:r>
          </w:p>
        </w:tc>
        <w:tc>
          <w:tcPr>
            <w:tcW w:w="1160" w:type="dxa"/>
            <w:tcBorders>
              <w:top w:val="nil"/>
              <w:left w:val="single" w:sz="8" w:space="0" w:color="auto"/>
              <w:bottom w:val="single" w:sz="8" w:space="0" w:color="auto"/>
              <w:right w:val="single" w:sz="8" w:space="0" w:color="auto"/>
            </w:tcBorders>
            <w:noWrap/>
            <w:vAlign w:val="center"/>
            <w:hideMark/>
          </w:tcPr>
          <w:p w:rsidR="00E20E0A" w:rsidRPr="00E20E0A" w:rsidP="00E20E0A" w14:paraId="3BA15970" w14:textId="77777777">
            <w:pPr>
              <w:widowControl/>
              <w:jc w:val="right"/>
              <w:rPr>
                <w:rFonts w:ascii="Times New Roman" w:hAnsi="Times New Roman"/>
                <w:snapToGrid/>
                <w:color w:val="000000"/>
                <w:sz w:val="20"/>
              </w:rPr>
            </w:pPr>
            <w:r w:rsidRPr="00E20E0A">
              <w:rPr>
                <w:rFonts w:ascii="Times New Roman" w:hAnsi="Times New Roman"/>
                <w:snapToGrid/>
                <w:color w:val="000000"/>
                <w:sz w:val="20"/>
              </w:rPr>
              <w:t>56</w:t>
            </w:r>
          </w:p>
        </w:tc>
      </w:tr>
      <w:tr w14:paraId="71E65F4D" w14:textId="77777777" w:rsidTr="00951D20">
        <w:tblPrEx>
          <w:tblW w:w="9620" w:type="dxa"/>
          <w:tblLook w:val="04A0"/>
        </w:tblPrEx>
        <w:trPr>
          <w:trHeight w:val="840"/>
        </w:trPr>
        <w:tc>
          <w:tcPr>
            <w:tcW w:w="2540" w:type="dxa"/>
            <w:tcBorders>
              <w:top w:val="nil"/>
              <w:left w:val="single" w:sz="8" w:space="0" w:color="auto"/>
              <w:bottom w:val="single" w:sz="8" w:space="0" w:color="auto"/>
              <w:right w:val="single" w:sz="8" w:space="0" w:color="auto"/>
            </w:tcBorders>
            <w:vAlign w:val="center"/>
            <w:hideMark/>
          </w:tcPr>
          <w:p w:rsidR="00E20E0A" w:rsidRPr="00E20E0A" w:rsidP="00E20E0A" w14:paraId="3437B1FD" w14:textId="77777777">
            <w:pPr>
              <w:widowControl/>
              <w:rPr>
                <w:rFonts w:ascii="Times New Roman" w:hAnsi="Times New Roman"/>
                <w:snapToGrid/>
                <w:color w:val="000000"/>
                <w:sz w:val="20"/>
              </w:rPr>
            </w:pPr>
            <w:r w:rsidRPr="00E20E0A">
              <w:rPr>
                <w:rFonts w:ascii="Times New Roman" w:eastAsia="Source Sans Pro" w:hAnsi="Times New Roman"/>
                <w:snapToGrid/>
                <w:color w:val="000000"/>
                <w:sz w:val="20"/>
                <w:lang w:bidi="en-US"/>
              </w:rPr>
              <w:t>6. Section 351.4(c)(3)(i) - Limit Breaches and Increases (Mandatory)</w:t>
            </w:r>
          </w:p>
        </w:tc>
        <w:tc>
          <w:tcPr>
            <w:tcW w:w="1767" w:type="dxa"/>
            <w:tcBorders>
              <w:top w:val="nil"/>
              <w:left w:val="nil"/>
              <w:bottom w:val="single" w:sz="8" w:space="0" w:color="auto"/>
              <w:right w:val="single" w:sz="8" w:space="0" w:color="auto"/>
            </w:tcBorders>
            <w:vAlign w:val="center"/>
            <w:hideMark/>
          </w:tcPr>
          <w:p w:rsidR="00E20E0A" w:rsidRPr="00E20E0A" w:rsidP="00E20E0A" w14:paraId="57B40E80" w14:textId="77777777">
            <w:pPr>
              <w:widowControl/>
              <w:jc w:val="center"/>
              <w:rPr>
                <w:rFonts w:ascii="Times New Roman" w:hAnsi="Times New Roman"/>
                <w:snapToGrid/>
                <w:color w:val="000000"/>
                <w:sz w:val="20"/>
              </w:rPr>
            </w:pPr>
            <w:r w:rsidRPr="00E20E0A">
              <w:rPr>
                <w:rFonts w:ascii="Times New Roman" w:hAnsi="Times New Roman"/>
                <w:snapToGrid/>
                <w:color w:val="000000"/>
                <w:sz w:val="20"/>
              </w:rPr>
              <w:t xml:space="preserve">Recordkeeping </w:t>
            </w:r>
            <w:r w:rsidRPr="00E20E0A">
              <w:rPr>
                <w:rFonts w:ascii="Times New Roman" w:hAnsi="Times New Roman"/>
                <w:snapToGrid/>
                <w:color w:val="000000"/>
                <w:sz w:val="20"/>
              </w:rPr>
              <w:br/>
              <w:t>(On occasion)</w:t>
            </w:r>
          </w:p>
        </w:tc>
        <w:tc>
          <w:tcPr>
            <w:tcW w:w="1313" w:type="dxa"/>
            <w:tcBorders>
              <w:top w:val="nil"/>
              <w:left w:val="nil"/>
              <w:bottom w:val="single" w:sz="8" w:space="0" w:color="auto"/>
              <w:right w:val="single" w:sz="8" w:space="0" w:color="auto"/>
            </w:tcBorders>
            <w:noWrap/>
            <w:vAlign w:val="center"/>
            <w:hideMark/>
          </w:tcPr>
          <w:p w:rsidR="00E20E0A" w:rsidRPr="00E20E0A" w:rsidP="00E20E0A" w14:paraId="319D2B4E" w14:textId="77777777">
            <w:pPr>
              <w:widowControl/>
              <w:jc w:val="right"/>
              <w:rPr>
                <w:rFonts w:ascii="Times New Roman" w:hAnsi="Times New Roman"/>
                <w:snapToGrid/>
                <w:color w:val="000000"/>
                <w:sz w:val="20"/>
              </w:rPr>
            </w:pPr>
            <w:r w:rsidRPr="00E20E0A">
              <w:rPr>
                <w:rFonts w:ascii="Times New Roman" w:hAnsi="Times New Roman"/>
                <w:snapToGrid/>
                <w:color w:val="000000"/>
                <w:sz w:val="20"/>
              </w:rPr>
              <w:t>7</w:t>
            </w:r>
          </w:p>
        </w:tc>
        <w:tc>
          <w:tcPr>
            <w:tcW w:w="1720" w:type="dxa"/>
            <w:tcBorders>
              <w:top w:val="nil"/>
              <w:left w:val="nil"/>
              <w:bottom w:val="single" w:sz="8" w:space="0" w:color="auto"/>
              <w:right w:val="single" w:sz="8" w:space="0" w:color="auto"/>
            </w:tcBorders>
            <w:noWrap/>
            <w:vAlign w:val="center"/>
            <w:hideMark/>
          </w:tcPr>
          <w:p w:rsidR="00E20E0A" w:rsidRPr="00E20E0A" w:rsidP="00E20E0A" w14:paraId="75930AE7" w14:textId="77777777">
            <w:pPr>
              <w:widowControl/>
              <w:jc w:val="right"/>
              <w:rPr>
                <w:rFonts w:ascii="Times New Roman" w:hAnsi="Times New Roman"/>
                <w:snapToGrid/>
                <w:color w:val="000000"/>
                <w:sz w:val="20"/>
              </w:rPr>
            </w:pPr>
            <w:r w:rsidRPr="00E20E0A">
              <w:rPr>
                <w:rFonts w:ascii="Times New Roman" w:hAnsi="Times New Roman"/>
                <w:snapToGrid/>
                <w:color w:val="000000"/>
                <w:sz w:val="20"/>
              </w:rPr>
              <w:t>40</w:t>
            </w:r>
          </w:p>
        </w:tc>
        <w:tc>
          <w:tcPr>
            <w:tcW w:w="1120" w:type="dxa"/>
            <w:tcBorders>
              <w:top w:val="nil"/>
              <w:left w:val="nil"/>
              <w:bottom w:val="single" w:sz="8" w:space="0" w:color="auto"/>
              <w:right w:val="nil"/>
            </w:tcBorders>
            <w:vAlign w:val="center"/>
            <w:hideMark/>
          </w:tcPr>
          <w:p w:rsidR="00E20E0A" w:rsidRPr="00E20E0A" w:rsidP="00E20E0A" w14:paraId="25162945" w14:textId="77777777">
            <w:pPr>
              <w:widowControl/>
              <w:jc w:val="right"/>
              <w:rPr>
                <w:rFonts w:ascii="Times New Roman" w:hAnsi="Times New Roman"/>
                <w:snapToGrid/>
                <w:color w:val="000000"/>
                <w:sz w:val="20"/>
              </w:rPr>
            </w:pPr>
            <w:r w:rsidRPr="00E20E0A">
              <w:rPr>
                <w:rFonts w:ascii="Times New Roman" w:hAnsi="Times New Roman"/>
                <w:snapToGrid/>
                <w:color w:val="000000"/>
                <w:sz w:val="20"/>
              </w:rPr>
              <w:t>00:15</w:t>
            </w:r>
          </w:p>
        </w:tc>
        <w:tc>
          <w:tcPr>
            <w:tcW w:w="1160" w:type="dxa"/>
            <w:tcBorders>
              <w:top w:val="nil"/>
              <w:left w:val="single" w:sz="8" w:space="0" w:color="auto"/>
              <w:bottom w:val="single" w:sz="8" w:space="0" w:color="auto"/>
              <w:right w:val="single" w:sz="8" w:space="0" w:color="auto"/>
            </w:tcBorders>
            <w:noWrap/>
            <w:vAlign w:val="center"/>
            <w:hideMark/>
          </w:tcPr>
          <w:p w:rsidR="00E20E0A" w:rsidRPr="00E20E0A" w:rsidP="00E20E0A" w14:paraId="5E39FE87" w14:textId="77777777">
            <w:pPr>
              <w:widowControl/>
              <w:jc w:val="right"/>
              <w:rPr>
                <w:rFonts w:ascii="Times New Roman" w:hAnsi="Times New Roman"/>
                <w:snapToGrid/>
                <w:color w:val="000000"/>
                <w:sz w:val="20"/>
              </w:rPr>
            </w:pPr>
            <w:r w:rsidRPr="00E20E0A">
              <w:rPr>
                <w:rFonts w:ascii="Times New Roman" w:hAnsi="Times New Roman"/>
                <w:snapToGrid/>
                <w:color w:val="000000"/>
                <w:sz w:val="20"/>
              </w:rPr>
              <w:t>70</w:t>
            </w:r>
          </w:p>
        </w:tc>
      </w:tr>
      <w:tr w14:paraId="7FE47D50" w14:textId="77777777" w:rsidTr="00951D20">
        <w:tblPrEx>
          <w:tblW w:w="9620" w:type="dxa"/>
          <w:tblLook w:val="04A0"/>
        </w:tblPrEx>
        <w:trPr>
          <w:trHeight w:val="840"/>
        </w:trPr>
        <w:tc>
          <w:tcPr>
            <w:tcW w:w="2540" w:type="dxa"/>
            <w:tcBorders>
              <w:top w:val="nil"/>
              <w:left w:val="single" w:sz="8" w:space="0" w:color="auto"/>
              <w:bottom w:val="single" w:sz="8" w:space="0" w:color="auto"/>
              <w:right w:val="single" w:sz="8" w:space="0" w:color="auto"/>
            </w:tcBorders>
            <w:vAlign w:val="center"/>
            <w:hideMark/>
          </w:tcPr>
          <w:p w:rsidR="00E20E0A" w:rsidRPr="00E20E0A" w:rsidP="00E20E0A" w14:paraId="2DE2FA25" w14:textId="77777777">
            <w:pPr>
              <w:widowControl/>
              <w:rPr>
                <w:rFonts w:ascii="Times New Roman" w:hAnsi="Times New Roman"/>
                <w:snapToGrid/>
                <w:color w:val="000000"/>
                <w:sz w:val="20"/>
              </w:rPr>
            </w:pPr>
            <w:r w:rsidRPr="00E20E0A">
              <w:rPr>
                <w:rFonts w:ascii="Times New Roman" w:eastAsia="Source Sans Pro" w:hAnsi="Times New Roman"/>
                <w:snapToGrid/>
                <w:color w:val="000000"/>
                <w:sz w:val="20"/>
                <w:lang w:bidi="en-US"/>
              </w:rPr>
              <w:t>7. Section 351.5(c) - Hedging Instruments Documentation (Mandatory)</w:t>
            </w:r>
          </w:p>
        </w:tc>
        <w:tc>
          <w:tcPr>
            <w:tcW w:w="1767" w:type="dxa"/>
            <w:tcBorders>
              <w:top w:val="nil"/>
              <w:left w:val="nil"/>
              <w:bottom w:val="single" w:sz="8" w:space="0" w:color="auto"/>
              <w:right w:val="single" w:sz="8" w:space="0" w:color="auto"/>
            </w:tcBorders>
            <w:vAlign w:val="center"/>
            <w:hideMark/>
          </w:tcPr>
          <w:p w:rsidR="00E20E0A" w:rsidRPr="00E20E0A" w:rsidP="00E20E0A" w14:paraId="77A329F1" w14:textId="77777777">
            <w:pPr>
              <w:widowControl/>
              <w:jc w:val="center"/>
              <w:rPr>
                <w:rFonts w:ascii="Times New Roman" w:hAnsi="Times New Roman"/>
                <w:snapToGrid/>
                <w:color w:val="000000"/>
                <w:sz w:val="20"/>
              </w:rPr>
            </w:pPr>
            <w:r w:rsidRPr="00E20E0A">
              <w:rPr>
                <w:rFonts w:ascii="Times New Roman" w:hAnsi="Times New Roman"/>
                <w:snapToGrid/>
                <w:color w:val="000000"/>
                <w:sz w:val="20"/>
              </w:rPr>
              <w:t xml:space="preserve">Recordkeeping </w:t>
            </w:r>
            <w:r w:rsidRPr="00E20E0A">
              <w:rPr>
                <w:rFonts w:ascii="Times New Roman" w:hAnsi="Times New Roman"/>
                <w:snapToGrid/>
                <w:color w:val="000000"/>
                <w:sz w:val="20"/>
              </w:rPr>
              <w:br/>
              <w:t>(On occasion)</w:t>
            </w:r>
          </w:p>
        </w:tc>
        <w:tc>
          <w:tcPr>
            <w:tcW w:w="1313" w:type="dxa"/>
            <w:tcBorders>
              <w:top w:val="nil"/>
              <w:left w:val="nil"/>
              <w:bottom w:val="single" w:sz="8" w:space="0" w:color="auto"/>
              <w:right w:val="single" w:sz="8" w:space="0" w:color="auto"/>
            </w:tcBorders>
            <w:noWrap/>
            <w:vAlign w:val="center"/>
            <w:hideMark/>
          </w:tcPr>
          <w:p w:rsidR="00E20E0A" w:rsidRPr="00E20E0A" w:rsidP="00E20E0A" w14:paraId="498CEDD9" w14:textId="77777777">
            <w:pPr>
              <w:widowControl/>
              <w:jc w:val="right"/>
              <w:rPr>
                <w:rFonts w:ascii="Times New Roman" w:hAnsi="Times New Roman"/>
                <w:snapToGrid/>
                <w:color w:val="000000"/>
                <w:sz w:val="20"/>
              </w:rPr>
            </w:pPr>
            <w:r w:rsidRPr="00E20E0A">
              <w:rPr>
                <w:rFonts w:ascii="Times New Roman" w:hAnsi="Times New Roman"/>
                <w:snapToGrid/>
                <w:color w:val="000000"/>
                <w:sz w:val="20"/>
              </w:rPr>
              <w:t>2</w:t>
            </w:r>
          </w:p>
        </w:tc>
        <w:tc>
          <w:tcPr>
            <w:tcW w:w="1720" w:type="dxa"/>
            <w:tcBorders>
              <w:top w:val="nil"/>
              <w:left w:val="nil"/>
              <w:bottom w:val="single" w:sz="8" w:space="0" w:color="auto"/>
              <w:right w:val="single" w:sz="8" w:space="0" w:color="auto"/>
            </w:tcBorders>
            <w:noWrap/>
            <w:vAlign w:val="center"/>
            <w:hideMark/>
          </w:tcPr>
          <w:p w:rsidR="00E20E0A" w:rsidRPr="00E20E0A" w:rsidP="00E20E0A" w14:paraId="3E8D7BDE" w14:textId="77777777">
            <w:pPr>
              <w:widowControl/>
              <w:jc w:val="right"/>
              <w:rPr>
                <w:rFonts w:ascii="Times New Roman" w:hAnsi="Times New Roman"/>
                <w:snapToGrid/>
                <w:color w:val="000000"/>
                <w:sz w:val="20"/>
              </w:rPr>
            </w:pPr>
            <w:r w:rsidRPr="00E20E0A">
              <w:rPr>
                <w:rFonts w:ascii="Times New Roman" w:hAnsi="Times New Roman"/>
                <w:snapToGrid/>
                <w:color w:val="000000"/>
                <w:sz w:val="20"/>
              </w:rPr>
              <w:t>1</w:t>
            </w:r>
          </w:p>
        </w:tc>
        <w:tc>
          <w:tcPr>
            <w:tcW w:w="1120" w:type="dxa"/>
            <w:tcBorders>
              <w:top w:val="nil"/>
              <w:left w:val="nil"/>
              <w:bottom w:val="single" w:sz="8" w:space="0" w:color="auto"/>
              <w:right w:val="nil"/>
            </w:tcBorders>
            <w:vAlign w:val="center"/>
            <w:hideMark/>
          </w:tcPr>
          <w:p w:rsidR="00E20E0A" w:rsidRPr="00E20E0A" w:rsidP="00E20E0A" w14:paraId="54D5CBEA" w14:textId="77777777">
            <w:pPr>
              <w:widowControl/>
              <w:jc w:val="right"/>
              <w:rPr>
                <w:rFonts w:ascii="Times New Roman" w:hAnsi="Times New Roman"/>
                <w:snapToGrid/>
                <w:color w:val="000000"/>
                <w:sz w:val="20"/>
              </w:rPr>
            </w:pPr>
            <w:r w:rsidRPr="00E20E0A">
              <w:rPr>
                <w:rFonts w:ascii="Times New Roman" w:hAnsi="Times New Roman"/>
                <w:snapToGrid/>
                <w:color w:val="000000"/>
                <w:sz w:val="20"/>
              </w:rPr>
              <w:t>80:00</w:t>
            </w:r>
          </w:p>
        </w:tc>
        <w:tc>
          <w:tcPr>
            <w:tcW w:w="1160" w:type="dxa"/>
            <w:tcBorders>
              <w:top w:val="nil"/>
              <w:left w:val="single" w:sz="8" w:space="0" w:color="auto"/>
              <w:bottom w:val="single" w:sz="8" w:space="0" w:color="auto"/>
              <w:right w:val="single" w:sz="8" w:space="0" w:color="auto"/>
            </w:tcBorders>
            <w:noWrap/>
            <w:vAlign w:val="center"/>
            <w:hideMark/>
          </w:tcPr>
          <w:p w:rsidR="00E20E0A" w:rsidRPr="00E20E0A" w:rsidP="00E20E0A" w14:paraId="28FCA8CD" w14:textId="77777777">
            <w:pPr>
              <w:widowControl/>
              <w:jc w:val="right"/>
              <w:rPr>
                <w:rFonts w:ascii="Times New Roman" w:hAnsi="Times New Roman"/>
                <w:snapToGrid/>
                <w:color w:val="000000"/>
                <w:sz w:val="20"/>
              </w:rPr>
            </w:pPr>
            <w:r w:rsidRPr="00E20E0A">
              <w:rPr>
                <w:rFonts w:ascii="Times New Roman" w:hAnsi="Times New Roman"/>
                <w:snapToGrid/>
                <w:color w:val="000000"/>
                <w:sz w:val="20"/>
              </w:rPr>
              <w:t>160</w:t>
            </w:r>
          </w:p>
        </w:tc>
      </w:tr>
      <w:tr w14:paraId="31A43701" w14:textId="77777777" w:rsidTr="00951D20">
        <w:tblPrEx>
          <w:tblW w:w="9620" w:type="dxa"/>
          <w:tblLook w:val="04A0"/>
        </w:tblPrEx>
        <w:trPr>
          <w:trHeight w:val="1116"/>
        </w:trPr>
        <w:tc>
          <w:tcPr>
            <w:tcW w:w="2540" w:type="dxa"/>
            <w:tcBorders>
              <w:top w:val="nil"/>
              <w:left w:val="single" w:sz="8" w:space="0" w:color="auto"/>
              <w:bottom w:val="single" w:sz="8" w:space="0" w:color="auto"/>
              <w:right w:val="single" w:sz="8" w:space="0" w:color="auto"/>
            </w:tcBorders>
            <w:vAlign w:val="center"/>
            <w:hideMark/>
          </w:tcPr>
          <w:p w:rsidR="00E20E0A" w:rsidRPr="00E20E0A" w:rsidP="00E20E0A" w14:paraId="7BA852C8" w14:textId="77777777">
            <w:pPr>
              <w:widowControl/>
              <w:rPr>
                <w:rFonts w:ascii="Times New Roman" w:hAnsi="Times New Roman"/>
                <w:snapToGrid/>
                <w:color w:val="000000"/>
                <w:sz w:val="20"/>
              </w:rPr>
            </w:pPr>
            <w:r w:rsidRPr="00E20E0A">
              <w:rPr>
                <w:rFonts w:ascii="Times New Roman" w:eastAsia="Source Sans Pro" w:hAnsi="Times New Roman"/>
                <w:snapToGrid/>
                <w:color w:val="000000"/>
                <w:sz w:val="20"/>
                <w:lang w:bidi="en-US"/>
              </w:rPr>
              <w:t>8. Section 351.10(c)(18)(ii)(C)(1) - Customer facilitation vehicles (Mandatory)</w:t>
            </w:r>
          </w:p>
        </w:tc>
        <w:tc>
          <w:tcPr>
            <w:tcW w:w="1767" w:type="dxa"/>
            <w:tcBorders>
              <w:top w:val="nil"/>
              <w:left w:val="nil"/>
              <w:bottom w:val="single" w:sz="8" w:space="0" w:color="auto"/>
              <w:right w:val="single" w:sz="8" w:space="0" w:color="auto"/>
            </w:tcBorders>
            <w:vAlign w:val="center"/>
            <w:hideMark/>
          </w:tcPr>
          <w:p w:rsidR="00E20E0A" w:rsidRPr="00E20E0A" w:rsidP="00E20E0A" w14:paraId="037CB214" w14:textId="77777777">
            <w:pPr>
              <w:widowControl/>
              <w:jc w:val="center"/>
              <w:rPr>
                <w:rFonts w:ascii="Times New Roman" w:hAnsi="Times New Roman"/>
                <w:snapToGrid/>
                <w:color w:val="000000"/>
                <w:sz w:val="20"/>
              </w:rPr>
            </w:pPr>
            <w:r w:rsidRPr="00E20E0A">
              <w:rPr>
                <w:rFonts w:ascii="Times New Roman" w:hAnsi="Times New Roman"/>
                <w:snapToGrid/>
                <w:color w:val="000000"/>
                <w:sz w:val="20"/>
              </w:rPr>
              <w:t xml:space="preserve">Recordkeeping </w:t>
            </w:r>
            <w:r w:rsidRPr="00E20E0A">
              <w:rPr>
                <w:rFonts w:ascii="Times New Roman" w:hAnsi="Times New Roman"/>
                <w:snapToGrid/>
                <w:color w:val="000000"/>
                <w:sz w:val="20"/>
              </w:rPr>
              <w:br/>
              <w:t>(On occasion)</w:t>
            </w:r>
          </w:p>
        </w:tc>
        <w:tc>
          <w:tcPr>
            <w:tcW w:w="1313" w:type="dxa"/>
            <w:tcBorders>
              <w:top w:val="nil"/>
              <w:left w:val="nil"/>
              <w:bottom w:val="single" w:sz="8" w:space="0" w:color="auto"/>
              <w:right w:val="single" w:sz="8" w:space="0" w:color="auto"/>
            </w:tcBorders>
            <w:noWrap/>
            <w:vAlign w:val="center"/>
            <w:hideMark/>
          </w:tcPr>
          <w:p w:rsidR="00E20E0A" w:rsidRPr="00E20E0A" w:rsidP="00E20E0A" w14:paraId="61C860A3" w14:textId="77777777">
            <w:pPr>
              <w:widowControl/>
              <w:jc w:val="right"/>
              <w:rPr>
                <w:rFonts w:ascii="Times New Roman" w:hAnsi="Times New Roman"/>
                <w:snapToGrid/>
                <w:color w:val="000000"/>
                <w:sz w:val="20"/>
              </w:rPr>
            </w:pPr>
            <w:r w:rsidRPr="00E20E0A">
              <w:rPr>
                <w:rFonts w:ascii="Times New Roman" w:hAnsi="Times New Roman"/>
                <w:snapToGrid/>
                <w:color w:val="000000"/>
                <w:sz w:val="20"/>
              </w:rPr>
              <w:t>7</w:t>
            </w:r>
          </w:p>
        </w:tc>
        <w:tc>
          <w:tcPr>
            <w:tcW w:w="1720" w:type="dxa"/>
            <w:tcBorders>
              <w:top w:val="nil"/>
              <w:left w:val="nil"/>
              <w:bottom w:val="single" w:sz="8" w:space="0" w:color="auto"/>
              <w:right w:val="single" w:sz="8" w:space="0" w:color="auto"/>
            </w:tcBorders>
            <w:noWrap/>
            <w:vAlign w:val="center"/>
            <w:hideMark/>
          </w:tcPr>
          <w:p w:rsidR="00E20E0A" w:rsidRPr="00E20E0A" w:rsidP="00E20E0A" w14:paraId="5F302FF8" w14:textId="77777777">
            <w:pPr>
              <w:widowControl/>
              <w:jc w:val="right"/>
              <w:rPr>
                <w:rFonts w:ascii="Times New Roman" w:hAnsi="Times New Roman"/>
                <w:snapToGrid/>
                <w:color w:val="000000"/>
                <w:sz w:val="20"/>
              </w:rPr>
            </w:pPr>
            <w:r w:rsidRPr="00E20E0A">
              <w:rPr>
                <w:rFonts w:ascii="Times New Roman" w:hAnsi="Times New Roman"/>
                <w:snapToGrid/>
                <w:color w:val="000000"/>
                <w:sz w:val="20"/>
              </w:rPr>
              <w:t>1</w:t>
            </w:r>
          </w:p>
        </w:tc>
        <w:tc>
          <w:tcPr>
            <w:tcW w:w="1120" w:type="dxa"/>
            <w:tcBorders>
              <w:top w:val="nil"/>
              <w:left w:val="nil"/>
              <w:bottom w:val="single" w:sz="8" w:space="0" w:color="auto"/>
              <w:right w:val="nil"/>
            </w:tcBorders>
            <w:vAlign w:val="center"/>
            <w:hideMark/>
          </w:tcPr>
          <w:p w:rsidR="00E20E0A" w:rsidRPr="00E20E0A" w:rsidP="00E20E0A" w14:paraId="56AD265E" w14:textId="77777777">
            <w:pPr>
              <w:widowControl/>
              <w:jc w:val="right"/>
              <w:rPr>
                <w:rFonts w:ascii="Times New Roman" w:hAnsi="Times New Roman"/>
                <w:snapToGrid/>
                <w:color w:val="000000"/>
                <w:sz w:val="20"/>
              </w:rPr>
            </w:pPr>
            <w:r w:rsidRPr="00E20E0A">
              <w:rPr>
                <w:rFonts w:ascii="Times New Roman" w:hAnsi="Times New Roman"/>
                <w:snapToGrid/>
                <w:color w:val="000000"/>
                <w:sz w:val="20"/>
              </w:rPr>
              <w:t>10:00</w:t>
            </w:r>
          </w:p>
        </w:tc>
        <w:tc>
          <w:tcPr>
            <w:tcW w:w="1160" w:type="dxa"/>
            <w:tcBorders>
              <w:top w:val="nil"/>
              <w:left w:val="single" w:sz="8" w:space="0" w:color="auto"/>
              <w:bottom w:val="single" w:sz="8" w:space="0" w:color="auto"/>
              <w:right w:val="single" w:sz="8" w:space="0" w:color="auto"/>
            </w:tcBorders>
            <w:noWrap/>
            <w:vAlign w:val="center"/>
            <w:hideMark/>
          </w:tcPr>
          <w:p w:rsidR="00E20E0A" w:rsidRPr="00E20E0A" w:rsidP="00E20E0A" w14:paraId="4BA5C5DB" w14:textId="77777777">
            <w:pPr>
              <w:widowControl/>
              <w:jc w:val="right"/>
              <w:rPr>
                <w:rFonts w:ascii="Times New Roman" w:hAnsi="Times New Roman"/>
                <w:snapToGrid/>
                <w:color w:val="000000"/>
                <w:sz w:val="20"/>
              </w:rPr>
            </w:pPr>
            <w:r w:rsidRPr="00E20E0A">
              <w:rPr>
                <w:rFonts w:ascii="Times New Roman" w:hAnsi="Times New Roman"/>
                <w:snapToGrid/>
                <w:color w:val="000000"/>
                <w:sz w:val="20"/>
              </w:rPr>
              <w:t>70</w:t>
            </w:r>
          </w:p>
        </w:tc>
      </w:tr>
      <w:tr w14:paraId="07A3F950" w14:textId="77777777" w:rsidTr="00951D20">
        <w:tblPrEx>
          <w:tblW w:w="9620" w:type="dxa"/>
          <w:tblLook w:val="04A0"/>
        </w:tblPrEx>
        <w:trPr>
          <w:trHeight w:val="1116"/>
        </w:trPr>
        <w:tc>
          <w:tcPr>
            <w:tcW w:w="2540" w:type="dxa"/>
            <w:tcBorders>
              <w:top w:val="nil"/>
              <w:left w:val="single" w:sz="8" w:space="0" w:color="auto"/>
              <w:bottom w:val="single" w:sz="8" w:space="0" w:color="auto"/>
              <w:right w:val="single" w:sz="8" w:space="0" w:color="auto"/>
            </w:tcBorders>
            <w:vAlign w:val="center"/>
            <w:hideMark/>
          </w:tcPr>
          <w:p w:rsidR="00E20E0A" w:rsidRPr="00E20E0A" w:rsidP="00E20E0A" w14:paraId="03DEF00B" w14:textId="77777777">
            <w:pPr>
              <w:widowControl/>
              <w:rPr>
                <w:rFonts w:ascii="Times New Roman" w:hAnsi="Times New Roman"/>
                <w:snapToGrid/>
                <w:color w:val="000000"/>
                <w:sz w:val="20"/>
              </w:rPr>
            </w:pPr>
            <w:r w:rsidRPr="00E20E0A">
              <w:rPr>
                <w:rFonts w:ascii="Times New Roman" w:eastAsia="Source Sans Pro" w:hAnsi="Times New Roman"/>
                <w:snapToGrid/>
                <w:color w:val="000000"/>
                <w:sz w:val="20"/>
                <w:lang w:bidi="en-US"/>
              </w:rPr>
              <w:t>9. Section 351.11(a)(2) - Documentation on advisory or related services to customers (Mandatory)</w:t>
            </w:r>
          </w:p>
        </w:tc>
        <w:tc>
          <w:tcPr>
            <w:tcW w:w="1767" w:type="dxa"/>
            <w:tcBorders>
              <w:top w:val="nil"/>
              <w:left w:val="nil"/>
              <w:bottom w:val="single" w:sz="8" w:space="0" w:color="auto"/>
              <w:right w:val="single" w:sz="8" w:space="0" w:color="auto"/>
            </w:tcBorders>
            <w:vAlign w:val="center"/>
            <w:hideMark/>
          </w:tcPr>
          <w:p w:rsidR="00E20E0A" w:rsidRPr="00E20E0A" w:rsidP="00E20E0A" w14:paraId="1AAB7ED6" w14:textId="77777777">
            <w:pPr>
              <w:widowControl/>
              <w:jc w:val="center"/>
              <w:rPr>
                <w:rFonts w:ascii="Times New Roman" w:hAnsi="Times New Roman"/>
                <w:snapToGrid/>
                <w:color w:val="000000"/>
                <w:sz w:val="20"/>
              </w:rPr>
            </w:pPr>
            <w:r w:rsidRPr="00E20E0A">
              <w:rPr>
                <w:rFonts w:ascii="Times New Roman" w:hAnsi="Times New Roman"/>
                <w:snapToGrid/>
                <w:color w:val="000000"/>
                <w:sz w:val="20"/>
              </w:rPr>
              <w:t xml:space="preserve">Recordkeeping </w:t>
            </w:r>
            <w:r w:rsidRPr="00E20E0A">
              <w:rPr>
                <w:rFonts w:ascii="Times New Roman" w:hAnsi="Times New Roman"/>
                <w:snapToGrid/>
                <w:color w:val="000000"/>
                <w:sz w:val="20"/>
              </w:rPr>
              <w:br/>
              <w:t>(On occasion)</w:t>
            </w:r>
          </w:p>
        </w:tc>
        <w:tc>
          <w:tcPr>
            <w:tcW w:w="1313" w:type="dxa"/>
            <w:tcBorders>
              <w:top w:val="nil"/>
              <w:left w:val="nil"/>
              <w:bottom w:val="single" w:sz="8" w:space="0" w:color="auto"/>
              <w:right w:val="single" w:sz="8" w:space="0" w:color="auto"/>
            </w:tcBorders>
            <w:noWrap/>
            <w:vAlign w:val="center"/>
            <w:hideMark/>
          </w:tcPr>
          <w:p w:rsidR="00E20E0A" w:rsidRPr="00E20E0A" w:rsidP="00E20E0A" w14:paraId="402D8AFE" w14:textId="77777777">
            <w:pPr>
              <w:widowControl/>
              <w:jc w:val="right"/>
              <w:rPr>
                <w:rFonts w:ascii="Times New Roman" w:hAnsi="Times New Roman"/>
                <w:snapToGrid/>
                <w:color w:val="000000"/>
                <w:sz w:val="20"/>
              </w:rPr>
            </w:pPr>
            <w:r w:rsidRPr="00E20E0A">
              <w:rPr>
                <w:rFonts w:ascii="Times New Roman" w:hAnsi="Times New Roman"/>
                <w:snapToGrid/>
                <w:color w:val="000000"/>
                <w:sz w:val="20"/>
              </w:rPr>
              <w:t>7</w:t>
            </w:r>
          </w:p>
        </w:tc>
        <w:tc>
          <w:tcPr>
            <w:tcW w:w="1720" w:type="dxa"/>
            <w:tcBorders>
              <w:top w:val="nil"/>
              <w:left w:val="nil"/>
              <w:bottom w:val="single" w:sz="8" w:space="0" w:color="auto"/>
              <w:right w:val="single" w:sz="8" w:space="0" w:color="auto"/>
            </w:tcBorders>
            <w:noWrap/>
            <w:vAlign w:val="center"/>
            <w:hideMark/>
          </w:tcPr>
          <w:p w:rsidR="00E20E0A" w:rsidRPr="00E20E0A" w:rsidP="00E20E0A" w14:paraId="2E3A1568" w14:textId="77777777">
            <w:pPr>
              <w:widowControl/>
              <w:jc w:val="right"/>
              <w:rPr>
                <w:rFonts w:ascii="Times New Roman" w:hAnsi="Times New Roman"/>
                <w:snapToGrid/>
                <w:color w:val="000000"/>
                <w:sz w:val="20"/>
              </w:rPr>
            </w:pPr>
            <w:r w:rsidRPr="00E20E0A">
              <w:rPr>
                <w:rFonts w:ascii="Times New Roman" w:hAnsi="Times New Roman"/>
                <w:snapToGrid/>
                <w:color w:val="000000"/>
                <w:sz w:val="20"/>
              </w:rPr>
              <w:t>1</w:t>
            </w:r>
          </w:p>
        </w:tc>
        <w:tc>
          <w:tcPr>
            <w:tcW w:w="1120" w:type="dxa"/>
            <w:tcBorders>
              <w:top w:val="nil"/>
              <w:left w:val="nil"/>
              <w:bottom w:val="single" w:sz="8" w:space="0" w:color="auto"/>
              <w:right w:val="nil"/>
            </w:tcBorders>
            <w:vAlign w:val="center"/>
            <w:hideMark/>
          </w:tcPr>
          <w:p w:rsidR="00E20E0A" w:rsidRPr="00E20E0A" w:rsidP="00E20E0A" w14:paraId="0553F62D" w14:textId="77777777">
            <w:pPr>
              <w:widowControl/>
              <w:jc w:val="right"/>
              <w:rPr>
                <w:rFonts w:ascii="Times New Roman" w:hAnsi="Times New Roman"/>
                <w:snapToGrid/>
                <w:color w:val="000000"/>
                <w:sz w:val="20"/>
              </w:rPr>
            </w:pPr>
            <w:r w:rsidRPr="00E20E0A">
              <w:rPr>
                <w:rFonts w:ascii="Times New Roman" w:hAnsi="Times New Roman"/>
                <w:snapToGrid/>
                <w:color w:val="000000"/>
                <w:sz w:val="20"/>
              </w:rPr>
              <w:t>10:00</w:t>
            </w:r>
          </w:p>
        </w:tc>
        <w:tc>
          <w:tcPr>
            <w:tcW w:w="1160" w:type="dxa"/>
            <w:tcBorders>
              <w:top w:val="nil"/>
              <w:left w:val="single" w:sz="8" w:space="0" w:color="auto"/>
              <w:bottom w:val="single" w:sz="8" w:space="0" w:color="auto"/>
              <w:right w:val="single" w:sz="8" w:space="0" w:color="auto"/>
            </w:tcBorders>
            <w:noWrap/>
            <w:vAlign w:val="center"/>
            <w:hideMark/>
          </w:tcPr>
          <w:p w:rsidR="00E20E0A" w:rsidRPr="00E20E0A" w:rsidP="00E20E0A" w14:paraId="0117C317" w14:textId="77777777">
            <w:pPr>
              <w:widowControl/>
              <w:jc w:val="right"/>
              <w:rPr>
                <w:rFonts w:ascii="Times New Roman" w:hAnsi="Times New Roman"/>
                <w:snapToGrid/>
                <w:color w:val="000000"/>
                <w:sz w:val="20"/>
              </w:rPr>
            </w:pPr>
            <w:r w:rsidRPr="00E20E0A">
              <w:rPr>
                <w:rFonts w:ascii="Times New Roman" w:hAnsi="Times New Roman"/>
                <w:snapToGrid/>
                <w:color w:val="000000"/>
                <w:sz w:val="20"/>
              </w:rPr>
              <w:t>70</w:t>
            </w:r>
          </w:p>
        </w:tc>
      </w:tr>
      <w:tr w14:paraId="3B0998F3" w14:textId="77777777" w:rsidTr="00951D20">
        <w:tblPrEx>
          <w:tblW w:w="9620" w:type="dxa"/>
          <w:tblLook w:val="04A0"/>
        </w:tblPrEx>
        <w:trPr>
          <w:trHeight w:val="1392"/>
        </w:trPr>
        <w:tc>
          <w:tcPr>
            <w:tcW w:w="2540" w:type="dxa"/>
            <w:tcBorders>
              <w:top w:val="nil"/>
              <w:left w:val="single" w:sz="8" w:space="0" w:color="auto"/>
              <w:bottom w:val="single" w:sz="8" w:space="0" w:color="auto"/>
              <w:right w:val="single" w:sz="8" w:space="0" w:color="auto"/>
            </w:tcBorders>
            <w:vAlign w:val="center"/>
            <w:hideMark/>
          </w:tcPr>
          <w:p w:rsidR="00E20E0A" w:rsidRPr="00E20E0A" w:rsidP="00E20E0A" w14:paraId="38A02F22" w14:textId="77777777">
            <w:pPr>
              <w:widowControl/>
              <w:rPr>
                <w:rFonts w:ascii="Times New Roman" w:hAnsi="Times New Roman"/>
                <w:snapToGrid/>
                <w:color w:val="000000"/>
                <w:sz w:val="20"/>
              </w:rPr>
            </w:pPr>
            <w:r w:rsidRPr="00E20E0A">
              <w:rPr>
                <w:rFonts w:ascii="Times New Roman" w:eastAsia="Source Sans Pro" w:hAnsi="Times New Roman"/>
                <w:snapToGrid/>
                <w:color w:val="000000"/>
                <w:sz w:val="20"/>
                <w:lang w:bidi="en-US"/>
              </w:rPr>
              <w:t>10. Section 351.20(b) - Compliance Program for Covered Banks with Significant Trading Assets &amp; Liabilities (Mandatory)</w:t>
            </w:r>
          </w:p>
        </w:tc>
        <w:tc>
          <w:tcPr>
            <w:tcW w:w="1767" w:type="dxa"/>
            <w:tcBorders>
              <w:top w:val="nil"/>
              <w:left w:val="nil"/>
              <w:bottom w:val="single" w:sz="8" w:space="0" w:color="auto"/>
              <w:right w:val="single" w:sz="8" w:space="0" w:color="auto"/>
            </w:tcBorders>
            <w:vAlign w:val="center"/>
            <w:hideMark/>
          </w:tcPr>
          <w:p w:rsidR="00E20E0A" w:rsidRPr="00E20E0A" w:rsidP="00E20E0A" w14:paraId="743CEBC0" w14:textId="77777777">
            <w:pPr>
              <w:widowControl/>
              <w:jc w:val="center"/>
              <w:rPr>
                <w:rFonts w:ascii="Times New Roman" w:hAnsi="Times New Roman"/>
                <w:snapToGrid/>
                <w:color w:val="000000"/>
                <w:sz w:val="20"/>
              </w:rPr>
            </w:pPr>
            <w:r w:rsidRPr="00E20E0A">
              <w:rPr>
                <w:rFonts w:ascii="Times New Roman" w:hAnsi="Times New Roman"/>
                <w:snapToGrid/>
                <w:color w:val="000000"/>
                <w:sz w:val="20"/>
              </w:rPr>
              <w:t xml:space="preserve">Recordkeeping </w:t>
            </w:r>
            <w:r w:rsidRPr="00E20E0A">
              <w:rPr>
                <w:rFonts w:ascii="Times New Roman" w:hAnsi="Times New Roman"/>
                <w:snapToGrid/>
                <w:color w:val="000000"/>
                <w:sz w:val="20"/>
              </w:rPr>
              <w:br/>
              <w:t>(On occasion)</w:t>
            </w:r>
          </w:p>
        </w:tc>
        <w:tc>
          <w:tcPr>
            <w:tcW w:w="1313" w:type="dxa"/>
            <w:tcBorders>
              <w:top w:val="nil"/>
              <w:left w:val="nil"/>
              <w:bottom w:val="single" w:sz="8" w:space="0" w:color="auto"/>
              <w:right w:val="single" w:sz="8" w:space="0" w:color="auto"/>
            </w:tcBorders>
            <w:noWrap/>
            <w:vAlign w:val="center"/>
            <w:hideMark/>
          </w:tcPr>
          <w:p w:rsidR="00E20E0A" w:rsidRPr="00E20E0A" w:rsidP="00E20E0A" w14:paraId="602D1657" w14:textId="77777777">
            <w:pPr>
              <w:widowControl/>
              <w:jc w:val="right"/>
              <w:rPr>
                <w:rFonts w:ascii="Times New Roman" w:hAnsi="Times New Roman"/>
                <w:snapToGrid/>
                <w:color w:val="000000"/>
                <w:sz w:val="20"/>
              </w:rPr>
            </w:pPr>
            <w:r w:rsidRPr="00E20E0A">
              <w:rPr>
                <w:rFonts w:ascii="Times New Roman" w:hAnsi="Times New Roman"/>
                <w:snapToGrid/>
                <w:color w:val="000000"/>
                <w:sz w:val="20"/>
              </w:rPr>
              <w:t>2</w:t>
            </w:r>
          </w:p>
        </w:tc>
        <w:tc>
          <w:tcPr>
            <w:tcW w:w="1720" w:type="dxa"/>
            <w:tcBorders>
              <w:top w:val="nil"/>
              <w:left w:val="nil"/>
              <w:bottom w:val="single" w:sz="8" w:space="0" w:color="auto"/>
              <w:right w:val="single" w:sz="8" w:space="0" w:color="auto"/>
            </w:tcBorders>
            <w:noWrap/>
            <w:vAlign w:val="center"/>
            <w:hideMark/>
          </w:tcPr>
          <w:p w:rsidR="00E20E0A" w:rsidRPr="00E20E0A" w:rsidP="00E20E0A" w14:paraId="3CBEEF88" w14:textId="77777777">
            <w:pPr>
              <w:widowControl/>
              <w:jc w:val="right"/>
              <w:rPr>
                <w:rFonts w:ascii="Times New Roman" w:hAnsi="Times New Roman"/>
                <w:snapToGrid/>
                <w:color w:val="000000"/>
                <w:sz w:val="20"/>
              </w:rPr>
            </w:pPr>
            <w:r w:rsidRPr="00E20E0A">
              <w:rPr>
                <w:rFonts w:ascii="Times New Roman" w:hAnsi="Times New Roman"/>
                <w:snapToGrid/>
                <w:color w:val="000000"/>
                <w:sz w:val="20"/>
              </w:rPr>
              <w:t>1</w:t>
            </w:r>
          </w:p>
        </w:tc>
        <w:tc>
          <w:tcPr>
            <w:tcW w:w="1120" w:type="dxa"/>
            <w:tcBorders>
              <w:top w:val="nil"/>
              <w:left w:val="nil"/>
              <w:bottom w:val="single" w:sz="8" w:space="0" w:color="auto"/>
              <w:right w:val="nil"/>
            </w:tcBorders>
            <w:vAlign w:val="center"/>
            <w:hideMark/>
          </w:tcPr>
          <w:p w:rsidR="00E20E0A" w:rsidRPr="00E20E0A" w:rsidP="00E20E0A" w14:paraId="03F80BC7" w14:textId="77777777">
            <w:pPr>
              <w:widowControl/>
              <w:jc w:val="right"/>
              <w:rPr>
                <w:rFonts w:ascii="Times New Roman" w:hAnsi="Times New Roman"/>
                <w:snapToGrid/>
                <w:color w:val="000000"/>
                <w:sz w:val="20"/>
              </w:rPr>
            </w:pPr>
            <w:r w:rsidRPr="00E20E0A">
              <w:rPr>
                <w:rFonts w:ascii="Times New Roman" w:hAnsi="Times New Roman"/>
                <w:snapToGrid/>
                <w:color w:val="000000"/>
                <w:sz w:val="20"/>
              </w:rPr>
              <w:t>265:00</w:t>
            </w:r>
          </w:p>
        </w:tc>
        <w:tc>
          <w:tcPr>
            <w:tcW w:w="1160" w:type="dxa"/>
            <w:tcBorders>
              <w:top w:val="nil"/>
              <w:left w:val="single" w:sz="8" w:space="0" w:color="auto"/>
              <w:bottom w:val="single" w:sz="8" w:space="0" w:color="auto"/>
              <w:right w:val="single" w:sz="8" w:space="0" w:color="auto"/>
            </w:tcBorders>
            <w:noWrap/>
            <w:vAlign w:val="center"/>
            <w:hideMark/>
          </w:tcPr>
          <w:p w:rsidR="00E20E0A" w:rsidRPr="00E20E0A" w:rsidP="00E20E0A" w14:paraId="5DE87CD3" w14:textId="77777777">
            <w:pPr>
              <w:widowControl/>
              <w:jc w:val="right"/>
              <w:rPr>
                <w:rFonts w:ascii="Times New Roman" w:hAnsi="Times New Roman"/>
                <w:snapToGrid/>
                <w:color w:val="000000"/>
                <w:sz w:val="20"/>
              </w:rPr>
            </w:pPr>
            <w:r w:rsidRPr="00E20E0A">
              <w:rPr>
                <w:rFonts w:ascii="Times New Roman" w:hAnsi="Times New Roman"/>
                <w:snapToGrid/>
                <w:color w:val="000000"/>
                <w:sz w:val="20"/>
              </w:rPr>
              <w:t>530</w:t>
            </w:r>
          </w:p>
        </w:tc>
      </w:tr>
      <w:tr w14:paraId="2794047D" w14:textId="77777777" w:rsidTr="00951D20">
        <w:tblPrEx>
          <w:tblW w:w="9620" w:type="dxa"/>
          <w:tblLook w:val="04A0"/>
        </w:tblPrEx>
        <w:trPr>
          <w:trHeight w:val="1392"/>
        </w:trPr>
        <w:tc>
          <w:tcPr>
            <w:tcW w:w="2540" w:type="dxa"/>
            <w:tcBorders>
              <w:top w:val="nil"/>
              <w:left w:val="single" w:sz="8" w:space="0" w:color="auto"/>
              <w:bottom w:val="single" w:sz="8" w:space="0" w:color="auto"/>
              <w:right w:val="single" w:sz="8" w:space="0" w:color="auto"/>
            </w:tcBorders>
            <w:vAlign w:val="center"/>
            <w:hideMark/>
          </w:tcPr>
          <w:p w:rsidR="00E20E0A" w:rsidRPr="00E20E0A" w:rsidP="00E20E0A" w14:paraId="7A3D6423" w14:textId="77777777">
            <w:pPr>
              <w:widowControl/>
              <w:rPr>
                <w:rFonts w:ascii="Times New Roman" w:hAnsi="Times New Roman"/>
                <w:snapToGrid/>
                <w:color w:val="000000"/>
                <w:sz w:val="20"/>
              </w:rPr>
            </w:pPr>
            <w:r w:rsidRPr="00E20E0A">
              <w:rPr>
                <w:rFonts w:ascii="Times New Roman" w:eastAsia="Source Sans Pro" w:hAnsi="Times New Roman"/>
                <w:snapToGrid/>
                <w:color w:val="000000"/>
                <w:sz w:val="20"/>
                <w:lang w:bidi="en-US"/>
              </w:rPr>
              <w:t>11. Section 351.20(c) - CEO attestation for Covered Banks with Significant Trading Assets &amp; Liabilities (Mandatory)</w:t>
            </w:r>
          </w:p>
        </w:tc>
        <w:tc>
          <w:tcPr>
            <w:tcW w:w="1767" w:type="dxa"/>
            <w:tcBorders>
              <w:top w:val="nil"/>
              <w:left w:val="nil"/>
              <w:bottom w:val="single" w:sz="8" w:space="0" w:color="auto"/>
              <w:right w:val="single" w:sz="8" w:space="0" w:color="auto"/>
            </w:tcBorders>
            <w:vAlign w:val="center"/>
            <w:hideMark/>
          </w:tcPr>
          <w:p w:rsidR="00E20E0A" w:rsidRPr="00E20E0A" w:rsidP="00E20E0A" w14:paraId="203785F5" w14:textId="77777777">
            <w:pPr>
              <w:widowControl/>
              <w:jc w:val="center"/>
              <w:rPr>
                <w:rFonts w:ascii="Times New Roman" w:hAnsi="Times New Roman"/>
                <w:snapToGrid/>
                <w:color w:val="000000"/>
                <w:sz w:val="20"/>
              </w:rPr>
            </w:pPr>
            <w:r w:rsidRPr="00E20E0A">
              <w:rPr>
                <w:rFonts w:ascii="Times New Roman" w:hAnsi="Times New Roman"/>
                <w:snapToGrid/>
                <w:color w:val="000000"/>
                <w:sz w:val="20"/>
              </w:rPr>
              <w:t>Recordkeeping (Annual)</w:t>
            </w:r>
          </w:p>
        </w:tc>
        <w:tc>
          <w:tcPr>
            <w:tcW w:w="1313" w:type="dxa"/>
            <w:tcBorders>
              <w:top w:val="nil"/>
              <w:left w:val="nil"/>
              <w:bottom w:val="single" w:sz="8" w:space="0" w:color="auto"/>
              <w:right w:val="single" w:sz="8" w:space="0" w:color="auto"/>
            </w:tcBorders>
            <w:noWrap/>
            <w:vAlign w:val="center"/>
            <w:hideMark/>
          </w:tcPr>
          <w:p w:rsidR="00E20E0A" w:rsidRPr="00E20E0A" w:rsidP="00E20E0A" w14:paraId="0D1AC992" w14:textId="77777777">
            <w:pPr>
              <w:widowControl/>
              <w:jc w:val="right"/>
              <w:rPr>
                <w:rFonts w:ascii="Times New Roman" w:hAnsi="Times New Roman"/>
                <w:snapToGrid/>
                <w:color w:val="000000"/>
                <w:sz w:val="20"/>
              </w:rPr>
            </w:pPr>
            <w:r w:rsidRPr="00E20E0A">
              <w:rPr>
                <w:rFonts w:ascii="Times New Roman" w:hAnsi="Times New Roman"/>
                <w:snapToGrid/>
                <w:color w:val="000000"/>
                <w:sz w:val="20"/>
              </w:rPr>
              <w:t>2</w:t>
            </w:r>
          </w:p>
        </w:tc>
        <w:tc>
          <w:tcPr>
            <w:tcW w:w="1720" w:type="dxa"/>
            <w:tcBorders>
              <w:top w:val="nil"/>
              <w:left w:val="nil"/>
              <w:bottom w:val="single" w:sz="8" w:space="0" w:color="auto"/>
              <w:right w:val="single" w:sz="8" w:space="0" w:color="auto"/>
            </w:tcBorders>
            <w:noWrap/>
            <w:vAlign w:val="center"/>
            <w:hideMark/>
          </w:tcPr>
          <w:p w:rsidR="00E20E0A" w:rsidRPr="00E20E0A" w:rsidP="00E20E0A" w14:paraId="57B3970B" w14:textId="77777777">
            <w:pPr>
              <w:widowControl/>
              <w:jc w:val="right"/>
              <w:rPr>
                <w:rFonts w:ascii="Times New Roman" w:hAnsi="Times New Roman"/>
                <w:snapToGrid/>
                <w:color w:val="000000"/>
                <w:sz w:val="20"/>
              </w:rPr>
            </w:pPr>
            <w:r w:rsidRPr="00E20E0A">
              <w:rPr>
                <w:rFonts w:ascii="Times New Roman" w:hAnsi="Times New Roman"/>
                <w:snapToGrid/>
                <w:color w:val="000000"/>
                <w:sz w:val="20"/>
              </w:rPr>
              <w:t>1</w:t>
            </w:r>
          </w:p>
        </w:tc>
        <w:tc>
          <w:tcPr>
            <w:tcW w:w="1120" w:type="dxa"/>
            <w:tcBorders>
              <w:top w:val="nil"/>
              <w:left w:val="nil"/>
              <w:bottom w:val="single" w:sz="8" w:space="0" w:color="auto"/>
              <w:right w:val="nil"/>
            </w:tcBorders>
            <w:vAlign w:val="center"/>
            <w:hideMark/>
          </w:tcPr>
          <w:p w:rsidR="00E20E0A" w:rsidRPr="00E20E0A" w:rsidP="00E20E0A" w14:paraId="1FB652E5" w14:textId="77777777">
            <w:pPr>
              <w:widowControl/>
              <w:jc w:val="right"/>
              <w:rPr>
                <w:rFonts w:ascii="Times New Roman" w:hAnsi="Times New Roman"/>
                <w:snapToGrid/>
                <w:color w:val="000000"/>
                <w:sz w:val="20"/>
              </w:rPr>
            </w:pPr>
            <w:r w:rsidRPr="00E20E0A">
              <w:rPr>
                <w:rFonts w:ascii="Times New Roman" w:hAnsi="Times New Roman"/>
                <w:snapToGrid/>
                <w:color w:val="000000"/>
                <w:sz w:val="20"/>
              </w:rPr>
              <w:t>100:00</w:t>
            </w:r>
          </w:p>
        </w:tc>
        <w:tc>
          <w:tcPr>
            <w:tcW w:w="1160" w:type="dxa"/>
            <w:tcBorders>
              <w:top w:val="nil"/>
              <w:left w:val="single" w:sz="8" w:space="0" w:color="auto"/>
              <w:bottom w:val="single" w:sz="8" w:space="0" w:color="auto"/>
              <w:right w:val="single" w:sz="8" w:space="0" w:color="auto"/>
            </w:tcBorders>
            <w:noWrap/>
            <w:vAlign w:val="center"/>
            <w:hideMark/>
          </w:tcPr>
          <w:p w:rsidR="00E20E0A" w:rsidRPr="00E20E0A" w:rsidP="00E20E0A" w14:paraId="3096E320" w14:textId="77777777">
            <w:pPr>
              <w:widowControl/>
              <w:jc w:val="right"/>
              <w:rPr>
                <w:rFonts w:ascii="Times New Roman" w:hAnsi="Times New Roman"/>
                <w:snapToGrid/>
                <w:color w:val="000000"/>
                <w:sz w:val="20"/>
              </w:rPr>
            </w:pPr>
            <w:r w:rsidRPr="00E20E0A">
              <w:rPr>
                <w:rFonts w:ascii="Times New Roman" w:hAnsi="Times New Roman"/>
                <w:snapToGrid/>
                <w:color w:val="000000"/>
                <w:sz w:val="20"/>
              </w:rPr>
              <w:t>200</w:t>
            </w:r>
          </w:p>
        </w:tc>
      </w:tr>
      <w:tr w14:paraId="4EB43C58" w14:textId="77777777" w:rsidTr="00951D20">
        <w:tblPrEx>
          <w:tblW w:w="9620" w:type="dxa"/>
          <w:tblLook w:val="04A0"/>
        </w:tblPrEx>
        <w:trPr>
          <w:trHeight w:val="1668"/>
        </w:trPr>
        <w:tc>
          <w:tcPr>
            <w:tcW w:w="2540" w:type="dxa"/>
            <w:tcBorders>
              <w:top w:val="nil"/>
              <w:left w:val="single" w:sz="8" w:space="0" w:color="auto"/>
              <w:bottom w:val="single" w:sz="8" w:space="0" w:color="auto"/>
              <w:right w:val="single" w:sz="8" w:space="0" w:color="auto"/>
            </w:tcBorders>
            <w:vAlign w:val="center"/>
            <w:hideMark/>
          </w:tcPr>
          <w:p w:rsidR="00E20E0A" w:rsidRPr="00E20E0A" w:rsidP="00E20E0A" w14:paraId="747CFC49" w14:textId="77777777">
            <w:pPr>
              <w:widowControl/>
              <w:rPr>
                <w:rFonts w:ascii="Times New Roman" w:hAnsi="Times New Roman"/>
                <w:snapToGrid/>
                <w:color w:val="000000"/>
                <w:sz w:val="20"/>
              </w:rPr>
            </w:pPr>
            <w:r w:rsidRPr="00E20E0A">
              <w:rPr>
                <w:rFonts w:ascii="Times New Roman" w:eastAsia="Source Sans Pro" w:hAnsi="Times New Roman"/>
                <w:snapToGrid/>
                <w:color w:val="000000"/>
                <w:sz w:val="20"/>
                <w:lang w:bidi="en-US"/>
              </w:rPr>
              <w:t>12</w:t>
            </w:r>
            <w:r w:rsidRPr="00E20E0A">
              <w:rPr>
                <w:rFonts w:ascii="Times New Roman" w:eastAsia="Source Sans Pro" w:hAnsi="Times New Roman"/>
                <w:snapToGrid/>
                <w:color w:val="000000"/>
                <w:sz w:val="20"/>
                <w:lang w:bidi="en-US"/>
              </w:rPr>
              <w:t>.  Section</w:t>
            </w:r>
            <w:r w:rsidRPr="00E20E0A">
              <w:rPr>
                <w:rFonts w:ascii="Times New Roman" w:eastAsia="Source Sans Pro" w:hAnsi="Times New Roman"/>
                <w:snapToGrid/>
                <w:color w:val="000000"/>
                <w:sz w:val="20"/>
                <w:lang w:bidi="en-US"/>
              </w:rPr>
              <w:t xml:space="preserve"> 351.20(d) - Requirements under Appendix A for Covered Banks with Significant Trading Assets &amp; Liabilities (Mandatory)</w:t>
            </w:r>
          </w:p>
        </w:tc>
        <w:tc>
          <w:tcPr>
            <w:tcW w:w="1767" w:type="dxa"/>
            <w:tcBorders>
              <w:top w:val="nil"/>
              <w:left w:val="nil"/>
              <w:bottom w:val="single" w:sz="8" w:space="0" w:color="auto"/>
              <w:right w:val="single" w:sz="8" w:space="0" w:color="auto"/>
            </w:tcBorders>
            <w:vAlign w:val="center"/>
            <w:hideMark/>
          </w:tcPr>
          <w:p w:rsidR="00E20E0A" w:rsidRPr="00E20E0A" w:rsidP="00E20E0A" w14:paraId="79E7644B" w14:textId="77777777">
            <w:pPr>
              <w:widowControl/>
              <w:jc w:val="center"/>
              <w:rPr>
                <w:rFonts w:ascii="Times New Roman" w:hAnsi="Times New Roman"/>
                <w:snapToGrid/>
                <w:color w:val="000000"/>
                <w:sz w:val="20"/>
              </w:rPr>
            </w:pPr>
            <w:r w:rsidRPr="00E20E0A">
              <w:rPr>
                <w:rFonts w:ascii="Times New Roman" w:hAnsi="Times New Roman"/>
                <w:snapToGrid/>
                <w:color w:val="000000"/>
                <w:sz w:val="20"/>
              </w:rPr>
              <w:t xml:space="preserve">Recordkeeping </w:t>
            </w:r>
            <w:r w:rsidRPr="00E20E0A">
              <w:rPr>
                <w:rFonts w:ascii="Times New Roman" w:hAnsi="Times New Roman"/>
                <w:snapToGrid/>
                <w:color w:val="000000"/>
                <w:sz w:val="20"/>
              </w:rPr>
              <w:br/>
              <w:t>(On occasion)</w:t>
            </w:r>
          </w:p>
        </w:tc>
        <w:tc>
          <w:tcPr>
            <w:tcW w:w="1313" w:type="dxa"/>
            <w:tcBorders>
              <w:top w:val="nil"/>
              <w:left w:val="nil"/>
              <w:bottom w:val="single" w:sz="8" w:space="0" w:color="auto"/>
              <w:right w:val="single" w:sz="8" w:space="0" w:color="auto"/>
            </w:tcBorders>
            <w:noWrap/>
            <w:vAlign w:val="center"/>
            <w:hideMark/>
          </w:tcPr>
          <w:p w:rsidR="00E20E0A" w:rsidRPr="00E20E0A" w:rsidP="00E20E0A" w14:paraId="3CFF811D" w14:textId="77777777">
            <w:pPr>
              <w:widowControl/>
              <w:jc w:val="right"/>
              <w:rPr>
                <w:rFonts w:ascii="Times New Roman" w:hAnsi="Times New Roman"/>
                <w:snapToGrid/>
                <w:color w:val="000000"/>
                <w:sz w:val="20"/>
              </w:rPr>
            </w:pPr>
            <w:r w:rsidRPr="00E20E0A">
              <w:rPr>
                <w:rFonts w:ascii="Times New Roman" w:hAnsi="Times New Roman"/>
                <w:snapToGrid/>
                <w:color w:val="000000"/>
                <w:sz w:val="20"/>
              </w:rPr>
              <w:t>2</w:t>
            </w:r>
          </w:p>
        </w:tc>
        <w:tc>
          <w:tcPr>
            <w:tcW w:w="1720" w:type="dxa"/>
            <w:tcBorders>
              <w:top w:val="nil"/>
              <w:left w:val="nil"/>
              <w:bottom w:val="single" w:sz="8" w:space="0" w:color="auto"/>
              <w:right w:val="single" w:sz="8" w:space="0" w:color="auto"/>
            </w:tcBorders>
            <w:noWrap/>
            <w:vAlign w:val="center"/>
            <w:hideMark/>
          </w:tcPr>
          <w:p w:rsidR="00E20E0A" w:rsidRPr="00E20E0A" w:rsidP="00E20E0A" w14:paraId="310916B8" w14:textId="77777777">
            <w:pPr>
              <w:widowControl/>
              <w:jc w:val="right"/>
              <w:rPr>
                <w:rFonts w:ascii="Times New Roman" w:hAnsi="Times New Roman"/>
                <w:snapToGrid/>
                <w:color w:val="000000"/>
                <w:sz w:val="20"/>
              </w:rPr>
            </w:pPr>
            <w:r w:rsidRPr="00E20E0A">
              <w:rPr>
                <w:rFonts w:ascii="Times New Roman" w:hAnsi="Times New Roman"/>
                <w:snapToGrid/>
                <w:color w:val="000000"/>
                <w:sz w:val="20"/>
              </w:rPr>
              <w:t>1</w:t>
            </w:r>
          </w:p>
        </w:tc>
        <w:tc>
          <w:tcPr>
            <w:tcW w:w="1120" w:type="dxa"/>
            <w:tcBorders>
              <w:top w:val="nil"/>
              <w:left w:val="nil"/>
              <w:bottom w:val="single" w:sz="8" w:space="0" w:color="auto"/>
              <w:right w:val="nil"/>
            </w:tcBorders>
            <w:vAlign w:val="center"/>
            <w:hideMark/>
          </w:tcPr>
          <w:p w:rsidR="00E20E0A" w:rsidRPr="00E20E0A" w:rsidP="00E20E0A" w14:paraId="44B95ADF" w14:textId="77777777">
            <w:pPr>
              <w:widowControl/>
              <w:jc w:val="right"/>
              <w:rPr>
                <w:rFonts w:ascii="Times New Roman" w:hAnsi="Times New Roman"/>
                <w:snapToGrid/>
                <w:color w:val="000000"/>
                <w:sz w:val="20"/>
              </w:rPr>
            </w:pPr>
            <w:r w:rsidRPr="00E20E0A">
              <w:rPr>
                <w:rFonts w:ascii="Times New Roman" w:hAnsi="Times New Roman"/>
                <w:snapToGrid/>
                <w:color w:val="000000"/>
                <w:sz w:val="20"/>
              </w:rPr>
              <w:t>10:00</w:t>
            </w:r>
          </w:p>
        </w:tc>
        <w:tc>
          <w:tcPr>
            <w:tcW w:w="1160" w:type="dxa"/>
            <w:tcBorders>
              <w:top w:val="nil"/>
              <w:left w:val="single" w:sz="8" w:space="0" w:color="auto"/>
              <w:bottom w:val="single" w:sz="8" w:space="0" w:color="auto"/>
              <w:right w:val="single" w:sz="8" w:space="0" w:color="auto"/>
            </w:tcBorders>
            <w:noWrap/>
            <w:vAlign w:val="center"/>
            <w:hideMark/>
          </w:tcPr>
          <w:p w:rsidR="00E20E0A" w:rsidRPr="00E20E0A" w:rsidP="00E20E0A" w14:paraId="15E00889" w14:textId="77777777">
            <w:pPr>
              <w:widowControl/>
              <w:jc w:val="right"/>
              <w:rPr>
                <w:rFonts w:ascii="Times New Roman" w:hAnsi="Times New Roman"/>
                <w:snapToGrid/>
                <w:color w:val="000000"/>
                <w:sz w:val="20"/>
              </w:rPr>
            </w:pPr>
            <w:r w:rsidRPr="00E20E0A">
              <w:rPr>
                <w:rFonts w:ascii="Times New Roman" w:hAnsi="Times New Roman"/>
                <w:snapToGrid/>
                <w:color w:val="000000"/>
                <w:sz w:val="20"/>
              </w:rPr>
              <w:t>20</w:t>
            </w:r>
          </w:p>
        </w:tc>
      </w:tr>
      <w:tr w14:paraId="473065C7" w14:textId="77777777" w:rsidTr="00951D20">
        <w:tblPrEx>
          <w:tblW w:w="9620" w:type="dxa"/>
          <w:tblLook w:val="04A0"/>
        </w:tblPrEx>
        <w:trPr>
          <w:trHeight w:val="1668"/>
        </w:trPr>
        <w:tc>
          <w:tcPr>
            <w:tcW w:w="2540" w:type="dxa"/>
            <w:tcBorders>
              <w:top w:val="nil"/>
              <w:left w:val="single" w:sz="8" w:space="0" w:color="auto"/>
              <w:bottom w:val="single" w:sz="8" w:space="0" w:color="auto"/>
              <w:right w:val="single" w:sz="8" w:space="0" w:color="auto"/>
            </w:tcBorders>
            <w:vAlign w:val="center"/>
            <w:hideMark/>
          </w:tcPr>
          <w:p w:rsidR="00E20E0A" w:rsidRPr="00E20E0A" w:rsidP="00E20E0A" w14:paraId="737BEE3B" w14:textId="77777777">
            <w:pPr>
              <w:widowControl/>
              <w:rPr>
                <w:rFonts w:ascii="Times New Roman" w:hAnsi="Times New Roman"/>
                <w:snapToGrid/>
                <w:color w:val="000000"/>
                <w:sz w:val="20"/>
              </w:rPr>
            </w:pPr>
            <w:r w:rsidRPr="00E20E0A">
              <w:rPr>
                <w:rFonts w:ascii="Times New Roman" w:eastAsia="Source Sans Pro" w:hAnsi="Times New Roman"/>
                <w:snapToGrid/>
                <w:color w:val="000000"/>
                <w:sz w:val="20"/>
                <w:lang w:bidi="en-US"/>
              </w:rPr>
              <w:t>13. Section 351.20(e) - Additional documentation for covered funds for Covered Banks with Significant Trading Assets &amp; Liabilities (Mandatory)</w:t>
            </w:r>
          </w:p>
        </w:tc>
        <w:tc>
          <w:tcPr>
            <w:tcW w:w="1767" w:type="dxa"/>
            <w:tcBorders>
              <w:top w:val="nil"/>
              <w:left w:val="nil"/>
              <w:bottom w:val="single" w:sz="8" w:space="0" w:color="auto"/>
              <w:right w:val="single" w:sz="8" w:space="0" w:color="auto"/>
            </w:tcBorders>
            <w:vAlign w:val="center"/>
            <w:hideMark/>
          </w:tcPr>
          <w:p w:rsidR="00E20E0A" w:rsidRPr="00E20E0A" w:rsidP="00E20E0A" w14:paraId="746F4DB5" w14:textId="77777777">
            <w:pPr>
              <w:widowControl/>
              <w:jc w:val="center"/>
              <w:rPr>
                <w:rFonts w:ascii="Times New Roman" w:hAnsi="Times New Roman"/>
                <w:snapToGrid/>
                <w:color w:val="000000"/>
                <w:sz w:val="20"/>
              </w:rPr>
            </w:pPr>
            <w:r w:rsidRPr="00E20E0A">
              <w:rPr>
                <w:rFonts w:ascii="Times New Roman" w:hAnsi="Times New Roman"/>
                <w:snapToGrid/>
                <w:color w:val="000000"/>
                <w:sz w:val="20"/>
              </w:rPr>
              <w:t xml:space="preserve">Recordkeeping </w:t>
            </w:r>
            <w:r w:rsidRPr="00E20E0A">
              <w:rPr>
                <w:rFonts w:ascii="Times New Roman" w:hAnsi="Times New Roman"/>
                <w:snapToGrid/>
                <w:color w:val="000000"/>
                <w:sz w:val="20"/>
              </w:rPr>
              <w:br/>
              <w:t>(On occasion)</w:t>
            </w:r>
          </w:p>
        </w:tc>
        <w:tc>
          <w:tcPr>
            <w:tcW w:w="1313" w:type="dxa"/>
            <w:tcBorders>
              <w:top w:val="nil"/>
              <w:left w:val="nil"/>
              <w:bottom w:val="single" w:sz="8" w:space="0" w:color="auto"/>
              <w:right w:val="single" w:sz="8" w:space="0" w:color="auto"/>
            </w:tcBorders>
            <w:noWrap/>
            <w:vAlign w:val="center"/>
            <w:hideMark/>
          </w:tcPr>
          <w:p w:rsidR="00E20E0A" w:rsidRPr="00E20E0A" w:rsidP="00E20E0A" w14:paraId="6D0517C1" w14:textId="77777777">
            <w:pPr>
              <w:widowControl/>
              <w:jc w:val="right"/>
              <w:rPr>
                <w:rFonts w:ascii="Times New Roman" w:hAnsi="Times New Roman"/>
                <w:snapToGrid/>
                <w:color w:val="000000"/>
                <w:sz w:val="20"/>
              </w:rPr>
            </w:pPr>
            <w:r w:rsidRPr="00E20E0A">
              <w:rPr>
                <w:rFonts w:ascii="Times New Roman" w:hAnsi="Times New Roman"/>
                <w:snapToGrid/>
                <w:color w:val="000000"/>
                <w:sz w:val="20"/>
              </w:rPr>
              <w:t>2</w:t>
            </w:r>
          </w:p>
        </w:tc>
        <w:tc>
          <w:tcPr>
            <w:tcW w:w="1720" w:type="dxa"/>
            <w:tcBorders>
              <w:top w:val="nil"/>
              <w:left w:val="nil"/>
              <w:bottom w:val="single" w:sz="8" w:space="0" w:color="auto"/>
              <w:right w:val="single" w:sz="8" w:space="0" w:color="auto"/>
            </w:tcBorders>
            <w:noWrap/>
            <w:vAlign w:val="center"/>
            <w:hideMark/>
          </w:tcPr>
          <w:p w:rsidR="00E20E0A" w:rsidRPr="00E20E0A" w:rsidP="00E20E0A" w14:paraId="776D42D1" w14:textId="77777777">
            <w:pPr>
              <w:widowControl/>
              <w:jc w:val="right"/>
              <w:rPr>
                <w:rFonts w:ascii="Times New Roman" w:hAnsi="Times New Roman"/>
                <w:snapToGrid/>
                <w:color w:val="000000"/>
                <w:sz w:val="20"/>
              </w:rPr>
            </w:pPr>
            <w:r w:rsidRPr="00E20E0A">
              <w:rPr>
                <w:rFonts w:ascii="Times New Roman" w:hAnsi="Times New Roman"/>
                <w:snapToGrid/>
                <w:color w:val="000000"/>
                <w:sz w:val="20"/>
              </w:rPr>
              <w:t>1</w:t>
            </w:r>
          </w:p>
        </w:tc>
        <w:tc>
          <w:tcPr>
            <w:tcW w:w="1120" w:type="dxa"/>
            <w:tcBorders>
              <w:top w:val="nil"/>
              <w:left w:val="nil"/>
              <w:bottom w:val="single" w:sz="8" w:space="0" w:color="auto"/>
              <w:right w:val="nil"/>
            </w:tcBorders>
            <w:vAlign w:val="center"/>
            <w:hideMark/>
          </w:tcPr>
          <w:p w:rsidR="00E20E0A" w:rsidRPr="00E20E0A" w:rsidP="00E20E0A" w14:paraId="35A947EF" w14:textId="77777777">
            <w:pPr>
              <w:widowControl/>
              <w:jc w:val="right"/>
              <w:rPr>
                <w:rFonts w:ascii="Times New Roman" w:hAnsi="Times New Roman"/>
                <w:snapToGrid/>
                <w:color w:val="000000"/>
                <w:sz w:val="20"/>
              </w:rPr>
            </w:pPr>
            <w:r w:rsidRPr="00E20E0A">
              <w:rPr>
                <w:rFonts w:ascii="Times New Roman" w:hAnsi="Times New Roman"/>
                <w:snapToGrid/>
                <w:color w:val="000000"/>
                <w:sz w:val="20"/>
              </w:rPr>
              <w:t>200:00</w:t>
            </w:r>
          </w:p>
        </w:tc>
        <w:tc>
          <w:tcPr>
            <w:tcW w:w="1160" w:type="dxa"/>
            <w:tcBorders>
              <w:top w:val="nil"/>
              <w:left w:val="single" w:sz="8" w:space="0" w:color="auto"/>
              <w:bottom w:val="single" w:sz="8" w:space="0" w:color="auto"/>
              <w:right w:val="single" w:sz="8" w:space="0" w:color="auto"/>
            </w:tcBorders>
            <w:noWrap/>
            <w:vAlign w:val="center"/>
            <w:hideMark/>
          </w:tcPr>
          <w:p w:rsidR="00E20E0A" w:rsidRPr="00E20E0A" w:rsidP="00E20E0A" w14:paraId="3A3966FA" w14:textId="77777777">
            <w:pPr>
              <w:widowControl/>
              <w:jc w:val="right"/>
              <w:rPr>
                <w:rFonts w:ascii="Times New Roman" w:hAnsi="Times New Roman"/>
                <w:snapToGrid/>
                <w:color w:val="000000"/>
                <w:sz w:val="20"/>
              </w:rPr>
            </w:pPr>
            <w:r w:rsidRPr="00E20E0A">
              <w:rPr>
                <w:rFonts w:ascii="Times New Roman" w:hAnsi="Times New Roman"/>
                <w:snapToGrid/>
                <w:color w:val="000000"/>
                <w:sz w:val="20"/>
              </w:rPr>
              <w:t>400</w:t>
            </w:r>
          </w:p>
        </w:tc>
      </w:tr>
      <w:tr w14:paraId="5E6F43F6" w14:textId="77777777" w:rsidTr="00951D20">
        <w:tblPrEx>
          <w:tblW w:w="9620" w:type="dxa"/>
          <w:tblLook w:val="04A0"/>
        </w:tblPrEx>
        <w:trPr>
          <w:trHeight w:val="1392"/>
        </w:trPr>
        <w:tc>
          <w:tcPr>
            <w:tcW w:w="2540" w:type="dxa"/>
            <w:tcBorders>
              <w:top w:val="nil"/>
              <w:left w:val="single" w:sz="8" w:space="0" w:color="auto"/>
              <w:bottom w:val="single" w:sz="8" w:space="0" w:color="auto"/>
              <w:right w:val="single" w:sz="8" w:space="0" w:color="auto"/>
            </w:tcBorders>
            <w:vAlign w:val="center"/>
            <w:hideMark/>
          </w:tcPr>
          <w:p w:rsidR="00E20E0A" w:rsidRPr="00E20E0A" w:rsidP="00E20E0A" w14:paraId="26BD5EC8" w14:textId="77777777">
            <w:pPr>
              <w:widowControl/>
              <w:rPr>
                <w:rFonts w:ascii="Times New Roman" w:hAnsi="Times New Roman"/>
                <w:snapToGrid/>
                <w:color w:val="000000"/>
                <w:sz w:val="20"/>
              </w:rPr>
            </w:pPr>
            <w:r w:rsidRPr="00E20E0A">
              <w:rPr>
                <w:rFonts w:ascii="Times New Roman" w:eastAsia="Source Sans Pro" w:hAnsi="Times New Roman"/>
                <w:snapToGrid/>
                <w:color w:val="000000"/>
                <w:sz w:val="20"/>
                <w:lang w:bidi="en-US"/>
              </w:rPr>
              <w:t>14. Section 351.20(f)(1) - Simplified compliance program for Covered Banks with no trading assets or liabilities (Mandatory)</w:t>
            </w:r>
          </w:p>
        </w:tc>
        <w:tc>
          <w:tcPr>
            <w:tcW w:w="1767" w:type="dxa"/>
            <w:tcBorders>
              <w:top w:val="nil"/>
              <w:left w:val="nil"/>
              <w:bottom w:val="single" w:sz="8" w:space="0" w:color="auto"/>
              <w:right w:val="single" w:sz="8" w:space="0" w:color="auto"/>
            </w:tcBorders>
            <w:vAlign w:val="center"/>
            <w:hideMark/>
          </w:tcPr>
          <w:p w:rsidR="00E20E0A" w:rsidRPr="00E20E0A" w:rsidP="00E20E0A" w14:paraId="49E9F02E" w14:textId="77777777">
            <w:pPr>
              <w:widowControl/>
              <w:jc w:val="center"/>
              <w:rPr>
                <w:rFonts w:ascii="Times New Roman" w:hAnsi="Times New Roman"/>
                <w:snapToGrid/>
                <w:color w:val="000000"/>
                <w:sz w:val="20"/>
              </w:rPr>
            </w:pPr>
            <w:r w:rsidRPr="00E20E0A">
              <w:rPr>
                <w:rFonts w:ascii="Times New Roman" w:hAnsi="Times New Roman"/>
                <w:snapToGrid/>
                <w:color w:val="000000"/>
                <w:sz w:val="20"/>
              </w:rPr>
              <w:t xml:space="preserve">Recordkeeping </w:t>
            </w:r>
            <w:r w:rsidRPr="00E20E0A">
              <w:rPr>
                <w:rFonts w:ascii="Times New Roman" w:hAnsi="Times New Roman"/>
                <w:snapToGrid/>
                <w:color w:val="000000"/>
                <w:sz w:val="20"/>
              </w:rPr>
              <w:br/>
              <w:t>(On occasion)</w:t>
            </w:r>
          </w:p>
        </w:tc>
        <w:tc>
          <w:tcPr>
            <w:tcW w:w="1313" w:type="dxa"/>
            <w:tcBorders>
              <w:top w:val="nil"/>
              <w:left w:val="nil"/>
              <w:bottom w:val="single" w:sz="8" w:space="0" w:color="auto"/>
              <w:right w:val="single" w:sz="8" w:space="0" w:color="auto"/>
            </w:tcBorders>
            <w:noWrap/>
            <w:vAlign w:val="center"/>
            <w:hideMark/>
          </w:tcPr>
          <w:p w:rsidR="00E20E0A" w:rsidRPr="00E20E0A" w:rsidP="00E20E0A" w14:paraId="2EAFE02A" w14:textId="77777777">
            <w:pPr>
              <w:widowControl/>
              <w:jc w:val="right"/>
              <w:rPr>
                <w:rFonts w:ascii="Times New Roman" w:hAnsi="Times New Roman"/>
                <w:snapToGrid/>
                <w:color w:val="000000"/>
                <w:sz w:val="20"/>
              </w:rPr>
            </w:pPr>
            <w:r w:rsidRPr="00E20E0A">
              <w:rPr>
                <w:rFonts w:ascii="Times New Roman" w:hAnsi="Times New Roman"/>
                <w:snapToGrid/>
                <w:color w:val="000000"/>
                <w:sz w:val="20"/>
              </w:rPr>
              <w:t>1</w:t>
            </w:r>
          </w:p>
        </w:tc>
        <w:tc>
          <w:tcPr>
            <w:tcW w:w="1720" w:type="dxa"/>
            <w:tcBorders>
              <w:top w:val="nil"/>
              <w:left w:val="nil"/>
              <w:bottom w:val="single" w:sz="8" w:space="0" w:color="auto"/>
              <w:right w:val="single" w:sz="8" w:space="0" w:color="auto"/>
            </w:tcBorders>
            <w:noWrap/>
            <w:vAlign w:val="center"/>
            <w:hideMark/>
          </w:tcPr>
          <w:p w:rsidR="00E20E0A" w:rsidRPr="00E20E0A" w:rsidP="00E20E0A" w14:paraId="2C3781BA" w14:textId="77777777">
            <w:pPr>
              <w:widowControl/>
              <w:jc w:val="right"/>
              <w:rPr>
                <w:rFonts w:ascii="Times New Roman" w:hAnsi="Times New Roman"/>
                <w:snapToGrid/>
                <w:color w:val="000000"/>
                <w:sz w:val="20"/>
              </w:rPr>
            </w:pPr>
            <w:r w:rsidRPr="00E20E0A">
              <w:rPr>
                <w:rFonts w:ascii="Times New Roman" w:hAnsi="Times New Roman"/>
                <w:snapToGrid/>
                <w:color w:val="000000"/>
                <w:sz w:val="20"/>
              </w:rPr>
              <w:t>1</w:t>
            </w:r>
          </w:p>
        </w:tc>
        <w:tc>
          <w:tcPr>
            <w:tcW w:w="1120" w:type="dxa"/>
            <w:tcBorders>
              <w:top w:val="nil"/>
              <w:left w:val="nil"/>
              <w:bottom w:val="single" w:sz="8" w:space="0" w:color="auto"/>
              <w:right w:val="nil"/>
            </w:tcBorders>
            <w:vAlign w:val="center"/>
            <w:hideMark/>
          </w:tcPr>
          <w:p w:rsidR="00E20E0A" w:rsidRPr="00E20E0A" w:rsidP="00E20E0A" w14:paraId="68788792" w14:textId="77777777">
            <w:pPr>
              <w:widowControl/>
              <w:jc w:val="right"/>
              <w:rPr>
                <w:rFonts w:ascii="Times New Roman" w:hAnsi="Times New Roman"/>
                <w:snapToGrid/>
                <w:color w:val="000000"/>
                <w:sz w:val="20"/>
              </w:rPr>
            </w:pPr>
            <w:r w:rsidRPr="00E20E0A">
              <w:rPr>
                <w:rFonts w:ascii="Times New Roman" w:hAnsi="Times New Roman"/>
                <w:snapToGrid/>
                <w:color w:val="000000"/>
                <w:sz w:val="20"/>
              </w:rPr>
              <w:t>8:00</w:t>
            </w:r>
          </w:p>
        </w:tc>
        <w:tc>
          <w:tcPr>
            <w:tcW w:w="1160" w:type="dxa"/>
            <w:tcBorders>
              <w:top w:val="nil"/>
              <w:left w:val="single" w:sz="8" w:space="0" w:color="auto"/>
              <w:bottom w:val="single" w:sz="8" w:space="0" w:color="auto"/>
              <w:right w:val="single" w:sz="8" w:space="0" w:color="auto"/>
            </w:tcBorders>
            <w:noWrap/>
            <w:vAlign w:val="center"/>
            <w:hideMark/>
          </w:tcPr>
          <w:p w:rsidR="00E20E0A" w:rsidRPr="00E20E0A" w:rsidP="00E20E0A" w14:paraId="72F5E56C" w14:textId="77777777">
            <w:pPr>
              <w:widowControl/>
              <w:jc w:val="right"/>
              <w:rPr>
                <w:rFonts w:ascii="Times New Roman" w:hAnsi="Times New Roman"/>
                <w:snapToGrid/>
                <w:color w:val="000000"/>
                <w:sz w:val="20"/>
              </w:rPr>
            </w:pPr>
            <w:r w:rsidRPr="00E20E0A">
              <w:rPr>
                <w:rFonts w:ascii="Times New Roman" w:hAnsi="Times New Roman"/>
                <w:snapToGrid/>
                <w:color w:val="000000"/>
                <w:sz w:val="20"/>
              </w:rPr>
              <w:t>8</w:t>
            </w:r>
          </w:p>
        </w:tc>
      </w:tr>
      <w:tr w14:paraId="19771A70" w14:textId="77777777" w:rsidTr="00951D20">
        <w:tblPrEx>
          <w:tblW w:w="9620" w:type="dxa"/>
          <w:tblLook w:val="04A0"/>
        </w:tblPrEx>
        <w:trPr>
          <w:trHeight w:val="1392"/>
        </w:trPr>
        <w:tc>
          <w:tcPr>
            <w:tcW w:w="2540" w:type="dxa"/>
            <w:tcBorders>
              <w:top w:val="nil"/>
              <w:left w:val="single" w:sz="8" w:space="0" w:color="auto"/>
              <w:bottom w:val="single" w:sz="8" w:space="0" w:color="auto"/>
              <w:right w:val="single" w:sz="8" w:space="0" w:color="auto"/>
            </w:tcBorders>
            <w:vAlign w:val="center"/>
            <w:hideMark/>
          </w:tcPr>
          <w:p w:rsidR="00E20E0A" w:rsidRPr="00E20E0A" w:rsidP="00E20E0A" w14:paraId="6D8F2B93" w14:textId="77777777">
            <w:pPr>
              <w:widowControl/>
              <w:rPr>
                <w:rFonts w:ascii="Times New Roman" w:hAnsi="Times New Roman"/>
                <w:snapToGrid/>
                <w:color w:val="000000"/>
                <w:sz w:val="20"/>
              </w:rPr>
            </w:pPr>
            <w:r w:rsidRPr="00E20E0A">
              <w:rPr>
                <w:rFonts w:ascii="Times New Roman" w:eastAsia="Source Sans Pro" w:hAnsi="Times New Roman"/>
                <w:snapToGrid/>
                <w:color w:val="000000"/>
                <w:sz w:val="20"/>
                <w:lang w:bidi="en-US"/>
              </w:rPr>
              <w:t>15. Section 351.20(f)(2) - Simplified compliance program for Covered Banks with moderate trading assets and liabilities (Mandatory)</w:t>
            </w:r>
          </w:p>
        </w:tc>
        <w:tc>
          <w:tcPr>
            <w:tcW w:w="1767" w:type="dxa"/>
            <w:tcBorders>
              <w:top w:val="nil"/>
              <w:left w:val="nil"/>
              <w:bottom w:val="single" w:sz="8" w:space="0" w:color="auto"/>
              <w:right w:val="single" w:sz="8" w:space="0" w:color="auto"/>
            </w:tcBorders>
            <w:vAlign w:val="center"/>
            <w:hideMark/>
          </w:tcPr>
          <w:p w:rsidR="00E20E0A" w:rsidRPr="00E20E0A" w:rsidP="00E20E0A" w14:paraId="2887A63B" w14:textId="77777777">
            <w:pPr>
              <w:widowControl/>
              <w:jc w:val="center"/>
              <w:rPr>
                <w:rFonts w:ascii="Times New Roman" w:hAnsi="Times New Roman"/>
                <w:snapToGrid/>
                <w:color w:val="000000"/>
                <w:sz w:val="20"/>
              </w:rPr>
            </w:pPr>
            <w:r w:rsidRPr="00E20E0A">
              <w:rPr>
                <w:rFonts w:ascii="Times New Roman" w:hAnsi="Times New Roman"/>
                <w:snapToGrid/>
                <w:color w:val="000000"/>
                <w:sz w:val="20"/>
              </w:rPr>
              <w:t xml:space="preserve">Recordkeeping </w:t>
            </w:r>
            <w:r w:rsidRPr="00E20E0A">
              <w:rPr>
                <w:rFonts w:ascii="Times New Roman" w:hAnsi="Times New Roman"/>
                <w:snapToGrid/>
                <w:color w:val="000000"/>
                <w:sz w:val="20"/>
              </w:rPr>
              <w:br/>
              <w:t>(On occasion)</w:t>
            </w:r>
          </w:p>
        </w:tc>
        <w:tc>
          <w:tcPr>
            <w:tcW w:w="1313" w:type="dxa"/>
            <w:tcBorders>
              <w:top w:val="nil"/>
              <w:left w:val="nil"/>
              <w:bottom w:val="single" w:sz="8" w:space="0" w:color="auto"/>
              <w:right w:val="single" w:sz="8" w:space="0" w:color="auto"/>
            </w:tcBorders>
            <w:noWrap/>
            <w:vAlign w:val="center"/>
            <w:hideMark/>
          </w:tcPr>
          <w:p w:rsidR="00E20E0A" w:rsidRPr="00E20E0A" w:rsidP="00E20E0A" w14:paraId="7700FAC6" w14:textId="77777777">
            <w:pPr>
              <w:widowControl/>
              <w:jc w:val="right"/>
              <w:rPr>
                <w:rFonts w:ascii="Times New Roman" w:hAnsi="Times New Roman"/>
                <w:snapToGrid/>
                <w:color w:val="000000"/>
                <w:sz w:val="20"/>
              </w:rPr>
            </w:pPr>
            <w:r w:rsidRPr="00E20E0A">
              <w:rPr>
                <w:rFonts w:ascii="Times New Roman" w:hAnsi="Times New Roman"/>
                <w:snapToGrid/>
                <w:color w:val="000000"/>
                <w:sz w:val="20"/>
              </w:rPr>
              <w:t>5</w:t>
            </w:r>
          </w:p>
        </w:tc>
        <w:tc>
          <w:tcPr>
            <w:tcW w:w="1720" w:type="dxa"/>
            <w:tcBorders>
              <w:top w:val="nil"/>
              <w:left w:val="nil"/>
              <w:bottom w:val="single" w:sz="8" w:space="0" w:color="auto"/>
              <w:right w:val="single" w:sz="8" w:space="0" w:color="auto"/>
            </w:tcBorders>
            <w:noWrap/>
            <w:vAlign w:val="center"/>
            <w:hideMark/>
          </w:tcPr>
          <w:p w:rsidR="00E20E0A" w:rsidRPr="00E20E0A" w:rsidP="00E20E0A" w14:paraId="7BA179DC" w14:textId="77777777">
            <w:pPr>
              <w:widowControl/>
              <w:jc w:val="right"/>
              <w:rPr>
                <w:rFonts w:ascii="Times New Roman" w:hAnsi="Times New Roman"/>
                <w:snapToGrid/>
                <w:color w:val="000000"/>
                <w:sz w:val="20"/>
              </w:rPr>
            </w:pPr>
            <w:r w:rsidRPr="00E20E0A">
              <w:rPr>
                <w:rFonts w:ascii="Times New Roman" w:hAnsi="Times New Roman"/>
                <w:snapToGrid/>
                <w:color w:val="000000"/>
                <w:sz w:val="20"/>
              </w:rPr>
              <w:t>1</w:t>
            </w:r>
          </w:p>
        </w:tc>
        <w:tc>
          <w:tcPr>
            <w:tcW w:w="1120" w:type="dxa"/>
            <w:tcBorders>
              <w:top w:val="nil"/>
              <w:left w:val="nil"/>
              <w:bottom w:val="single" w:sz="8" w:space="0" w:color="auto"/>
              <w:right w:val="nil"/>
            </w:tcBorders>
            <w:vAlign w:val="center"/>
            <w:hideMark/>
          </w:tcPr>
          <w:p w:rsidR="00E20E0A" w:rsidRPr="00E20E0A" w:rsidP="00E20E0A" w14:paraId="7CCCD78B" w14:textId="77777777">
            <w:pPr>
              <w:widowControl/>
              <w:jc w:val="right"/>
              <w:rPr>
                <w:rFonts w:ascii="Times New Roman" w:hAnsi="Times New Roman"/>
                <w:snapToGrid/>
                <w:color w:val="000000"/>
                <w:sz w:val="20"/>
              </w:rPr>
            </w:pPr>
            <w:r w:rsidRPr="00E20E0A">
              <w:rPr>
                <w:rFonts w:ascii="Times New Roman" w:hAnsi="Times New Roman"/>
                <w:snapToGrid/>
                <w:color w:val="000000"/>
                <w:sz w:val="20"/>
              </w:rPr>
              <w:t>40:00</w:t>
            </w:r>
          </w:p>
        </w:tc>
        <w:tc>
          <w:tcPr>
            <w:tcW w:w="1160" w:type="dxa"/>
            <w:tcBorders>
              <w:top w:val="nil"/>
              <w:left w:val="single" w:sz="8" w:space="0" w:color="auto"/>
              <w:bottom w:val="single" w:sz="8" w:space="0" w:color="auto"/>
              <w:right w:val="single" w:sz="8" w:space="0" w:color="auto"/>
            </w:tcBorders>
            <w:noWrap/>
            <w:vAlign w:val="center"/>
            <w:hideMark/>
          </w:tcPr>
          <w:p w:rsidR="00E20E0A" w:rsidRPr="00E20E0A" w:rsidP="00E20E0A" w14:paraId="5975DB9E" w14:textId="77777777">
            <w:pPr>
              <w:widowControl/>
              <w:jc w:val="right"/>
              <w:rPr>
                <w:rFonts w:ascii="Times New Roman" w:hAnsi="Times New Roman"/>
                <w:snapToGrid/>
                <w:color w:val="000000"/>
                <w:sz w:val="20"/>
              </w:rPr>
            </w:pPr>
            <w:r w:rsidRPr="00E20E0A">
              <w:rPr>
                <w:rFonts w:ascii="Times New Roman" w:hAnsi="Times New Roman"/>
                <w:snapToGrid/>
                <w:color w:val="000000"/>
                <w:sz w:val="20"/>
              </w:rPr>
              <w:t>200</w:t>
            </w:r>
          </w:p>
        </w:tc>
      </w:tr>
      <w:tr w14:paraId="7F7FA71A" w14:textId="77777777" w:rsidTr="00951D20">
        <w:tblPrEx>
          <w:tblW w:w="9620" w:type="dxa"/>
          <w:tblLook w:val="04A0"/>
        </w:tblPrEx>
        <w:trPr>
          <w:trHeight w:val="840"/>
        </w:trPr>
        <w:tc>
          <w:tcPr>
            <w:tcW w:w="2540" w:type="dxa"/>
            <w:tcBorders>
              <w:top w:val="nil"/>
              <w:left w:val="single" w:sz="8" w:space="0" w:color="auto"/>
              <w:bottom w:val="single" w:sz="8" w:space="0" w:color="auto"/>
              <w:right w:val="single" w:sz="8" w:space="0" w:color="auto"/>
            </w:tcBorders>
            <w:vAlign w:val="center"/>
            <w:hideMark/>
          </w:tcPr>
          <w:p w:rsidR="00E20E0A" w:rsidRPr="00E20E0A" w:rsidP="00E20E0A" w14:paraId="093DEC98" w14:textId="77777777">
            <w:pPr>
              <w:widowControl/>
              <w:rPr>
                <w:rFonts w:ascii="Times New Roman" w:hAnsi="Times New Roman"/>
                <w:snapToGrid/>
                <w:color w:val="000000"/>
                <w:sz w:val="20"/>
              </w:rPr>
            </w:pPr>
            <w:r w:rsidRPr="00E20E0A">
              <w:rPr>
                <w:rFonts w:ascii="Times New Roman" w:eastAsia="Source Sans Pro" w:hAnsi="Times New Roman"/>
                <w:snapToGrid/>
                <w:color w:val="000000"/>
                <w:sz w:val="20"/>
                <w:lang w:bidi="en-US"/>
              </w:rPr>
              <w:t>16. Section 351.11(a)(8)(i) - Offerings disclosures (Mandatory)</w:t>
            </w:r>
          </w:p>
        </w:tc>
        <w:tc>
          <w:tcPr>
            <w:tcW w:w="1767" w:type="dxa"/>
            <w:tcBorders>
              <w:top w:val="nil"/>
              <w:left w:val="nil"/>
              <w:bottom w:val="single" w:sz="8" w:space="0" w:color="auto"/>
              <w:right w:val="single" w:sz="8" w:space="0" w:color="auto"/>
            </w:tcBorders>
            <w:vAlign w:val="center"/>
            <w:hideMark/>
          </w:tcPr>
          <w:p w:rsidR="00E20E0A" w:rsidRPr="00E20E0A" w:rsidP="00E20E0A" w14:paraId="27AA35A6" w14:textId="77777777">
            <w:pPr>
              <w:widowControl/>
              <w:jc w:val="center"/>
              <w:rPr>
                <w:rFonts w:ascii="Times New Roman" w:hAnsi="Times New Roman"/>
                <w:snapToGrid/>
                <w:color w:val="000000"/>
                <w:sz w:val="20"/>
              </w:rPr>
            </w:pPr>
            <w:r w:rsidRPr="00E20E0A">
              <w:rPr>
                <w:rFonts w:ascii="Times New Roman" w:hAnsi="Times New Roman"/>
                <w:snapToGrid/>
                <w:color w:val="000000"/>
                <w:sz w:val="20"/>
              </w:rPr>
              <w:t xml:space="preserve">Third-party Disclosure </w:t>
            </w:r>
            <w:r w:rsidRPr="00E20E0A">
              <w:rPr>
                <w:rFonts w:ascii="Times New Roman" w:hAnsi="Times New Roman"/>
                <w:snapToGrid/>
                <w:color w:val="000000"/>
                <w:sz w:val="20"/>
              </w:rPr>
              <w:br/>
              <w:t>(On Occasion)</w:t>
            </w:r>
          </w:p>
        </w:tc>
        <w:tc>
          <w:tcPr>
            <w:tcW w:w="1313" w:type="dxa"/>
            <w:tcBorders>
              <w:top w:val="nil"/>
              <w:left w:val="nil"/>
              <w:bottom w:val="single" w:sz="8" w:space="0" w:color="auto"/>
              <w:right w:val="single" w:sz="8" w:space="0" w:color="auto"/>
            </w:tcBorders>
            <w:noWrap/>
            <w:vAlign w:val="center"/>
            <w:hideMark/>
          </w:tcPr>
          <w:p w:rsidR="00E20E0A" w:rsidRPr="00E20E0A" w:rsidP="00E20E0A" w14:paraId="47D8DE25" w14:textId="77777777">
            <w:pPr>
              <w:widowControl/>
              <w:jc w:val="right"/>
              <w:rPr>
                <w:rFonts w:ascii="Times New Roman" w:hAnsi="Times New Roman"/>
                <w:snapToGrid/>
                <w:color w:val="000000"/>
                <w:sz w:val="20"/>
              </w:rPr>
            </w:pPr>
            <w:r w:rsidRPr="00E20E0A">
              <w:rPr>
                <w:rFonts w:ascii="Times New Roman" w:hAnsi="Times New Roman"/>
                <w:snapToGrid/>
                <w:color w:val="000000"/>
                <w:sz w:val="20"/>
              </w:rPr>
              <w:t>7</w:t>
            </w:r>
          </w:p>
        </w:tc>
        <w:tc>
          <w:tcPr>
            <w:tcW w:w="1720" w:type="dxa"/>
            <w:tcBorders>
              <w:top w:val="nil"/>
              <w:left w:val="nil"/>
              <w:bottom w:val="single" w:sz="8" w:space="0" w:color="auto"/>
              <w:right w:val="single" w:sz="8" w:space="0" w:color="auto"/>
            </w:tcBorders>
            <w:noWrap/>
            <w:vAlign w:val="center"/>
            <w:hideMark/>
          </w:tcPr>
          <w:p w:rsidR="00E20E0A" w:rsidRPr="00E20E0A" w:rsidP="00E20E0A" w14:paraId="65CF1E29" w14:textId="77777777">
            <w:pPr>
              <w:widowControl/>
              <w:jc w:val="right"/>
              <w:rPr>
                <w:rFonts w:ascii="Times New Roman" w:hAnsi="Times New Roman"/>
                <w:snapToGrid/>
                <w:color w:val="000000"/>
                <w:sz w:val="20"/>
              </w:rPr>
            </w:pPr>
            <w:r w:rsidRPr="00E20E0A">
              <w:rPr>
                <w:rFonts w:ascii="Times New Roman" w:hAnsi="Times New Roman"/>
                <w:snapToGrid/>
                <w:color w:val="000000"/>
                <w:sz w:val="20"/>
              </w:rPr>
              <w:t>26</w:t>
            </w:r>
          </w:p>
        </w:tc>
        <w:tc>
          <w:tcPr>
            <w:tcW w:w="1120" w:type="dxa"/>
            <w:tcBorders>
              <w:top w:val="nil"/>
              <w:left w:val="nil"/>
              <w:bottom w:val="single" w:sz="8" w:space="0" w:color="auto"/>
              <w:right w:val="nil"/>
            </w:tcBorders>
            <w:vAlign w:val="center"/>
            <w:hideMark/>
          </w:tcPr>
          <w:p w:rsidR="00E20E0A" w:rsidRPr="00E20E0A" w:rsidP="00E20E0A" w14:paraId="55C4FA3D" w14:textId="77777777">
            <w:pPr>
              <w:widowControl/>
              <w:jc w:val="right"/>
              <w:rPr>
                <w:rFonts w:ascii="Times New Roman" w:hAnsi="Times New Roman"/>
                <w:snapToGrid/>
                <w:color w:val="000000"/>
                <w:sz w:val="20"/>
              </w:rPr>
            </w:pPr>
            <w:r w:rsidRPr="00E20E0A">
              <w:rPr>
                <w:rFonts w:ascii="Times New Roman" w:hAnsi="Times New Roman"/>
                <w:snapToGrid/>
                <w:color w:val="000000"/>
                <w:sz w:val="20"/>
              </w:rPr>
              <w:t>00:30</w:t>
            </w:r>
          </w:p>
        </w:tc>
        <w:tc>
          <w:tcPr>
            <w:tcW w:w="1160" w:type="dxa"/>
            <w:tcBorders>
              <w:top w:val="nil"/>
              <w:left w:val="single" w:sz="8" w:space="0" w:color="auto"/>
              <w:bottom w:val="single" w:sz="8" w:space="0" w:color="auto"/>
              <w:right w:val="single" w:sz="8" w:space="0" w:color="auto"/>
            </w:tcBorders>
            <w:noWrap/>
            <w:vAlign w:val="center"/>
            <w:hideMark/>
          </w:tcPr>
          <w:p w:rsidR="00E20E0A" w:rsidRPr="00E20E0A" w:rsidP="00E20E0A" w14:paraId="00C0CCDB" w14:textId="77777777">
            <w:pPr>
              <w:widowControl/>
              <w:jc w:val="right"/>
              <w:rPr>
                <w:rFonts w:ascii="Times New Roman" w:hAnsi="Times New Roman"/>
                <w:snapToGrid/>
                <w:color w:val="000000"/>
                <w:sz w:val="20"/>
              </w:rPr>
            </w:pPr>
            <w:r w:rsidRPr="00E20E0A">
              <w:rPr>
                <w:rFonts w:ascii="Times New Roman" w:hAnsi="Times New Roman"/>
                <w:snapToGrid/>
                <w:color w:val="000000"/>
                <w:sz w:val="20"/>
              </w:rPr>
              <w:t>91</w:t>
            </w:r>
          </w:p>
        </w:tc>
      </w:tr>
      <w:tr w14:paraId="3CC85528" w14:textId="77777777" w:rsidTr="00951D20">
        <w:tblPrEx>
          <w:tblW w:w="9620" w:type="dxa"/>
          <w:tblLook w:val="04A0"/>
        </w:tblPrEx>
        <w:trPr>
          <w:trHeight w:val="300"/>
        </w:trPr>
        <w:tc>
          <w:tcPr>
            <w:tcW w:w="8460" w:type="dxa"/>
            <w:gridSpan w:val="5"/>
            <w:tcBorders>
              <w:top w:val="single" w:sz="8" w:space="0" w:color="auto"/>
              <w:left w:val="single" w:sz="8" w:space="0" w:color="auto"/>
              <w:bottom w:val="single" w:sz="8" w:space="0" w:color="auto"/>
              <w:right w:val="nil"/>
            </w:tcBorders>
            <w:shd w:val="clear" w:color="000000" w:fill="FFFFFF"/>
            <w:noWrap/>
            <w:vAlign w:val="center"/>
            <w:hideMark/>
          </w:tcPr>
          <w:p w:rsidR="00E20E0A" w:rsidRPr="00E20E0A" w:rsidP="00E20E0A" w14:paraId="5F3A7D77" w14:textId="77777777">
            <w:pPr>
              <w:widowControl/>
              <w:jc w:val="right"/>
              <w:rPr>
                <w:rFonts w:ascii="Times New Roman" w:hAnsi="Times New Roman"/>
                <w:b/>
                <w:bCs/>
                <w:i/>
                <w:iCs/>
                <w:snapToGrid/>
                <w:color w:val="000000"/>
                <w:sz w:val="22"/>
                <w:szCs w:val="22"/>
              </w:rPr>
            </w:pPr>
            <w:r>
              <w:rPr>
                <w:rFonts w:ascii="Times New Roman" w:hAnsi="Times New Roman"/>
                <w:b/>
                <w:bCs/>
                <w:i/>
                <w:iCs/>
                <w:snapToGrid/>
                <w:color w:val="000000"/>
                <w:sz w:val="22"/>
                <w:szCs w:val="22"/>
              </w:rPr>
              <w:t xml:space="preserve">Estimated </w:t>
            </w:r>
            <w:r w:rsidRPr="00E20E0A">
              <w:rPr>
                <w:rFonts w:ascii="Times New Roman" w:hAnsi="Times New Roman"/>
                <w:b/>
                <w:bCs/>
                <w:i/>
                <w:iCs/>
                <w:snapToGrid/>
                <w:color w:val="000000"/>
                <w:sz w:val="22"/>
                <w:szCs w:val="22"/>
              </w:rPr>
              <w:t xml:space="preserve">Annual </w:t>
            </w:r>
            <w:r>
              <w:rPr>
                <w:rFonts w:ascii="Times New Roman" w:hAnsi="Times New Roman"/>
                <w:b/>
                <w:bCs/>
                <w:i/>
                <w:iCs/>
                <w:snapToGrid/>
                <w:color w:val="000000"/>
                <w:sz w:val="22"/>
                <w:szCs w:val="22"/>
              </w:rPr>
              <w:t xml:space="preserve">Ongoing </w:t>
            </w:r>
            <w:r w:rsidRPr="00E20E0A">
              <w:rPr>
                <w:rFonts w:ascii="Times New Roman" w:hAnsi="Times New Roman"/>
                <w:b/>
                <w:bCs/>
                <w:i/>
                <w:iCs/>
                <w:snapToGrid/>
                <w:color w:val="000000"/>
                <w:sz w:val="22"/>
                <w:szCs w:val="22"/>
              </w:rPr>
              <w:t>Burden (Hours):</w:t>
            </w:r>
          </w:p>
        </w:tc>
        <w:tc>
          <w:tcPr>
            <w:tcW w:w="1160" w:type="dxa"/>
            <w:tcBorders>
              <w:top w:val="nil"/>
              <w:left w:val="nil"/>
              <w:bottom w:val="single" w:sz="8" w:space="0" w:color="auto"/>
              <w:right w:val="single" w:sz="8" w:space="0" w:color="auto"/>
            </w:tcBorders>
            <w:noWrap/>
            <w:vAlign w:val="bottom"/>
            <w:hideMark/>
          </w:tcPr>
          <w:p w:rsidR="00E20E0A" w:rsidRPr="00E20E0A" w:rsidP="00E20E0A" w14:paraId="61EC2EB2" w14:textId="77777777">
            <w:pPr>
              <w:widowControl/>
              <w:jc w:val="right"/>
              <w:rPr>
                <w:rFonts w:ascii="Times New Roman" w:hAnsi="Times New Roman"/>
                <w:b/>
                <w:bCs/>
                <w:i/>
                <w:iCs/>
                <w:snapToGrid/>
                <w:color w:val="000000"/>
                <w:sz w:val="22"/>
                <w:szCs w:val="22"/>
              </w:rPr>
            </w:pPr>
            <w:r w:rsidRPr="00E20E0A">
              <w:rPr>
                <w:rFonts w:ascii="Times New Roman" w:hAnsi="Times New Roman"/>
                <w:b/>
                <w:bCs/>
                <w:i/>
                <w:iCs/>
                <w:snapToGrid/>
                <w:color w:val="000000"/>
                <w:sz w:val="22"/>
                <w:szCs w:val="22"/>
              </w:rPr>
              <w:t>2,385</w:t>
            </w:r>
          </w:p>
        </w:tc>
      </w:tr>
      <w:tr w14:paraId="45746130" w14:textId="77777777" w:rsidTr="00951D20">
        <w:tblPrEx>
          <w:tblW w:w="9620" w:type="dxa"/>
          <w:tblLook w:val="04A0"/>
        </w:tblPrEx>
        <w:trPr>
          <w:trHeight w:val="252"/>
        </w:trPr>
        <w:tc>
          <w:tcPr>
            <w:tcW w:w="9620" w:type="dxa"/>
            <w:gridSpan w:val="6"/>
            <w:tcBorders>
              <w:top w:val="single" w:sz="8" w:space="0" w:color="auto"/>
              <w:left w:val="single" w:sz="8" w:space="0" w:color="auto"/>
              <w:bottom w:val="single" w:sz="8" w:space="0" w:color="auto"/>
              <w:right w:val="single" w:sz="8" w:space="0" w:color="auto"/>
            </w:tcBorders>
            <w:noWrap/>
            <w:hideMark/>
          </w:tcPr>
          <w:p w:rsidR="00E20E0A" w:rsidRPr="00E20E0A" w:rsidP="00E20E0A" w14:paraId="6C77A7FC" w14:textId="77777777">
            <w:pPr>
              <w:widowControl/>
              <w:rPr>
                <w:rFonts w:ascii="Times New Roman" w:hAnsi="Times New Roman"/>
                <w:snapToGrid/>
                <w:color w:val="000000"/>
                <w:sz w:val="18"/>
                <w:szCs w:val="18"/>
              </w:rPr>
            </w:pPr>
            <w:r w:rsidRPr="00E20E0A">
              <w:rPr>
                <w:rFonts w:ascii="Times New Roman" w:hAnsi="Times New Roman"/>
                <w:snapToGrid/>
                <w:color w:val="000000"/>
                <w:sz w:val="18"/>
                <w:szCs w:val="18"/>
              </w:rPr>
              <w:t>Source: FDIC.</w:t>
            </w:r>
          </w:p>
        </w:tc>
      </w:tr>
      <w:tr w14:paraId="3D802328" w14:textId="77777777" w:rsidTr="00951D20">
        <w:tblPrEx>
          <w:tblW w:w="9620" w:type="dxa"/>
          <w:tblLook w:val="04A0"/>
        </w:tblPrEx>
        <w:trPr>
          <w:trHeight w:val="288"/>
        </w:trPr>
        <w:tc>
          <w:tcPr>
            <w:tcW w:w="9620" w:type="dxa"/>
            <w:gridSpan w:val="6"/>
            <w:tcBorders>
              <w:top w:val="single" w:sz="8" w:space="0" w:color="auto"/>
              <w:left w:val="single" w:sz="8" w:space="0" w:color="auto"/>
              <w:bottom w:val="single" w:sz="8" w:space="0" w:color="auto"/>
              <w:right w:val="single" w:sz="8" w:space="0" w:color="auto"/>
            </w:tcBorders>
            <w:vAlign w:val="center"/>
            <w:hideMark/>
          </w:tcPr>
          <w:p w:rsidR="00E20E0A" w:rsidRPr="00E20E0A" w:rsidP="00E20E0A" w14:paraId="1CC144FB" w14:textId="77777777">
            <w:pPr>
              <w:widowControl/>
              <w:rPr>
                <w:rFonts w:ascii="Times New Roman" w:hAnsi="Times New Roman"/>
                <w:snapToGrid/>
                <w:color w:val="000000"/>
                <w:sz w:val="18"/>
                <w:szCs w:val="18"/>
              </w:rPr>
            </w:pPr>
            <w:r w:rsidRPr="00E20E0A">
              <w:rPr>
                <w:rFonts w:ascii="Times New Roman" w:hAnsi="Times New Roman"/>
                <w:snapToGrid/>
                <w:color w:val="000000"/>
                <w:sz w:val="18"/>
                <w:szCs w:val="18"/>
              </w:rPr>
              <w:t>Note: The annual burden estimate for a given collection is calculated in two steps. First, the total number of annual responses is calculated as the whole number closest to the product of the annual number of respondents and the annual number of responses per respondent. Then, the total number of annual responses is multiplied by the time per response and rounded to the nearest hour to obtain the estimated annual burden for that collection. This rounding ensures the annual burden hours in the table are cons</w:t>
            </w:r>
            <w:r w:rsidRPr="00E20E0A">
              <w:rPr>
                <w:rFonts w:ascii="Times New Roman" w:hAnsi="Times New Roman"/>
                <w:snapToGrid/>
                <w:color w:val="000000"/>
                <w:sz w:val="18"/>
                <w:szCs w:val="18"/>
              </w:rPr>
              <w:t>istent with the values recorded in the OMB’s regulatory tracking system.</w:t>
            </w:r>
          </w:p>
        </w:tc>
      </w:tr>
    </w:tbl>
    <w:p w:rsidR="00B973CE" w:rsidP="00F9420A" w14:paraId="77D1846D" w14:textId="77777777">
      <w:pPr>
        <w:rPr>
          <w:rFonts w:ascii="Times New Roman" w:hAnsi="Times New Roman"/>
          <w:iCs/>
          <w:lang w:bidi="en-US"/>
        </w:rPr>
      </w:pPr>
    </w:p>
    <w:p w:rsidR="00D84C13" w:rsidRPr="00D84C13" w:rsidP="00D84C13" w14:paraId="3BD25411" w14:textId="77777777">
      <w:pPr>
        <w:tabs>
          <w:tab w:val="left" w:pos="1440"/>
          <w:tab w:val="left" w:pos="5040"/>
        </w:tabs>
        <w:suppressAutoHyphens/>
        <w:autoSpaceDE w:val="0"/>
        <w:autoSpaceDN w:val="0"/>
        <w:ind w:right="-86"/>
        <w:rPr>
          <w:rFonts w:ascii="Times New Roman" w:eastAsia="Source Sans Pro" w:hAnsi="Times New Roman"/>
          <w:b/>
          <w:snapToGrid/>
          <w:szCs w:val="24"/>
          <w:lang w:bidi="en-US"/>
        </w:rPr>
      </w:pPr>
      <w:r w:rsidRPr="00D84C13">
        <w:rPr>
          <w:rFonts w:ascii="Times New Roman" w:eastAsia="Source Sans Pro" w:hAnsi="Times New Roman"/>
          <w:b/>
          <w:snapToGrid/>
          <w:szCs w:val="24"/>
          <w:lang w:bidi="en-US"/>
        </w:rPr>
        <w:t>Total Estimated Hourly Labor Compensation Rates</w:t>
      </w:r>
    </w:p>
    <w:p w:rsidR="00D84C13" w:rsidRPr="00D84C13" w:rsidP="00D84C13" w14:paraId="0EEFDD6E" w14:textId="77777777">
      <w:pPr>
        <w:autoSpaceDE w:val="0"/>
        <w:autoSpaceDN w:val="0"/>
        <w:spacing w:after="120" w:line="280" w:lineRule="exact"/>
        <w:ind w:firstLine="720"/>
        <w:contextualSpacing/>
        <w:rPr>
          <w:rFonts w:ascii="Times New Roman" w:eastAsia="Source Sans Pro" w:hAnsi="Times New Roman"/>
          <w:snapToGrid/>
          <w:sz w:val="22"/>
          <w:szCs w:val="19"/>
          <w:lang w:bidi="en-US"/>
        </w:rPr>
      </w:pPr>
    </w:p>
    <w:p w:rsidR="00D5791C" w:rsidP="00D5791C" w14:paraId="5B60D3A4" w14:textId="4FF1C011">
      <w:pPr>
        <w:pStyle w:val="BodyText"/>
      </w:pPr>
      <w:r w:rsidRPr="00BB0A68">
        <w:t xml:space="preserve">To estimate the average cost of compensation per hour, </w:t>
      </w:r>
      <w:r>
        <w:t>the FDIC</w:t>
      </w:r>
      <w:r w:rsidRPr="00BB0A68">
        <w:t xml:space="preserve"> use</w:t>
      </w:r>
      <w:r>
        <w:t>s</w:t>
      </w:r>
      <w:r w:rsidRPr="00BB0A68">
        <w:t xml:space="preserve"> the 75</w:t>
      </w:r>
      <w:r w:rsidRPr="00BB0A68">
        <w:rPr>
          <w:vertAlign w:val="superscript"/>
        </w:rPr>
        <w:t>th</w:t>
      </w:r>
      <w:r>
        <w:t xml:space="preserve"> </w:t>
      </w:r>
      <w:r w:rsidRPr="00BB0A68">
        <w:t xml:space="preserve">percentile hourly wages reported by the Bureau of Labor Statistics (BLS) National Industry-Specific Occupational Employment and Wage Estimates (OEWS) for the relevant occupations in the Depository Credit Intermediation sector. However, the latest OEWS wage data are as of May 2025 and do not include non-wage compensation. To adjust these wages for use in the memo, </w:t>
      </w:r>
      <w:r>
        <w:t>the FDIC</w:t>
      </w:r>
      <w:r w:rsidRPr="00BB0A68">
        <w:t xml:space="preserve"> multipl</w:t>
      </w:r>
      <w:r>
        <w:t>ied</w:t>
      </w:r>
      <w:r w:rsidRPr="00BB0A68">
        <w:t xml:space="preserve"> the OEWS hourly wages by approximately 1.58 to account for non-wage compensation, using the BLS Employer Cost of Employee Compensation (ECEC) data as of March 2025 (the latest published release prior to the OEWS wage data)</w:t>
      </w:r>
      <w:r>
        <w:t>, t</w:t>
      </w:r>
      <w:r w:rsidRPr="00BB0A68">
        <w:t xml:space="preserve">hen </w:t>
      </w:r>
      <w:r w:rsidRPr="00BB0A68">
        <w:t>multip</w:t>
      </w:r>
      <w:r>
        <w:t>ied</w:t>
      </w:r>
      <w:r>
        <w:t xml:space="preserve"> </w:t>
      </w:r>
      <w:r w:rsidRPr="00BB0A68">
        <w:t>the resulting compensation rates by approximately 1.04 to account for the change in the seasonally adjusted Employment Cost Index for the Credit Intermediation and Related Activities sector (NAICS Code 522) between March 2025 and March 2026.</w:t>
      </w:r>
    </w:p>
    <w:p w:rsidR="00D84C13" w:rsidRPr="00D84C13" w:rsidP="00D84C13" w14:paraId="7EBEC061" w14:textId="77777777">
      <w:pPr>
        <w:autoSpaceDE w:val="0"/>
        <w:autoSpaceDN w:val="0"/>
        <w:spacing w:after="120" w:line="280" w:lineRule="exact"/>
        <w:contextualSpacing/>
        <w:rPr>
          <w:rFonts w:ascii="Times New Roman" w:eastAsia="Source Sans Pro" w:hAnsi="Times New Roman"/>
          <w:snapToGrid/>
          <w:szCs w:val="24"/>
          <w:lang w:bidi="en-US"/>
        </w:rPr>
      </w:pPr>
      <w:r w:rsidRPr="00D84C13">
        <w:rPr>
          <w:rFonts w:ascii="Times New Roman" w:eastAsia="Source Sans Pro" w:hAnsi="Times New Roman"/>
          <w:snapToGrid/>
          <w:szCs w:val="24"/>
          <w:lang w:bidi="en-US"/>
        </w:rPr>
        <w:tab/>
      </w:r>
      <w:r w:rsidRPr="00D84C13">
        <w:rPr>
          <w:rFonts w:ascii="Times New Roman" w:eastAsia="Source Sans Pro" w:hAnsi="Times New Roman"/>
          <w:snapToGrid/>
          <w:szCs w:val="24"/>
          <w:lang w:bidi="en-US"/>
        </w:rPr>
        <w:tab/>
      </w:r>
      <w:r w:rsidRPr="00D84C13">
        <w:rPr>
          <w:rFonts w:ascii="Times New Roman" w:eastAsia="Source Sans Pro" w:hAnsi="Times New Roman"/>
          <w:snapToGrid/>
          <w:szCs w:val="24"/>
          <w:lang w:bidi="en-US"/>
        </w:rPr>
        <w:tab/>
      </w:r>
      <w:r w:rsidRPr="00D84C13">
        <w:rPr>
          <w:rFonts w:ascii="Times New Roman" w:eastAsia="Source Sans Pro" w:hAnsi="Times New Roman"/>
          <w:snapToGrid/>
          <w:szCs w:val="24"/>
          <w:lang w:bidi="en-US"/>
        </w:rPr>
        <w:tab/>
      </w:r>
      <w:r w:rsidRPr="00D84C13">
        <w:rPr>
          <w:rFonts w:ascii="Times New Roman" w:eastAsia="Source Sans Pro" w:hAnsi="Times New Roman"/>
          <w:snapToGrid/>
          <w:szCs w:val="24"/>
          <w:lang w:bidi="en-US"/>
        </w:rPr>
        <w:tab/>
      </w:r>
      <w:r w:rsidRPr="00D84C13">
        <w:rPr>
          <w:rFonts w:ascii="Times New Roman" w:eastAsia="Source Sans Pro" w:hAnsi="Times New Roman"/>
          <w:snapToGrid/>
          <w:szCs w:val="24"/>
          <w:lang w:bidi="en-US"/>
        </w:rPr>
        <w:tab/>
      </w:r>
      <w:r w:rsidRPr="00D84C13">
        <w:rPr>
          <w:rFonts w:ascii="Times New Roman" w:eastAsia="Source Sans Pro" w:hAnsi="Times New Roman"/>
          <w:snapToGrid/>
          <w:szCs w:val="24"/>
          <w:lang w:bidi="en-US"/>
        </w:rPr>
        <w:tab/>
      </w:r>
      <w:r w:rsidRPr="00D84C13">
        <w:rPr>
          <w:rFonts w:ascii="Times New Roman" w:eastAsia="Source Sans Pro" w:hAnsi="Times New Roman"/>
          <w:snapToGrid/>
          <w:szCs w:val="24"/>
          <w:lang w:bidi="en-US"/>
        </w:rPr>
        <w:tab/>
      </w:r>
      <w:r w:rsidRPr="00D84C13">
        <w:rPr>
          <w:rFonts w:ascii="Times New Roman" w:eastAsia="Source Sans Pro" w:hAnsi="Times New Roman"/>
          <w:snapToGrid/>
          <w:szCs w:val="24"/>
          <w:lang w:bidi="en-US"/>
        </w:rPr>
        <w:tab/>
      </w:r>
      <w:r w:rsidRPr="00D84C13">
        <w:rPr>
          <w:rFonts w:ascii="Times New Roman" w:eastAsia="Source Sans Pro" w:hAnsi="Times New Roman"/>
          <w:snapToGrid/>
          <w:szCs w:val="24"/>
          <w:lang w:bidi="en-US"/>
        </w:rPr>
        <w:tab/>
      </w:r>
    </w:p>
    <w:p w:rsidR="00D84C13" w:rsidRPr="00D84C13" w:rsidP="00206869" w14:paraId="76E74B9C" w14:textId="395ECD5B">
      <w:pPr>
        <w:rPr>
          <w:rFonts w:ascii="Times New Roman" w:eastAsia="Source Sans Pro" w:hAnsi="Times New Roman"/>
          <w:snapToGrid/>
          <w:szCs w:val="24"/>
          <w:lang w:bidi="en-US"/>
        </w:rPr>
      </w:pPr>
      <w:r w:rsidRPr="00D84C13">
        <w:rPr>
          <w:rFonts w:ascii="Times New Roman" w:eastAsia="Source Sans Pro" w:hAnsi="Times New Roman"/>
          <w:snapToGrid/>
          <w:szCs w:val="24"/>
          <w:lang w:bidi="en-US"/>
        </w:rPr>
        <w:t>After making</w:t>
      </w:r>
      <w:r w:rsidR="00206869">
        <w:rPr>
          <w:rFonts w:ascii="Times New Roman" w:eastAsia="Source Sans Pro" w:hAnsi="Times New Roman"/>
          <w:snapToGrid/>
          <w:szCs w:val="24"/>
          <w:lang w:bidi="en-US"/>
        </w:rPr>
        <w:t xml:space="preserve"> these </w:t>
      </w:r>
      <w:r w:rsidR="00206869">
        <w:rPr>
          <w:rFonts w:ascii="Times New Roman" w:eastAsia="Source Sans Pro" w:hAnsi="Times New Roman"/>
          <w:snapToGrid/>
          <w:szCs w:val="24"/>
          <w:lang w:bidi="en-US"/>
        </w:rPr>
        <w:t>adjustments,</w:t>
      </w:r>
      <w:r w:rsidR="00D5791C">
        <w:rPr>
          <w:rFonts w:ascii="Times New Roman" w:eastAsia="Source Sans Pro" w:hAnsi="Times New Roman"/>
          <w:snapToGrid/>
          <w:szCs w:val="24"/>
          <w:lang w:bidi="en-US"/>
        </w:rPr>
        <w:t xml:space="preserve"> </w:t>
      </w:r>
      <w:r w:rsidR="00206869">
        <w:rPr>
          <w:rFonts w:ascii="Times New Roman" w:eastAsia="Source Sans Pro" w:hAnsi="Times New Roman"/>
          <w:snapToGrid/>
          <w:szCs w:val="24"/>
          <w:lang w:bidi="en-US"/>
        </w:rPr>
        <w:t xml:space="preserve"> FDIC</w:t>
      </w:r>
      <w:r w:rsidRPr="00D84C13">
        <w:rPr>
          <w:rFonts w:ascii="Times New Roman" w:eastAsia="Source Sans Pro" w:hAnsi="Times New Roman"/>
          <w:snapToGrid/>
          <w:szCs w:val="24"/>
          <w:lang w:bidi="en-US"/>
        </w:rPr>
        <w:t xml:space="preserve"> </w:t>
      </w:r>
      <w:r w:rsidRPr="00D84C13">
        <w:rPr>
          <w:rFonts w:ascii="Times New Roman" w:eastAsia="Source Sans Pro" w:hAnsi="Times New Roman"/>
          <w:snapToGrid/>
          <w:szCs w:val="24"/>
          <w:lang w:bidi="en-US"/>
        </w:rPr>
        <w:t>weight</w:t>
      </w:r>
      <w:r w:rsidR="00206869">
        <w:rPr>
          <w:rFonts w:ascii="Times New Roman" w:eastAsia="Source Sans Pro" w:hAnsi="Times New Roman"/>
          <w:snapToGrid/>
          <w:szCs w:val="24"/>
          <w:lang w:bidi="en-US"/>
        </w:rPr>
        <w:t>s</w:t>
      </w:r>
      <w:r w:rsidRPr="00D84C13">
        <w:rPr>
          <w:rFonts w:ascii="Times New Roman" w:eastAsia="Source Sans Pro" w:hAnsi="Times New Roman"/>
          <w:snapToGrid/>
          <w:szCs w:val="24"/>
          <w:lang w:bidi="en-US"/>
        </w:rPr>
        <w:t xml:space="preserve"> the total hourly compensation for the </w:t>
      </w:r>
      <w:r w:rsidRPr="00D84C13">
        <w:rPr>
          <w:rFonts w:ascii="Times New Roman" w:eastAsia="Source Sans Pro" w:hAnsi="Times New Roman"/>
          <w:snapToGrid/>
          <w:szCs w:val="24"/>
          <w:lang w:bidi="en-US"/>
        </w:rPr>
        <w:t xml:space="preserve">occupations shown in </w:t>
      </w:r>
      <w:r w:rsidRPr="00D84C13">
        <w:rPr>
          <w:rFonts w:ascii="Times New Roman" w:hAnsi="Times New Roman"/>
          <w:iCs/>
          <w:lang w:bidi="en-US"/>
        </w:rPr>
        <w:t>Table</w:t>
      </w:r>
      <w:r w:rsidRPr="00D84C13">
        <w:rPr>
          <w:rFonts w:ascii="Times New Roman" w:eastAsia="Source Sans Pro" w:hAnsi="Times New Roman"/>
          <w:snapToGrid/>
          <w:szCs w:val="24"/>
          <w:lang w:bidi="en-US"/>
        </w:rPr>
        <w:t xml:space="preserve"> 3 for implementation and ongoing compliance using </w:t>
      </w:r>
      <w:r w:rsidR="00206869">
        <w:rPr>
          <w:rFonts w:ascii="Times New Roman" w:eastAsia="Source Sans Pro" w:hAnsi="Times New Roman"/>
          <w:snapToGrid/>
          <w:szCs w:val="24"/>
          <w:lang w:bidi="en-US"/>
        </w:rPr>
        <w:t xml:space="preserve">FDIC </w:t>
      </w:r>
      <w:r w:rsidRPr="00D84C13">
        <w:rPr>
          <w:rFonts w:ascii="Times New Roman" w:eastAsia="Source Sans Pro" w:hAnsi="Times New Roman"/>
          <w:snapToGrid/>
          <w:szCs w:val="24"/>
          <w:lang w:bidi="en-US"/>
        </w:rPr>
        <w:t xml:space="preserve">estimations on the allocation of labor </w:t>
      </w:r>
      <w:r w:rsidR="00206869">
        <w:rPr>
          <w:rFonts w:ascii="Times New Roman" w:eastAsia="Source Sans Pro" w:hAnsi="Times New Roman"/>
          <w:snapToGrid/>
          <w:szCs w:val="24"/>
          <w:lang w:bidi="en-US"/>
        </w:rPr>
        <w:t>skills required for each activity</w:t>
      </w:r>
      <w:r w:rsidRPr="00D84C13">
        <w:rPr>
          <w:rFonts w:ascii="Times New Roman" w:eastAsia="Source Sans Pro" w:hAnsi="Times New Roman"/>
          <w:snapToGrid/>
          <w:szCs w:val="24"/>
          <w:lang w:bidi="en-US"/>
        </w:rPr>
        <w:t xml:space="preserve"> to find the estimated hourly cost of complying with the collections in this ICR. </w:t>
      </w:r>
      <w:r w:rsidR="00206869">
        <w:rPr>
          <w:rFonts w:ascii="Times New Roman" w:eastAsia="Source Sans Pro" w:hAnsi="Times New Roman"/>
          <w:snapToGrid/>
          <w:szCs w:val="24"/>
          <w:lang w:bidi="en-US"/>
        </w:rPr>
        <w:t>(See</w:t>
      </w:r>
      <w:r w:rsidRPr="00D84C13">
        <w:rPr>
          <w:rFonts w:ascii="Times New Roman" w:eastAsia="Source Sans Pro" w:hAnsi="Times New Roman"/>
          <w:snapToGrid/>
          <w:szCs w:val="24"/>
          <w:lang w:bidi="en-US"/>
        </w:rPr>
        <w:t xml:space="preserve"> Table 3</w:t>
      </w:r>
      <w:r w:rsidR="00206869">
        <w:rPr>
          <w:rFonts w:ascii="Times New Roman" w:eastAsia="Source Sans Pro" w:hAnsi="Times New Roman"/>
          <w:snapToGrid/>
          <w:szCs w:val="24"/>
          <w:lang w:bidi="en-US"/>
        </w:rPr>
        <w:t xml:space="preserve"> below)</w:t>
      </w:r>
      <w:r w:rsidRPr="00D84C13">
        <w:rPr>
          <w:rFonts w:ascii="Times New Roman" w:eastAsia="Source Sans Pro" w:hAnsi="Times New Roman"/>
          <w:snapToGrid/>
          <w:szCs w:val="24"/>
          <w:lang w:bidi="en-US"/>
        </w:rPr>
        <w:t xml:space="preserve">. </w:t>
      </w:r>
    </w:p>
    <w:p w:rsidR="00D84C13" w:rsidRPr="00D84C13" w:rsidP="00D84C13" w14:paraId="224CA1F9" w14:textId="77777777">
      <w:pPr>
        <w:autoSpaceDE w:val="0"/>
        <w:autoSpaceDN w:val="0"/>
        <w:spacing w:after="120" w:line="280" w:lineRule="exact"/>
        <w:contextualSpacing/>
        <w:rPr>
          <w:rFonts w:ascii="Times New Roman" w:eastAsia="Source Sans Pro" w:hAnsi="Times New Roman"/>
          <w:snapToGrid/>
          <w:sz w:val="22"/>
          <w:szCs w:val="19"/>
          <w:lang w:bidi="en-US"/>
        </w:rPr>
      </w:pPr>
    </w:p>
    <w:tbl>
      <w:tblPr>
        <w:tblW w:w="10423" w:type="dxa"/>
        <w:tblCellMar>
          <w:top w:w="15" w:type="dxa"/>
        </w:tblCellMar>
        <w:tblLook w:val="04A0"/>
      </w:tblPr>
      <w:tblGrid>
        <w:gridCol w:w="2241"/>
        <w:gridCol w:w="864"/>
        <w:gridCol w:w="1005"/>
        <w:gridCol w:w="1005"/>
        <w:gridCol w:w="920"/>
        <w:gridCol w:w="1005"/>
        <w:gridCol w:w="1005"/>
        <w:gridCol w:w="903"/>
        <w:gridCol w:w="1475"/>
      </w:tblGrid>
      <w:tr w14:paraId="74FFE553" w14:textId="77777777" w:rsidTr="00D03DD4">
        <w:tblPrEx>
          <w:tblW w:w="10423" w:type="dxa"/>
          <w:tblCellMar>
            <w:top w:w="15" w:type="dxa"/>
          </w:tblCellMar>
          <w:tblLook w:val="04A0"/>
        </w:tblPrEx>
        <w:trPr>
          <w:trHeight w:val="360"/>
          <w:tblHeader/>
        </w:trPr>
        <w:tc>
          <w:tcPr>
            <w:tcW w:w="10201" w:type="dxa"/>
            <w:gridSpan w:val="9"/>
            <w:tcBorders>
              <w:top w:val="single" w:sz="8" w:space="0" w:color="auto"/>
              <w:left w:val="single" w:sz="8" w:space="0" w:color="auto"/>
              <w:bottom w:val="single" w:sz="8" w:space="0" w:color="auto"/>
              <w:right w:val="single" w:sz="8" w:space="0" w:color="auto"/>
            </w:tcBorders>
            <w:noWrap/>
            <w:vAlign w:val="bottom"/>
            <w:hideMark/>
          </w:tcPr>
          <w:p w:rsidR="00D5791C" w:rsidRPr="00595EE3" w:rsidP="00D03DD4" w14:paraId="227EC95E" w14:textId="77777777">
            <w:pPr>
              <w:jc w:val="center"/>
              <w:rPr>
                <w:rFonts w:ascii="Source Sans Pro" w:hAnsi="Source Sans Pro" w:cs="Calibri"/>
                <w:color w:val="000000"/>
                <w:szCs w:val="24"/>
              </w:rPr>
            </w:pPr>
            <w:r w:rsidRPr="00595EE3">
              <w:rPr>
                <w:rFonts w:ascii="Source Sans Pro" w:hAnsi="Source Sans Pro" w:cs="Calibri"/>
                <w:color w:val="000000"/>
                <w:szCs w:val="24"/>
              </w:rPr>
              <w:t>Table 2. Summary of Hourly Burden Cost Estimate (OMB No. 3064-0184)</w:t>
            </w:r>
          </w:p>
        </w:tc>
      </w:tr>
      <w:tr w14:paraId="4F013FFC" w14:textId="77777777" w:rsidTr="00D03DD4">
        <w:tblPrEx>
          <w:tblW w:w="10423" w:type="dxa"/>
          <w:tblCellMar>
            <w:top w:w="15" w:type="dxa"/>
          </w:tblCellMar>
          <w:tblLook w:val="04A0"/>
        </w:tblPrEx>
        <w:trPr>
          <w:trHeight w:val="600"/>
          <w:tblHeader/>
        </w:trPr>
        <w:tc>
          <w:tcPr>
            <w:tcW w:w="2192" w:type="dxa"/>
            <w:vMerge w:val="restart"/>
            <w:tcBorders>
              <w:top w:val="nil"/>
              <w:left w:val="single" w:sz="8" w:space="0" w:color="auto"/>
              <w:bottom w:val="single" w:sz="8" w:space="0" w:color="auto"/>
              <w:right w:val="single" w:sz="8" w:space="0" w:color="auto"/>
            </w:tcBorders>
            <w:vAlign w:val="center"/>
            <w:hideMark/>
          </w:tcPr>
          <w:p w:rsidR="00D5791C" w:rsidRPr="00595EE3" w:rsidP="00D03DD4" w14:paraId="180D9A9D" w14:textId="77777777">
            <w:pPr>
              <w:rPr>
                <w:rFonts w:ascii="Source Sans Pro" w:hAnsi="Source Sans Pro" w:cs="Calibri"/>
                <w:color w:val="000000"/>
                <w:sz w:val="20"/>
              </w:rPr>
            </w:pPr>
            <w:r w:rsidRPr="00595EE3">
              <w:rPr>
                <w:rFonts w:ascii="Source Sans Pro" w:hAnsi="Source Sans Pro" w:cs="Calibri"/>
                <w:color w:val="000000"/>
                <w:sz w:val="20"/>
              </w:rPr>
              <w:t xml:space="preserve">Information Collection (IC) (Obligation to Respond) </w:t>
            </w:r>
          </w:p>
        </w:tc>
        <w:tc>
          <w:tcPr>
            <w:tcW w:w="845" w:type="dxa"/>
            <w:vMerge w:val="restart"/>
            <w:tcBorders>
              <w:top w:val="nil"/>
              <w:left w:val="single" w:sz="8" w:space="0" w:color="auto"/>
              <w:bottom w:val="single" w:sz="8" w:space="0" w:color="auto"/>
              <w:right w:val="single" w:sz="8" w:space="0" w:color="auto"/>
            </w:tcBorders>
            <w:vAlign w:val="center"/>
            <w:hideMark/>
          </w:tcPr>
          <w:p w:rsidR="00D5791C" w:rsidRPr="00595EE3" w:rsidP="00D03DD4" w14:paraId="5CF13D71" w14:textId="77777777">
            <w:pPr>
              <w:jc w:val="center"/>
              <w:rPr>
                <w:rFonts w:ascii="Source Sans Pro" w:hAnsi="Source Sans Pro" w:cs="Calibri"/>
                <w:color w:val="000000"/>
                <w:sz w:val="20"/>
              </w:rPr>
            </w:pPr>
            <w:r w:rsidRPr="00595EE3">
              <w:rPr>
                <w:rFonts w:ascii="Source Sans Pro" w:hAnsi="Source Sans Pro" w:cs="Calibri"/>
                <w:color w:val="000000"/>
                <w:sz w:val="20"/>
              </w:rPr>
              <w:t xml:space="preserve">Hourly Weight </w:t>
            </w:r>
            <w:r w:rsidRPr="00595EE3">
              <w:rPr>
                <w:rFonts w:ascii="Source Sans Pro" w:hAnsi="Source Sans Pro" w:cs="Calibri"/>
                <w:color w:val="000000"/>
                <w:sz w:val="20"/>
              </w:rPr>
              <w:br/>
              <w:t>(%)</w:t>
            </w:r>
          </w:p>
        </w:tc>
        <w:tc>
          <w:tcPr>
            <w:tcW w:w="5720" w:type="dxa"/>
            <w:gridSpan w:val="6"/>
            <w:vMerge w:val="restart"/>
            <w:tcBorders>
              <w:top w:val="single" w:sz="8" w:space="0" w:color="auto"/>
              <w:left w:val="single" w:sz="8" w:space="0" w:color="auto"/>
              <w:bottom w:val="single" w:sz="8" w:space="0" w:color="auto"/>
              <w:right w:val="single" w:sz="8" w:space="0" w:color="auto"/>
            </w:tcBorders>
            <w:vAlign w:val="center"/>
            <w:hideMark/>
          </w:tcPr>
          <w:p w:rsidR="00D5791C" w:rsidRPr="00595EE3" w:rsidP="00D03DD4" w14:paraId="2DCF1209" w14:textId="77777777">
            <w:pPr>
              <w:jc w:val="center"/>
              <w:rPr>
                <w:rFonts w:ascii="Source Sans Pro" w:hAnsi="Source Sans Pro" w:cs="Calibri"/>
                <w:color w:val="000000"/>
                <w:sz w:val="20"/>
              </w:rPr>
            </w:pPr>
            <w:r w:rsidRPr="00595EE3">
              <w:rPr>
                <w:rFonts w:ascii="Source Sans Pro" w:hAnsi="Source Sans Pro" w:cs="Calibri"/>
                <w:color w:val="000000"/>
                <w:sz w:val="20"/>
              </w:rPr>
              <w:t xml:space="preserve">Percentage Shares of Hours Spent by and </w:t>
            </w:r>
            <w:r w:rsidRPr="00595EE3">
              <w:rPr>
                <w:rFonts w:ascii="Source Sans Pro" w:hAnsi="Source Sans Pro" w:cs="Calibri"/>
                <w:color w:val="000000"/>
                <w:sz w:val="20"/>
              </w:rPr>
              <w:br/>
              <w:t xml:space="preserve">Hourly Compensation Rates for each Occupation Group </w:t>
            </w:r>
            <w:r w:rsidRPr="00595EE3">
              <w:rPr>
                <w:rFonts w:ascii="Source Sans Pro" w:hAnsi="Source Sans Pro" w:cs="Calibri"/>
                <w:color w:val="000000"/>
                <w:sz w:val="20"/>
              </w:rPr>
              <w:br/>
              <w:t>(by Collection)</w:t>
            </w:r>
          </w:p>
        </w:tc>
        <w:tc>
          <w:tcPr>
            <w:tcW w:w="1444" w:type="dxa"/>
            <w:vMerge w:val="restart"/>
            <w:tcBorders>
              <w:top w:val="nil"/>
              <w:left w:val="single" w:sz="8" w:space="0" w:color="auto"/>
              <w:bottom w:val="single" w:sz="8" w:space="0" w:color="auto"/>
              <w:right w:val="single" w:sz="8" w:space="0" w:color="auto"/>
            </w:tcBorders>
            <w:vAlign w:val="center"/>
            <w:hideMark/>
          </w:tcPr>
          <w:p w:rsidR="00D5791C" w:rsidRPr="00595EE3" w:rsidP="00D03DD4" w14:paraId="7BF3B204" w14:textId="77777777">
            <w:pPr>
              <w:jc w:val="center"/>
              <w:rPr>
                <w:rFonts w:ascii="Source Sans Pro" w:hAnsi="Source Sans Pro" w:cs="Calibri"/>
                <w:color w:val="000000"/>
                <w:sz w:val="20"/>
              </w:rPr>
            </w:pPr>
            <w:r w:rsidRPr="00595EE3">
              <w:rPr>
                <w:rFonts w:ascii="Source Sans Pro" w:hAnsi="Source Sans Pro" w:cs="Calibri"/>
                <w:color w:val="000000"/>
                <w:sz w:val="20"/>
              </w:rPr>
              <w:t>Estimated Hourly Compensation Rate</w:t>
            </w:r>
          </w:p>
        </w:tc>
      </w:tr>
      <w:tr w14:paraId="21A58B83" w14:textId="77777777" w:rsidTr="00D03DD4">
        <w:tblPrEx>
          <w:tblW w:w="10423" w:type="dxa"/>
          <w:tblCellMar>
            <w:top w:w="15" w:type="dxa"/>
          </w:tblCellMar>
          <w:tblLook w:val="04A0"/>
        </w:tblPrEx>
        <w:trPr>
          <w:trHeight w:val="864"/>
          <w:tblHeader/>
        </w:trPr>
        <w:tc>
          <w:tcPr>
            <w:tcW w:w="2192" w:type="dxa"/>
            <w:vMerge/>
            <w:tcBorders>
              <w:top w:val="nil"/>
              <w:left w:val="single" w:sz="8" w:space="0" w:color="auto"/>
              <w:bottom w:val="single" w:sz="8" w:space="0" w:color="auto"/>
              <w:right w:val="single" w:sz="8" w:space="0" w:color="auto"/>
            </w:tcBorders>
            <w:vAlign w:val="center"/>
            <w:hideMark/>
          </w:tcPr>
          <w:p w:rsidR="00D5791C" w:rsidRPr="00595EE3" w:rsidP="00D03DD4" w14:paraId="7E007C30" w14:textId="77777777">
            <w:pPr>
              <w:rPr>
                <w:rFonts w:ascii="Source Sans Pro" w:hAnsi="Source Sans Pro" w:cs="Calibri"/>
                <w:color w:val="000000"/>
                <w:sz w:val="20"/>
              </w:rPr>
            </w:pPr>
          </w:p>
        </w:tc>
        <w:tc>
          <w:tcPr>
            <w:tcW w:w="845" w:type="dxa"/>
            <w:vMerge/>
            <w:tcBorders>
              <w:top w:val="nil"/>
              <w:left w:val="single" w:sz="8" w:space="0" w:color="auto"/>
              <w:bottom w:val="single" w:sz="8" w:space="0" w:color="auto"/>
              <w:right w:val="single" w:sz="8" w:space="0" w:color="auto"/>
            </w:tcBorders>
            <w:vAlign w:val="center"/>
            <w:hideMark/>
          </w:tcPr>
          <w:p w:rsidR="00D5791C" w:rsidRPr="00595EE3" w:rsidP="00D03DD4" w14:paraId="73A92EE0" w14:textId="77777777">
            <w:pPr>
              <w:rPr>
                <w:rFonts w:ascii="Source Sans Pro" w:hAnsi="Source Sans Pro" w:cs="Calibri"/>
                <w:color w:val="000000"/>
                <w:sz w:val="20"/>
              </w:rPr>
            </w:pPr>
          </w:p>
        </w:tc>
        <w:tc>
          <w:tcPr>
            <w:tcW w:w="5720" w:type="dxa"/>
            <w:gridSpan w:val="6"/>
            <w:vMerge/>
            <w:tcBorders>
              <w:top w:val="single" w:sz="8" w:space="0" w:color="auto"/>
              <w:left w:val="single" w:sz="8" w:space="0" w:color="auto"/>
              <w:bottom w:val="single" w:sz="8" w:space="0" w:color="auto"/>
              <w:right w:val="single" w:sz="8" w:space="0" w:color="auto"/>
            </w:tcBorders>
            <w:vAlign w:val="center"/>
            <w:hideMark/>
          </w:tcPr>
          <w:p w:rsidR="00D5791C" w:rsidRPr="00595EE3" w:rsidP="00D03DD4" w14:paraId="3C7847E1" w14:textId="77777777">
            <w:pPr>
              <w:rPr>
                <w:rFonts w:ascii="Source Sans Pro" w:hAnsi="Source Sans Pro" w:cs="Calibri"/>
                <w:color w:val="000000"/>
                <w:sz w:val="20"/>
              </w:rPr>
            </w:pPr>
          </w:p>
        </w:tc>
        <w:tc>
          <w:tcPr>
            <w:tcW w:w="1444" w:type="dxa"/>
            <w:vMerge/>
            <w:tcBorders>
              <w:top w:val="nil"/>
              <w:left w:val="single" w:sz="8" w:space="0" w:color="auto"/>
              <w:bottom w:val="single" w:sz="8" w:space="0" w:color="auto"/>
              <w:right w:val="single" w:sz="8" w:space="0" w:color="auto"/>
            </w:tcBorders>
            <w:vAlign w:val="center"/>
            <w:hideMark/>
          </w:tcPr>
          <w:p w:rsidR="00D5791C" w:rsidRPr="00595EE3" w:rsidP="00D03DD4" w14:paraId="6D6A49FE" w14:textId="77777777">
            <w:pPr>
              <w:rPr>
                <w:rFonts w:ascii="Source Sans Pro" w:hAnsi="Source Sans Pro" w:cs="Calibri"/>
                <w:color w:val="000000"/>
                <w:sz w:val="20"/>
              </w:rPr>
            </w:pPr>
          </w:p>
        </w:tc>
      </w:tr>
      <w:tr w14:paraId="25340CD9" w14:textId="77777777" w:rsidTr="00D03DD4">
        <w:tblPrEx>
          <w:tblW w:w="10423" w:type="dxa"/>
          <w:tblCellMar>
            <w:top w:w="15" w:type="dxa"/>
          </w:tblCellMar>
          <w:tblLook w:val="04A0"/>
        </w:tblPrEx>
        <w:trPr>
          <w:trHeight w:val="360"/>
          <w:tblHeader/>
        </w:trPr>
        <w:tc>
          <w:tcPr>
            <w:tcW w:w="2192" w:type="dxa"/>
            <w:vMerge/>
            <w:tcBorders>
              <w:top w:val="nil"/>
              <w:left w:val="single" w:sz="8" w:space="0" w:color="auto"/>
              <w:bottom w:val="single" w:sz="8" w:space="0" w:color="auto"/>
              <w:right w:val="single" w:sz="8" w:space="0" w:color="auto"/>
            </w:tcBorders>
            <w:vAlign w:val="center"/>
            <w:hideMark/>
          </w:tcPr>
          <w:p w:rsidR="00D5791C" w:rsidRPr="00595EE3" w:rsidP="00D03DD4" w14:paraId="66E5EC57" w14:textId="77777777">
            <w:pPr>
              <w:rPr>
                <w:rFonts w:ascii="Source Sans Pro" w:hAnsi="Source Sans Pro" w:cs="Calibri"/>
                <w:color w:val="000000"/>
                <w:sz w:val="20"/>
              </w:rPr>
            </w:pPr>
          </w:p>
        </w:tc>
        <w:tc>
          <w:tcPr>
            <w:tcW w:w="845" w:type="dxa"/>
            <w:vMerge/>
            <w:tcBorders>
              <w:top w:val="nil"/>
              <w:left w:val="single" w:sz="8" w:space="0" w:color="auto"/>
              <w:bottom w:val="single" w:sz="8" w:space="0" w:color="auto"/>
              <w:right w:val="single" w:sz="8" w:space="0" w:color="auto"/>
            </w:tcBorders>
            <w:vAlign w:val="center"/>
            <w:hideMark/>
          </w:tcPr>
          <w:p w:rsidR="00D5791C" w:rsidRPr="00595EE3" w:rsidP="00D03DD4" w14:paraId="1DA8B7F3" w14:textId="77777777">
            <w:pPr>
              <w:rPr>
                <w:rFonts w:ascii="Source Sans Pro" w:hAnsi="Source Sans Pro" w:cs="Calibri"/>
                <w:color w:val="000000"/>
                <w:sz w:val="20"/>
              </w:rPr>
            </w:pPr>
          </w:p>
        </w:tc>
        <w:tc>
          <w:tcPr>
            <w:tcW w:w="984" w:type="dxa"/>
            <w:vMerge w:val="restart"/>
            <w:tcBorders>
              <w:top w:val="nil"/>
              <w:left w:val="single" w:sz="8" w:space="0" w:color="auto"/>
              <w:bottom w:val="single" w:sz="8" w:space="0" w:color="auto"/>
              <w:right w:val="single" w:sz="8" w:space="0" w:color="auto"/>
            </w:tcBorders>
            <w:vAlign w:val="center"/>
            <w:hideMark/>
          </w:tcPr>
          <w:p w:rsidR="00D5791C" w:rsidRPr="00595EE3" w:rsidP="00D03DD4" w14:paraId="6CA59FCB" w14:textId="77777777">
            <w:pPr>
              <w:jc w:val="center"/>
              <w:rPr>
                <w:rFonts w:ascii="Source Sans Pro" w:hAnsi="Source Sans Pro" w:cs="Calibri"/>
                <w:color w:val="000000"/>
                <w:sz w:val="20"/>
              </w:rPr>
            </w:pPr>
            <w:r w:rsidRPr="00595EE3">
              <w:rPr>
                <w:rFonts w:ascii="Source Sans Pro" w:hAnsi="Source Sans Pro" w:cs="Calibri"/>
                <w:color w:val="000000"/>
                <w:sz w:val="20"/>
              </w:rPr>
              <w:t>Exec. &amp; Mgr.      ($159.84)</w:t>
            </w:r>
          </w:p>
        </w:tc>
        <w:tc>
          <w:tcPr>
            <w:tcW w:w="984" w:type="dxa"/>
            <w:vMerge w:val="restart"/>
            <w:tcBorders>
              <w:top w:val="nil"/>
              <w:left w:val="single" w:sz="8" w:space="0" w:color="auto"/>
              <w:bottom w:val="single" w:sz="8" w:space="0" w:color="auto"/>
              <w:right w:val="single" w:sz="8" w:space="0" w:color="auto"/>
            </w:tcBorders>
            <w:vAlign w:val="center"/>
            <w:hideMark/>
          </w:tcPr>
          <w:p w:rsidR="00D5791C" w:rsidRPr="00595EE3" w:rsidP="00D03DD4" w14:paraId="28F029A1" w14:textId="77777777">
            <w:pPr>
              <w:jc w:val="center"/>
              <w:rPr>
                <w:rFonts w:ascii="Source Sans Pro" w:hAnsi="Source Sans Pro" w:cs="Calibri"/>
                <w:color w:val="000000"/>
                <w:sz w:val="20"/>
              </w:rPr>
            </w:pPr>
            <w:r w:rsidRPr="00595EE3">
              <w:rPr>
                <w:rFonts w:ascii="Source Sans Pro" w:hAnsi="Source Sans Pro" w:cs="Calibri"/>
                <w:color w:val="000000"/>
                <w:sz w:val="20"/>
              </w:rPr>
              <w:t>Lawyer</w:t>
            </w:r>
            <w:r w:rsidRPr="00595EE3">
              <w:rPr>
                <w:rFonts w:ascii="Source Sans Pro" w:hAnsi="Source Sans Pro" w:cs="Calibri"/>
                <w:color w:val="000000"/>
                <w:sz w:val="20"/>
              </w:rPr>
              <w:t xml:space="preserve">   (</w:t>
            </w:r>
            <w:r w:rsidRPr="00595EE3">
              <w:rPr>
                <w:rFonts w:ascii="Source Sans Pro" w:hAnsi="Source Sans Pro" w:cs="Calibri"/>
                <w:color w:val="000000"/>
                <w:sz w:val="20"/>
              </w:rPr>
              <w:t>$180.27)</w:t>
            </w:r>
          </w:p>
        </w:tc>
        <w:tc>
          <w:tcPr>
            <w:tcW w:w="900" w:type="dxa"/>
            <w:vMerge w:val="restart"/>
            <w:tcBorders>
              <w:top w:val="nil"/>
              <w:left w:val="single" w:sz="8" w:space="0" w:color="auto"/>
              <w:bottom w:val="single" w:sz="8" w:space="0" w:color="auto"/>
              <w:right w:val="single" w:sz="8" w:space="0" w:color="auto"/>
            </w:tcBorders>
            <w:vAlign w:val="center"/>
            <w:hideMark/>
          </w:tcPr>
          <w:p w:rsidR="00D5791C" w:rsidRPr="00595EE3" w:rsidP="00D03DD4" w14:paraId="2079DB22" w14:textId="77777777">
            <w:pPr>
              <w:jc w:val="center"/>
              <w:rPr>
                <w:rFonts w:ascii="Source Sans Pro" w:hAnsi="Source Sans Pro" w:cs="Calibri"/>
                <w:color w:val="000000"/>
                <w:sz w:val="20"/>
              </w:rPr>
            </w:pPr>
            <w:r w:rsidRPr="00595EE3">
              <w:rPr>
                <w:rFonts w:ascii="Source Sans Pro" w:hAnsi="Source Sans Pro" w:cs="Calibri"/>
                <w:color w:val="000000"/>
                <w:sz w:val="20"/>
              </w:rPr>
              <w:t>Compl</w:t>
            </w:r>
            <w:r w:rsidRPr="00595EE3">
              <w:rPr>
                <w:rFonts w:ascii="Source Sans Pro" w:hAnsi="Source Sans Pro" w:cs="Calibri"/>
                <w:color w:val="000000"/>
                <w:sz w:val="20"/>
              </w:rPr>
              <w:t>. Ofc.   ($81.09)</w:t>
            </w:r>
          </w:p>
        </w:tc>
        <w:tc>
          <w:tcPr>
            <w:tcW w:w="984" w:type="dxa"/>
            <w:vMerge w:val="restart"/>
            <w:tcBorders>
              <w:top w:val="nil"/>
              <w:left w:val="single" w:sz="8" w:space="0" w:color="auto"/>
              <w:bottom w:val="single" w:sz="8" w:space="0" w:color="auto"/>
              <w:right w:val="single" w:sz="8" w:space="0" w:color="auto"/>
            </w:tcBorders>
            <w:vAlign w:val="center"/>
            <w:hideMark/>
          </w:tcPr>
          <w:p w:rsidR="00D5791C" w:rsidRPr="00595EE3" w:rsidP="00D03DD4" w14:paraId="7DD8726D" w14:textId="77777777">
            <w:pPr>
              <w:jc w:val="center"/>
              <w:rPr>
                <w:rFonts w:ascii="Source Sans Pro" w:hAnsi="Source Sans Pro" w:cs="Calibri"/>
                <w:color w:val="000000"/>
                <w:sz w:val="20"/>
              </w:rPr>
            </w:pPr>
            <w:r w:rsidRPr="00595EE3">
              <w:rPr>
                <w:rFonts w:ascii="Source Sans Pro" w:hAnsi="Source Sans Pro" w:cs="Calibri"/>
                <w:color w:val="000000"/>
                <w:sz w:val="20"/>
              </w:rPr>
              <w:t xml:space="preserve">IT </w:t>
            </w:r>
            <w:r w:rsidRPr="00595EE3">
              <w:rPr>
                <w:rFonts w:ascii="Source Sans Pro" w:hAnsi="Source Sans Pro" w:cs="Calibri"/>
                <w:color w:val="000000"/>
                <w:sz w:val="20"/>
              </w:rPr>
              <w:t xml:space="preserve">   (</w:t>
            </w:r>
            <w:r w:rsidRPr="00595EE3">
              <w:rPr>
                <w:rFonts w:ascii="Source Sans Pro" w:hAnsi="Source Sans Pro" w:cs="Calibri"/>
                <w:color w:val="000000"/>
                <w:sz w:val="20"/>
              </w:rPr>
              <w:t>$116.97)</w:t>
            </w:r>
          </w:p>
        </w:tc>
        <w:tc>
          <w:tcPr>
            <w:tcW w:w="984" w:type="dxa"/>
            <w:vMerge w:val="restart"/>
            <w:tcBorders>
              <w:top w:val="nil"/>
              <w:left w:val="single" w:sz="8" w:space="0" w:color="auto"/>
              <w:bottom w:val="single" w:sz="8" w:space="0" w:color="auto"/>
              <w:right w:val="single" w:sz="8" w:space="0" w:color="auto"/>
            </w:tcBorders>
            <w:vAlign w:val="center"/>
            <w:hideMark/>
          </w:tcPr>
          <w:p w:rsidR="00D5791C" w:rsidRPr="00595EE3" w:rsidP="00D03DD4" w14:paraId="73AABFF2" w14:textId="77777777">
            <w:pPr>
              <w:jc w:val="center"/>
              <w:rPr>
                <w:rFonts w:ascii="Source Sans Pro" w:hAnsi="Source Sans Pro" w:cs="Calibri"/>
                <w:color w:val="000000"/>
                <w:sz w:val="20"/>
              </w:rPr>
            </w:pPr>
            <w:r w:rsidRPr="00595EE3">
              <w:rPr>
                <w:rFonts w:ascii="Source Sans Pro" w:hAnsi="Source Sans Pro" w:cs="Calibri"/>
                <w:color w:val="000000"/>
                <w:sz w:val="20"/>
              </w:rPr>
              <w:t xml:space="preserve">Fin. </w:t>
            </w:r>
            <w:r w:rsidRPr="00595EE3">
              <w:rPr>
                <w:rFonts w:ascii="Source Sans Pro" w:hAnsi="Source Sans Pro" w:cs="Calibri"/>
                <w:color w:val="000000"/>
                <w:sz w:val="20"/>
              </w:rPr>
              <w:t>Anlst</w:t>
            </w:r>
            <w:r w:rsidRPr="00595EE3">
              <w:rPr>
                <w:rFonts w:ascii="Source Sans Pro" w:hAnsi="Source Sans Pro" w:cs="Calibri"/>
                <w:color w:val="000000"/>
                <w:sz w:val="20"/>
              </w:rPr>
              <w:t>.    ($101.69)</w:t>
            </w:r>
          </w:p>
        </w:tc>
        <w:tc>
          <w:tcPr>
            <w:tcW w:w="884" w:type="dxa"/>
            <w:vMerge w:val="restart"/>
            <w:tcBorders>
              <w:top w:val="nil"/>
              <w:left w:val="single" w:sz="8" w:space="0" w:color="auto"/>
              <w:bottom w:val="single" w:sz="8" w:space="0" w:color="auto"/>
              <w:right w:val="single" w:sz="8" w:space="0" w:color="auto"/>
            </w:tcBorders>
            <w:vAlign w:val="center"/>
            <w:hideMark/>
          </w:tcPr>
          <w:p w:rsidR="00D5791C" w:rsidRPr="00595EE3" w:rsidP="00D03DD4" w14:paraId="7892ACF5" w14:textId="77777777">
            <w:pPr>
              <w:jc w:val="center"/>
              <w:rPr>
                <w:rFonts w:ascii="Source Sans Pro" w:hAnsi="Source Sans Pro" w:cs="Calibri"/>
                <w:color w:val="000000"/>
                <w:sz w:val="20"/>
              </w:rPr>
            </w:pPr>
            <w:r w:rsidRPr="00595EE3">
              <w:rPr>
                <w:rFonts w:ascii="Source Sans Pro" w:hAnsi="Source Sans Pro" w:cs="Calibri"/>
                <w:color w:val="000000"/>
                <w:sz w:val="20"/>
              </w:rPr>
              <w:t xml:space="preserve">Clerical </w:t>
            </w:r>
            <w:r w:rsidRPr="00595EE3">
              <w:rPr>
                <w:rFonts w:ascii="Source Sans Pro" w:hAnsi="Source Sans Pro" w:cs="Calibri"/>
                <w:color w:val="000000"/>
                <w:sz w:val="20"/>
              </w:rPr>
              <w:t xml:space="preserve">   (</w:t>
            </w:r>
            <w:r w:rsidRPr="00595EE3">
              <w:rPr>
                <w:rFonts w:ascii="Source Sans Pro" w:hAnsi="Source Sans Pro" w:cs="Calibri"/>
                <w:color w:val="000000"/>
                <w:sz w:val="20"/>
              </w:rPr>
              <w:t>$42.73)</w:t>
            </w:r>
          </w:p>
        </w:tc>
        <w:tc>
          <w:tcPr>
            <w:tcW w:w="1444" w:type="dxa"/>
            <w:vMerge/>
            <w:tcBorders>
              <w:top w:val="nil"/>
              <w:left w:val="single" w:sz="8" w:space="0" w:color="auto"/>
              <w:bottom w:val="single" w:sz="8" w:space="0" w:color="auto"/>
              <w:right w:val="single" w:sz="8" w:space="0" w:color="auto"/>
            </w:tcBorders>
            <w:vAlign w:val="center"/>
            <w:hideMark/>
          </w:tcPr>
          <w:p w:rsidR="00D5791C" w:rsidRPr="00595EE3" w:rsidP="00D03DD4" w14:paraId="2E02318F" w14:textId="77777777">
            <w:pPr>
              <w:rPr>
                <w:rFonts w:ascii="Source Sans Pro" w:hAnsi="Source Sans Pro" w:cs="Calibri"/>
                <w:color w:val="000000"/>
                <w:sz w:val="20"/>
              </w:rPr>
            </w:pPr>
          </w:p>
        </w:tc>
      </w:tr>
      <w:tr w14:paraId="481561D6" w14:textId="77777777" w:rsidTr="00D03DD4">
        <w:tblPrEx>
          <w:tblW w:w="10423" w:type="dxa"/>
          <w:tblCellMar>
            <w:top w:w="15" w:type="dxa"/>
          </w:tblCellMar>
          <w:tblLook w:val="04A0"/>
        </w:tblPrEx>
        <w:trPr>
          <w:trHeight w:val="1140"/>
          <w:tblHeader/>
        </w:trPr>
        <w:tc>
          <w:tcPr>
            <w:tcW w:w="2192" w:type="dxa"/>
            <w:vMerge/>
            <w:tcBorders>
              <w:top w:val="nil"/>
              <w:left w:val="single" w:sz="8" w:space="0" w:color="auto"/>
              <w:bottom w:val="single" w:sz="8" w:space="0" w:color="auto"/>
              <w:right w:val="single" w:sz="8" w:space="0" w:color="auto"/>
            </w:tcBorders>
            <w:vAlign w:val="center"/>
            <w:hideMark/>
          </w:tcPr>
          <w:p w:rsidR="00D5791C" w:rsidRPr="00595EE3" w:rsidP="00D03DD4" w14:paraId="58DDA8C3" w14:textId="77777777">
            <w:pPr>
              <w:rPr>
                <w:rFonts w:ascii="Source Sans Pro" w:hAnsi="Source Sans Pro" w:cs="Calibri"/>
                <w:color w:val="000000"/>
                <w:sz w:val="20"/>
              </w:rPr>
            </w:pPr>
          </w:p>
        </w:tc>
        <w:tc>
          <w:tcPr>
            <w:tcW w:w="845" w:type="dxa"/>
            <w:vMerge/>
            <w:tcBorders>
              <w:top w:val="nil"/>
              <w:left w:val="single" w:sz="8" w:space="0" w:color="auto"/>
              <w:bottom w:val="single" w:sz="8" w:space="0" w:color="auto"/>
              <w:right w:val="single" w:sz="8" w:space="0" w:color="auto"/>
            </w:tcBorders>
            <w:vAlign w:val="center"/>
            <w:hideMark/>
          </w:tcPr>
          <w:p w:rsidR="00D5791C" w:rsidRPr="00595EE3" w:rsidP="00D03DD4" w14:paraId="4AA02911" w14:textId="77777777">
            <w:pPr>
              <w:rPr>
                <w:rFonts w:ascii="Source Sans Pro" w:hAnsi="Source Sans Pro" w:cs="Calibri"/>
                <w:color w:val="000000"/>
                <w:sz w:val="20"/>
              </w:rPr>
            </w:pPr>
          </w:p>
        </w:tc>
        <w:tc>
          <w:tcPr>
            <w:tcW w:w="984" w:type="dxa"/>
            <w:vMerge/>
            <w:tcBorders>
              <w:top w:val="nil"/>
              <w:left w:val="single" w:sz="8" w:space="0" w:color="auto"/>
              <w:bottom w:val="single" w:sz="8" w:space="0" w:color="auto"/>
              <w:right w:val="single" w:sz="8" w:space="0" w:color="auto"/>
            </w:tcBorders>
            <w:vAlign w:val="center"/>
            <w:hideMark/>
          </w:tcPr>
          <w:p w:rsidR="00D5791C" w:rsidRPr="00595EE3" w:rsidP="00D03DD4" w14:paraId="7D543E0C" w14:textId="77777777">
            <w:pPr>
              <w:rPr>
                <w:rFonts w:ascii="Source Sans Pro" w:hAnsi="Source Sans Pro" w:cs="Calibri"/>
                <w:color w:val="000000"/>
                <w:sz w:val="20"/>
              </w:rPr>
            </w:pPr>
          </w:p>
        </w:tc>
        <w:tc>
          <w:tcPr>
            <w:tcW w:w="984" w:type="dxa"/>
            <w:vMerge/>
            <w:tcBorders>
              <w:top w:val="nil"/>
              <w:left w:val="single" w:sz="8" w:space="0" w:color="auto"/>
              <w:bottom w:val="single" w:sz="8" w:space="0" w:color="auto"/>
              <w:right w:val="single" w:sz="8" w:space="0" w:color="auto"/>
            </w:tcBorders>
            <w:vAlign w:val="center"/>
            <w:hideMark/>
          </w:tcPr>
          <w:p w:rsidR="00D5791C" w:rsidRPr="00595EE3" w:rsidP="00D03DD4" w14:paraId="23DD6080" w14:textId="77777777">
            <w:pPr>
              <w:rPr>
                <w:rFonts w:ascii="Source Sans Pro" w:hAnsi="Source Sans Pro" w:cs="Calibri"/>
                <w:color w:val="000000"/>
                <w:sz w:val="20"/>
              </w:rPr>
            </w:pPr>
          </w:p>
        </w:tc>
        <w:tc>
          <w:tcPr>
            <w:tcW w:w="900" w:type="dxa"/>
            <w:vMerge/>
            <w:tcBorders>
              <w:top w:val="nil"/>
              <w:left w:val="single" w:sz="8" w:space="0" w:color="auto"/>
              <w:bottom w:val="single" w:sz="8" w:space="0" w:color="auto"/>
              <w:right w:val="single" w:sz="8" w:space="0" w:color="auto"/>
            </w:tcBorders>
            <w:vAlign w:val="center"/>
            <w:hideMark/>
          </w:tcPr>
          <w:p w:rsidR="00D5791C" w:rsidRPr="00595EE3" w:rsidP="00D03DD4" w14:paraId="7ECBD800" w14:textId="77777777">
            <w:pPr>
              <w:rPr>
                <w:rFonts w:ascii="Source Sans Pro" w:hAnsi="Source Sans Pro" w:cs="Calibri"/>
                <w:color w:val="000000"/>
                <w:sz w:val="20"/>
              </w:rPr>
            </w:pPr>
          </w:p>
        </w:tc>
        <w:tc>
          <w:tcPr>
            <w:tcW w:w="984" w:type="dxa"/>
            <w:vMerge/>
            <w:tcBorders>
              <w:top w:val="nil"/>
              <w:left w:val="single" w:sz="8" w:space="0" w:color="auto"/>
              <w:bottom w:val="single" w:sz="8" w:space="0" w:color="auto"/>
              <w:right w:val="single" w:sz="8" w:space="0" w:color="auto"/>
            </w:tcBorders>
            <w:vAlign w:val="center"/>
            <w:hideMark/>
          </w:tcPr>
          <w:p w:rsidR="00D5791C" w:rsidRPr="00595EE3" w:rsidP="00D03DD4" w14:paraId="6D2A7F78" w14:textId="77777777">
            <w:pPr>
              <w:rPr>
                <w:rFonts w:ascii="Source Sans Pro" w:hAnsi="Source Sans Pro" w:cs="Calibri"/>
                <w:color w:val="000000"/>
                <w:sz w:val="20"/>
              </w:rPr>
            </w:pPr>
          </w:p>
        </w:tc>
        <w:tc>
          <w:tcPr>
            <w:tcW w:w="984" w:type="dxa"/>
            <w:vMerge/>
            <w:tcBorders>
              <w:top w:val="nil"/>
              <w:left w:val="single" w:sz="8" w:space="0" w:color="auto"/>
              <w:bottom w:val="single" w:sz="8" w:space="0" w:color="auto"/>
              <w:right w:val="single" w:sz="8" w:space="0" w:color="auto"/>
            </w:tcBorders>
            <w:vAlign w:val="center"/>
            <w:hideMark/>
          </w:tcPr>
          <w:p w:rsidR="00D5791C" w:rsidRPr="00595EE3" w:rsidP="00D03DD4" w14:paraId="12690805" w14:textId="77777777">
            <w:pPr>
              <w:rPr>
                <w:rFonts w:ascii="Source Sans Pro" w:hAnsi="Source Sans Pro" w:cs="Calibri"/>
                <w:color w:val="000000"/>
                <w:sz w:val="20"/>
              </w:rPr>
            </w:pPr>
          </w:p>
        </w:tc>
        <w:tc>
          <w:tcPr>
            <w:tcW w:w="884" w:type="dxa"/>
            <w:vMerge/>
            <w:tcBorders>
              <w:top w:val="nil"/>
              <w:left w:val="single" w:sz="8" w:space="0" w:color="auto"/>
              <w:bottom w:val="single" w:sz="8" w:space="0" w:color="auto"/>
              <w:right w:val="single" w:sz="8" w:space="0" w:color="auto"/>
            </w:tcBorders>
            <w:vAlign w:val="center"/>
            <w:hideMark/>
          </w:tcPr>
          <w:p w:rsidR="00D5791C" w:rsidRPr="00595EE3" w:rsidP="00D03DD4" w14:paraId="6265712B" w14:textId="77777777">
            <w:pPr>
              <w:rPr>
                <w:rFonts w:ascii="Source Sans Pro" w:hAnsi="Source Sans Pro" w:cs="Calibri"/>
                <w:color w:val="000000"/>
                <w:sz w:val="20"/>
              </w:rPr>
            </w:pPr>
          </w:p>
        </w:tc>
        <w:tc>
          <w:tcPr>
            <w:tcW w:w="1444" w:type="dxa"/>
            <w:vMerge/>
            <w:tcBorders>
              <w:top w:val="nil"/>
              <w:left w:val="single" w:sz="8" w:space="0" w:color="auto"/>
              <w:bottom w:val="single" w:sz="8" w:space="0" w:color="auto"/>
              <w:right w:val="single" w:sz="8" w:space="0" w:color="auto"/>
            </w:tcBorders>
            <w:vAlign w:val="center"/>
            <w:hideMark/>
          </w:tcPr>
          <w:p w:rsidR="00D5791C" w:rsidRPr="00595EE3" w:rsidP="00D03DD4" w14:paraId="68B37827" w14:textId="77777777">
            <w:pPr>
              <w:rPr>
                <w:rFonts w:ascii="Source Sans Pro" w:hAnsi="Source Sans Pro" w:cs="Calibri"/>
                <w:color w:val="000000"/>
                <w:sz w:val="20"/>
              </w:rPr>
            </w:pPr>
          </w:p>
        </w:tc>
      </w:tr>
      <w:tr w14:paraId="6324ABAC" w14:textId="77777777" w:rsidTr="00D03DD4">
        <w:tblPrEx>
          <w:tblW w:w="10423" w:type="dxa"/>
          <w:tblCellMar>
            <w:top w:w="15" w:type="dxa"/>
          </w:tblCellMar>
          <w:tblLook w:val="04A0"/>
        </w:tblPrEx>
        <w:trPr>
          <w:trHeight w:val="300"/>
        </w:trPr>
        <w:tc>
          <w:tcPr>
            <w:tcW w:w="10201" w:type="dxa"/>
            <w:gridSpan w:val="9"/>
            <w:tcBorders>
              <w:top w:val="single" w:sz="8" w:space="0" w:color="auto"/>
              <w:left w:val="single" w:sz="8" w:space="0" w:color="auto"/>
              <w:bottom w:val="single" w:sz="8" w:space="0" w:color="auto"/>
              <w:right w:val="single" w:sz="8" w:space="0" w:color="000000"/>
            </w:tcBorders>
            <w:shd w:val="clear" w:color="000000" w:fill="F2F2F2"/>
            <w:vAlign w:val="center"/>
            <w:hideMark/>
          </w:tcPr>
          <w:p w:rsidR="00D5791C" w:rsidRPr="00595EE3" w:rsidP="00D03DD4" w14:paraId="77571745" w14:textId="77777777">
            <w:pPr>
              <w:jc w:val="center"/>
              <w:rPr>
                <w:rFonts w:ascii="Source Sans Pro" w:hAnsi="Source Sans Pro" w:cs="Calibri"/>
                <w:b/>
                <w:bCs/>
                <w:color w:val="000000"/>
                <w:sz w:val="20"/>
              </w:rPr>
            </w:pPr>
            <w:r w:rsidRPr="00595EE3">
              <w:rPr>
                <w:rFonts w:ascii="Source Sans Pro" w:hAnsi="Source Sans Pro" w:cs="Calibri"/>
                <w:b/>
                <w:bCs/>
                <w:color w:val="000000"/>
                <w:sz w:val="20"/>
              </w:rPr>
              <w:t>Implementation / Initial Set-up</w:t>
            </w:r>
          </w:p>
        </w:tc>
      </w:tr>
      <w:tr w14:paraId="3C0243B8" w14:textId="77777777" w:rsidTr="00D03DD4">
        <w:tblPrEx>
          <w:tblW w:w="10423" w:type="dxa"/>
          <w:tblCellMar>
            <w:top w:w="15" w:type="dxa"/>
          </w:tblCellMar>
          <w:tblLook w:val="04A0"/>
        </w:tblPrEx>
        <w:trPr>
          <w:trHeight w:val="840"/>
        </w:trPr>
        <w:tc>
          <w:tcPr>
            <w:tcW w:w="2192" w:type="dxa"/>
            <w:tcBorders>
              <w:top w:val="nil"/>
              <w:left w:val="single" w:sz="8" w:space="0" w:color="auto"/>
              <w:bottom w:val="single" w:sz="8" w:space="0" w:color="auto"/>
              <w:right w:val="single" w:sz="8" w:space="0" w:color="auto"/>
            </w:tcBorders>
            <w:vAlign w:val="center"/>
            <w:hideMark/>
          </w:tcPr>
          <w:p w:rsidR="00D5791C" w:rsidRPr="00595EE3" w:rsidP="00D03DD4" w14:paraId="10DADE32" w14:textId="77777777">
            <w:pPr>
              <w:rPr>
                <w:rFonts w:ascii="Source Sans Pro" w:hAnsi="Source Sans Pro" w:cs="Calibri"/>
                <w:color w:val="000000"/>
                <w:sz w:val="20"/>
              </w:rPr>
            </w:pPr>
            <w:r w:rsidRPr="00595EE3">
              <w:rPr>
                <w:rFonts w:ascii="Source Sans Pro" w:hAnsi="Source Sans Pro" w:cs="Calibri"/>
                <w:color w:val="000000"/>
                <w:sz w:val="20"/>
              </w:rPr>
              <w:t>1. Section 351.4(c)(3)(i) - Limit Breaches and Increases (Mandatory)</w:t>
            </w:r>
          </w:p>
        </w:tc>
        <w:tc>
          <w:tcPr>
            <w:tcW w:w="845" w:type="dxa"/>
            <w:tcBorders>
              <w:top w:val="nil"/>
              <w:left w:val="nil"/>
              <w:bottom w:val="single" w:sz="8" w:space="0" w:color="auto"/>
              <w:right w:val="single" w:sz="8" w:space="0" w:color="auto"/>
            </w:tcBorders>
            <w:vAlign w:val="center"/>
            <w:hideMark/>
          </w:tcPr>
          <w:p w:rsidR="00D5791C" w:rsidRPr="00595EE3" w:rsidP="00D03DD4" w14:paraId="378AEF8B" w14:textId="77777777">
            <w:pPr>
              <w:jc w:val="center"/>
              <w:rPr>
                <w:rFonts w:ascii="Source Sans Pro" w:hAnsi="Source Sans Pro" w:cs="Calibri"/>
                <w:color w:val="000000"/>
                <w:sz w:val="20"/>
              </w:rPr>
            </w:pPr>
            <w:r w:rsidRPr="00595EE3">
              <w:rPr>
                <w:rFonts w:ascii="Source Sans Pro" w:hAnsi="Source Sans Pro" w:cs="Calibri"/>
                <w:color w:val="000000"/>
                <w:sz w:val="20"/>
              </w:rPr>
              <w:t>0.00</w:t>
            </w:r>
          </w:p>
        </w:tc>
        <w:tc>
          <w:tcPr>
            <w:tcW w:w="984" w:type="dxa"/>
            <w:tcBorders>
              <w:top w:val="nil"/>
              <w:left w:val="nil"/>
              <w:bottom w:val="single" w:sz="8" w:space="0" w:color="auto"/>
              <w:right w:val="single" w:sz="8" w:space="0" w:color="auto"/>
            </w:tcBorders>
            <w:vAlign w:val="center"/>
            <w:hideMark/>
          </w:tcPr>
          <w:p w:rsidR="00D5791C" w:rsidRPr="00595EE3" w:rsidP="00D03DD4" w14:paraId="681476FE" w14:textId="77777777">
            <w:pPr>
              <w:jc w:val="center"/>
              <w:rPr>
                <w:rFonts w:ascii="Source Sans Pro" w:hAnsi="Source Sans Pro" w:cs="Calibri"/>
                <w:color w:val="000000"/>
                <w:sz w:val="20"/>
              </w:rPr>
            </w:pPr>
            <w:r w:rsidRPr="00595EE3">
              <w:rPr>
                <w:rFonts w:ascii="Source Sans Pro" w:hAnsi="Source Sans Pro" w:cs="Calibri"/>
                <w:color w:val="000000"/>
                <w:sz w:val="20"/>
              </w:rPr>
              <w:t>0</w:t>
            </w:r>
          </w:p>
        </w:tc>
        <w:tc>
          <w:tcPr>
            <w:tcW w:w="984" w:type="dxa"/>
            <w:tcBorders>
              <w:top w:val="nil"/>
              <w:left w:val="nil"/>
              <w:bottom w:val="single" w:sz="8" w:space="0" w:color="auto"/>
              <w:right w:val="single" w:sz="8" w:space="0" w:color="auto"/>
            </w:tcBorders>
            <w:vAlign w:val="center"/>
            <w:hideMark/>
          </w:tcPr>
          <w:p w:rsidR="00D5791C" w:rsidRPr="00595EE3" w:rsidP="00D03DD4" w14:paraId="7425E3C2" w14:textId="77777777">
            <w:pPr>
              <w:jc w:val="center"/>
              <w:rPr>
                <w:rFonts w:ascii="Source Sans Pro" w:hAnsi="Source Sans Pro" w:cs="Calibri"/>
                <w:color w:val="000000"/>
                <w:sz w:val="20"/>
              </w:rPr>
            </w:pPr>
            <w:r w:rsidRPr="00595EE3">
              <w:rPr>
                <w:rFonts w:ascii="Source Sans Pro" w:hAnsi="Source Sans Pro" w:cs="Calibri"/>
                <w:color w:val="000000"/>
                <w:sz w:val="20"/>
              </w:rPr>
              <w:t>0</w:t>
            </w:r>
          </w:p>
        </w:tc>
        <w:tc>
          <w:tcPr>
            <w:tcW w:w="900" w:type="dxa"/>
            <w:tcBorders>
              <w:top w:val="nil"/>
              <w:left w:val="nil"/>
              <w:bottom w:val="single" w:sz="8" w:space="0" w:color="auto"/>
              <w:right w:val="single" w:sz="8" w:space="0" w:color="auto"/>
            </w:tcBorders>
            <w:vAlign w:val="center"/>
            <w:hideMark/>
          </w:tcPr>
          <w:p w:rsidR="00D5791C" w:rsidRPr="00595EE3" w:rsidP="00D03DD4" w14:paraId="6C9F827C" w14:textId="77777777">
            <w:pPr>
              <w:jc w:val="center"/>
              <w:rPr>
                <w:rFonts w:ascii="Source Sans Pro" w:hAnsi="Source Sans Pro" w:cs="Calibri"/>
                <w:color w:val="000000"/>
                <w:sz w:val="20"/>
              </w:rPr>
            </w:pPr>
            <w:r w:rsidRPr="00595EE3">
              <w:rPr>
                <w:rFonts w:ascii="Source Sans Pro" w:hAnsi="Source Sans Pro" w:cs="Calibri"/>
                <w:color w:val="000000"/>
                <w:sz w:val="20"/>
              </w:rPr>
              <w:t>0</w:t>
            </w:r>
          </w:p>
        </w:tc>
        <w:tc>
          <w:tcPr>
            <w:tcW w:w="984" w:type="dxa"/>
            <w:tcBorders>
              <w:top w:val="nil"/>
              <w:left w:val="nil"/>
              <w:bottom w:val="single" w:sz="8" w:space="0" w:color="auto"/>
              <w:right w:val="single" w:sz="8" w:space="0" w:color="auto"/>
            </w:tcBorders>
            <w:vAlign w:val="center"/>
            <w:hideMark/>
          </w:tcPr>
          <w:p w:rsidR="00D5791C" w:rsidRPr="00595EE3" w:rsidP="00D03DD4" w14:paraId="3E5DB660" w14:textId="77777777">
            <w:pPr>
              <w:jc w:val="center"/>
              <w:rPr>
                <w:rFonts w:ascii="Source Sans Pro" w:hAnsi="Source Sans Pro" w:cs="Calibri"/>
                <w:color w:val="000000"/>
                <w:sz w:val="20"/>
              </w:rPr>
            </w:pPr>
            <w:r w:rsidRPr="00595EE3">
              <w:rPr>
                <w:rFonts w:ascii="Source Sans Pro" w:hAnsi="Source Sans Pro" w:cs="Calibri"/>
                <w:color w:val="000000"/>
                <w:sz w:val="20"/>
              </w:rPr>
              <w:t>0</w:t>
            </w:r>
          </w:p>
        </w:tc>
        <w:tc>
          <w:tcPr>
            <w:tcW w:w="984" w:type="dxa"/>
            <w:tcBorders>
              <w:top w:val="nil"/>
              <w:left w:val="nil"/>
              <w:bottom w:val="single" w:sz="8" w:space="0" w:color="auto"/>
              <w:right w:val="single" w:sz="8" w:space="0" w:color="auto"/>
            </w:tcBorders>
            <w:vAlign w:val="center"/>
            <w:hideMark/>
          </w:tcPr>
          <w:p w:rsidR="00D5791C" w:rsidRPr="00595EE3" w:rsidP="00D03DD4" w14:paraId="2C2A46EF" w14:textId="77777777">
            <w:pPr>
              <w:jc w:val="center"/>
              <w:rPr>
                <w:rFonts w:ascii="Source Sans Pro" w:hAnsi="Source Sans Pro" w:cs="Calibri"/>
                <w:color w:val="000000"/>
                <w:sz w:val="20"/>
              </w:rPr>
            </w:pPr>
            <w:r w:rsidRPr="00595EE3">
              <w:rPr>
                <w:rFonts w:ascii="Source Sans Pro" w:hAnsi="Source Sans Pro" w:cs="Calibri"/>
                <w:color w:val="000000"/>
                <w:sz w:val="20"/>
              </w:rPr>
              <w:t>100</w:t>
            </w:r>
          </w:p>
        </w:tc>
        <w:tc>
          <w:tcPr>
            <w:tcW w:w="884" w:type="dxa"/>
            <w:tcBorders>
              <w:top w:val="nil"/>
              <w:left w:val="nil"/>
              <w:bottom w:val="single" w:sz="8" w:space="0" w:color="auto"/>
              <w:right w:val="single" w:sz="8" w:space="0" w:color="auto"/>
            </w:tcBorders>
            <w:vAlign w:val="center"/>
            <w:hideMark/>
          </w:tcPr>
          <w:p w:rsidR="00D5791C" w:rsidRPr="00595EE3" w:rsidP="00D03DD4" w14:paraId="6CF0124B" w14:textId="77777777">
            <w:pPr>
              <w:jc w:val="center"/>
              <w:rPr>
                <w:rFonts w:ascii="Source Sans Pro" w:hAnsi="Source Sans Pro" w:cs="Calibri"/>
                <w:color w:val="000000"/>
                <w:sz w:val="20"/>
              </w:rPr>
            </w:pPr>
            <w:r w:rsidRPr="00595EE3">
              <w:rPr>
                <w:rFonts w:ascii="Source Sans Pro" w:hAnsi="Source Sans Pro" w:cs="Calibri"/>
                <w:color w:val="000000"/>
                <w:sz w:val="20"/>
              </w:rPr>
              <w:t>0</w:t>
            </w:r>
          </w:p>
        </w:tc>
        <w:tc>
          <w:tcPr>
            <w:tcW w:w="1444" w:type="dxa"/>
            <w:tcBorders>
              <w:top w:val="nil"/>
              <w:left w:val="nil"/>
              <w:bottom w:val="single" w:sz="8" w:space="0" w:color="auto"/>
              <w:right w:val="single" w:sz="8" w:space="0" w:color="auto"/>
            </w:tcBorders>
            <w:vAlign w:val="center"/>
          </w:tcPr>
          <w:p w:rsidR="00D5791C" w:rsidRPr="00595EE3" w:rsidP="00D03DD4" w14:paraId="50FAAE6C" w14:textId="77777777">
            <w:pPr>
              <w:ind w:firstLine="200" w:firstLineChars="100"/>
              <w:jc w:val="right"/>
              <w:rPr>
                <w:rFonts w:ascii="Source Sans Pro" w:hAnsi="Source Sans Pro" w:cs="Calibri"/>
                <w:color w:val="000000"/>
                <w:sz w:val="20"/>
              </w:rPr>
            </w:pPr>
            <w:r>
              <w:rPr>
                <w:rFonts w:ascii="Source Sans Pro" w:hAnsi="Source Sans Pro" w:cs="Calibri"/>
                <w:color w:val="000000"/>
                <w:sz w:val="20"/>
              </w:rPr>
              <w:t xml:space="preserve">$103.65 </w:t>
            </w:r>
          </w:p>
        </w:tc>
      </w:tr>
      <w:tr w14:paraId="6A8C03EA" w14:textId="77777777" w:rsidTr="00D03DD4">
        <w:tblPrEx>
          <w:tblW w:w="10423" w:type="dxa"/>
          <w:tblCellMar>
            <w:top w:w="15" w:type="dxa"/>
          </w:tblCellMar>
          <w:tblLook w:val="04A0"/>
        </w:tblPrEx>
        <w:trPr>
          <w:trHeight w:val="1668"/>
        </w:trPr>
        <w:tc>
          <w:tcPr>
            <w:tcW w:w="2192" w:type="dxa"/>
            <w:tcBorders>
              <w:top w:val="nil"/>
              <w:left w:val="single" w:sz="8" w:space="0" w:color="auto"/>
              <w:bottom w:val="single" w:sz="8" w:space="0" w:color="auto"/>
              <w:right w:val="single" w:sz="8" w:space="0" w:color="auto"/>
            </w:tcBorders>
            <w:vAlign w:val="center"/>
            <w:hideMark/>
          </w:tcPr>
          <w:p w:rsidR="00D5791C" w:rsidRPr="00595EE3" w:rsidP="00D03DD4" w14:paraId="3DECC58E" w14:textId="77777777">
            <w:pPr>
              <w:rPr>
                <w:rFonts w:ascii="Source Sans Pro" w:hAnsi="Source Sans Pro" w:cs="Calibri"/>
                <w:color w:val="000000"/>
                <w:sz w:val="20"/>
              </w:rPr>
            </w:pPr>
            <w:r w:rsidRPr="00595EE3">
              <w:rPr>
                <w:rFonts w:ascii="Source Sans Pro" w:hAnsi="Source Sans Pro" w:cs="Calibri"/>
                <w:color w:val="000000"/>
                <w:sz w:val="20"/>
              </w:rPr>
              <w:t>2. Section 351.20(d) - Requirements under Appendix A for Covered Banks with Significant Trading Assets &amp; Liabilities (Mandatory)</w:t>
            </w:r>
          </w:p>
        </w:tc>
        <w:tc>
          <w:tcPr>
            <w:tcW w:w="845" w:type="dxa"/>
            <w:tcBorders>
              <w:top w:val="nil"/>
              <w:left w:val="nil"/>
              <w:bottom w:val="single" w:sz="8" w:space="0" w:color="auto"/>
              <w:right w:val="single" w:sz="8" w:space="0" w:color="auto"/>
            </w:tcBorders>
            <w:vAlign w:val="center"/>
            <w:hideMark/>
          </w:tcPr>
          <w:p w:rsidR="00D5791C" w:rsidRPr="00595EE3" w:rsidP="00D03DD4" w14:paraId="3F63BF03" w14:textId="77777777">
            <w:pPr>
              <w:jc w:val="center"/>
              <w:rPr>
                <w:rFonts w:ascii="Source Sans Pro" w:hAnsi="Source Sans Pro" w:cs="Calibri"/>
                <w:color w:val="000000"/>
                <w:sz w:val="20"/>
              </w:rPr>
            </w:pPr>
            <w:r w:rsidRPr="00595EE3">
              <w:rPr>
                <w:rFonts w:ascii="Source Sans Pro" w:hAnsi="Source Sans Pro" w:cs="Calibri"/>
                <w:color w:val="000000"/>
                <w:sz w:val="20"/>
              </w:rPr>
              <w:t>3.28</w:t>
            </w:r>
          </w:p>
        </w:tc>
        <w:tc>
          <w:tcPr>
            <w:tcW w:w="984" w:type="dxa"/>
            <w:tcBorders>
              <w:top w:val="nil"/>
              <w:left w:val="nil"/>
              <w:bottom w:val="single" w:sz="8" w:space="0" w:color="auto"/>
              <w:right w:val="single" w:sz="8" w:space="0" w:color="auto"/>
            </w:tcBorders>
            <w:vAlign w:val="center"/>
            <w:hideMark/>
          </w:tcPr>
          <w:p w:rsidR="00D5791C" w:rsidRPr="00595EE3" w:rsidP="00D03DD4" w14:paraId="70A3BB8A" w14:textId="77777777">
            <w:pPr>
              <w:jc w:val="center"/>
              <w:rPr>
                <w:rFonts w:ascii="Source Sans Pro" w:hAnsi="Source Sans Pro" w:cs="Calibri"/>
                <w:color w:val="000000"/>
                <w:sz w:val="20"/>
              </w:rPr>
            </w:pPr>
            <w:r w:rsidRPr="00595EE3">
              <w:rPr>
                <w:rFonts w:ascii="Source Sans Pro" w:hAnsi="Source Sans Pro" w:cs="Calibri"/>
                <w:color w:val="000000"/>
                <w:sz w:val="20"/>
              </w:rPr>
              <w:t>0</w:t>
            </w:r>
          </w:p>
        </w:tc>
        <w:tc>
          <w:tcPr>
            <w:tcW w:w="984" w:type="dxa"/>
            <w:tcBorders>
              <w:top w:val="nil"/>
              <w:left w:val="nil"/>
              <w:bottom w:val="single" w:sz="8" w:space="0" w:color="auto"/>
              <w:right w:val="single" w:sz="8" w:space="0" w:color="auto"/>
            </w:tcBorders>
            <w:vAlign w:val="center"/>
            <w:hideMark/>
          </w:tcPr>
          <w:p w:rsidR="00D5791C" w:rsidRPr="00595EE3" w:rsidP="00D03DD4" w14:paraId="545E9B16" w14:textId="77777777">
            <w:pPr>
              <w:jc w:val="center"/>
              <w:rPr>
                <w:rFonts w:ascii="Source Sans Pro" w:hAnsi="Source Sans Pro" w:cs="Calibri"/>
                <w:color w:val="000000"/>
                <w:sz w:val="20"/>
              </w:rPr>
            </w:pPr>
            <w:r w:rsidRPr="00595EE3">
              <w:rPr>
                <w:rFonts w:ascii="Source Sans Pro" w:hAnsi="Source Sans Pro" w:cs="Calibri"/>
                <w:color w:val="000000"/>
                <w:sz w:val="20"/>
              </w:rPr>
              <w:t>100</w:t>
            </w:r>
          </w:p>
        </w:tc>
        <w:tc>
          <w:tcPr>
            <w:tcW w:w="900" w:type="dxa"/>
            <w:tcBorders>
              <w:top w:val="nil"/>
              <w:left w:val="nil"/>
              <w:bottom w:val="single" w:sz="8" w:space="0" w:color="auto"/>
              <w:right w:val="single" w:sz="8" w:space="0" w:color="auto"/>
            </w:tcBorders>
            <w:vAlign w:val="center"/>
            <w:hideMark/>
          </w:tcPr>
          <w:p w:rsidR="00D5791C" w:rsidRPr="00595EE3" w:rsidP="00D03DD4" w14:paraId="4C7081DE" w14:textId="77777777">
            <w:pPr>
              <w:jc w:val="center"/>
              <w:rPr>
                <w:rFonts w:ascii="Source Sans Pro" w:hAnsi="Source Sans Pro" w:cs="Calibri"/>
                <w:color w:val="000000"/>
                <w:sz w:val="20"/>
              </w:rPr>
            </w:pPr>
            <w:r w:rsidRPr="00595EE3">
              <w:rPr>
                <w:rFonts w:ascii="Source Sans Pro" w:hAnsi="Source Sans Pro" w:cs="Calibri"/>
                <w:color w:val="000000"/>
                <w:sz w:val="20"/>
              </w:rPr>
              <w:t>0</w:t>
            </w:r>
          </w:p>
        </w:tc>
        <w:tc>
          <w:tcPr>
            <w:tcW w:w="984" w:type="dxa"/>
            <w:tcBorders>
              <w:top w:val="nil"/>
              <w:left w:val="nil"/>
              <w:bottom w:val="single" w:sz="8" w:space="0" w:color="auto"/>
              <w:right w:val="single" w:sz="8" w:space="0" w:color="auto"/>
            </w:tcBorders>
            <w:vAlign w:val="center"/>
            <w:hideMark/>
          </w:tcPr>
          <w:p w:rsidR="00D5791C" w:rsidRPr="00595EE3" w:rsidP="00D03DD4" w14:paraId="13330A8D" w14:textId="77777777">
            <w:pPr>
              <w:jc w:val="center"/>
              <w:rPr>
                <w:rFonts w:ascii="Source Sans Pro" w:hAnsi="Source Sans Pro" w:cs="Calibri"/>
                <w:color w:val="000000"/>
                <w:sz w:val="20"/>
              </w:rPr>
            </w:pPr>
            <w:r w:rsidRPr="00595EE3">
              <w:rPr>
                <w:rFonts w:ascii="Source Sans Pro" w:hAnsi="Source Sans Pro" w:cs="Calibri"/>
                <w:color w:val="000000"/>
                <w:sz w:val="20"/>
              </w:rPr>
              <w:t>0</w:t>
            </w:r>
          </w:p>
        </w:tc>
        <w:tc>
          <w:tcPr>
            <w:tcW w:w="984" w:type="dxa"/>
            <w:tcBorders>
              <w:top w:val="nil"/>
              <w:left w:val="nil"/>
              <w:bottom w:val="single" w:sz="8" w:space="0" w:color="auto"/>
              <w:right w:val="single" w:sz="8" w:space="0" w:color="auto"/>
            </w:tcBorders>
            <w:vAlign w:val="center"/>
            <w:hideMark/>
          </w:tcPr>
          <w:p w:rsidR="00D5791C" w:rsidRPr="00595EE3" w:rsidP="00D03DD4" w14:paraId="28288217" w14:textId="77777777">
            <w:pPr>
              <w:jc w:val="center"/>
              <w:rPr>
                <w:rFonts w:ascii="Source Sans Pro" w:hAnsi="Source Sans Pro" w:cs="Calibri"/>
                <w:color w:val="000000"/>
                <w:sz w:val="20"/>
              </w:rPr>
            </w:pPr>
            <w:r w:rsidRPr="00595EE3">
              <w:rPr>
                <w:rFonts w:ascii="Source Sans Pro" w:hAnsi="Source Sans Pro" w:cs="Calibri"/>
                <w:color w:val="000000"/>
                <w:sz w:val="20"/>
              </w:rPr>
              <w:t>0</w:t>
            </w:r>
          </w:p>
        </w:tc>
        <w:tc>
          <w:tcPr>
            <w:tcW w:w="884" w:type="dxa"/>
            <w:tcBorders>
              <w:top w:val="nil"/>
              <w:left w:val="nil"/>
              <w:bottom w:val="single" w:sz="8" w:space="0" w:color="auto"/>
              <w:right w:val="single" w:sz="8" w:space="0" w:color="auto"/>
            </w:tcBorders>
            <w:vAlign w:val="center"/>
            <w:hideMark/>
          </w:tcPr>
          <w:p w:rsidR="00D5791C" w:rsidRPr="00595EE3" w:rsidP="00D03DD4" w14:paraId="35136F0B" w14:textId="77777777">
            <w:pPr>
              <w:jc w:val="center"/>
              <w:rPr>
                <w:rFonts w:ascii="Source Sans Pro" w:hAnsi="Source Sans Pro" w:cs="Calibri"/>
                <w:color w:val="000000"/>
                <w:sz w:val="20"/>
              </w:rPr>
            </w:pPr>
            <w:r w:rsidRPr="00595EE3">
              <w:rPr>
                <w:rFonts w:ascii="Source Sans Pro" w:hAnsi="Source Sans Pro" w:cs="Calibri"/>
                <w:color w:val="000000"/>
                <w:sz w:val="20"/>
              </w:rPr>
              <w:t>0</w:t>
            </w:r>
          </w:p>
        </w:tc>
        <w:tc>
          <w:tcPr>
            <w:tcW w:w="1444" w:type="dxa"/>
            <w:tcBorders>
              <w:top w:val="nil"/>
              <w:left w:val="nil"/>
              <w:bottom w:val="single" w:sz="8" w:space="0" w:color="auto"/>
              <w:right w:val="single" w:sz="8" w:space="0" w:color="auto"/>
            </w:tcBorders>
            <w:vAlign w:val="center"/>
          </w:tcPr>
          <w:p w:rsidR="00D5791C" w:rsidRPr="00595EE3" w:rsidP="00D03DD4" w14:paraId="4597C5CC" w14:textId="77777777">
            <w:pPr>
              <w:ind w:firstLine="200" w:firstLineChars="100"/>
              <w:jc w:val="right"/>
              <w:rPr>
                <w:rFonts w:ascii="Source Sans Pro" w:hAnsi="Source Sans Pro" w:cs="Calibri"/>
                <w:color w:val="000000"/>
                <w:sz w:val="20"/>
              </w:rPr>
            </w:pPr>
            <w:r>
              <w:rPr>
                <w:rFonts w:ascii="Source Sans Pro" w:hAnsi="Source Sans Pro" w:cs="Calibri"/>
                <w:color w:val="000000"/>
                <w:sz w:val="20"/>
              </w:rPr>
              <w:t xml:space="preserve">$198.32 </w:t>
            </w:r>
          </w:p>
        </w:tc>
      </w:tr>
      <w:tr w14:paraId="14180914" w14:textId="77777777" w:rsidTr="00D03DD4">
        <w:tblPrEx>
          <w:tblW w:w="10423" w:type="dxa"/>
          <w:tblCellMar>
            <w:top w:w="15" w:type="dxa"/>
          </w:tblCellMar>
          <w:tblLook w:val="04A0"/>
        </w:tblPrEx>
        <w:trPr>
          <w:trHeight w:val="960"/>
        </w:trPr>
        <w:tc>
          <w:tcPr>
            <w:tcW w:w="2192" w:type="dxa"/>
            <w:tcBorders>
              <w:top w:val="nil"/>
              <w:left w:val="single" w:sz="8" w:space="0" w:color="auto"/>
              <w:bottom w:val="single" w:sz="8" w:space="0" w:color="auto"/>
              <w:right w:val="single" w:sz="8" w:space="0" w:color="auto"/>
            </w:tcBorders>
            <w:vAlign w:val="center"/>
            <w:hideMark/>
          </w:tcPr>
          <w:p w:rsidR="00D5791C" w:rsidRPr="00595EE3" w:rsidP="00D03DD4" w14:paraId="187F1BED" w14:textId="77777777">
            <w:pPr>
              <w:rPr>
                <w:rFonts w:ascii="Source Sans Pro" w:hAnsi="Source Sans Pro" w:cs="Calibri"/>
                <w:color w:val="000000"/>
                <w:sz w:val="20"/>
              </w:rPr>
            </w:pPr>
            <w:r w:rsidRPr="00595EE3">
              <w:rPr>
                <w:rFonts w:ascii="Source Sans Pro" w:hAnsi="Source Sans Pro" w:cs="Calibri"/>
                <w:color w:val="000000"/>
                <w:sz w:val="20"/>
              </w:rPr>
              <w:t>3. Section 351.20(i) - Notice and Response (Voluntary)</w:t>
            </w:r>
          </w:p>
        </w:tc>
        <w:tc>
          <w:tcPr>
            <w:tcW w:w="845" w:type="dxa"/>
            <w:tcBorders>
              <w:top w:val="nil"/>
              <w:left w:val="nil"/>
              <w:bottom w:val="single" w:sz="8" w:space="0" w:color="auto"/>
              <w:right w:val="single" w:sz="8" w:space="0" w:color="auto"/>
            </w:tcBorders>
            <w:vAlign w:val="center"/>
            <w:hideMark/>
          </w:tcPr>
          <w:p w:rsidR="00D5791C" w:rsidRPr="00595EE3" w:rsidP="00D03DD4" w14:paraId="5F5F067F" w14:textId="77777777">
            <w:pPr>
              <w:jc w:val="center"/>
              <w:rPr>
                <w:rFonts w:ascii="Source Sans Pro" w:hAnsi="Source Sans Pro" w:cs="Calibri"/>
                <w:color w:val="000000"/>
                <w:sz w:val="20"/>
              </w:rPr>
            </w:pPr>
            <w:r w:rsidRPr="00595EE3">
              <w:rPr>
                <w:rFonts w:ascii="Source Sans Pro" w:hAnsi="Source Sans Pro" w:cs="Calibri"/>
                <w:color w:val="000000"/>
                <w:sz w:val="20"/>
              </w:rPr>
              <w:t>0.52</w:t>
            </w:r>
          </w:p>
        </w:tc>
        <w:tc>
          <w:tcPr>
            <w:tcW w:w="984" w:type="dxa"/>
            <w:tcBorders>
              <w:top w:val="nil"/>
              <w:left w:val="nil"/>
              <w:bottom w:val="single" w:sz="8" w:space="0" w:color="auto"/>
              <w:right w:val="single" w:sz="8" w:space="0" w:color="auto"/>
            </w:tcBorders>
            <w:vAlign w:val="center"/>
            <w:hideMark/>
          </w:tcPr>
          <w:p w:rsidR="00D5791C" w:rsidRPr="00595EE3" w:rsidP="00D03DD4" w14:paraId="5B892734" w14:textId="77777777">
            <w:pPr>
              <w:jc w:val="center"/>
              <w:rPr>
                <w:rFonts w:ascii="Source Sans Pro" w:hAnsi="Source Sans Pro" w:cs="Calibri"/>
                <w:color w:val="000000"/>
                <w:sz w:val="20"/>
              </w:rPr>
            </w:pPr>
            <w:r w:rsidRPr="00595EE3">
              <w:rPr>
                <w:rFonts w:ascii="Source Sans Pro" w:hAnsi="Source Sans Pro" w:cs="Calibri"/>
                <w:color w:val="000000"/>
                <w:sz w:val="20"/>
              </w:rPr>
              <w:t>0</w:t>
            </w:r>
          </w:p>
        </w:tc>
        <w:tc>
          <w:tcPr>
            <w:tcW w:w="984" w:type="dxa"/>
            <w:tcBorders>
              <w:top w:val="nil"/>
              <w:left w:val="nil"/>
              <w:bottom w:val="single" w:sz="8" w:space="0" w:color="auto"/>
              <w:right w:val="single" w:sz="8" w:space="0" w:color="auto"/>
            </w:tcBorders>
            <w:vAlign w:val="center"/>
            <w:hideMark/>
          </w:tcPr>
          <w:p w:rsidR="00D5791C" w:rsidRPr="00595EE3" w:rsidP="00D03DD4" w14:paraId="37B1D367" w14:textId="77777777">
            <w:pPr>
              <w:jc w:val="center"/>
              <w:rPr>
                <w:rFonts w:ascii="Source Sans Pro" w:hAnsi="Source Sans Pro" w:cs="Calibri"/>
                <w:color w:val="000000"/>
                <w:sz w:val="20"/>
              </w:rPr>
            </w:pPr>
            <w:r w:rsidRPr="00595EE3">
              <w:rPr>
                <w:rFonts w:ascii="Source Sans Pro" w:hAnsi="Source Sans Pro" w:cs="Calibri"/>
                <w:color w:val="000000"/>
                <w:sz w:val="20"/>
              </w:rPr>
              <w:t>100</w:t>
            </w:r>
          </w:p>
        </w:tc>
        <w:tc>
          <w:tcPr>
            <w:tcW w:w="900" w:type="dxa"/>
            <w:tcBorders>
              <w:top w:val="nil"/>
              <w:left w:val="nil"/>
              <w:bottom w:val="single" w:sz="8" w:space="0" w:color="auto"/>
              <w:right w:val="single" w:sz="8" w:space="0" w:color="auto"/>
            </w:tcBorders>
            <w:vAlign w:val="center"/>
            <w:hideMark/>
          </w:tcPr>
          <w:p w:rsidR="00D5791C" w:rsidRPr="00595EE3" w:rsidP="00D03DD4" w14:paraId="3C07E445" w14:textId="77777777">
            <w:pPr>
              <w:jc w:val="center"/>
              <w:rPr>
                <w:rFonts w:ascii="Source Sans Pro" w:hAnsi="Source Sans Pro" w:cs="Calibri"/>
                <w:color w:val="000000"/>
                <w:sz w:val="20"/>
              </w:rPr>
            </w:pPr>
            <w:r w:rsidRPr="00595EE3">
              <w:rPr>
                <w:rFonts w:ascii="Source Sans Pro" w:hAnsi="Source Sans Pro" w:cs="Calibri"/>
                <w:color w:val="000000"/>
                <w:sz w:val="20"/>
              </w:rPr>
              <w:t>0</w:t>
            </w:r>
          </w:p>
        </w:tc>
        <w:tc>
          <w:tcPr>
            <w:tcW w:w="984" w:type="dxa"/>
            <w:tcBorders>
              <w:top w:val="nil"/>
              <w:left w:val="nil"/>
              <w:bottom w:val="single" w:sz="8" w:space="0" w:color="auto"/>
              <w:right w:val="single" w:sz="8" w:space="0" w:color="auto"/>
            </w:tcBorders>
            <w:vAlign w:val="center"/>
            <w:hideMark/>
          </w:tcPr>
          <w:p w:rsidR="00D5791C" w:rsidRPr="00595EE3" w:rsidP="00D03DD4" w14:paraId="15CCFA58" w14:textId="77777777">
            <w:pPr>
              <w:jc w:val="center"/>
              <w:rPr>
                <w:rFonts w:ascii="Source Sans Pro" w:hAnsi="Source Sans Pro" w:cs="Calibri"/>
                <w:color w:val="000000"/>
                <w:sz w:val="20"/>
              </w:rPr>
            </w:pPr>
            <w:r w:rsidRPr="00595EE3">
              <w:rPr>
                <w:rFonts w:ascii="Source Sans Pro" w:hAnsi="Source Sans Pro" w:cs="Calibri"/>
                <w:color w:val="000000"/>
                <w:sz w:val="20"/>
              </w:rPr>
              <w:t>0</w:t>
            </w:r>
          </w:p>
        </w:tc>
        <w:tc>
          <w:tcPr>
            <w:tcW w:w="984" w:type="dxa"/>
            <w:tcBorders>
              <w:top w:val="nil"/>
              <w:left w:val="nil"/>
              <w:bottom w:val="single" w:sz="8" w:space="0" w:color="auto"/>
              <w:right w:val="single" w:sz="8" w:space="0" w:color="auto"/>
            </w:tcBorders>
            <w:vAlign w:val="center"/>
            <w:hideMark/>
          </w:tcPr>
          <w:p w:rsidR="00D5791C" w:rsidRPr="00595EE3" w:rsidP="00D03DD4" w14:paraId="73ACBC2F" w14:textId="77777777">
            <w:pPr>
              <w:jc w:val="center"/>
              <w:rPr>
                <w:rFonts w:ascii="Source Sans Pro" w:hAnsi="Source Sans Pro" w:cs="Calibri"/>
                <w:color w:val="000000"/>
                <w:sz w:val="20"/>
              </w:rPr>
            </w:pPr>
            <w:r w:rsidRPr="00595EE3">
              <w:rPr>
                <w:rFonts w:ascii="Source Sans Pro" w:hAnsi="Source Sans Pro" w:cs="Calibri"/>
                <w:color w:val="000000"/>
                <w:sz w:val="20"/>
              </w:rPr>
              <w:t>0</w:t>
            </w:r>
          </w:p>
        </w:tc>
        <w:tc>
          <w:tcPr>
            <w:tcW w:w="884" w:type="dxa"/>
            <w:tcBorders>
              <w:top w:val="nil"/>
              <w:left w:val="nil"/>
              <w:bottom w:val="single" w:sz="8" w:space="0" w:color="auto"/>
              <w:right w:val="single" w:sz="8" w:space="0" w:color="auto"/>
            </w:tcBorders>
            <w:vAlign w:val="center"/>
            <w:hideMark/>
          </w:tcPr>
          <w:p w:rsidR="00D5791C" w:rsidRPr="00595EE3" w:rsidP="00D03DD4" w14:paraId="44BC5C72" w14:textId="77777777">
            <w:pPr>
              <w:jc w:val="center"/>
              <w:rPr>
                <w:rFonts w:ascii="Source Sans Pro" w:hAnsi="Source Sans Pro" w:cs="Calibri"/>
                <w:color w:val="000000"/>
                <w:sz w:val="20"/>
              </w:rPr>
            </w:pPr>
            <w:r w:rsidRPr="00595EE3">
              <w:rPr>
                <w:rFonts w:ascii="Source Sans Pro" w:hAnsi="Source Sans Pro" w:cs="Calibri"/>
                <w:color w:val="000000"/>
                <w:sz w:val="20"/>
              </w:rPr>
              <w:t>0</w:t>
            </w:r>
          </w:p>
        </w:tc>
        <w:tc>
          <w:tcPr>
            <w:tcW w:w="1444" w:type="dxa"/>
            <w:tcBorders>
              <w:top w:val="nil"/>
              <w:left w:val="nil"/>
              <w:bottom w:val="single" w:sz="8" w:space="0" w:color="auto"/>
              <w:right w:val="single" w:sz="8" w:space="0" w:color="auto"/>
            </w:tcBorders>
            <w:vAlign w:val="center"/>
          </w:tcPr>
          <w:p w:rsidR="00D5791C" w:rsidRPr="00595EE3" w:rsidP="00D03DD4" w14:paraId="0933678C" w14:textId="77777777">
            <w:pPr>
              <w:ind w:firstLine="200" w:firstLineChars="100"/>
              <w:jc w:val="right"/>
              <w:rPr>
                <w:rFonts w:ascii="Source Sans Pro" w:hAnsi="Source Sans Pro" w:cs="Calibri"/>
                <w:color w:val="000000"/>
                <w:sz w:val="20"/>
              </w:rPr>
            </w:pPr>
            <w:r>
              <w:rPr>
                <w:rFonts w:ascii="Source Sans Pro" w:hAnsi="Source Sans Pro" w:cs="Calibri"/>
                <w:color w:val="000000"/>
                <w:sz w:val="20"/>
              </w:rPr>
              <w:t xml:space="preserve">$198.32 </w:t>
            </w:r>
          </w:p>
        </w:tc>
      </w:tr>
      <w:tr w14:paraId="105FC9E6" w14:textId="77777777" w:rsidTr="00D03DD4">
        <w:tblPrEx>
          <w:tblW w:w="10423" w:type="dxa"/>
          <w:tblCellMar>
            <w:top w:w="15" w:type="dxa"/>
          </w:tblCellMar>
          <w:tblLook w:val="04A0"/>
        </w:tblPrEx>
        <w:trPr>
          <w:trHeight w:val="1392"/>
        </w:trPr>
        <w:tc>
          <w:tcPr>
            <w:tcW w:w="2192" w:type="dxa"/>
            <w:tcBorders>
              <w:top w:val="nil"/>
              <w:left w:val="single" w:sz="8" w:space="0" w:color="auto"/>
              <w:bottom w:val="single" w:sz="8" w:space="0" w:color="auto"/>
              <w:right w:val="single" w:sz="8" w:space="0" w:color="auto"/>
            </w:tcBorders>
            <w:vAlign w:val="center"/>
            <w:hideMark/>
          </w:tcPr>
          <w:p w:rsidR="00D5791C" w:rsidRPr="00595EE3" w:rsidP="00D03DD4" w14:paraId="792105F9" w14:textId="77777777">
            <w:pPr>
              <w:rPr>
                <w:rFonts w:ascii="Source Sans Pro" w:hAnsi="Source Sans Pro" w:cs="Calibri"/>
                <w:color w:val="000000"/>
                <w:sz w:val="20"/>
              </w:rPr>
            </w:pPr>
            <w:r w:rsidRPr="00595EE3">
              <w:rPr>
                <w:rFonts w:ascii="Source Sans Pro" w:hAnsi="Source Sans Pro" w:cs="Calibri"/>
                <w:color w:val="000000"/>
                <w:sz w:val="20"/>
              </w:rPr>
              <w:t>4. Section 351.3(d)(3) - Purchase and sale of securities in Accordance with liquidity management plans (Mandatory)</w:t>
            </w:r>
          </w:p>
        </w:tc>
        <w:tc>
          <w:tcPr>
            <w:tcW w:w="845" w:type="dxa"/>
            <w:tcBorders>
              <w:top w:val="nil"/>
              <w:left w:val="nil"/>
              <w:bottom w:val="single" w:sz="8" w:space="0" w:color="auto"/>
              <w:right w:val="single" w:sz="8" w:space="0" w:color="auto"/>
            </w:tcBorders>
            <w:vAlign w:val="center"/>
            <w:hideMark/>
          </w:tcPr>
          <w:p w:rsidR="00D5791C" w:rsidRPr="00595EE3" w:rsidP="00D03DD4" w14:paraId="02EF2D21" w14:textId="77777777">
            <w:pPr>
              <w:jc w:val="center"/>
              <w:rPr>
                <w:rFonts w:ascii="Source Sans Pro" w:hAnsi="Source Sans Pro" w:cs="Calibri"/>
                <w:color w:val="000000"/>
                <w:sz w:val="20"/>
              </w:rPr>
            </w:pPr>
            <w:r w:rsidRPr="00595EE3">
              <w:rPr>
                <w:rFonts w:ascii="Source Sans Pro" w:hAnsi="Source Sans Pro" w:cs="Calibri"/>
                <w:color w:val="000000"/>
                <w:sz w:val="20"/>
              </w:rPr>
              <w:t>0.08</w:t>
            </w:r>
          </w:p>
        </w:tc>
        <w:tc>
          <w:tcPr>
            <w:tcW w:w="984" w:type="dxa"/>
            <w:tcBorders>
              <w:top w:val="nil"/>
              <w:left w:val="nil"/>
              <w:bottom w:val="single" w:sz="8" w:space="0" w:color="auto"/>
              <w:right w:val="single" w:sz="8" w:space="0" w:color="auto"/>
            </w:tcBorders>
            <w:vAlign w:val="center"/>
            <w:hideMark/>
          </w:tcPr>
          <w:p w:rsidR="00D5791C" w:rsidRPr="00595EE3" w:rsidP="00D03DD4" w14:paraId="2CA2EE48" w14:textId="77777777">
            <w:pPr>
              <w:jc w:val="center"/>
              <w:rPr>
                <w:rFonts w:ascii="Source Sans Pro" w:hAnsi="Source Sans Pro" w:cs="Calibri"/>
                <w:color w:val="000000"/>
                <w:sz w:val="20"/>
              </w:rPr>
            </w:pPr>
            <w:r w:rsidRPr="00595EE3">
              <w:rPr>
                <w:rFonts w:ascii="Source Sans Pro" w:hAnsi="Source Sans Pro" w:cs="Calibri"/>
                <w:color w:val="000000"/>
                <w:sz w:val="20"/>
              </w:rPr>
              <w:t>0</w:t>
            </w:r>
          </w:p>
        </w:tc>
        <w:tc>
          <w:tcPr>
            <w:tcW w:w="984" w:type="dxa"/>
            <w:tcBorders>
              <w:top w:val="nil"/>
              <w:left w:val="nil"/>
              <w:bottom w:val="single" w:sz="8" w:space="0" w:color="auto"/>
              <w:right w:val="single" w:sz="8" w:space="0" w:color="auto"/>
            </w:tcBorders>
            <w:vAlign w:val="center"/>
            <w:hideMark/>
          </w:tcPr>
          <w:p w:rsidR="00D5791C" w:rsidRPr="00595EE3" w:rsidP="00D03DD4" w14:paraId="019C08D8" w14:textId="77777777">
            <w:pPr>
              <w:jc w:val="center"/>
              <w:rPr>
                <w:rFonts w:ascii="Source Sans Pro" w:hAnsi="Source Sans Pro" w:cs="Calibri"/>
                <w:color w:val="000000"/>
                <w:sz w:val="20"/>
              </w:rPr>
            </w:pPr>
            <w:r w:rsidRPr="00595EE3">
              <w:rPr>
                <w:rFonts w:ascii="Source Sans Pro" w:hAnsi="Source Sans Pro" w:cs="Calibri"/>
                <w:color w:val="000000"/>
                <w:sz w:val="20"/>
              </w:rPr>
              <w:t>0</w:t>
            </w:r>
          </w:p>
        </w:tc>
        <w:tc>
          <w:tcPr>
            <w:tcW w:w="900" w:type="dxa"/>
            <w:tcBorders>
              <w:top w:val="nil"/>
              <w:left w:val="nil"/>
              <w:bottom w:val="single" w:sz="8" w:space="0" w:color="auto"/>
              <w:right w:val="single" w:sz="8" w:space="0" w:color="auto"/>
            </w:tcBorders>
            <w:vAlign w:val="center"/>
            <w:hideMark/>
          </w:tcPr>
          <w:p w:rsidR="00D5791C" w:rsidRPr="00595EE3" w:rsidP="00D03DD4" w14:paraId="5A0BF1ED" w14:textId="77777777">
            <w:pPr>
              <w:jc w:val="center"/>
              <w:rPr>
                <w:rFonts w:ascii="Source Sans Pro" w:hAnsi="Source Sans Pro" w:cs="Calibri"/>
                <w:color w:val="000000"/>
                <w:sz w:val="20"/>
              </w:rPr>
            </w:pPr>
            <w:r w:rsidRPr="00595EE3">
              <w:rPr>
                <w:rFonts w:ascii="Source Sans Pro" w:hAnsi="Source Sans Pro" w:cs="Calibri"/>
                <w:color w:val="000000"/>
                <w:sz w:val="20"/>
              </w:rPr>
              <w:t>0</w:t>
            </w:r>
          </w:p>
        </w:tc>
        <w:tc>
          <w:tcPr>
            <w:tcW w:w="984" w:type="dxa"/>
            <w:tcBorders>
              <w:top w:val="nil"/>
              <w:left w:val="nil"/>
              <w:bottom w:val="single" w:sz="8" w:space="0" w:color="auto"/>
              <w:right w:val="single" w:sz="8" w:space="0" w:color="auto"/>
            </w:tcBorders>
            <w:vAlign w:val="center"/>
            <w:hideMark/>
          </w:tcPr>
          <w:p w:rsidR="00D5791C" w:rsidRPr="00595EE3" w:rsidP="00D03DD4" w14:paraId="174CF86E" w14:textId="77777777">
            <w:pPr>
              <w:jc w:val="center"/>
              <w:rPr>
                <w:rFonts w:ascii="Source Sans Pro" w:hAnsi="Source Sans Pro" w:cs="Calibri"/>
                <w:color w:val="000000"/>
                <w:sz w:val="20"/>
              </w:rPr>
            </w:pPr>
            <w:r w:rsidRPr="00595EE3">
              <w:rPr>
                <w:rFonts w:ascii="Source Sans Pro" w:hAnsi="Source Sans Pro" w:cs="Calibri"/>
                <w:color w:val="000000"/>
                <w:sz w:val="20"/>
              </w:rPr>
              <w:t>0</w:t>
            </w:r>
          </w:p>
        </w:tc>
        <w:tc>
          <w:tcPr>
            <w:tcW w:w="984" w:type="dxa"/>
            <w:tcBorders>
              <w:top w:val="nil"/>
              <w:left w:val="nil"/>
              <w:bottom w:val="single" w:sz="8" w:space="0" w:color="auto"/>
              <w:right w:val="single" w:sz="8" w:space="0" w:color="auto"/>
            </w:tcBorders>
            <w:vAlign w:val="center"/>
            <w:hideMark/>
          </w:tcPr>
          <w:p w:rsidR="00D5791C" w:rsidRPr="00595EE3" w:rsidP="00D03DD4" w14:paraId="7EE33F0B" w14:textId="77777777">
            <w:pPr>
              <w:jc w:val="center"/>
              <w:rPr>
                <w:rFonts w:ascii="Source Sans Pro" w:hAnsi="Source Sans Pro" w:cs="Calibri"/>
                <w:color w:val="000000"/>
                <w:sz w:val="20"/>
              </w:rPr>
            </w:pPr>
            <w:r w:rsidRPr="00595EE3">
              <w:rPr>
                <w:rFonts w:ascii="Source Sans Pro" w:hAnsi="Source Sans Pro" w:cs="Calibri"/>
                <w:color w:val="000000"/>
                <w:sz w:val="20"/>
              </w:rPr>
              <w:t>100</w:t>
            </w:r>
          </w:p>
        </w:tc>
        <w:tc>
          <w:tcPr>
            <w:tcW w:w="884" w:type="dxa"/>
            <w:tcBorders>
              <w:top w:val="nil"/>
              <w:left w:val="nil"/>
              <w:bottom w:val="single" w:sz="8" w:space="0" w:color="auto"/>
              <w:right w:val="single" w:sz="8" w:space="0" w:color="auto"/>
            </w:tcBorders>
            <w:vAlign w:val="center"/>
            <w:hideMark/>
          </w:tcPr>
          <w:p w:rsidR="00D5791C" w:rsidRPr="00595EE3" w:rsidP="00D03DD4" w14:paraId="6EF673D7" w14:textId="77777777">
            <w:pPr>
              <w:jc w:val="center"/>
              <w:rPr>
                <w:rFonts w:ascii="Source Sans Pro" w:hAnsi="Source Sans Pro" w:cs="Calibri"/>
                <w:color w:val="000000"/>
                <w:sz w:val="20"/>
              </w:rPr>
            </w:pPr>
            <w:r w:rsidRPr="00595EE3">
              <w:rPr>
                <w:rFonts w:ascii="Source Sans Pro" w:hAnsi="Source Sans Pro" w:cs="Calibri"/>
                <w:color w:val="000000"/>
                <w:sz w:val="20"/>
              </w:rPr>
              <w:t>0</w:t>
            </w:r>
          </w:p>
        </w:tc>
        <w:tc>
          <w:tcPr>
            <w:tcW w:w="1444" w:type="dxa"/>
            <w:tcBorders>
              <w:top w:val="nil"/>
              <w:left w:val="nil"/>
              <w:bottom w:val="single" w:sz="8" w:space="0" w:color="auto"/>
              <w:right w:val="single" w:sz="8" w:space="0" w:color="auto"/>
            </w:tcBorders>
            <w:vAlign w:val="center"/>
          </w:tcPr>
          <w:p w:rsidR="00D5791C" w:rsidRPr="00595EE3" w:rsidP="00D03DD4" w14:paraId="7FC70034" w14:textId="77777777">
            <w:pPr>
              <w:ind w:firstLine="200" w:firstLineChars="100"/>
              <w:jc w:val="right"/>
              <w:rPr>
                <w:rFonts w:ascii="Source Sans Pro" w:hAnsi="Source Sans Pro" w:cs="Calibri"/>
                <w:color w:val="000000"/>
                <w:sz w:val="20"/>
              </w:rPr>
            </w:pPr>
            <w:r>
              <w:rPr>
                <w:rFonts w:ascii="Source Sans Pro" w:hAnsi="Source Sans Pro" w:cs="Calibri"/>
                <w:color w:val="000000"/>
                <w:sz w:val="20"/>
              </w:rPr>
              <w:t xml:space="preserve">$103.65 </w:t>
            </w:r>
          </w:p>
        </w:tc>
      </w:tr>
      <w:tr w14:paraId="2F0F785D" w14:textId="77777777" w:rsidTr="00D03DD4">
        <w:tblPrEx>
          <w:tblW w:w="10423" w:type="dxa"/>
          <w:tblCellMar>
            <w:top w:w="15" w:type="dxa"/>
          </w:tblCellMar>
          <w:tblLook w:val="04A0"/>
        </w:tblPrEx>
        <w:trPr>
          <w:trHeight w:val="1116"/>
        </w:trPr>
        <w:tc>
          <w:tcPr>
            <w:tcW w:w="2192" w:type="dxa"/>
            <w:tcBorders>
              <w:top w:val="nil"/>
              <w:left w:val="single" w:sz="8" w:space="0" w:color="auto"/>
              <w:bottom w:val="single" w:sz="8" w:space="0" w:color="auto"/>
              <w:right w:val="single" w:sz="8" w:space="0" w:color="auto"/>
            </w:tcBorders>
            <w:vAlign w:val="center"/>
            <w:hideMark/>
          </w:tcPr>
          <w:p w:rsidR="00D5791C" w:rsidRPr="00595EE3" w:rsidP="00D03DD4" w14:paraId="45D12B89" w14:textId="77777777">
            <w:pPr>
              <w:rPr>
                <w:rFonts w:ascii="Source Sans Pro" w:hAnsi="Source Sans Pro" w:cs="Calibri"/>
                <w:color w:val="000000"/>
                <w:sz w:val="20"/>
              </w:rPr>
            </w:pPr>
            <w:r w:rsidRPr="00595EE3">
              <w:rPr>
                <w:rFonts w:ascii="Source Sans Pro" w:hAnsi="Source Sans Pro" w:cs="Calibri"/>
                <w:color w:val="000000"/>
                <w:sz w:val="20"/>
              </w:rPr>
              <w:t>5. Section 351.4(b)(3)(i)(A) - Trading Desk Documentation (Mandatory)</w:t>
            </w:r>
          </w:p>
        </w:tc>
        <w:tc>
          <w:tcPr>
            <w:tcW w:w="845" w:type="dxa"/>
            <w:tcBorders>
              <w:top w:val="nil"/>
              <w:left w:val="nil"/>
              <w:bottom w:val="single" w:sz="8" w:space="0" w:color="auto"/>
              <w:right w:val="single" w:sz="8" w:space="0" w:color="auto"/>
            </w:tcBorders>
            <w:vAlign w:val="center"/>
            <w:hideMark/>
          </w:tcPr>
          <w:p w:rsidR="00D5791C" w:rsidRPr="00595EE3" w:rsidP="00D03DD4" w14:paraId="047FFC57" w14:textId="77777777">
            <w:pPr>
              <w:jc w:val="center"/>
              <w:rPr>
                <w:rFonts w:ascii="Source Sans Pro" w:hAnsi="Source Sans Pro" w:cs="Calibri"/>
                <w:color w:val="000000"/>
                <w:sz w:val="20"/>
              </w:rPr>
            </w:pPr>
            <w:r w:rsidRPr="00595EE3">
              <w:rPr>
                <w:rFonts w:ascii="Source Sans Pro" w:hAnsi="Source Sans Pro" w:cs="Calibri"/>
                <w:color w:val="000000"/>
                <w:sz w:val="20"/>
              </w:rPr>
              <w:t>0.05</w:t>
            </w:r>
          </w:p>
        </w:tc>
        <w:tc>
          <w:tcPr>
            <w:tcW w:w="984" w:type="dxa"/>
            <w:tcBorders>
              <w:top w:val="nil"/>
              <w:left w:val="nil"/>
              <w:bottom w:val="single" w:sz="8" w:space="0" w:color="auto"/>
              <w:right w:val="single" w:sz="8" w:space="0" w:color="auto"/>
            </w:tcBorders>
            <w:vAlign w:val="center"/>
            <w:hideMark/>
          </w:tcPr>
          <w:p w:rsidR="00D5791C" w:rsidRPr="00595EE3" w:rsidP="00D03DD4" w14:paraId="3D0059B7" w14:textId="77777777">
            <w:pPr>
              <w:jc w:val="center"/>
              <w:rPr>
                <w:rFonts w:ascii="Source Sans Pro" w:hAnsi="Source Sans Pro" w:cs="Calibri"/>
                <w:color w:val="000000"/>
                <w:sz w:val="20"/>
              </w:rPr>
            </w:pPr>
            <w:r w:rsidRPr="00595EE3">
              <w:rPr>
                <w:rFonts w:ascii="Source Sans Pro" w:hAnsi="Source Sans Pro" w:cs="Calibri"/>
                <w:color w:val="000000"/>
                <w:sz w:val="20"/>
              </w:rPr>
              <w:t>0</w:t>
            </w:r>
          </w:p>
        </w:tc>
        <w:tc>
          <w:tcPr>
            <w:tcW w:w="984" w:type="dxa"/>
            <w:tcBorders>
              <w:top w:val="nil"/>
              <w:left w:val="nil"/>
              <w:bottom w:val="single" w:sz="8" w:space="0" w:color="auto"/>
              <w:right w:val="single" w:sz="8" w:space="0" w:color="auto"/>
            </w:tcBorders>
            <w:vAlign w:val="center"/>
            <w:hideMark/>
          </w:tcPr>
          <w:p w:rsidR="00D5791C" w:rsidRPr="00595EE3" w:rsidP="00D03DD4" w14:paraId="517E9F97" w14:textId="77777777">
            <w:pPr>
              <w:jc w:val="center"/>
              <w:rPr>
                <w:rFonts w:ascii="Source Sans Pro" w:hAnsi="Source Sans Pro" w:cs="Calibri"/>
                <w:color w:val="000000"/>
                <w:sz w:val="20"/>
              </w:rPr>
            </w:pPr>
            <w:r w:rsidRPr="00595EE3">
              <w:rPr>
                <w:rFonts w:ascii="Source Sans Pro" w:hAnsi="Source Sans Pro" w:cs="Calibri"/>
                <w:color w:val="000000"/>
                <w:sz w:val="20"/>
              </w:rPr>
              <w:t>100</w:t>
            </w:r>
          </w:p>
        </w:tc>
        <w:tc>
          <w:tcPr>
            <w:tcW w:w="900" w:type="dxa"/>
            <w:tcBorders>
              <w:top w:val="nil"/>
              <w:left w:val="nil"/>
              <w:bottom w:val="single" w:sz="8" w:space="0" w:color="auto"/>
              <w:right w:val="single" w:sz="8" w:space="0" w:color="auto"/>
            </w:tcBorders>
            <w:vAlign w:val="center"/>
            <w:hideMark/>
          </w:tcPr>
          <w:p w:rsidR="00D5791C" w:rsidRPr="00595EE3" w:rsidP="00D03DD4" w14:paraId="01BD4318" w14:textId="77777777">
            <w:pPr>
              <w:jc w:val="center"/>
              <w:rPr>
                <w:rFonts w:ascii="Source Sans Pro" w:hAnsi="Source Sans Pro" w:cs="Calibri"/>
                <w:color w:val="000000"/>
                <w:sz w:val="20"/>
              </w:rPr>
            </w:pPr>
            <w:r w:rsidRPr="00595EE3">
              <w:rPr>
                <w:rFonts w:ascii="Source Sans Pro" w:hAnsi="Source Sans Pro" w:cs="Calibri"/>
                <w:color w:val="000000"/>
                <w:sz w:val="20"/>
              </w:rPr>
              <w:t>0</w:t>
            </w:r>
          </w:p>
        </w:tc>
        <w:tc>
          <w:tcPr>
            <w:tcW w:w="984" w:type="dxa"/>
            <w:tcBorders>
              <w:top w:val="nil"/>
              <w:left w:val="nil"/>
              <w:bottom w:val="single" w:sz="8" w:space="0" w:color="auto"/>
              <w:right w:val="single" w:sz="8" w:space="0" w:color="auto"/>
            </w:tcBorders>
            <w:vAlign w:val="center"/>
            <w:hideMark/>
          </w:tcPr>
          <w:p w:rsidR="00D5791C" w:rsidRPr="00595EE3" w:rsidP="00D03DD4" w14:paraId="54C39E06" w14:textId="77777777">
            <w:pPr>
              <w:jc w:val="center"/>
              <w:rPr>
                <w:rFonts w:ascii="Source Sans Pro" w:hAnsi="Source Sans Pro" w:cs="Calibri"/>
                <w:color w:val="000000"/>
                <w:sz w:val="20"/>
              </w:rPr>
            </w:pPr>
            <w:r w:rsidRPr="00595EE3">
              <w:rPr>
                <w:rFonts w:ascii="Source Sans Pro" w:hAnsi="Source Sans Pro" w:cs="Calibri"/>
                <w:color w:val="000000"/>
                <w:sz w:val="20"/>
              </w:rPr>
              <w:t>0</w:t>
            </w:r>
          </w:p>
        </w:tc>
        <w:tc>
          <w:tcPr>
            <w:tcW w:w="984" w:type="dxa"/>
            <w:tcBorders>
              <w:top w:val="nil"/>
              <w:left w:val="nil"/>
              <w:bottom w:val="single" w:sz="8" w:space="0" w:color="auto"/>
              <w:right w:val="single" w:sz="8" w:space="0" w:color="auto"/>
            </w:tcBorders>
            <w:vAlign w:val="center"/>
            <w:hideMark/>
          </w:tcPr>
          <w:p w:rsidR="00D5791C" w:rsidRPr="00595EE3" w:rsidP="00D03DD4" w14:paraId="6F922FC2" w14:textId="77777777">
            <w:pPr>
              <w:jc w:val="center"/>
              <w:rPr>
                <w:rFonts w:ascii="Source Sans Pro" w:hAnsi="Source Sans Pro" w:cs="Calibri"/>
                <w:color w:val="000000"/>
                <w:sz w:val="20"/>
              </w:rPr>
            </w:pPr>
            <w:r w:rsidRPr="00595EE3">
              <w:rPr>
                <w:rFonts w:ascii="Source Sans Pro" w:hAnsi="Source Sans Pro" w:cs="Calibri"/>
                <w:color w:val="000000"/>
                <w:sz w:val="20"/>
              </w:rPr>
              <w:t>0</w:t>
            </w:r>
          </w:p>
        </w:tc>
        <w:tc>
          <w:tcPr>
            <w:tcW w:w="884" w:type="dxa"/>
            <w:tcBorders>
              <w:top w:val="nil"/>
              <w:left w:val="nil"/>
              <w:bottom w:val="single" w:sz="8" w:space="0" w:color="auto"/>
              <w:right w:val="single" w:sz="8" w:space="0" w:color="auto"/>
            </w:tcBorders>
            <w:vAlign w:val="center"/>
            <w:hideMark/>
          </w:tcPr>
          <w:p w:rsidR="00D5791C" w:rsidRPr="00595EE3" w:rsidP="00D03DD4" w14:paraId="563F25AE" w14:textId="77777777">
            <w:pPr>
              <w:jc w:val="center"/>
              <w:rPr>
                <w:rFonts w:ascii="Source Sans Pro" w:hAnsi="Source Sans Pro" w:cs="Calibri"/>
                <w:color w:val="000000"/>
                <w:sz w:val="20"/>
              </w:rPr>
            </w:pPr>
            <w:r w:rsidRPr="00595EE3">
              <w:rPr>
                <w:rFonts w:ascii="Source Sans Pro" w:hAnsi="Source Sans Pro" w:cs="Calibri"/>
                <w:color w:val="000000"/>
                <w:sz w:val="20"/>
              </w:rPr>
              <w:t>0</w:t>
            </w:r>
          </w:p>
        </w:tc>
        <w:tc>
          <w:tcPr>
            <w:tcW w:w="1444" w:type="dxa"/>
            <w:tcBorders>
              <w:top w:val="nil"/>
              <w:left w:val="nil"/>
              <w:bottom w:val="single" w:sz="8" w:space="0" w:color="auto"/>
              <w:right w:val="single" w:sz="8" w:space="0" w:color="auto"/>
            </w:tcBorders>
            <w:vAlign w:val="center"/>
          </w:tcPr>
          <w:p w:rsidR="00D5791C" w:rsidRPr="00595EE3" w:rsidP="00D03DD4" w14:paraId="4F9555F5" w14:textId="77777777">
            <w:pPr>
              <w:ind w:firstLine="200" w:firstLineChars="100"/>
              <w:jc w:val="right"/>
              <w:rPr>
                <w:rFonts w:ascii="Source Sans Pro" w:hAnsi="Source Sans Pro" w:cs="Calibri"/>
                <w:color w:val="000000"/>
                <w:sz w:val="20"/>
              </w:rPr>
            </w:pPr>
            <w:r>
              <w:rPr>
                <w:rFonts w:ascii="Source Sans Pro" w:hAnsi="Source Sans Pro" w:cs="Calibri"/>
                <w:color w:val="000000"/>
                <w:sz w:val="20"/>
              </w:rPr>
              <w:t xml:space="preserve">$198.32 </w:t>
            </w:r>
          </w:p>
        </w:tc>
      </w:tr>
      <w:tr w14:paraId="25BC4F78" w14:textId="77777777" w:rsidTr="00D03DD4">
        <w:tblPrEx>
          <w:tblW w:w="10423" w:type="dxa"/>
          <w:tblCellMar>
            <w:top w:w="15" w:type="dxa"/>
          </w:tblCellMar>
          <w:tblLook w:val="04A0"/>
        </w:tblPrEx>
        <w:trPr>
          <w:trHeight w:val="840"/>
        </w:trPr>
        <w:tc>
          <w:tcPr>
            <w:tcW w:w="2192" w:type="dxa"/>
            <w:tcBorders>
              <w:top w:val="nil"/>
              <w:left w:val="single" w:sz="8" w:space="0" w:color="auto"/>
              <w:bottom w:val="single" w:sz="8" w:space="0" w:color="auto"/>
              <w:right w:val="single" w:sz="8" w:space="0" w:color="auto"/>
            </w:tcBorders>
            <w:vAlign w:val="center"/>
            <w:hideMark/>
          </w:tcPr>
          <w:p w:rsidR="00D5791C" w:rsidRPr="00595EE3" w:rsidP="00D03DD4" w14:paraId="7F8951E3" w14:textId="77777777">
            <w:pPr>
              <w:rPr>
                <w:rFonts w:ascii="Source Sans Pro" w:hAnsi="Source Sans Pro" w:cs="Calibri"/>
                <w:color w:val="000000"/>
                <w:sz w:val="20"/>
              </w:rPr>
            </w:pPr>
            <w:r w:rsidRPr="00595EE3">
              <w:rPr>
                <w:rFonts w:ascii="Source Sans Pro" w:hAnsi="Source Sans Pro" w:cs="Calibri"/>
                <w:color w:val="000000"/>
                <w:sz w:val="20"/>
              </w:rPr>
              <w:t>6. Section 351.4(c)(3)(i) - Limit Breaches and Increases (Mandatory)</w:t>
            </w:r>
          </w:p>
        </w:tc>
        <w:tc>
          <w:tcPr>
            <w:tcW w:w="845" w:type="dxa"/>
            <w:tcBorders>
              <w:top w:val="nil"/>
              <w:left w:val="nil"/>
              <w:bottom w:val="single" w:sz="8" w:space="0" w:color="auto"/>
              <w:right w:val="single" w:sz="8" w:space="0" w:color="auto"/>
            </w:tcBorders>
            <w:vAlign w:val="center"/>
            <w:hideMark/>
          </w:tcPr>
          <w:p w:rsidR="00D5791C" w:rsidRPr="00595EE3" w:rsidP="00D03DD4" w14:paraId="521763F4" w14:textId="77777777">
            <w:pPr>
              <w:jc w:val="center"/>
              <w:rPr>
                <w:rFonts w:ascii="Source Sans Pro" w:hAnsi="Source Sans Pro" w:cs="Calibri"/>
                <w:color w:val="000000"/>
                <w:sz w:val="20"/>
              </w:rPr>
            </w:pPr>
            <w:r w:rsidRPr="00595EE3">
              <w:rPr>
                <w:rFonts w:ascii="Source Sans Pro" w:hAnsi="Source Sans Pro" w:cs="Calibri"/>
                <w:color w:val="000000"/>
                <w:sz w:val="20"/>
              </w:rPr>
              <w:t>0.00</w:t>
            </w:r>
          </w:p>
        </w:tc>
        <w:tc>
          <w:tcPr>
            <w:tcW w:w="984" w:type="dxa"/>
            <w:tcBorders>
              <w:top w:val="nil"/>
              <w:left w:val="nil"/>
              <w:bottom w:val="single" w:sz="8" w:space="0" w:color="auto"/>
              <w:right w:val="single" w:sz="8" w:space="0" w:color="auto"/>
            </w:tcBorders>
            <w:vAlign w:val="center"/>
            <w:hideMark/>
          </w:tcPr>
          <w:p w:rsidR="00D5791C" w:rsidRPr="00595EE3" w:rsidP="00D03DD4" w14:paraId="66627675" w14:textId="77777777">
            <w:pPr>
              <w:jc w:val="center"/>
              <w:rPr>
                <w:rFonts w:ascii="Source Sans Pro" w:hAnsi="Source Sans Pro" w:cs="Calibri"/>
                <w:color w:val="000000"/>
                <w:sz w:val="20"/>
              </w:rPr>
            </w:pPr>
            <w:r w:rsidRPr="00595EE3">
              <w:rPr>
                <w:rFonts w:ascii="Source Sans Pro" w:hAnsi="Source Sans Pro" w:cs="Calibri"/>
                <w:color w:val="000000"/>
                <w:sz w:val="20"/>
              </w:rPr>
              <w:t>0</w:t>
            </w:r>
          </w:p>
        </w:tc>
        <w:tc>
          <w:tcPr>
            <w:tcW w:w="984" w:type="dxa"/>
            <w:tcBorders>
              <w:top w:val="nil"/>
              <w:left w:val="nil"/>
              <w:bottom w:val="single" w:sz="8" w:space="0" w:color="auto"/>
              <w:right w:val="single" w:sz="8" w:space="0" w:color="auto"/>
            </w:tcBorders>
            <w:vAlign w:val="center"/>
            <w:hideMark/>
          </w:tcPr>
          <w:p w:rsidR="00D5791C" w:rsidRPr="00595EE3" w:rsidP="00D03DD4" w14:paraId="6A675924" w14:textId="77777777">
            <w:pPr>
              <w:jc w:val="center"/>
              <w:rPr>
                <w:rFonts w:ascii="Source Sans Pro" w:hAnsi="Source Sans Pro" w:cs="Calibri"/>
                <w:color w:val="000000"/>
                <w:sz w:val="20"/>
              </w:rPr>
            </w:pPr>
            <w:r w:rsidRPr="00595EE3">
              <w:rPr>
                <w:rFonts w:ascii="Source Sans Pro" w:hAnsi="Source Sans Pro" w:cs="Calibri"/>
                <w:color w:val="000000"/>
                <w:sz w:val="20"/>
              </w:rPr>
              <w:t>0</w:t>
            </w:r>
          </w:p>
        </w:tc>
        <w:tc>
          <w:tcPr>
            <w:tcW w:w="900" w:type="dxa"/>
            <w:tcBorders>
              <w:top w:val="nil"/>
              <w:left w:val="nil"/>
              <w:bottom w:val="single" w:sz="8" w:space="0" w:color="auto"/>
              <w:right w:val="single" w:sz="8" w:space="0" w:color="auto"/>
            </w:tcBorders>
            <w:vAlign w:val="center"/>
            <w:hideMark/>
          </w:tcPr>
          <w:p w:rsidR="00D5791C" w:rsidRPr="00595EE3" w:rsidP="00D03DD4" w14:paraId="19D3B6D6" w14:textId="77777777">
            <w:pPr>
              <w:jc w:val="center"/>
              <w:rPr>
                <w:rFonts w:ascii="Source Sans Pro" w:hAnsi="Source Sans Pro" w:cs="Calibri"/>
                <w:color w:val="000000"/>
                <w:sz w:val="20"/>
              </w:rPr>
            </w:pPr>
            <w:r w:rsidRPr="00595EE3">
              <w:rPr>
                <w:rFonts w:ascii="Source Sans Pro" w:hAnsi="Source Sans Pro" w:cs="Calibri"/>
                <w:color w:val="000000"/>
                <w:sz w:val="20"/>
              </w:rPr>
              <w:t>0</w:t>
            </w:r>
          </w:p>
        </w:tc>
        <w:tc>
          <w:tcPr>
            <w:tcW w:w="984" w:type="dxa"/>
            <w:tcBorders>
              <w:top w:val="nil"/>
              <w:left w:val="nil"/>
              <w:bottom w:val="single" w:sz="8" w:space="0" w:color="auto"/>
              <w:right w:val="single" w:sz="8" w:space="0" w:color="auto"/>
            </w:tcBorders>
            <w:vAlign w:val="center"/>
            <w:hideMark/>
          </w:tcPr>
          <w:p w:rsidR="00D5791C" w:rsidRPr="00595EE3" w:rsidP="00D03DD4" w14:paraId="6A19F3C6" w14:textId="77777777">
            <w:pPr>
              <w:jc w:val="center"/>
              <w:rPr>
                <w:rFonts w:ascii="Source Sans Pro" w:hAnsi="Source Sans Pro" w:cs="Calibri"/>
                <w:color w:val="000000"/>
                <w:sz w:val="20"/>
              </w:rPr>
            </w:pPr>
            <w:r w:rsidRPr="00595EE3">
              <w:rPr>
                <w:rFonts w:ascii="Source Sans Pro" w:hAnsi="Source Sans Pro" w:cs="Calibri"/>
                <w:color w:val="000000"/>
                <w:sz w:val="20"/>
              </w:rPr>
              <w:t>0</w:t>
            </w:r>
          </w:p>
        </w:tc>
        <w:tc>
          <w:tcPr>
            <w:tcW w:w="984" w:type="dxa"/>
            <w:tcBorders>
              <w:top w:val="nil"/>
              <w:left w:val="nil"/>
              <w:bottom w:val="single" w:sz="8" w:space="0" w:color="auto"/>
              <w:right w:val="single" w:sz="8" w:space="0" w:color="auto"/>
            </w:tcBorders>
            <w:vAlign w:val="center"/>
            <w:hideMark/>
          </w:tcPr>
          <w:p w:rsidR="00D5791C" w:rsidRPr="00595EE3" w:rsidP="00D03DD4" w14:paraId="00A9F070" w14:textId="77777777">
            <w:pPr>
              <w:jc w:val="center"/>
              <w:rPr>
                <w:rFonts w:ascii="Source Sans Pro" w:hAnsi="Source Sans Pro" w:cs="Calibri"/>
                <w:color w:val="000000"/>
                <w:sz w:val="20"/>
              </w:rPr>
            </w:pPr>
            <w:r w:rsidRPr="00595EE3">
              <w:rPr>
                <w:rFonts w:ascii="Source Sans Pro" w:hAnsi="Source Sans Pro" w:cs="Calibri"/>
                <w:color w:val="000000"/>
                <w:sz w:val="20"/>
              </w:rPr>
              <w:t>100</w:t>
            </w:r>
          </w:p>
        </w:tc>
        <w:tc>
          <w:tcPr>
            <w:tcW w:w="884" w:type="dxa"/>
            <w:tcBorders>
              <w:top w:val="nil"/>
              <w:left w:val="nil"/>
              <w:bottom w:val="single" w:sz="8" w:space="0" w:color="auto"/>
              <w:right w:val="single" w:sz="8" w:space="0" w:color="auto"/>
            </w:tcBorders>
            <w:vAlign w:val="center"/>
            <w:hideMark/>
          </w:tcPr>
          <w:p w:rsidR="00D5791C" w:rsidRPr="00595EE3" w:rsidP="00D03DD4" w14:paraId="1279B5AF" w14:textId="77777777">
            <w:pPr>
              <w:jc w:val="center"/>
              <w:rPr>
                <w:rFonts w:ascii="Source Sans Pro" w:hAnsi="Source Sans Pro" w:cs="Calibri"/>
                <w:color w:val="000000"/>
                <w:sz w:val="20"/>
              </w:rPr>
            </w:pPr>
            <w:r w:rsidRPr="00595EE3">
              <w:rPr>
                <w:rFonts w:ascii="Source Sans Pro" w:hAnsi="Source Sans Pro" w:cs="Calibri"/>
                <w:color w:val="000000"/>
                <w:sz w:val="20"/>
              </w:rPr>
              <w:t>0</w:t>
            </w:r>
          </w:p>
        </w:tc>
        <w:tc>
          <w:tcPr>
            <w:tcW w:w="1444" w:type="dxa"/>
            <w:tcBorders>
              <w:top w:val="nil"/>
              <w:left w:val="nil"/>
              <w:bottom w:val="single" w:sz="8" w:space="0" w:color="auto"/>
              <w:right w:val="single" w:sz="8" w:space="0" w:color="auto"/>
            </w:tcBorders>
            <w:vAlign w:val="center"/>
          </w:tcPr>
          <w:p w:rsidR="00D5791C" w:rsidRPr="00595EE3" w:rsidP="00D03DD4" w14:paraId="623BA881" w14:textId="77777777">
            <w:pPr>
              <w:ind w:firstLine="200" w:firstLineChars="100"/>
              <w:jc w:val="right"/>
              <w:rPr>
                <w:rFonts w:ascii="Source Sans Pro" w:hAnsi="Source Sans Pro" w:cs="Calibri"/>
                <w:color w:val="000000"/>
                <w:sz w:val="20"/>
              </w:rPr>
            </w:pPr>
            <w:r>
              <w:rPr>
                <w:rFonts w:ascii="Source Sans Pro" w:hAnsi="Source Sans Pro" w:cs="Calibri"/>
                <w:color w:val="000000"/>
                <w:sz w:val="20"/>
              </w:rPr>
              <w:t xml:space="preserve">$103.65 </w:t>
            </w:r>
          </w:p>
        </w:tc>
      </w:tr>
      <w:tr w14:paraId="37E55BDD" w14:textId="77777777" w:rsidTr="00D03DD4">
        <w:tblPrEx>
          <w:tblW w:w="10423" w:type="dxa"/>
          <w:tblCellMar>
            <w:top w:w="15" w:type="dxa"/>
          </w:tblCellMar>
          <w:tblLook w:val="04A0"/>
        </w:tblPrEx>
        <w:trPr>
          <w:trHeight w:val="1116"/>
        </w:trPr>
        <w:tc>
          <w:tcPr>
            <w:tcW w:w="2192" w:type="dxa"/>
            <w:tcBorders>
              <w:top w:val="nil"/>
              <w:left w:val="single" w:sz="8" w:space="0" w:color="auto"/>
              <w:bottom w:val="single" w:sz="8" w:space="0" w:color="auto"/>
              <w:right w:val="single" w:sz="8" w:space="0" w:color="auto"/>
            </w:tcBorders>
            <w:vAlign w:val="center"/>
            <w:hideMark/>
          </w:tcPr>
          <w:p w:rsidR="00D5791C" w:rsidRPr="00595EE3" w:rsidP="00D03DD4" w14:paraId="44416E48" w14:textId="77777777">
            <w:pPr>
              <w:rPr>
                <w:rFonts w:ascii="Source Sans Pro" w:hAnsi="Source Sans Pro" w:cs="Calibri"/>
                <w:color w:val="000000"/>
                <w:sz w:val="20"/>
              </w:rPr>
            </w:pPr>
            <w:r w:rsidRPr="00595EE3">
              <w:rPr>
                <w:rFonts w:ascii="Source Sans Pro" w:hAnsi="Source Sans Pro" w:cs="Calibri"/>
                <w:color w:val="000000"/>
                <w:sz w:val="20"/>
              </w:rPr>
              <w:t>7. Section 351.5(c) - Hedging Instruments Documentation (Mandatory)</w:t>
            </w:r>
          </w:p>
        </w:tc>
        <w:tc>
          <w:tcPr>
            <w:tcW w:w="845" w:type="dxa"/>
            <w:tcBorders>
              <w:top w:val="nil"/>
              <w:left w:val="nil"/>
              <w:bottom w:val="single" w:sz="8" w:space="0" w:color="auto"/>
              <w:right w:val="single" w:sz="8" w:space="0" w:color="auto"/>
            </w:tcBorders>
            <w:vAlign w:val="center"/>
            <w:hideMark/>
          </w:tcPr>
          <w:p w:rsidR="00D5791C" w:rsidRPr="00595EE3" w:rsidP="00D03DD4" w14:paraId="1D30A922" w14:textId="77777777">
            <w:pPr>
              <w:jc w:val="center"/>
              <w:rPr>
                <w:rFonts w:ascii="Source Sans Pro" w:hAnsi="Source Sans Pro" w:cs="Calibri"/>
                <w:color w:val="000000"/>
                <w:sz w:val="20"/>
              </w:rPr>
            </w:pPr>
            <w:r w:rsidRPr="00595EE3">
              <w:rPr>
                <w:rFonts w:ascii="Source Sans Pro" w:hAnsi="Source Sans Pro" w:cs="Calibri"/>
                <w:color w:val="000000"/>
                <w:sz w:val="20"/>
              </w:rPr>
              <w:t>2.10</w:t>
            </w:r>
          </w:p>
        </w:tc>
        <w:tc>
          <w:tcPr>
            <w:tcW w:w="984" w:type="dxa"/>
            <w:tcBorders>
              <w:top w:val="nil"/>
              <w:left w:val="nil"/>
              <w:bottom w:val="single" w:sz="8" w:space="0" w:color="auto"/>
              <w:right w:val="single" w:sz="8" w:space="0" w:color="auto"/>
            </w:tcBorders>
            <w:vAlign w:val="center"/>
            <w:hideMark/>
          </w:tcPr>
          <w:p w:rsidR="00D5791C" w:rsidRPr="00595EE3" w:rsidP="00D03DD4" w14:paraId="6ED5432F" w14:textId="77777777">
            <w:pPr>
              <w:jc w:val="center"/>
              <w:rPr>
                <w:rFonts w:ascii="Source Sans Pro" w:hAnsi="Source Sans Pro" w:cs="Calibri"/>
                <w:color w:val="000000"/>
                <w:sz w:val="20"/>
              </w:rPr>
            </w:pPr>
            <w:r w:rsidRPr="00595EE3">
              <w:rPr>
                <w:rFonts w:ascii="Source Sans Pro" w:hAnsi="Source Sans Pro" w:cs="Calibri"/>
                <w:color w:val="000000"/>
                <w:sz w:val="20"/>
              </w:rPr>
              <w:t>0</w:t>
            </w:r>
          </w:p>
        </w:tc>
        <w:tc>
          <w:tcPr>
            <w:tcW w:w="984" w:type="dxa"/>
            <w:tcBorders>
              <w:top w:val="nil"/>
              <w:left w:val="nil"/>
              <w:bottom w:val="single" w:sz="8" w:space="0" w:color="auto"/>
              <w:right w:val="single" w:sz="8" w:space="0" w:color="auto"/>
            </w:tcBorders>
            <w:vAlign w:val="center"/>
            <w:hideMark/>
          </w:tcPr>
          <w:p w:rsidR="00D5791C" w:rsidRPr="00595EE3" w:rsidP="00D03DD4" w14:paraId="067F4702" w14:textId="77777777">
            <w:pPr>
              <w:jc w:val="center"/>
              <w:rPr>
                <w:rFonts w:ascii="Source Sans Pro" w:hAnsi="Source Sans Pro" w:cs="Calibri"/>
                <w:color w:val="000000"/>
                <w:sz w:val="20"/>
              </w:rPr>
            </w:pPr>
            <w:r w:rsidRPr="00595EE3">
              <w:rPr>
                <w:rFonts w:ascii="Source Sans Pro" w:hAnsi="Source Sans Pro" w:cs="Calibri"/>
                <w:color w:val="000000"/>
                <w:sz w:val="20"/>
              </w:rPr>
              <w:t>0</w:t>
            </w:r>
          </w:p>
        </w:tc>
        <w:tc>
          <w:tcPr>
            <w:tcW w:w="900" w:type="dxa"/>
            <w:tcBorders>
              <w:top w:val="nil"/>
              <w:left w:val="nil"/>
              <w:bottom w:val="single" w:sz="8" w:space="0" w:color="auto"/>
              <w:right w:val="single" w:sz="8" w:space="0" w:color="auto"/>
            </w:tcBorders>
            <w:vAlign w:val="center"/>
            <w:hideMark/>
          </w:tcPr>
          <w:p w:rsidR="00D5791C" w:rsidRPr="00595EE3" w:rsidP="00D03DD4" w14:paraId="5BD3BE9D" w14:textId="77777777">
            <w:pPr>
              <w:jc w:val="center"/>
              <w:rPr>
                <w:rFonts w:ascii="Source Sans Pro" w:hAnsi="Source Sans Pro" w:cs="Calibri"/>
                <w:color w:val="000000"/>
                <w:sz w:val="20"/>
              </w:rPr>
            </w:pPr>
            <w:r w:rsidRPr="00595EE3">
              <w:rPr>
                <w:rFonts w:ascii="Source Sans Pro" w:hAnsi="Source Sans Pro" w:cs="Calibri"/>
                <w:color w:val="000000"/>
                <w:sz w:val="20"/>
              </w:rPr>
              <w:t>0</w:t>
            </w:r>
          </w:p>
        </w:tc>
        <w:tc>
          <w:tcPr>
            <w:tcW w:w="984" w:type="dxa"/>
            <w:tcBorders>
              <w:top w:val="nil"/>
              <w:left w:val="nil"/>
              <w:bottom w:val="single" w:sz="8" w:space="0" w:color="auto"/>
              <w:right w:val="single" w:sz="8" w:space="0" w:color="auto"/>
            </w:tcBorders>
            <w:vAlign w:val="center"/>
            <w:hideMark/>
          </w:tcPr>
          <w:p w:rsidR="00D5791C" w:rsidRPr="00595EE3" w:rsidP="00D03DD4" w14:paraId="6544714A" w14:textId="77777777">
            <w:pPr>
              <w:jc w:val="center"/>
              <w:rPr>
                <w:rFonts w:ascii="Source Sans Pro" w:hAnsi="Source Sans Pro" w:cs="Calibri"/>
                <w:color w:val="000000"/>
                <w:sz w:val="20"/>
              </w:rPr>
            </w:pPr>
            <w:r w:rsidRPr="00595EE3">
              <w:rPr>
                <w:rFonts w:ascii="Source Sans Pro" w:hAnsi="Source Sans Pro" w:cs="Calibri"/>
                <w:color w:val="000000"/>
                <w:sz w:val="20"/>
              </w:rPr>
              <w:t>0</w:t>
            </w:r>
          </w:p>
        </w:tc>
        <w:tc>
          <w:tcPr>
            <w:tcW w:w="984" w:type="dxa"/>
            <w:tcBorders>
              <w:top w:val="nil"/>
              <w:left w:val="nil"/>
              <w:bottom w:val="single" w:sz="8" w:space="0" w:color="auto"/>
              <w:right w:val="single" w:sz="8" w:space="0" w:color="auto"/>
            </w:tcBorders>
            <w:vAlign w:val="center"/>
            <w:hideMark/>
          </w:tcPr>
          <w:p w:rsidR="00D5791C" w:rsidRPr="00595EE3" w:rsidP="00D03DD4" w14:paraId="0DBAFF13" w14:textId="77777777">
            <w:pPr>
              <w:jc w:val="center"/>
              <w:rPr>
                <w:rFonts w:ascii="Source Sans Pro" w:hAnsi="Source Sans Pro" w:cs="Calibri"/>
                <w:color w:val="000000"/>
                <w:sz w:val="20"/>
              </w:rPr>
            </w:pPr>
            <w:r w:rsidRPr="00595EE3">
              <w:rPr>
                <w:rFonts w:ascii="Source Sans Pro" w:hAnsi="Source Sans Pro" w:cs="Calibri"/>
                <w:color w:val="000000"/>
                <w:sz w:val="20"/>
              </w:rPr>
              <w:t>100</w:t>
            </w:r>
          </w:p>
        </w:tc>
        <w:tc>
          <w:tcPr>
            <w:tcW w:w="884" w:type="dxa"/>
            <w:tcBorders>
              <w:top w:val="nil"/>
              <w:left w:val="nil"/>
              <w:bottom w:val="single" w:sz="8" w:space="0" w:color="auto"/>
              <w:right w:val="single" w:sz="8" w:space="0" w:color="auto"/>
            </w:tcBorders>
            <w:vAlign w:val="center"/>
            <w:hideMark/>
          </w:tcPr>
          <w:p w:rsidR="00D5791C" w:rsidRPr="00595EE3" w:rsidP="00D03DD4" w14:paraId="59D8318D" w14:textId="77777777">
            <w:pPr>
              <w:jc w:val="center"/>
              <w:rPr>
                <w:rFonts w:ascii="Source Sans Pro" w:hAnsi="Source Sans Pro" w:cs="Calibri"/>
                <w:color w:val="000000"/>
                <w:sz w:val="20"/>
              </w:rPr>
            </w:pPr>
            <w:r w:rsidRPr="00595EE3">
              <w:rPr>
                <w:rFonts w:ascii="Source Sans Pro" w:hAnsi="Source Sans Pro" w:cs="Calibri"/>
                <w:color w:val="000000"/>
                <w:sz w:val="20"/>
              </w:rPr>
              <w:t>0</w:t>
            </w:r>
          </w:p>
        </w:tc>
        <w:tc>
          <w:tcPr>
            <w:tcW w:w="1444" w:type="dxa"/>
            <w:tcBorders>
              <w:top w:val="nil"/>
              <w:left w:val="nil"/>
              <w:bottom w:val="single" w:sz="8" w:space="0" w:color="auto"/>
              <w:right w:val="single" w:sz="8" w:space="0" w:color="auto"/>
            </w:tcBorders>
            <w:vAlign w:val="center"/>
          </w:tcPr>
          <w:p w:rsidR="00D5791C" w:rsidRPr="00595EE3" w:rsidP="00D03DD4" w14:paraId="55F1CA29" w14:textId="77777777">
            <w:pPr>
              <w:ind w:firstLine="200" w:firstLineChars="100"/>
              <w:jc w:val="right"/>
              <w:rPr>
                <w:rFonts w:ascii="Source Sans Pro" w:hAnsi="Source Sans Pro" w:cs="Calibri"/>
                <w:color w:val="000000"/>
                <w:sz w:val="20"/>
              </w:rPr>
            </w:pPr>
            <w:r>
              <w:rPr>
                <w:rFonts w:ascii="Source Sans Pro" w:hAnsi="Source Sans Pro" w:cs="Calibri"/>
                <w:color w:val="000000"/>
                <w:sz w:val="20"/>
              </w:rPr>
              <w:t xml:space="preserve">$103.65 </w:t>
            </w:r>
          </w:p>
        </w:tc>
      </w:tr>
      <w:tr w14:paraId="6AC1A9EA" w14:textId="77777777" w:rsidTr="00D03DD4">
        <w:tblPrEx>
          <w:tblW w:w="10423" w:type="dxa"/>
          <w:tblCellMar>
            <w:top w:w="15" w:type="dxa"/>
          </w:tblCellMar>
          <w:tblLook w:val="04A0"/>
        </w:tblPrEx>
        <w:trPr>
          <w:trHeight w:val="1116"/>
        </w:trPr>
        <w:tc>
          <w:tcPr>
            <w:tcW w:w="2192" w:type="dxa"/>
            <w:tcBorders>
              <w:top w:val="nil"/>
              <w:left w:val="single" w:sz="8" w:space="0" w:color="auto"/>
              <w:bottom w:val="single" w:sz="8" w:space="0" w:color="auto"/>
              <w:right w:val="single" w:sz="8" w:space="0" w:color="auto"/>
            </w:tcBorders>
            <w:vAlign w:val="center"/>
            <w:hideMark/>
          </w:tcPr>
          <w:p w:rsidR="00D5791C" w:rsidRPr="00595EE3" w:rsidP="00D03DD4" w14:paraId="7502065F" w14:textId="77777777">
            <w:pPr>
              <w:rPr>
                <w:rFonts w:ascii="Source Sans Pro" w:hAnsi="Source Sans Pro" w:cs="Calibri"/>
                <w:color w:val="000000"/>
                <w:sz w:val="20"/>
              </w:rPr>
            </w:pPr>
            <w:r w:rsidRPr="00595EE3">
              <w:rPr>
                <w:rFonts w:ascii="Source Sans Pro" w:hAnsi="Source Sans Pro" w:cs="Calibri"/>
                <w:color w:val="000000"/>
                <w:sz w:val="20"/>
              </w:rPr>
              <w:t>8. Section 351.10(c)(18)(ii)(C)(1) - Customer facilitation vehicles (Mandatory)</w:t>
            </w:r>
          </w:p>
        </w:tc>
        <w:tc>
          <w:tcPr>
            <w:tcW w:w="845" w:type="dxa"/>
            <w:tcBorders>
              <w:top w:val="nil"/>
              <w:left w:val="nil"/>
              <w:bottom w:val="single" w:sz="8" w:space="0" w:color="auto"/>
              <w:right w:val="single" w:sz="8" w:space="0" w:color="auto"/>
            </w:tcBorders>
            <w:vAlign w:val="center"/>
            <w:hideMark/>
          </w:tcPr>
          <w:p w:rsidR="00D5791C" w:rsidRPr="00595EE3" w:rsidP="00D03DD4" w14:paraId="69BB6996" w14:textId="77777777">
            <w:pPr>
              <w:jc w:val="center"/>
              <w:rPr>
                <w:rFonts w:ascii="Source Sans Pro" w:hAnsi="Source Sans Pro" w:cs="Calibri"/>
                <w:color w:val="000000"/>
                <w:sz w:val="20"/>
              </w:rPr>
            </w:pPr>
            <w:r w:rsidRPr="00595EE3">
              <w:rPr>
                <w:rFonts w:ascii="Source Sans Pro" w:hAnsi="Source Sans Pro" w:cs="Calibri"/>
                <w:color w:val="000000"/>
                <w:sz w:val="20"/>
              </w:rPr>
              <w:t>0.26</w:t>
            </w:r>
          </w:p>
        </w:tc>
        <w:tc>
          <w:tcPr>
            <w:tcW w:w="984" w:type="dxa"/>
            <w:tcBorders>
              <w:top w:val="nil"/>
              <w:left w:val="nil"/>
              <w:bottom w:val="single" w:sz="8" w:space="0" w:color="auto"/>
              <w:right w:val="single" w:sz="8" w:space="0" w:color="auto"/>
            </w:tcBorders>
            <w:vAlign w:val="center"/>
            <w:hideMark/>
          </w:tcPr>
          <w:p w:rsidR="00D5791C" w:rsidRPr="00595EE3" w:rsidP="00D03DD4" w14:paraId="55CEA217" w14:textId="77777777">
            <w:pPr>
              <w:jc w:val="center"/>
              <w:rPr>
                <w:rFonts w:ascii="Source Sans Pro" w:hAnsi="Source Sans Pro" w:cs="Calibri"/>
                <w:color w:val="000000"/>
                <w:sz w:val="20"/>
              </w:rPr>
            </w:pPr>
            <w:r w:rsidRPr="00595EE3">
              <w:rPr>
                <w:rFonts w:ascii="Source Sans Pro" w:hAnsi="Source Sans Pro" w:cs="Calibri"/>
                <w:color w:val="000000"/>
                <w:sz w:val="20"/>
              </w:rPr>
              <w:t>0</w:t>
            </w:r>
          </w:p>
        </w:tc>
        <w:tc>
          <w:tcPr>
            <w:tcW w:w="984" w:type="dxa"/>
            <w:tcBorders>
              <w:top w:val="nil"/>
              <w:left w:val="nil"/>
              <w:bottom w:val="single" w:sz="8" w:space="0" w:color="auto"/>
              <w:right w:val="single" w:sz="8" w:space="0" w:color="auto"/>
            </w:tcBorders>
            <w:vAlign w:val="center"/>
            <w:hideMark/>
          </w:tcPr>
          <w:p w:rsidR="00D5791C" w:rsidRPr="00595EE3" w:rsidP="00D03DD4" w14:paraId="732D3D32" w14:textId="77777777">
            <w:pPr>
              <w:jc w:val="center"/>
              <w:rPr>
                <w:rFonts w:ascii="Source Sans Pro" w:hAnsi="Source Sans Pro" w:cs="Calibri"/>
                <w:color w:val="000000"/>
                <w:sz w:val="20"/>
              </w:rPr>
            </w:pPr>
            <w:r w:rsidRPr="00595EE3">
              <w:rPr>
                <w:rFonts w:ascii="Source Sans Pro" w:hAnsi="Source Sans Pro" w:cs="Calibri"/>
                <w:color w:val="000000"/>
                <w:sz w:val="20"/>
              </w:rPr>
              <w:t>50</w:t>
            </w:r>
          </w:p>
        </w:tc>
        <w:tc>
          <w:tcPr>
            <w:tcW w:w="900" w:type="dxa"/>
            <w:tcBorders>
              <w:top w:val="nil"/>
              <w:left w:val="nil"/>
              <w:bottom w:val="single" w:sz="8" w:space="0" w:color="auto"/>
              <w:right w:val="single" w:sz="8" w:space="0" w:color="auto"/>
            </w:tcBorders>
            <w:vAlign w:val="center"/>
            <w:hideMark/>
          </w:tcPr>
          <w:p w:rsidR="00D5791C" w:rsidRPr="00595EE3" w:rsidP="00D03DD4" w14:paraId="29919622" w14:textId="77777777">
            <w:pPr>
              <w:jc w:val="center"/>
              <w:rPr>
                <w:rFonts w:ascii="Source Sans Pro" w:hAnsi="Source Sans Pro" w:cs="Calibri"/>
                <w:color w:val="000000"/>
                <w:sz w:val="20"/>
              </w:rPr>
            </w:pPr>
            <w:r w:rsidRPr="00595EE3">
              <w:rPr>
                <w:rFonts w:ascii="Source Sans Pro" w:hAnsi="Source Sans Pro" w:cs="Calibri"/>
                <w:color w:val="000000"/>
                <w:sz w:val="20"/>
              </w:rPr>
              <w:t>0</w:t>
            </w:r>
          </w:p>
        </w:tc>
        <w:tc>
          <w:tcPr>
            <w:tcW w:w="984" w:type="dxa"/>
            <w:tcBorders>
              <w:top w:val="nil"/>
              <w:left w:val="nil"/>
              <w:bottom w:val="single" w:sz="8" w:space="0" w:color="auto"/>
              <w:right w:val="single" w:sz="8" w:space="0" w:color="auto"/>
            </w:tcBorders>
            <w:vAlign w:val="center"/>
            <w:hideMark/>
          </w:tcPr>
          <w:p w:rsidR="00D5791C" w:rsidRPr="00595EE3" w:rsidP="00D03DD4" w14:paraId="513970A4" w14:textId="77777777">
            <w:pPr>
              <w:jc w:val="center"/>
              <w:rPr>
                <w:rFonts w:ascii="Source Sans Pro" w:hAnsi="Source Sans Pro" w:cs="Calibri"/>
                <w:color w:val="000000"/>
                <w:sz w:val="20"/>
              </w:rPr>
            </w:pPr>
            <w:r w:rsidRPr="00595EE3">
              <w:rPr>
                <w:rFonts w:ascii="Source Sans Pro" w:hAnsi="Source Sans Pro" w:cs="Calibri"/>
                <w:color w:val="000000"/>
                <w:sz w:val="20"/>
              </w:rPr>
              <w:t>0</w:t>
            </w:r>
          </w:p>
        </w:tc>
        <w:tc>
          <w:tcPr>
            <w:tcW w:w="984" w:type="dxa"/>
            <w:tcBorders>
              <w:top w:val="nil"/>
              <w:left w:val="nil"/>
              <w:bottom w:val="single" w:sz="8" w:space="0" w:color="auto"/>
              <w:right w:val="single" w:sz="8" w:space="0" w:color="auto"/>
            </w:tcBorders>
            <w:vAlign w:val="center"/>
            <w:hideMark/>
          </w:tcPr>
          <w:p w:rsidR="00D5791C" w:rsidRPr="00595EE3" w:rsidP="00D03DD4" w14:paraId="23A318B3" w14:textId="77777777">
            <w:pPr>
              <w:jc w:val="center"/>
              <w:rPr>
                <w:rFonts w:ascii="Source Sans Pro" w:hAnsi="Source Sans Pro" w:cs="Calibri"/>
                <w:color w:val="000000"/>
                <w:sz w:val="20"/>
              </w:rPr>
            </w:pPr>
            <w:r w:rsidRPr="00595EE3">
              <w:rPr>
                <w:rFonts w:ascii="Source Sans Pro" w:hAnsi="Source Sans Pro" w:cs="Calibri"/>
                <w:color w:val="000000"/>
                <w:sz w:val="20"/>
              </w:rPr>
              <w:t>50</w:t>
            </w:r>
          </w:p>
        </w:tc>
        <w:tc>
          <w:tcPr>
            <w:tcW w:w="884" w:type="dxa"/>
            <w:tcBorders>
              <w:top w:val="nil"/>
              <w:left w:val="nil"/>
              <w:bottom w:val="single" w:sz="8" w:space="0" w:color="auto"/>
              <w:right w:val="single" w:sz="8" w:space="0" w:color="auto"/>
            </w:tcBorders>
            <w:vAlign w:val="center"/>
            <w:hideMark/>
          </w:tcPr>
          <w:p w:rsidR="00D5791C" w:rsidRPr="00595EE3" w:rsidP="00D03DD4" w14:paraId="42F74BB1" w14:textId="77777777">
            <w:pPr>
              <w:jc w:val="center"/>
              <w:rPr>
                <w:rFonts w:ascii="Source Sans Pro" w:hAnsi="Source Sans Pro" w:cs="Calibri"/>
                <w:color w:val="000000"/>
                <w:sz w:val="20"/>
              </w:rPr>
            </w:pPr>
            <w:r w:rsidRPr="00595EE3">
              <w:rPr>
                <w:rFonts w:ascii="Source Sans Pro" w:hAnsi="Source Sans Pro" w:cs="Calibri"/>
                <w:color w:val="000000"/>
                <w:sz w:val="20"/>
              </w:rPr>
              <w:t>0</w:t>
            </w:r>
          </w:p>
        </w:tc>
        <w:tc>
          <w:tcPr>
            <w:tcW w:w="1444" w:type="dxa"/>
            <w:tcBorders>
              <w:top w:val="nil"/>
              <w:left w:val="nil"/>
              <w:bottom w:val="single" w:sz="8" w:space="0" w:color="auto"/>
              <w:right w:val="single" w:sz="8" w:space="0" w:color="auto"/>
            </w:tcBorders>
            <w:vAlign w:val="center"/>
          </w:tcPr>
          <w:p w:rsidR="00D5791C" w:rsidRPr="00595EE3" w:rsidP="00D03DD4" w14:paraId="241F95C7" w14:textId="77777777">
            <w:pPr>
              <w:ind w:firstLine="200" w:firstLineChars="100"/>
              <w:jc w:val="right"/>
              <w:rPr>
                <w:rFonts w:ascii="Source Sans Pro" w:hAnsi="Source Sans Pro" w:cs="Calibri"/>
                <w:color w:val="000000"/>
                <w:sz w:val="20"/>
              </w:rPr>
            </w:pPr>
            <w:r>
              <w:rPr>
                <w:rFonts w:ascii="Source Sans Pro" w:hAnsi="Source Sans Pro" w:cs="Calibri"/>
                <w:color w:val="000000"/>
                <w:sz w:val="20"/>
              </w:rPr>
              <w:t xml:space="preserve">$150.99 </w:t>
            </w:r>
          </w:p>
        </w:tc>
      </w:tr>
      <w:tr w14:paraId="02F2E57C" w14:textId="77777777" w:rsidTr="00D03DD4">
        <w:tblPrEx>
          <w:tblW w:w="10423" w:type="dxa"/>
          <w:tblCellMar>
            <w:top w:w="15" w:type="dxa"/>
          </w:tblCellMar>
          <w:tblLook w:val="04A0"/>
        </w:tblPrEx>
        <w:trPr>
          <w:trHeight w:val="1116"/>
        </w:trPr>
        <w:tc>
          <w:tcPr>
            <w:tcW w:w="2192" w:type="dxa"/>
            <w:tcBorders>
              <w:top w:val="nil"/>
              <w:left w:val="single" w:sz="8" w:space="0" w:color="auto"/>
              <w:bottom w:val="single" w:sz="8" w:space="0" w:color="auto"/>
              <w:right w:val="single" w:sz="8" w:space="0" w:color="auto"/>
            </w:tcBorders>
            <w:vAlign w:val="center"/>
            <w:hideMark/>
          </w:tcPr>
          <w:p w:rsidR="00D5791C" w:rsidRPr="00595EE3" w:rsidP="00D03DD4" w14:paraId="22A05FCF" w14:textId="77777777">
            <w:pPr>
              <w:rPr>
                <w:rFonts w:ascii="Source Sans Pro" w:hAnsi="Source Sans Pro" w:cs="Calibri"/>
                <w:color w:val="000000"/>
                <w:sz w:val="20"/>
              </w:rPr>
            </w:pPr>
            <w:r w:rsidRPr="00595EE3">
              <w:rPr>
                <w:rFonts w:ascii="Source Sans Pro" w:hAnsi="Source Sans Pro" w:cs="Calibri"/>
                <w:color w:val="000000"/>
                <w:sz w:val="20"/>
              </w:rPr>
              <w:t>9. Section 351.11(a)(2) - Documentation on advisory or related services to customers (Mandatory)</w:t>
            </w:r>
          </w:p>
        </w:tc>
        <w:tc>
          <w:tcPr>
            <w:tcW w:w="845" w:type="dxa"/>
            <w:tcBorders>
              <w:top w:val="nil"/>
              <w:left w:val="nil"/>
              <w:bottom w:val="single" w:sz="8" w:space="0" w:color="auto"/>
              <w:right w:val="single" w:sz="8" w:space="0" w:color="auto"/>
            </w:tcBorders>
            <w:vAlign w:val="center"/>
            <w:hideMark/>
          </w:tcPr>
          <w:p w:rsidR="00D5791C" w:rsidRPr="00595EE3" w:rsidP="00D03DD4" w14:paraId="7D884DF4" w14:textId="77777777">
            <w:pPr>
              <w:jc w:val="center"/>
              <w:rPr>
                <w:rFonts w:ascii="Source Sans Pro" w:hAnsi="Source Sans Pro" w:cs="Calibri"/>
                <w:color w:val="000000"/>
                <w:sz w:val="20"/>
              </w:rPr>
            </w:pPr>
            <w:r w:rsidRPr="00595EE3">
              <w:rPr>
                <w:rFonts w:ascii="Source Sans Pro" w:hAnsi="Source Sans Pro" w:cs="Calibri"/>
                <w:color w:val="000000"/>
                <w:sz w:val="20"/>
              </w:rPr>
              <w:t>0.26</w:t>
            </w:r>
          </w:p>
        </w:tc>
        <w:tc>
          <w:tcPr>
            <w:tcW w:w="984" w:type="dxa"/>
            <w:tcBorders>
              <w:top w:val="nil"/>
              <w:left w:val="nil"/>
              <w:bottom w:val="single" w:sz="8" w:space="0" w:color="auto"/>
              <w:right w:val="single" w:sz="8" w:space="0" w:color="auto"/>
            </w:tcBorders>
            <w:vAlign w:val="center"/>
            <w:hideMark/>
          </w:tcPr>
          <w:p w:rsidR="00D5791C" w:rsidRPr="00595EE3" w:rsidP="00D03DD4" w14:paraId="71238DF6" w14:textId="77777777">
            <w:pPr>
              <w:jc w:val="center"/>
              <w:rPr>
                <w:rFonts w:ascii="Source Sans Pro" w:hAnsi="Source Sans Pro" w:cs="Calibri"/>
                <w:color w:val="000000"/>
                <w:sz w:val="20"/>
              </w:rPr>
            </w:pPr>
            <w:r w:rsidRPr="00595EE3">
              <w:rPr>
                <w:rFonts w:ascii="Source Sans Pro" w:hAnsi="Source Sans Pro" w:cs="Calibri"/>
                <w:color w:val="000000"/>
                <w:sz w:val="20"/>
              </w:rPr>
              <w:t>0</w:t>
            </w:r>
          </w:p>
        </w:tc>
        <w:tc>
          <w:tcPr>
            <w:tcW w:w="984" w:type="dxa"/>
            <w:tcBorders>
              <w:top w:val="nil"/>
              <w:left w:val="nil"/>
              <w:bottom w:val="single" w:sz="8" w:space="0" w:color="auto"/>
              <w:right w:val="single" w:sz="8" w:space="0" w:color="auto"/>
            </w:tcBorders>
            <w:vAlign w:val="center"/>
            <w:hideMark/>
          </w:tcPr>
          <w:p w:rsidR="00D5791C" w:rsidRPr="00595EE3" w:rsidP="00D03DD4" w14:paraId="7C0A0E2D" w14:textId="77777777">
            <w:pPr>
              <w:jc w:val="center"/>
              <w:rPr>
                <w:rFonts w:ascii="Source Sans Pro" w:hAnsi="Source Sans Pro" w:cs="Calibri"/>
                <w:color w:val="000000"/>
                <w:sz w:val="20"/>
              </w:rPr>
            </w:pPr>
            <w:r w:rsidRPr="00595EE3">
              <w:rPr>
                <w:rFonts w:ascii="Source Sans Pro" w:hAnsi="Source Sans Pro" w:cs="Calibri"/>
                <w:color w:val="000000"/>
                <w:sz w:val="20"/>
              </w:rPr>
              <w:t>50</w:t>
            </w:r>
          </w:p>
        </w:tc>
        <w:tc>
          <w:tcPr>
            <w:tcW w:w="900" w:type="dxa"/>
            <w:tcBorders>
              <w:top w:val="nil"/>
              <w:left w:val="nil"/>
              <w:bottom w:val="single" w:sz="8" w:space="0" w:color="auto"/>
              <w:right w:val="single" w:sz="8" w:space="0" w:color="auto"/>
            </w:tcBorders>
            <w:vAlign w:val="center"/>
            <w:hideMark/>
          </w:tcPr>
          <w:p w:rsidR="00D5791C" w:rsidRPr="00595EE3" w:rsidP="00D03DD4" w14:paraId="28CEBF46" w14:textId="77777777">
            <w:pPr>
              <w:jc w:val="center"/>
              <w:rPr>
                <w:rFonts w:ascii="Source Sans Pro" w:hAnsi="Source Sans Pro" w:cs="Calibri"/>
                <w:color w:val="000000"/>
                <w:sz w:val="20"/>
              </w:rPr>
            </w:pPr>
            <w:r w:rsidRPr="00595EE3">
              <w:rPr>
                <w:rFonts w:ascii="Source Sans Pro" w:hAnsi="Source Sans Pro" w:cs="Calibri"/>
                <w:color w:val="000000"/>
                <w:sz w:val="20"/>
              </w:rPr>
              <w:t>0</w:t>
            </w:r>
          </w:p>
        </w:tc>
        <w:tc>
          <w:tcPr>
            <w:tcW w:w="984" w:type="dxa"/>
            <w:tcBorders>
              <w:top w:val="nil"/>
              <w:left w:val="nil"/>
              <w:bottom w:val="single" w:sz="8" w:space="0" w:color="auto"/>
              <w:right w:val="single" w:sz="8" w:space="0" w:color="auto"/>
            </w:tcBorders>
            <w:vAlign w:val="center"/>
            <w:hideMark/>
          </w:tcPr>
          <w:p w:rsidR="00D5791C" w:rsidRPr="00595EE3" w:rsidP="00D03DD4" w14:paraId="1E8C9BB3" w14:textId="77777777">
            <w:pPr>
              <w:jc w:val="center"/>
              <w:rPr>
                <w:rFonts w:ascii="Source Sans Pro" w:hAnsi="Source Sans Pro" w:cs="Calibri"/>
                <w:color w:val="000000"/>
                <w:sz w:val="20"/>
              </w:rPr>
            </w:pPr>
            <w:r w:rsidRPr="00595EE3">
              <w:rPr>
                <w:rFonts w:ascii="Source Sans Pro" w:hAnsi="Source Sans Pro" w:cs="Calibri"/>
                <w:color w:val="000000"/>
                <w:sz w:val="20"/>
              </w:rPr>
              <w:t>0</w:t>
            </w:r>
          </w:p>
        </w:tc>
        <w:tc>
          <w:tcPr>
            <w:tcW w:w="984" w:type="dxa"/>
            <w:tcBorders>
              <w:top w:val="nil"/>
              <w:left w:val="nil"/>
              <w:bottom w:val="single" w:sz="8" w:space="0" w:color="auto"/>
              <w:right w:val="single" w:sz="8" w:space="0" w:color="auto"/>
            </w:tcBorders>
            <w:vAlign w:val="center"/>
            <w:hideMark/>
          </w:tcPr>
          <w:p w:rsidR="00D5791C" w:rsidRPr="00595EE3" w:rsidP="00D03DD4" w14:paraId="133DEF82" w14:textId="77777777">
            <w:pPr>
              <w:jc w:val="center"/>
              <w:rPr>
                <w:rFonts w:ascii="Source Sans Pro" w:hAnsi="Source Sans Pro" w:cs="Calibri"/>
                <w:color w:val="000000"/>
                <w:sz w:val="20"/>
              </w:rPr>
            </w:pPr>
            <w:r w:rsidRPr="00595EE3">
              <w:rPr>
                <w:rFonts w:ascii="Source Sans Pro" w:hAnsi="Source Sans Pro" w:cs="Calibri"/>
                <w:color w:val="000000"/>
                <w:sz w:val="20"/>
              </w:rPr>
              <w:t>50</w:t>
            </w:r>
          </w:p>
        </w:tc>
        <w:tc>
          <w:tcPr>
            <w:tcW w:w="884" w:type="dxa"/>
            <w:tcBorders>
              <w:top w:val="nil"/>
              <w:left w:val="nil"/>
              <w:bottom w:val="single" w:sz="8" w:space="0" w:color="auto"/>
              <w:right w:val="single" w:sz="8" w:space="0" w:color="auto"/>
            </w:tcBorders>
            <w:vAlign w:val="center"/>
            <w:hideMark/>
          </w:tcPr>
          <w:p w:rsidR="00D5791C" w:rsidRPr="00595EE3" w:rsidP="00D03DD4" w14:paraId="4A19FAA9" w14:textId="77777777">
            <w:pPr>
              <w:jc w:val="center"/>
              <w:rPr>
                <w:rFonts w:ascii="Source Sans Pro" w:hAnsi="Source Sans Pro" w:cs="Calibri"/>
                <w:color w:val="000000"/>
                <w:sz w:val="20"/>
              </w:rPr>
            </w:pPr>
            <w:r w:rsidRPr="00595EE3">
              <w:rPr>
                <w:rFonts w:ascii="Source Sans Pro" w:hAnsi="Source Sans Pro" w:cs="Calibri"/>
                <w:color w:val="000000"/>
                <w:sz w:val="20"/>
              </w:rPr>
              <w:t>0</w:t>
            </w:r>
          </w:p>
        </w:tc>
        <w:tc>
          <w:tcPr>
            <w:tcW w:w="1444" w:type="dxa"/>
            <w:tcBorders>
              <w:top w:val="nil"/>
              <w:left w:val="nil"/>
              <w:bottom w:val="single" w:sz="8" w:space="0" w:color="auto"/>
              <w:right w:val="single" w:sz="8" w:space="0" w:color="auto"/>
            </w:tcBorders>
            <w:vAlign w:val="center"/>
          </w:tcPr>
          <w:p w:rsidR="00D5791C" w:rsidRPr="00595EE3" w:rsidP="00D03DD4" w14:paraId="61B1F438" w14:textId="77777777">
            <w:pPr>
              <w:ind w:firstLine="200" w:firstLineChars="100"/>
              <w:jc w:val="right"/>
              <w:rPr>
                <w:rFonts w:ascii="Source Sans Pro" w:hAnsi="Source Sans Pro" w:cs="Calibri"/>
                <w:color w:val="000000"/>
                <w:sz w:val="20"/>
              </w:rPr>
            </w:pPr>
            <w:r>
              <w:rPr>
                <w:rFonts w:ascii="Source Sans Pro" w:hAnsi="Source Sans Pro" w:cs="Calibri"/>
                <w:color w:val="000000"/>
                <w:sz w:val="20"/>
              </w:rPr>
              <w:t xml:space="preserve">$150.99 </w:t>
            </w:r>
          </w:p>
        </w:tc>
      </w:tr>
      <w:tr w14:paraId="447C58C7" w14:textId="77777777" w:rsidTr="00D03DD4">
        <w:tblPrEx>
          <w:tblW w:w="10423" w:type="dxa"/>
          <w:tblCellMar>
            <w:top w:w="15" w:type="dxa"/>
          </w:tblCellMar>
          <w:tblLook w:val="04A0"/>
        </w:tblPrEx>
        <w:trPr>
          <w:trHeight w:val="1392"/>
        </w:trPr>
        <w:tc>
          <w:tcPr>
            <w:tcW w:w="2192" w:type="dxa"/>
            <w:tcBorders>
              <w:top w:val="nil"/>
              <w:left w:val="single" w:sz="8" w:space="0" w:color="auto"/>
              <w:bottom w:val="single" w:sz="8" w:space="0" w:color="auto"/>
              <w:right w:val="single" w:sz="8" w:space="0" w:color="auto"/>
            </w:tcBorders>
            <w:vAlign w:val="center"/>
            <w:hideMark/>
          </w:tcPr>
          <w:p w:rsidR="00D5791C" w:rsidRPr="00595EE3" w:rsidP="00D03DD4" w14:paraId="3B5A710E" w14:textId="77777777">
            <w:pPr>
              <w:rPr>
                <w:rFonts w:ascii="Source Sans Pro" w:hAnsi="Source Sans Pro" w:cs="Calibri"/>
                <w:color w:val="000000"/>
                <w:sz w:val="20"/>
              </w:rPr>
            </w:pPr>
            <w:r w:rsidRPr="00595EE3">
              <w:rPr>
                <w:rFonts w:ascii="Source Sans Pro" w:hAnsi="Source Sans Pro" w:cs="Calibri"/>
                <w:color w:val="000000"/>
                <w:sz w:val="20"/>
              </w:rPr>
              <w:t>10. Section 351.20(b) - Compliance Program for Covered Banks with Significant Trading Assets &amp; Liabilities (Mandatory)</w:t>
            </w:r>
          </w:p>
        </w:tc>
        <w:tc>
          <w:tcPr>
            <w:tcW w:w="845" w:type="dxa"/>
            <w:tcBorders>
              <w:top w:val="nil"/>
              <w:left w:val="nil"/>
              <w:bottom w:val="single" w:sz="8" w:space="0" w:color="auto"/>
              <w:right w:val="single" w:sz="8" w:space="0" w:color="auto"/>
            </w:tcBorders>
            <w:vAlign w:val="center"/>
            <w:hideMark/>
          </w:tcPr>
          <w:p w:rsidR="00D5791C" w:rsidRPr="00595EE3" w:rsidP="00D03DD4" w14:paraId="17B009F8" w14:textId="77777777">
            <w:pPr>
              <w:jc w:val="center"/>
              <w:rPr>
                <w:rFonts w:ascii="Source Sans Pro" w:hAnsi="Source Sans Pro" w:cs="Calibri"/>
                <w:color w:val="000000"/>
                <w:sz w:val="20"/>
              </w:rPr>
            </w:pPr>
            <w:r w:rsidRPr="00595EE3">
              <w:rPr>
                <w:rFonts w:ascii="Source Sans Pro" w:hAnsi="Source Sans Pro" w:cs="Calibri"/>
                <w:color w:val="000000"/>
                <w:sz w:val="20"/>
              </w:rPr>
              <w:t>20.84</w:t>
            </w:r>
          </w:p>
        </w:tc>
        <w:tc>
          <w:tcPr>
            <w:tcW w:w="984" w:type="dxa"/>
            <w:tcBorders>
              <w:top w:val="nil"/>
              <w:left w:val="nil"/>
              <w:bottom w:val="single" w:sz="8" w:space="0" w:color="auto"/>
              <w:right w:val="single" w:sz="8" w:space="0" w:color="auto"/>
            </w:tcBorders>
            <w:vAlign w:val="center"/>
            <w:hideMark/>
          </w:tcPr>
          <w:p w:rsidR="00D5791C" w:rsidRPr="00595EE3" w:rsidP="00D03DD4" w14:paraId="577B3E71" w14:textId="77777777">
            <w:pPr>
              <w:jc w:val="center"/>
              <w:rPr>
                <w:rFonts w:ascii="Source Sans Pro" w:hAnsi="Source Sans Pro" w:cs="Calibri"/>
                <w:color w:val="000000"/>
                <w:sz w:val="20"/>
              </w:rPr>
            </w:pPr>
            <w:r w:rsidRPr="00595EE3">
              <w:rPr>
                <w:rFonts w:ascii="Source Sans Pro" w:hAnsi="Source Sans Pro" w:cs="Calibri"/>
                <w:color w:val="000000"/>
                <w:sz w:val="20"/>
              </w:rPr>
              <w:t>0</w:t>
            </w:r>
          </w:p>
        </w:tc>
        <w:tc>
          <w:tcPr>
            <w:tcW w:w="984" w:type="dxa"/>
            <w:tcBorders>
              <w:top w:val="nil"/>
              <w:left w:val="nil"/>
              <w:bottom w:val="single" w:sz="8" w:space="0" w:color="auto"/>
              <w:right w:val="single" w:sz="8" w:space="0" w:color="auto"/>
            </w:tcBorders>
            <w:vAlign w:val="center"/>
            <w:hideMark/>
          </w:tcPr>
          <w:p w:rsidR="00D5791C" w:rsidRPr="00595EE3" w:rsidP="00D03DD4" w14:paraId="2E175C9A" w14:textId="77777777">
            <w:pPr>
              <w:jc w:val="center"/>
              <w:rPr>
                <w:rFonts w:ascii="Source Sans Pro" w:hAnsi="Source Sans Pro" w:cs="Calibri"/>
                <w:color w:val="000000"/>
                <w:sz w:val="20"/>
              </w:rPr>
            </w:pPr>
            <w:r w:rsidRPr="00595EE3">
              <w:rPr>
                <w:rFonts w:ascii="Source Sans Pro" w:hAnsi="Source Sans Pro" w:cs="Calibri"/>
                <w:color w:val="000000"/>
                <w:sz w:val="20"/>
              </w:rPr>
              <w:t>50</w:t>
            </w:r>
          </w:p>
        </w:tc>
        <w:tc>
          <w:tcPr>
            <w:tcW w:w="900" w:type="dxa"/>
            <w:tcBorders>
              <w:top w:val="nil"/>
              <w:left w:val="nil"/>
              <w:bottom w:val="single" w:sz="8" w:space="0" w:color="auto"/>
              <w:right w:val="single" w:sz="8" w:space="0" w:color="auto"/>
            </w:tcBorders>
            <w:vAlign w:val="center"/>
            <w:hideMark/>
          </w:tcPr>
          <w:p w:rsidR="00D5791C" w:rsidRPr="00595EE3" w:rsidP="00D03DD4" w14:paraId="51485AD5" w14:textId="77777777">
            <w:pPr>
              <w:jc w:val="center"/>
              <w:rPr>
                <w:rFonts w:ascii="Source Sans Pro" w:hAnsi="Source Sans Pro" w:cs="Calibri"/>
                <w:color w:val="000000"/>
                <w:sz w:val="20"/>
              </w:rPr>
            </w:pPr>
            <w:r w:rsidRPr="00595EE3">
              <w:rPr>
                <w:rFonts w:ascii="Source Sans Pro" w:hAnsi="Source Sans Pro" w:cs="Calibri"/>
                <w:color w:val="000000"/>
                <w:sz w:val="20"/>
              </w:rPr>
              <w:t>0</w:t>
            </w:r>
          </w:p>
        </w:tc>
        <w:tc>
          <w:tcPr>
            <w:tcW w:w="984" w:type="dxa"/>
            <w:tcBorders>
              <w:top w:val="nil"/>
              <w:left w:val="nil"/>
              <w:bottom w:val="single" w:sz="8" w:space="0" w:color="auto"/>
              <w:right w:val="single" w:sz="8" w:space="0" w:color="auto"/>
            </w:tcBorders>
            <w:vAlign w:val="center"/>
            <w:hideMark/>
          </w:tcPr>
          <w:p w:rsidR="00D5791C" w:rsidRPr="00595EE3" w:rsidP="00D03DD4" w14:paraId="5FD183E1" w14:textId="77777777">
            <w:pPr>
              <w:jc w:val="center"/>
              <w:rPr>
                <w:rFonts w:ascii="Source Sans Pro" w:hAnsi="Source Sans Pro" w:cs="Calibri"/>
                <w:color w:val="000000"/>
                <w:sz w:val="20"/>
              </w:rPr>
            </w:pPr>
            <w:r w:rsidRPr="00595EE3">
              <w:rPr>
                <w:rFonts w:ascii="Source Sans Pro" w:hAnsi="Source Sans Pro" w:cs="Calibri"/>
                <w:color w:val="000000"/>
                <w:sz w:val="20"/>
              </w:rPr>
              <w:t>0</w:t>
            </w:r>
          </w:p>
        </w:tc>
        <w:tc>
          <w:tcPr>
            <w:tcW w:w="984" w:type="dxa"/>
            <w:tcBorders>
              <w:top w:val="nil"/>
              <w:left w:val="nil"/>
              <w:bottom w:val="single" w:sz="8" w:space="0" w:color="auto"/>
              <w:right w:val="single" w:sz="8" w:space="0" w:color="auto"/>
            </w:tcBorders>
            <w:vAlign w:val="center"/>
            <w:hideMark/>
          </w:tcPr>
          <w:p w:rsidR="00D5791C" w:rsidRPr="00595EE3" w:rsidP="00D03DD4" w14:paraId="03BD3B2A" w14:textId="77777777">
            <w:pPr>
              <w:jc w:val="center"/>
              <w:rPr>
                <w:rFonts w:ascii="Source Sans Pro" w:hAnsi="Source Sans Pro" w:cs="Calibri"/>
                <w:color w:val="000000"/>
                <w:sz w:val="20"/>
              </w:rPr>
            </w:pPr>
            <w:r w:rsidRPr="00595EE3">
              <w:rPr>
                <w:rFonts w:ascii="Source Sans Pro" w:hAnsi="Source Sans Pro" w:cs="Calibri"/>
                <w:color w:val="000000"/>
                <w:sz w:val="20"/>
              </w:rPr>
              <w:t>50</w:t>
            </w:r>
          </w:p>
        </w:tc>
        <w:tc>
          <w:tcPr>
            <w:tcW w:w="884" w:type="dxa"/>
            <w:tcBorders>
              <w:top w:val="nil"/>
              <w:left w:val="nil"/>
              <w:bottom w:val="single" w:sz="8" w:space="0" w:color="auto"/>
              <w:right w:val="single" w:sz="8" w:space="0" w:color="auto"/>
            </w:tcBorders>
            <w:vAlign w:val="center"/>
            <w:hideMark/>
          </w:tcPr>
          <w:p w:rsidR="00D5791C" w:rsidRPr="00595EE3" w:rsidP="00D03DD4" w14:paraId="0D93675E" w14:textId="77777777">
            <w:pPr>
              <w:jc w:val="center"/>
              <w:rPr>
                <w:rFonts w:ascii="Source Sans Pro" w:hAnsi="Source Sans Pro" w:cs="Calibri"/>
                <w:color w:val="000000"/>
                <w:sz w:val="20"/>
              </w:rPr>
            </w:pPr>
            <w:r w:rsidRPr="00595EE3">
              <w:rPr>
                <w:rFonts w:ascii="Source Sans Pro" w:hAnsi="Source Sans Pro" w:cs="Calibri"/>
                <w:color w:val="000000"/>
                <w:sz w:val="20"/>
              </w:rPr>
              <w:t>0</w:t>
            </w:r>
          </w:p>
        </w:tc>
        <w:tc>
          <w:tcPr>
            <w:tcW w:w="1444" w:type="dxa"/>
            <w:tcBorders>
              <w:top w:val="nil"/>
              <w:left w:val="nil"/>
              <w:bottom w:val="single" w:sz="8" w:space="0" w:color="auto"/>
              <w:right w:val="single" w:sz="8" w:space="0" w:color="auto"/>
            </w:tcBorders>
            <w:vAlign w:val="center"/>
          </w:tcPr>
          <w:p w:rsidR="00D5791C" w:rsidRPr="00595EE3" w:rsidP="00D03DD4" w14:paraId="6AF141F6" w14:textId="77777777">
            <w:pPr>
              <w:ind w:firstLine="200" w:firstLineChars="100"/>
              <w:jc w:val="right"/>
              <w:rPr>
                <w:rFonts w:ascii="Source Sans Pro" w:hAnsi="Source Sans Pro" w:cs="Calibri"/>
                <w:color w:val="000000"/>
                <w:sz w:val="20"/>
              </w:rPr>
            </w:pPr>
            <w:r>
              <w:rPr>
                <w:rFonts w:ascii="Source Sans Pro" w:hAnsi="Source Sans Pro" w:cs="Calibri"/>
                <w:color w:val="000000"/>
                <w:sz w:val="20"/>
              </w:rPr>
              <w:t xml:space="preserve">$150.99 </w:t>
            </w:r>
          </w:p>
        </w:tc>
      </w:tr>
      <w:tr w14:paraId="583038AF" w14:textId="77777777" w:rsidTr="00D03DD4">
        <w:tblPrEx>
          <w:tblW w:w="10423" w:type="dxa"/>
          <w:tblCellMar>
            <w:top w:w="15" w:type="dxa"/>
          </w:tblCellMar>
          <w:tblLook w:val="04A0"/>
        </w:tblPrEx>
        <w:trPr>
          <w:trHeight w:val="1392"/>
        </w:trPr>
        <w:tc>
          <w:tcPr>
            <w:tcW w:w="2192" w:type="dxa"/>
            <w:tcBorders>
              <w:top w:val="nil"/>
              <w:left w:val="single" w:sz="8" w:space="0" w:color="auto"/>
              <w:bottom w:val="single" w:sz="8" w:space="0" w:color="auto"/>
              <w:right w:val="single" w:sz="8" w:space="0" w:color="auto"/>
            </w:tcBorders>
            <w:vAlign w:val="center"/>
            <w:hideMark/>
          </w:tcPr>
          <w:p w:rsidR="00D5791C" w:rsidRPr="00595EE3" w:rsidP="00D03DD4" w14:paraId="71669F09" w14:textId="77777777">
            <w:pPr>
              <w:rPr>
                <w:rFonts w:ascii="Source Sans Pro" w:hAnsi="Source Sans Pro" w:cs="Calibri"/>
                <w:color w:val="000000"/>
                <w:sz w:val="20"/>
              </w:rPr>
            </w:pPr>
            <w:r w:rsidRPr="00595EE3">
              <w:rPr>
                <w:rFonts w:ascii="Source Sans Pro" w:hAnsi="Source Sans Pro" w:cs="Calibri"/>
                <w:color w:val="000000"/>
                <w:sz w:val="20"/>
              </w:rPr>
              <w:t>11. Section 351.20(c) - CEO attestation for Covered Banks with Significant Trading Assets &amp; Liabilities (Mandatory)</w:t>
            </w:r>
          </w:p>
        </w:tc>
        <w:tc>
          <w:tcPr>
            <w:tcW w:w="845" w:type="dxa"/>
            <w:tcBorders>
              <w:top w:val="nil"/>
              <w:left w:val="nil"/>
              <w:bottom w:val="single" w:sz="8" w:space="0" w:color="auto"/>
              <w:right w:val="single" w:sz="8" w:space="0" w:color="auto"/>
            </w:tcBorders>
            <w:vAlign w:val="center"/>
            <w:hideMark/>
          </w:tcPr>
          <w:p w:rsidR="00D5791C" w:rsidRPr="00595EE3" w:rsidP="00D03DD4" w14:paraId="08F006D2" w14:textId="77777777">
            <w:pPr>
              <w:jc w:val="center"/>
              <w:rPr>
                <w:rFonts w:ascii="Source Sans Pro" w:hAnsi="Source Sans Pro" w:cs="Calibri"/>
                <w:color w:val="000000"/>
                <w:sz w:val="20"/>
              </w:rPr>
            </w:pPr>
            <w:r w:rsidRPr="00595EE3">
              <w:rPr>
                <w:rFonts w:ascii="Source Sans Pro" w:hAnsi="Source Sans Pro" w:cs="Calibri"/>
                <w:color w:val="000000"/>
                <w:sz w:val="20"/>
              </w:rPr>
              <w:t>7.86</w:t>
            </w:r>
          </w:p>
        </w:tc>
        <w:tc>
          <w:tcPr>
            <w:tcW w:w="984" w:type="dxa"/>
            <w:tcBorders>
              <w:top w:val="nil"/>
              <w:left w:val="nil"/>
              <w:bottom w:val="single" w:sz="8" w:space="0" w:color="auto"/>
              <w:right w:val="single" w:sz="8" w:space="0" w:color="auto"/>
            </w:tcBorders>
            <w:vAlign w:val="center"/>
            <w:hideMark/>
          </w:tcPr>
          <w:p w:rsidR="00D5791C" w:rsidRPr="00595EE3" w:rsidP="00D03DD4" w14:paraId="7B426527" w14:textId="77777777">
            <w:pPr>
              <w:jc w:val="center"/>
              <w:rPr>
                <w:rFonts w:ascii="Source Sans Pro" w:hAnsi="Source Sans Pro" w:cs="Calibri"/>
                <w:color w:val="000000"/>
                <w:sz w:val="20"/>
              </w:rPr>
            </w:pPr>
            <w:r w:rsidRPr="00595EE3">
              <w:rPr>
                <w:rFonts w:ascii="Source Sans Pro" w:hAnsi="Source Sans Pro" w:cs="Calibri"/>
                <w:color w:val="000000"/>
                <w:sz w:val="20"/>
              </w:rPr>
              <w:t>100</w:t>
            </w:r>
          </w:p>
        </w:tc>
        <w:tc>
          <w:tcPr>
            <w:tcW w:w="984" w:type="dxa"/>
            <w:tcBorders>
              <w:top w:val="nil"/>
              <w:left w:val="nil"/>
              <w:bottom w:val="single" w:sz="8" w:space="0" w:color="auto"/>
              <w:right w:val="single" w:sz="8" w:space="0" w:color="auto"/>
            </w:tcBorders>
            <w:vAlign w:val="center"/>
            <w:hideMark/>
          </w:tcPr>
          <w:p w:rsidR="00D5791C" w:rsidRPr="00595EE3" w:rsidP="00D03DD4" w14:paraId="3D2F7238" w14:textId="77777777">
            <w:pPr>
              <w:jc w:val="center"/>
              <w:rPr>
                <w:rFonts w:ascii="Source Sans Pro" w:hAnsi="Source Sans Pro" w:cs="Calibri"/>
                <w:color w:val="000000"/>
                <w:sz w:val="20"/>
              </w:rPr>
            </w:pPr>
            <w:r w:rsidRPr="00595EE3">
              <w:rPr>
                <w:rFonts w:ascii="Source Sans Pro" w:hAnsi="Source Sans Pro" w:cs="Calibri"/>
                <w:color w:val="000000"/>
                <w:sz w:val="20"/>
              </w:rPr>
              <w:t>0</w:t>
            </w:r>
          </w:p>
        </w:tc>
        <w:tc>
          <w:tcPr>
            <w:tcW w:w="900" w:type="dxa"/>
            <w:tcBorders>
              <w:top w:val="nil"/>
              <w:left w:val="nil"/>
              <w:bottom w:val="single" w:sz="8" w:space="0" w:color="auto"/>
              <w:right w:val="single" w:sz="8" w:space="0" w:color="auto"/>
            </w:tcBorders>
            <w:vAlign w:val="center"/>
            <w:hideMark/>
          </w:tcPr>
          <w:p w:rsidR="00D5791C" w:rsidRPr="00595EE3" w:rsidP="00D03DD4" w14:paraId="603D9B4B" w14:textId="77777777">
            <w:pPr>
              <w:jc w:val="center"/>
              <w:rPr>
                <w:rFonts w:ascii="Source Sans Pro" w:hAnsi="Source Sans Pro" w:cs="Calibri"/>
                <w:color w:val="000000"/>
                <w:sz w:val="20"/>
              </w:rPr>
            </w:pPr>
            <w:r w:rsidRPr="00595EE3">
              <w:rPr>
                <w:rFonts w:ascii="Source Sans Pro" w:hAnsi="Source Sans Pro" w:cs="Calibri"/>
                <w:color w:val="000000"/>
                <w:sz w:val="20"/>
              </w:rPr>
              <w:t>0</w:t>
            </w:r>
          </w:p>
        </w:tc>
        <w:tc>
          <w:tcPr>
            <w:tcW w:w="984" w:type="dxa"/>
            <w:tcBorders>
              <w:top w:val="nil"/>
              <w:left w:val="nil"/>
              <w:bottom w:val="single" w:sz="8" w:space="0" w:color="auto"/>
              <w:right w:val="single" w:sz="8" w:space="0" w:color="auto"/>
            </w:tcBorders>
            <w:vAlign w:val="center"/>
            <w:hideMark/>
          </w:tcPr>
          <w:p w:rsidR="00D5791C" w:rsidRPr="00595EE3" w:rsidP="00D03DD4" w14:paraId="367B7AFE" w14:textId="77777777">
            <w:pPr>
              <w:jc w:val="center"/>
              <w:rPr>
                <w:rFonts w:ascii="Source Sans Pro" w:hAnsi="Source Sans Pro" w:cs="Calibri"/>
                <w:color w:val="000000"/>
                <w:sz w:val="20"/>
              </w:rPr>
            </w:pPr>
            <w:r w:rsidRPr="00595EE3">
              <w:rPr>
                <w:rFonts w:ascii="Source Sans Pro" w:hAnsi="Source Sans Pro" w:cs="Calibri"/>
                <w:color w:val="000000"/>
                <w:sz w:val="20"/>
              </w:rPr>
              <w:t>0</w:t>
            </w:r>
          </w:p>
        </w:tc>
        <w:tc>
          <w:tcPr>
            <w:tcW w:w="984" w:type="dxa"/>
            <w:tcBorders>
              <w:top w:val="nil"/>
              <w:left w:val="nil"/>
              <w:bottom w:val="single" w:sz="8" w:space="0" w:color="auto"/>
              <w:right w:val="single" w:sz="8" w:space="0" w:color="auto"/>
            </w:tcBorders>
            <w:vAlign w:val="center"/>
            <w:hideMark/>
          </w:tcPr>
          <w:p w:rsidR="00D5791C" w:rsidRPr="00595EE3" w:rsidP="00D03DD4" w14:paraId="3A2A2795" w14:textId="77777777">
            <w:pPr>
              <w:jc w:val="center"/>
              <w:rPr>
                <w:rFonts w:ascii="Source Sans Pro" w:hAnsi="Source Sans Pro" w:cs="Calibri"/>
                <w:color w:val="000000"/>
                <w:sz w:val="20"/>
              </w:rPr>
            </w:pPr>
            <w:r w:rsidRPr="00595EE3">
              <w:rPr>
                <w:rFonts w:ascii="Source Sans Pro" w:hAnsi="Source Sans Pro" w:cs="Calibri"/>
                <w:color w:val="000000"/>
                <w:sz w:val="20"/>
              </w:rPr>
              <w:t>0</w:t>
            </w:r>
          </w:p>
        </w:tc>
        <w:tc>
          <w:tcPr>
            <w:tcW w:w="884" w:type="dxa"/>
            <w:tcBorders>
              <w:top w:val="nil"/>
              <w:left w:val="nil"/>
              <w:bottom w:val="single" w:sz="8" w:space="0" w:color="auto"/>
              <w:right w:val="single" w:sz="8" w:space="0" w:color="auto"/>
            </w:tcBorders>
            <w:vAlign w:val="center"/>
            <w:hideMark/>
          </w:tcPr>
          <w:p w:rsidR="00D5791C" w:rsidRPr="00595EE3" w:rsidP="00D03DD4" w14:paraId="7E3D59A4" w14:textId="77777777">
            <w:pPr>
              <w:jc w:val="center"/>
              <w:rPr>
                <w:rFonts w:ascii="Source Sans Pro" w:hAnsi="Source Sans Pro" w:cs="Calibri"/>
                <w:color w:val="000000"/>
                <w:sz w:val="20"/>
              </w:rPr>
            </w:pPr>
            <w:r w:rsidRPr="00595EE3">
              <w:rPr>
                <w:rFonts w:ascii="Source Sans Pro" w:hAnsi="Source Sans Pro" w:cs="Calibri"/>
                <w:color w:val="000000"/>
                <w:sz w:val="20"/>
              </w:rPr>
              <w:t>0</w:t>
            </w:r>
          </w:p>
        </w:tc>
        <w:tc>
          <w:tcPr>
            <w:tcW w:w="1444" w:type="dxa"/>
            <w:tcBorders>
              <w:top w:val="nil"/>
              <w:left w:val="nil"/>
              <w:bottom w:val="single" w:sz="8" w:space="0" w:color="auto"/>
              <w:right w:val="single" w:sz="8" w:space="0" w:color="auto"/>
            </w:tcBorders>
            <w:vAlign w:val="center"/>
          </w:tcPr>
          <w:p w:rsidR="00D5791C" w:rsidRPr="00595EE3" w:rsidP="00D03DD4" w14:paraId="12A4D29B" w14:textId="77777777">
            <w:pPr>
              <w:ind w:firstLine="200" w:firstLineChars="100"/>
              <w:jc w:val="right"/>
              <w:rPr>
                <w:rFonts w:ascii="Source Sans Pro" w:hAnsi="Source Sans Pro" w:cs="Calibri"/>
                <w:color w:val="000000"/>
                <w:sz w:val="20"/>
              </w:rPr>
            </w:pPr>
            <w:r>
              <w:rPr>
                <w:rFonts w:ascii="Source Sans Pro" w:hAnsi="Source Sans Pro" w:cs="Calibri"/>
                <w:color w:val="000000"/>
                <w:sz w:val="20"/>
              </w:rPr>
              <w:t xml:space="preserve">$165.42 </w:t>
            </w:r>
          </w:p>
        </w:tc>
      </w:tr>
      <w:tr w14:paraId="721E2380" w14:textId="77777777" w:rsidTr="00D03DD4">
        <w:tblPrEx>
          <w:tblW w:w="10423" w:type="dxa"/>
          <w:tblCellMar>
            <w:top w:w="15" w:type="dxa"/>
          </w:tblCellMar>
          <w:tblLook w:val="04A0"/>
        </w:tblPrEx>
        <w:trPr>
          <w:trHeight w:val="1668"/>
        </w:trPr>
        <w:tc>
          <w:tcPr>
            <w:tcW w:w="2192" w:type="dxa"/>
            <w:tcBorders>
              <w:top w:val="nil"/>
              <w:left w:val="single" w:sz="8" w:space="0" w:color="auto"/>
              <w:bottom w:val="single" w:sz="8" w:space="0" w:color="auto"/>
              <w:right w:val="single" w:sz="8" w:space="0" w:color="auto"/>
            </w:tcBorders>
            <w:vAlign w:val="center"/>
            <w:hideMark/>
          </w:tcPr>
          <w:p w:rsidR="00D5791C" w:rsidRPr="00595EE3" w:rsidP="00D03DD4" w14:paraId="4CFB6A24" w14:textId="77777777">
            <w:pPr>
              <w:rPr>
                <w:rFonts w:ascii="Source Sans Pro" w:hAnsi="Source Sans Pro" w:cs="Calibri"/>
                <w:color w:val="000000"/>
                <w:sz w:val="20"/>
              </w:rPr>
            </w:pPr>
            <w:r w:rsidRPr="00595EE3">
              <w:rPr>
                <w:rFonts w:ascii="Source Sans Pro" w:hAnsi="Source Sans Pro" w:cs="Calibri"/>
                <w:color w:val="000000"/>
                <w:sz w:val="20"/>
              </w:rPr>
              <w:t>12</w:t>
            </w:r>
            <w:r w:rsidRPr="00595EE3">
              <w:rPr>
                <w:rFonts w:ascii="Source Sans Pro" w:hAnsi="Source Sans Pro" w:cs="Calibri"/>
                <w:color w:val="000000"/>
                <w:sz w:val="20"/>
              </w:rPr>
              <w:t>.  Section</w:t>
            </w:r>
            <w:r w:rsidRPr="00595EE3">
              <w:rPr>
                <w:rFonts w:ascii="Source Sans Pro" w:hAnsi="Source Sans Pro" w:cs="Calibri"/>
                <w:color w:val="000000"/>
                <w:sz w:val="20"/>
              </w:rPr>
              <w:t xml:space="preserve"> 351.20(d) - Requirements under Appendix A for Covered Banks with Significant Trading Assets &amp; Liabilities (Mandatory)</w:t>
            </w:r>
          </w:p>
        </w:tc>
        <w:tc>
          <w:tcPr>
            <w:tcW w:w="845" w:type="dxa"/>
            <w:tcBorders>
              <w:top w:val="nil"/>
              <w:left w:val="nil"/>
              <w:bottom w:val="single" w:sz="8" w:space="0" w:color="auto"/>
              <w:right w:val="single" w:sz="8" w:space="0" w:color="auto"/>
            </w:tcBorders>
            <w:vAlign w:val="center"/>
            <w:hideMark/>
          </w:tcPr>
          <w:p w:rsidR="00D5791C" w:rsidRPr="00595EE3" w:rsidP="00D03DD4" w14:paraId="6423B560" w14:textId="77777777">
            <w:pPr>
              <w:jc w:val="center"/>
              <w:rPr>
                <w:rFonts w:ascii="Source Sans Pro" w:hAnsi="Source Sans Pro" w:cs="Calibri"/>
                <w:color w:val="000000"/>
                <w:sz w:val="20"/>
              </w:rPr>
            </w:pPr>
            <w:r w:rsidRPr="00595EE3">
              <w:rPr>
                <w:rFonts w:ascii="Source Sans Pro" w:hAnsi="Source Sans Pro" w:cs="Calibri"/>
                <w:color w:val="000000"/>
                <w:sz w:val="20"/>
              </w:rPr>
              <w:t>0.26</w:t>
            </w:r>
          </w:p>
        </w:tc>
        <w:tc>
          <w:tcPr>
            <w:tcW w:w="984" w:type="dxa"/>
            <w:tcBorders>
              <w:top w:val="nil"/>
              <w:left w:val="nil"/>
              <w:bottom w:val="single" w:sz="8" w:space="0" w:color="auto"/>
              <w:right w:val="single" w:sz="8" w:space="0" w:color="auto"/>
            </w:tcBorders>
            <w:vAlign w:val="center"/>
            <w:hideMark/>
          </w:tcPr>
          <w:p w:rsidR="00D5791C" w:rsidRPr="00595EE3" w:rsidP="00D03DD4" w14:paraId="48F21CF5" w14:textId="77777777">
            <w:pPr>
              <w:jc w:val="center"/>
              <w:rPr>
                <w:rFonts w:ascii="Source Sans Pro" w:hAnsi="Source Sans Pro" w:cs="Calibri"/>
                <w:color w:val="000000"/>
                <w:sz w:val="20"/>
              </w:rPr>
            </w:pPr>
            <w:r w:rsidRPr="00595EE3">
              <w:rPr>
                <w:rFonts w:ascii="Source Sans Pro" w:hAnsi="Source Sans Pro" w:cs="Calibri"/>
                <w:color w:val="000000"/>
                <w:sz w:val="20"/>
              </w:rPr>
              <w:t>0</w:t>
            </w:r>
          </w:p>
        </w:tc>
        <w:tc>
          <w:tcPr>
            <w:tcW w:w="984" w:type="dxa"/>
            <w:tcBorders>
              <w:top w:val="nil"/>
              <w:left w:val="nil"/>
              <w:bottom w:val="single" w:sz="8" w:space="0" w:color="auto"/>
              <w:right w:val="single" w:sz="8" w:space="0" w:color="auto"/>
            </w:tcBorders>
            <w:vAlign w:val="center"/>
            <w:hideMark/>
          </w:tcPr>
          <w:p w:rsidR="00D5791C" w:rsidRPr="00595EE3" w:rsidP="00D03DD4" w14:paraId="0B4DD13A" w14:textId="77777777">
            <w:pPr>
              <w:jc w:val="center"/>
              <w:rPr>
                <w:rFonts w:ascii="Source Sans Pro" w:hAnsi="Source Sans Pro" w:cs="Calibri"/>
                <w:color w:val="000000"/>
                <w:sz w:val="20"/>
              </w:rPr>
            </w:pPr>
            <w:r w:rsidRPr="00595EE3">
              <w:rPr>
                <w:rFonts w:ascii="Source Sans Pro" w:hAnsi="Source Sans Pro" w:cs="Calibri"/>
                <w:color w:val="000000"/>
                <w:sz w:val="20"/>
              </w:rPr>
              <w:t>50</w:t>
            </w:r>
          </w:p>
        </w:tc>
        <w:tc>
          <w:tcPr>
            <w:tcW w:w="900" w:type="dxa"/>
            <w:tcBorders>
              <w:top w:val="nil"/>
              <w:left w:val="nil"/>
              <w:bottom w:val="single" w:sz="8" w:space="0" w:color="auto"/>
              <w:right w:val="single" w:sz="8" w:space="0" w:color="auto"/>
            </w:tcBorders>
            <w:vAlign w:val="center"/>
            <w:hideMark/>
          </w:tcPr>
          <w:p w:rsidR="00D5791C" w:rsidRPr="00595EE3" w:rsidP="00D03DD4" w14:paraId="436058F7" w14:textId="77777777">
            <w:pPr>
              <w:jc w:val="center"/>
              <w:rPr>
                <w:rFonts w:ascii="Source Sans Pro" w:hAnsi="Source Sans Pro" w:cs="Calibri"/>
                <w:color w:val="000000"/>
                <w:sz w:val="20"/>
              </w:rPr>
            </w:pPr>
            <w:r w:rsidRPr="00595EE3">
              <w:rPr>
                <w:rFonts w:ascii="Source Sans Pro" w:hAnsi="Source Sans Pro" w:cs="Calibri"/>
                <w:color w:val="000000"/>
                <w:sz w:val="20"/>
              </w:rPr>
              <w:t>0</w:t>
            </w:r>
          </w:p>
        </w:tc>
        <w:tc>
          <w:tcPr>
            <w:tcW w:w="984" w:type="dxa"/>
            <w:tcBorders>
              <w:top w:val="nil"/>
              <w:left w:val="nil"/>
              <w:bottom w:val="single" w:sz="8" w:space="0" w:color="auto"/>
              <w:right w:val="single" w:sz="8" w:space="0" w:color="auto"/>
            </w:tcBorders>
            <w:vAlign w:val="center"/>
            <w:hideMark/>
          </w:tcPr>
          <w:p w:rsidR="00D5791C" w:rsidRPr="00595EE3" w:rsidP="00D03DD4" w14:paraId="6241CCBA" w14:textId="77777777">
            <w:pPr>
              <w:jc w:val="center"/>
              <w:rPr>
                <w:rFonts w:ascii="Source Sans Pro" w:hAnsi="Source Sans Pro" w:cs="Calibri"/>
                <w:color w:val="000000"/>
                <w:sz w:val="20"/>
              </w:rPr>
            </w:pPr>
            <w:r w:rsidRPr="00595EE3">
              <w:rPr>
                <w:rFonts w:ascii="Source Sans Pro" w:hAnsi="Source Sans Pro" w:cs="Calibri"/>
                <w:color w:val="000000"/>
                <w:sz w:val="20"/>
              </w:rPr>
              <w:t>0</w:t>
            </w:r>
          </w:p>
        </w:tc>
        <w:tc>
          <w:tcPr>
            <w:tcW w:w="984" w:type="dxa"/>
            <w:tcBorders>
              <w:top w:val="nil"/>
              <w:left w:val="nil"/>
              <w:bottom w:val="single" w:sz="8" w:space="0" w:color="auto"/>
              <w:right w:val="single" w:sz="8" w:space="0" w:color="auto"/>
            </w:tcBorders>
            <w:vAlign w:val="center"/>
            <w:hideMark/>
          </w:tcPr>
          <w:p w:rsidR="00D5791C" w:rsidRPr="00595EE3" w:rsidP="00D03DD4" w14:paraId="1157E2F9" w14:textId="77777777">
            <w:pPr>
              <w:jc w:val="center"/>
              <w:rPr>
                <w:rFonts w:ascii="Source Sans Pro" w:hAnsi="Source Sans Pro" w:cs="Calibri"/>
                <w:color w:val="000000"/>
                <w:sz w:val="20"/>
              </w:rPr>
            </w:pPr>
            <w:r w:rsidRPr="00595EE3">
              <w:rPr>
                <w:rFonts w:ascii="Source Sans Pro" w:hAnsi="Source Sans Pro" w:cs="Calibri"/>
                <w:color w:val="000000"/>
                <w:sz w:val="20"/>
              </w:rPr>
              <w:t>50</w:t>
            </w:r>
          </w:p>
        </w:tc>
        <w:tc>
          <w:tcPr>
            <w:tcW w:w="884" w:type="dxa"/>
            <w:tcBorders>
              <w:top w:val="nil"/>
              <w:left w:val="nil"/>
              <w:bottom w:val="single" w:sz="8" w:space="0" w:color="auto"/>
              <w:right w:val="single" w:sz="8" w:space="0" w:color="auto"/>
            </w:tcBorders>
            <w:vAlign w:val="center"/>
            <w:hideMark/>
          </w:tcPr>
          <w:p w:rsidR="00D5791C" w:rsidRPr="00595EE3" w:rsidP="00D03DD4" w14:paraId="73AB3768" w14:textId="77777777">
            <w:pPr>
              <w:jc w:val="center"/>
              <w:rPr>
                <w:rFonts w:ascii="Source Sans Pro" w:hAnsi="Source Sans Pro" w:cs="Calibri"/>
                <w:color w:val="000000"/>
                <w:sz w:val="20"/>
              </w:rPr>
            </w:pPr>
            <w:r w:rsidRPr="00595EE3">
              <w:rPr>
                <w:rFonts w:ascii="Source Sans Pro" w:hAnsi="Source Sans Pro" w:cs="Calibri"/>
                <w:color w:val="000000"/>
                <w:sz w:val="20"/>
              </w:rPr>
              <w:t>0</w:t>
            </w:r>
          </w:p>
        </w:tc>
        <w:tc>
          <w:tcPr>
            <w:tcW w:w="1444" w:type="dxa"/>
            <w:tcBorders>
              <w:top w:val="nil"/>
              <w:left w:val="nil"/>
              <w:bottom w:val="single" w:sz="8" w:space="0" w:color="auto"/>
              <w:right w:val="single" w:sz="8" w:space="0" w:color="auto"/>
            </w:tcBorders>
            <w:vAlign w:val="center"/>
          </w:tcPr>
          <w:p w:rsidR="00D5791C" w:rsidRPr="00595EE3" w:rsidP="00D03DD4" w14:paraId="0A797F87" w14:textId="77777777">
            <w:pPr>
              <w:ind w:firstLine="200" w:firstLineChars="100"/>
              <w:jc w:val="right"/>
              <w:rPr>
                <w:rFonts w:ascii="Source Sans Pro" w:hAnsi="Source Sans Pro" w:cs="Calibri"/>
                <w:color w:val="000000"/>
                <w:sz w:val="20"/>
              </w:rPr>
            </w:pPr>
            <w:r>
              <w:rPr>
                <w:rFonts w:ascii="Source Sans Pro" w:hAnsi="Source Sans Pro" w:cs="Calibri"/>
                <w:color w:val="000000"/>
                <w:sz w:val="20"/>
              </w:rPr>
              <w:t xml:space="preserve">$150.99 </w:t>
            </w:r>
          </w:p>
        </w:tc>
      </w:tr>
      <w:tr w14:paraId="2071D654" w14:textId="77777777" w:rsidTr="00D03DD4">
        <w:tblPrEx>
          <w:tblW w:w="10423" w:type="dxa"/>
          <w:tblCellMar>
            <w:top w:w="15" w:type="dxa"/>
          </w:tblCellMar>
          <w:tblLook w:val="04A0"/>
        </w:tblPrEx>
        <w:trPr>
          <w:trHeight w:val="1668"/>
        </w:trPr>
        <w:tc>
          <w:tcPr>
            <w:tcW w:w="2192" w:type="dxa"/>
            <w:tcBorders>
              <w:top w:val="nil"/>
              <w:left w:val="single" w:sz="8" w:space="0" w:color="auto"/>
              <w:bottom w:val="single" w:sz="8" w:space="0" w:color="auto"/>
              <w:right w:val="single" w:sz="8" w:space="0" w:color="auto"/>
            </w:tcBorders>
            <w:vAlign w:val="center"/>
            <w:hideMark/>
          </w:tcPr>
          <w:p w:rsidR="00D5791C" w:rsidRPr="00595EE3" w:rsidP="00D03DD4" w14:paraId="0944CDF4" w14:textId="77777777">
            <w:pPr>
              <w:rPr>
                <w:rFonts w:ascii="Source Sans Pro" w:hAnsi="Source Sans Pro" w:cs="Calibri"/>
                <w:color w:val="000000"/>
                <w:sz w:val="20"/>
              </w:rPr>
            </w:pPr>
            <w:r w:rsidRPr="00595EE3">
              <w:rPr>
                <w:rFonts w:ascii="Source Sans Pro" w:hAnsi="Source Sans Pro" w:cs="Calibri"/>
                <w:color w:val="000000"/>
                <w:sz w:val="20"/>
              </w:rPr>
              <w:t>13. Section 351.20(e) - Additional documentation for covered funds for Covered Banks with Significant Trading Assets &amp; Liabilities (Mandatory)</w:t>
            </w:r>
          </w:p>
        </w:tc>
        <w:tc>
          <w:tcPr>
            <w:tcW w:w="845" w:type="dxa"/>
            <w:tcBorders>
              <w:top w:val="nil"/>
              <w:left w:val="nil"/>
              <w:bottom w:val="single" w:sz="8" w:space="0" w:color="auto"/>
              <w:right w:val="single" w:sz="8" w:space="0" w:color="auto"/>
            </w:tcBorders>
            <w:vAlign w:val="center"/>
            <w:hideMark/>
          </w:tcPr>
          <w:p w:rsidR="00D5791C" w:rsidRPr="00595EE3" w:rsidP="00D03DD4" w14:paraId="2F9DC536" w14:textId="77777777">
            <w:pPr>
              <w:jc w:val="center"/>
              <w:rPr>
                <w:rFonts w:ascii="Source Sans Pro" w:hAnsi="Source Sans Pro" w:cs="Calibri"/>
                <w:color w:val="000000"/>
                <w:sz w:val="20"/>
              </w:rPr>
            </w:pPr>
            <w:r w:rsidRPr="00595EE3">
              <w:rPr>
                <w:rFonts w:ascii="Source Sans Pro" w:hAnsi="Source Sans Pro" w:cs="Calibri"/>
                <w:color w:val="000000"/>
                <w:sz w:val="20"/>
              </w:rPr>
              <w:t>5.24</w:t>
            </w:r>
          </w:p>
        </w:tc>
        <w:tc>
          <w:tcPr>
            <w:tcW w:w="984" w:type="dxa"/>
            <w:tcBorders>
              <w:top w:val="nil"/>
              <w:left w:val="nil"/>
              <w:bottom w:val="single" w:sz="8" w:space="0" w:color="auto"/>
              <w:right w:val="single" w:sz="8" w:space="0" w:color="auto"/>
            </w:tcBorders>
            <w:vAlign w:val="center"/>
            <w:hideMark/>
          </w:tcPr>
          <w:p w:rsidR="00D5791C" w:rsidRPr="00595EE3" w:rsidP="00D03DD4" w14:paraId="52A36B9A" w14:textId="77777777">
            <w:pPr>
              <w:jc w:val="center"/>
              <w:rPr>
                <w:rFonts w:ascii="Source Sans Pro" w:hAnsi="Source Sans Pro" w:cs="Calibri"/>
                <w:color w:val="000000"/>
                <w:sz w:val="20"/>
              </w:rPr>
            </w:pPr>
            <w:r w:rsidRPr="00595EE3">
              <w:rPr>
                <w:rFonts w:ascii="Source Sans Pro" w:hAnsi="Source Sans Pro" w:cs="Calibri"/>
                <w:color w:val="000000"/>
                <w:sz w:val="20"/>
              </w:rPr>
              <w:t>0</w:t>
            </w:r>
          </w:p>
        </w:tc>
        <w:tc>
          <w:tcPr>
            <w:tcW w:w="984" w:type="dxa"/>
            <w:tcBorders>
              <w:top w:val="nil"/>
              <w:left w:val="nil"/>
              <w:bottom w:val="single" w:sz="8" w:space="0" w:color="auto"/>
              <w:right w:val="single" w:sz="8" w:space="0" w:color="auto"/>
            </w:tcBorders>
            <w:vAlign w:val="center"/>
            <w:hideMark/>
          </w:tcPr>
          <w:p w:rsidR="00D5791C" w:rsidRPr="00595EE3" w:rsidP="00D03DD4" w14:paraId="6263DB9E" w14:textId="77777777">
            <w:pPr>
              <w:jc w:val="center"/>
              <w:rPr>
                <w:rFonts w:ascii="Source Sans Pro" w:hAnsi="Source Sans Pro" w:cs="Calibri"/>
                <w:color w:val="000000"/>
                <w:sz w:val="20"/>
              </w:rPr>
            </w:pPr>
            <w:r w:rsidRPr="00595EE3">
              <w:rPr>
                <w:rFonts w:ascii="Source Sans Pro" w:hAnsi="Source Sans Pro" w:cs="Calibri"/>
                <w:color w:val="000000"/>
                <w:sz w:val="20"/>
              </w:rPr>
              <w:t>80</w:t>
            </w:r>
          </w:p>
        </w:tc>
        <w:tc>
          <w:tcPr>
            <w:tcW w:w="900" w:type="dxa"/>
            <w:tcBorders>
              <w:top w:val="nil"/>
              <w:left w:val="nil"/>
              <w:bottom w:val="single" w:sz="8" w:space="0" w:color="auto"/>
              <w:right w:val="single" w:sz="8" w:space="0" w:color="auto"/>
            </w:tcBorders>
            <w:vAlign w:val="center"/>
            <w:hideMark/>
          </w:tcPr>
          <w:p w:rsidR="00D5791C" w:rsidRPr="00595EE3" w:rsidP="00D03DD4" w14:paraId="2BED3316" w14:textId="77777777">
            <w:pPr>
              <w:jc w:val="center"/>
              <w:rPr>
                <w:rFonts w:ascii="Source Sans Pro" w:hAnsi="Source Sans Pro" w:cs="Calibri"/>
                <w:color w:val="000000"/>
                <w:sz w:val="20"/>
              </w:rPr>
            </w:pPr>
            <w:r w:rsidRPr="00595EE3">
              <w:rPr>
                <w:rFonts w:ascii="Source Sans Pro" w:hAnsi="Source Sans Pro" w:cs="Calibri"/>
                <w:color w:val="000000"/>
                <w:sz w:val="20"/>
              </w:rPr>
              <w:t>0</w:t>
            </w:r>
          </w:p>
        </w:tc>
        <w:tc>
          <w:tcPr>
            <w:tcW w:w="984" w:type="dxa"/>
            <w:tcBorders>
              <w:top w:val="nil"/>
              <w:left w:val="nil"/>
              <w:bottom w:val="single" w:sz="8" w:space="0" w:color="auto"/>
              <w:right w:val="single" w:sz="8" w:space="0" w:color="auto"/>
            </w:tcBorders>
            <w:vAlign w:val="center"/>
            <w:hideMark/>
          </w:tcPr>
          <w:p w:rsidR="00D5791C" w:rsidRPr="00595EE3" w:rsidP="00D03DD4" w14:paraId="45CDA20B" w14:textId="77777777">
            <w:pPr>
              <w:jc w:val="center"/>
              <w:rPr>
                <w:rFonts w:ascii="Source Sans Pro" w:hAnsi="Source Sans Pro" w:cs="Calibri"/>
                <w:color w:val="000000"/>
                <w:sz w:val="20"/>
              </w:rPr>
            </w:pPr>
            <w:r w:rsidRPr="00595EE3">
              <w:rPr>
                <w:rFonts w:ascii="Source Sans Pro" w:hAnsi="Source Sans Pro" w:cs="Calibri"/>
                <w:color w:val="000000"/>
                <w:sz w:val="20"/>
              </w:rPr>
              <w:t>0</w:t>
            </w:r>
          </w:p>
        </w:tc>
        <w:tc>
          <w:tcPr>
            <w:tcW w:w="984" w:type="dxa"/>
            <w:tcBorders>
              <w:top w:val="nil"/>
              <w:left w:val="nil"/>
              <w:bottom w:val="single" w:sz="8" w:space="0" w:color="auto"/>
              <w:right w:val="single" w:sz="8" w:space="0" w:color="auto"/>
            </w:tcBorders>
            <w:vAlign w:val="center"/>
            <w:hideMark/>
          </w:tcPr>
          <w:p w:rsidR="00D5791C" w:rsidRPr="00595EE3" w:rsidP="00D03DD4" w14:paraId="7CCE4BAC" w14:textId="77777777">
            <w:pPr>
              <w:jc w:val="center"/>
              <w:rPr>
                <w:rFonts w:ascii="Source Sans Pro" w:hAnsi="Source Sans Pro" w:cs="Calibri"/>
                <w:color w:val="000000"/>
                <w:sz w:val="20"/>
              </w:rPr>
            </w:pPr>
            <w:r w:rsidRPr="00595EE3">
              <w:rPr>
                <w:rFonts w:ascii="Source Sans Pro" w:hAnsi="Source Sans Pro" w:cs="Calibri"/>
                <w:color w:val="000000"/>
                <w:sz w:val="20"/>
              </w:rPr>
              <w:t>20</w:t>
            </w:r>
          </w:p>
        </w:tc>
        <w:tc>
          <w:tcPr>
            <w:tcW w:w="884" w:type="dxa"/>
            <w:tcBorders>
              <w:top w:val="nil"/>
              <w:left w:val="nil"/>
              <w:bottom w:val="single" w:sz="8" w:space="0" w:color="auto"/>
              <w:right w:val="single" w:sz="8" w:space="0" w:color="auto"/>
            </w:tcBorders>
            <w:vAlign w:val="center"/>
            <w:hideMark/>
          </w:tcPr>
          <w:p w:rsidR="00D5791C" w:rsidRPr="00595EE3" w:rsidP="00D03DD4" w14:paraId="1139F0DC" w14:textId="77777777">
            <w:pPr>
              <w:jc w:val="center"/>
              <w:rPr>
                <w:rFonts w:ascii="Source Sans Pro" w:hAnsi="Source Sans Pro" w:cs="Calibri"/>
                <w:color w:val="000000"/>
                <w:sz w:val="20"/>
              </w:rPr>
            </w:pPr>
            <w:r w:rsidRPr="00595EE3">
              <w:rPr>
                <w:rFonts w:ascii="Source Sans Pro" w:hAnsi="Source Sans Pro" w:cs="Calibri"/>
                <w:color w:val="000000"/>
                <w:sz w:val="20"/>
              </w:rPr>
              <w:t>0</w:t>
            </w:r>
          </w:p>
        </w:tc>
        <w:tc>
          <w:tcPr>
            <w:tcW w:w="1444" w:type="dxa"/>
            <w:tcBorders>
              <w:top w:val="nil"/>
              <w:left w:val="nil"/>
              <w:bottom w:val="single" w:sz="8" w:space="0" w:color="auto"/>
              <w:right w:val="single" w:sz="8" w:space="0" w:color="auto"/>
            </w:tcBorders>
            <w:vAlign w:val="center"/>
          </w:tcPr>
          <w:p w:rsidR="00D5791C" w:rsidRPr="00595EE3" w:rsidP="00D03DD4" w14:paraId="76D9E6A2" w14:textId="77777777">
            <w:pPr>
              <w:ind w:firstLine="200" w:firstLineChars="100"/>
              <w:jc w:val="right"/>
              <w:rPr>
                <w:rFonts w:ascii="Source Sans Pro" w:hAnsi="Source Sans Pro" w:cs="Calibri"/>
                <w:color w:val="000000"/>
                <w:sz w:val="20"/>
              </w:rPr>
            </w:pPr>
            <w:r>
              <w:rPr>
                <w:rFonts w:ascii="Source Sans Pro" w:hAnsi="Source Sans Pro" w:cs="Calibri"/>
                <w:color w:val="000000"/>
                <w:sz w:val="20"/>
              </w:rPr>
              <w:t xml:space="preserve">$179.39 </w:t>
            </w:r>
          </w:p>
        </w:tc>
      </w:tr>
      <w:tr w14:paraId="5548E0AF" w14:textId="77777777" w:rsidTr="00D03DD4">
        <w:tblPrEx>
          <w:tblW w:w="10423" w:type="dxa"/>
          <w:tblCellMar>
            <w:top w:w="15" w:type="dxa"/>
          </w:tblCellMar>
          <w:tblLook w:val="04A0"/>
        </w:tblPrEx>
        <w:trPr>
          <w:trHeight w:val="1392"/>
        </w:trPr>
        <w:tc>
          <w:tcPr>
            <w:tcW w:w="2192" w:type="dxa"/>
            <w:tcBorders>
              <w:top w:val="nil"/>
              <w:left w:val="single" w:sz="8" w:space="0" w:color="auto"/>
              <w:bottom w:val="single" w:sz="8" w:space="0" w:color="auto"/>
              <w:right w:val="single" w:sz="8" w:space="0" w:color="auto"/>
            </w:tcBorders>
            <w:vAlign w:val="center"/>
            <w:hideMark/>
          </w:tcPr>
          <w:p w:rsidR="00D5791C" w:rsidRPr="00595EE3" w:rsidP="00D03DD4" w14:paraId="4A38298F" w14:textId="77777777">
            <w:pPr>
              <w:rPr>
                <w:rFonts w:ascii="Source Sans Pro" w:hAnsi="Source Sans Pro" w:cs="Calibri"/>
                <w:color w:val="000000"/>
                <w:sz w:val="20"/>
              </w:rPr>
            </w:pPr>
            <w:r w:rsidRPr="00595EE3">
              <w:rPr>
                <w:rFonts w:ascii="Source Sans Pro" w:hAnsi="Source Sans Pro" w:cs="Calibri"/>
                <w:color w:val="000000"/>
                <w:sz w:val="20"/>
              </w:rPr>
              <w:t>14. Section 351.20(f)(1) - Simplified compliance program for Covered Banks with no trading assets or liabilities (Mandatory)</w:t>
            </w:r>
          </w:p>
        </w:tc>
        <w:tc>
          <w:tcPr>
            <w:tcW w:w="845" w:type="dxa"/>
            <w:tcBorders>
              <w:top w:val="nil"/>
              <w:left w:val="nil"/>
              <w:bottom w:val="single" w:sz="8" w:space="0" w:color="auto"/>
              <w:right w:val="single" w:sz="8" w:space="0" w:color="auto"/>
            </w:tcBorders>
            <w:vAlign w:val="center"/>
            <w:hideMark/>
          </w:tcPr>
          <w:p w:rsidR="00D5791C" w:rsidRPr="00595EE3" w:rsidP="00D03DD4" w14:paraId="679F3301" w14:textId="77777777">
            <w:pPr>
              <w:jc w:val="center"/>
              <w:rPr>
                <w:rFonts w:ascii="Source Sans Pro" w:hAnsi="Source Sans Pro" w:cs="Calibri"/>
                <w:color w:val="000000"/>
                <w:sz w:val="20"/>
              </w:rPr>
            </w:pPr>
            <w:r w:rsidRPr="00595EE3">
              <w:rPr>
                <w:rFonts w:ascii="Source Sans Pro" w:hAnsi="Source Sans Pro" w:cs="Calibri"/>
                <w:color w:val="000000"/>
                <w:sz w:val="20"/>
              </w:rPr>
              <w:t>0.21</w:t>
            </w:r>
          </w:p>
        </w:tc>
        <w:tc>
          <w:tcPr>
            <w:tcW w:w="984" w:type="dxa"/>
            <w:tcBorders>
              <w:top w:val="nil"/>
              <w:left w:val="nil"/>
              <w:bottom w:val="single" w:sz="8" w:space="0" w:color="auto"/>
              <w:right w:val="single" w:sz="8" w:space="0" w:color="auto"/>
            </w:tcBorders>
            <w:vAlign w:val="center"/>
            <w:hideMark/>
          </w:tcPr>
          <w:p w:rsidR="00D5791C" w:rsidRPr="00595EE3" w:rsidP="00D03DD4" w14:paraId="6174A852" w14:textId="77777777">
            <w:pPr>
              <w:jc w:val="center"/>
              <w:rPr>
                <w:rFonts w:ascii="Source Sans Pro" w:hAnsi="Source Sans Pro" w:cs="Calibri"/>
                <w:color w:val="000000"/>
                <w:sz w:val="20"/>
              </w:rPr>
            </w:pPr>
            <w:r w:rsidRPr="00595EE3">
              <w:rPr>
                <w:rFonts w:ascii="Source Sans Pro" w:hAnsi="Source Sans Pro" w:cs="Calibri"/>
                <w:color w:val="000000"/>
                <w:sz w:val="20"/>
              </w:rPr>
              <w:t>0</w:t>
            </w:r>
          </w:p>
        </w:tc>
        <w:tc>
          <w:tcPr>
            <w:tcW w:w="984" w:type="dxa"/>
            <w:tcBorders>
              <w:top w:val="nil"/>
              <w:left w:val="nil"/>
              <w:bottom w:val="single" w:sz="8" w:space="0" w:color="auto"/>
              <w:right w:val="single" w:sz="8" w:space="0" w:color="auto"/>
            </w:tcBorders>
            <w:vAlign w:val="center"/>
            <w:hideMark/>
          </w:tcPr>
          <w:p w:rsidR="00D5791C" w:rsidRPr="00595EE3" w:rsidP="00D03DD4" w14:paraId="536A2E66" w14:textId="77777777">
            <w:pPr>
              <w:jc w:val="center"/>
              <w:rPr>
                <w:rFonts w:ascii="Source Sans Pro" w:hAnsi="Source Sans Pro" w:cs="Calibri"/>
                <w:color w:val="000000"/>
                <w:sz w:val="20"/>
              </w:rPr>
            </w:pPr>
            <w:r w:rsidRPr="00595EE3">
              <w:rPr>
                <w:rFonts w:ascii="Source Sans Pro" w:hAnsi="Source Sans Pro" w:cs="Calibri"/>
                <w:color w:val="000000"/>
                <w:sz w:val="20"/>
              </w:rPr>
              <w:t>100</w:t>
            </w:r>
          </w:p>
        </w:tc>
        <w:tc>
          <w:tcPr>
            <w:tcW w:w="900" w:type="dxa"/>
            <w:tcBorders>
              <w:top w:val="nil"/>
              <w:left w:val="nil"/>
              <w:bottom w:val="single" w:sz="8" w:space="0" w:color="auto"/>
              <w:right w:val="single" w:sz="8" w:space="0" w:color="auto"/>
            </w:tcBorders>
            <w:vAlign w:val="center"/>
            <w:hideMark/>
          </w:tcPr>
          <w:p w:rsidR="00D5791C" w:rsidRPr="00595EE3" w:rsidP="00D03DD4" w14:paraId="2B82EC60" w14:textId="77777777">
            <w:pPr>
              <w:jc w:val="center"/>
              <w:rPr>
                <w:rFonts w:ascii="Source Sans Pro" w:hAnsi="Source Sans Pro" w:cs="Calibri"/>
                <w:color w:val="000000"/>
                <w:sz w:val="20"/>
              </w:rPr>
            </w:pPr>
            <w:r w:rsidRPr="00595EE3">
              <w:rPr>
                <w:rFonts w:ascii="Source Sans Pro" w:hAnsi="Source Sans Pro" w:cs="Calibri"/>
                <w:color w:val="000000"/>
                <w:sz w:val="20"/>
              </w:rPr>
              <w:t>0</w:t>
            </w:r>
          </w:p>
        </w:tc>
        <w:tc>
          <w:tcPr>
            <w:tcW w:w="984" w:type="dxa"/>
            <w:tcBorders>
              <w:top w:val="nil"/>
              <w:left w:val="nil"/>
              <w:bottom w:val="single" w:sz="8" w:space="0" w:color="auto"/>
              <w:right w:val="single" w:sz="8" w:space="0" w:color="auto"/>
            </w:tcBorders>
            <w:vAlign w:val="center"/>
            <w:hideMark/>
          </w:tcPr>
          <w:p w:rsidR="00D5791C" w:rsidRPr="00595EE3" w:rsidP="00D03DD4" w14:paraId="58B2F93D" w14:textId="77777777">
            <w:pPr>
              <w:jc w:val="center"/>
              <w:rPr>
                <w:rFonts w:ascii="Source Sans Pro" w:hAnsi="Source Sans Pro" w:cs="Calibri"/>
                <w:color w:val="000000"/>
                <w:sz w:val="20"/>
              </w:rPr>
            </w:pPr>
            <w:r w:rsidRPr="00595EE3">
              <w:rPr>
                <w:rFonts w:ascii="Source Sans Pro" w:hAnsi="Source Sans Pro" w:cs="Calibri"/>
                <w:color w:val="000000"/>
                <w:sz w:val="20"/>
              </w:rPr>
              <w:t>0</w:t>
            </w:r>
          </w:p>
        </w:tc>
        <w:tc>
          <w:tcPr>
            <w:tcW w:w="984" w:type="dxa"/>
            <w:tcBorders>
              <w:top w:val="nil"/>
              <w:left w:val="nil"/>
              <w:bottom w:val="single" w:sz="8" w:space="0" w:color="auto"/>
              <w:right w:val="single" w:sz="8" w:space="0" w:color="auto"/>
            </w:tcBorders>
            <w:vAlign w:val="center"/>
            <w:hideMark/>
          </w:tcPr>
          <w:p w:rsidR="00D5791C" w:rsidRPr="00595EE3" w:rsidP="00D03DD4" w14:paraId="6510753F" w14:textId="77777777">
            <w:pPr>
              <w:jc w:val="center"/>
              <w:rPr>
                <w:rFonts w:ascii="Source Sans Pro" w:hAnsi="Source Sans Pro" w:cs="Calibri"/>
                <w:color w:val="000000"/>
                <w:sz w:val="20"/>
              </w:rPr>
            </w:pPr>
            <w:r w:rsidRPr="00595EE3">
              <w:rPr>
                <w:rFonts w:ascii="Source Sans Pro" w:hAnsi="Source Sans Pro" w:cs="Calibri"/>
                <w:color w:val="000000"/>
                <w:sz w:val="20"/>
              </w:rPr>
              <w:t>0</w:t>
            </w:r>
          </w:p>
        </w:tc>
        <w:tc>
          <w:tcPr>
            <w:tcW w:w="884" w:type="dxa"/>
            <w:tcBorders>
              <w:top w:val="nil"/>
              <w:left w:val="nil"/>
              <w:bottom w:val="single" w:sz="8" w:space="0" w:color="auto"/>
              <w:right w:val="single" w:sz="8" w:space="0" w:color="auto"/>
            </w:tcBorders>
            <w:vAlign w:val="center"/>
            <w:hideMark/>
          </w:tcPr>
          <w:p w:rsidR="00D5791C" w:rsidRPr="00595EE3" w:rsidP="00D03DD4" w14:paraId="436ED4CB" w14:textId="77777777">
            <w:pPr>
              <w:jc w:val="center"/>
              <w:rPr>
                <w:rFonts w:ascii="Source Sans Pro" w:hAnsi="Source Sans Pro" w:cs="Calibri"/>
                <w:color w:val="000000"/>
                <w:sz w:val="20"/>
              </w:rPr>
            </w:pPr>
            <w:r w:rsidRPr="00595EE3">
              <w:rPr>
                <w:rFonts w:ascii="Source Sans Pro" w:hAnsi="Source Sans Pro" w:cs="Calibri"/>
                <w:color w:val="000000"/>
                <w:sz w:val="20"/>
              </w:rPr>
              <w:t>0</w:t>
            </w:r>
          </w:p>
        </w:tc>
        <w:tc>
          <w:tcPr>
            <w:tcW w:w="1444" w:type="dxa"/>
            <w:tcBorders>
              <w:top w:val="nil"/>
              <w:left w:val="nil"/>
              <w:bottom w:val="single" w:sz="8" w:space="0" w:color="auto"/>
              <w:right w:val="single" w:sz="8" w:space="0" w:color="auto"/>
            </w:tcBorders>
            <w:vAlign w:val="center"/>
          </w:tcPr>
          <w:p w:rsidR="00D5791C" w:rsidRPr="00595EE3" w:rsidP="00D03DD4" w14:paraId="0DE64099" w14:textId="77777777">
            <w:pPr>
              <w:ind w:firstLine="200" w:firstLineChars="100"/>
              <w:jc w:val="right"/>
              <w:rPr>
                <w:rFonts w:ascii="Source Sans Pro" w:hAnsi="Source Sans Pro" w:cs="Calibri"/>
                <w:color w:val="000000"/>
                <w:sz w:val="20"/>
              </w:rPr>
            </w:pPr>
            <w:r>
              <w:rPr>
                <w:rFonts w:ascii="Source Sans Pro" w:hAnsi="Source Sans Pro" w:cs="Calibri"/>
                <w:color w:val="000000"/>
                <w:sz w:val="20"/>
              </w:rPr>
              <w:t xml:space="preserve">$198.32 </w:t>
            </w:r>
          </w:p>
        </w:tc>
      </w:tr>
      <w:tr w14:paraId="1B1019F6" w14:textId="77777777" w:rsidTr="00D03DD4">
        <w:tblPrEx>
          <w:tblW w:w="10423" w:type="dxa"/>
          <w:tblCellMar>
            <w:top w:w="15" w:type="dxa"/>
          </w:tblCellMar>
          <w:tblLook w:val="04A0"/>
        </w:tblPrEx>
        <w:trPr>
          <w:trHeight w:val="1668"/>
        </w:trPr>
        <w:tc>
          <w:tcPr>
            <w:tcW w:w="2192" w:type="dxa"/>
            <w:tcBorders>
              <w:top w:val="nil"/>
              <w:left w:val="single" w:sz="8" w:space="0" w:color="auto"/>
              <w:bottom w:val="single" w:sz="8" w:space="0" w:color="auto"/>
              <w:right w:val="single" w:sz="8" w:space="0" w:color="auto"/>
            </w:tcBorders>
            <w:vAlign w:val="center"/>
            <w:hideMark/>
          </w:tcPr>
          <w:p w:rsidR="00D5791C" w:rsidRPr="00595EE3" w:rsidP="00D03DD4" w14:paraId="67E06EC4" w14:textId="77777777">
            <w:pPr>
              <w:rPr>
                <w:rFonts w:ascii="Source Sans Pro" w:hAnsi="Source Sans Pro" w:cs="Calibri"/>
                <w:color w:val="000000"/>
                <w:sz w:val="20"/>
              </w:rPr>
            </w:pPr>
            <w:r w:rsidRPr="00595EE3">
              <w:rPr>
                <w:rFonts w:ascii="Source Sans Pro" w:hAnsi="Source Sans Pro" w:cs="Calibri"/>
                <w:color w:val="000000"/>
                <w:sz w:val="20"/>
              </w:rPr>
              <w:t>15. Section 351.20(f)(2) - Simplified compliance program for Covered Banks with moderate trading assets and liabilities (Mandatory)</w:t>
            </w:r>
          </w:p>
        </w:tc>
        <w:tc>
          <w:tcPr>
            <w:tcW w:w="845" w:type="dxa"/>
            <w:tcBorders>
              <w:top w:val="nil"/>
              <w:left w:val="nil"/>
              <w:bottom w:val="single" w:sz="8" w:space="0" w:color="auto"/>
              <w:right w:val="single" w:sz="8" w:space="0" w:color="auto"/>
            </w:tcBorders>
            <w:vAlign w:val="center"/>
            <w:hideMark/>
          </w:tcPr>
          <w:p w:rsidR="00D5791C" w:rsidRPr="00595EE3" w:rsidP="00D03DD4" w14:paraId="28064333" w14:textId="77777777">
            <w:pPr>
              <w:jc w:val="center"/>
              <w:rPr>
                <w:rFonts w:ascii="Source Sans Pro" w:hAnsi="Source Sans Pro" w:cs="Calibri"/>
                <w:color w:val="000000"/>
                <w:sz w:val="20"/>
              </w:rPr>
            </w:pPr>
            <w:r w:rsidRPr="00595EE3">
              <w:rPr>
                <w:rFonts w:ascii="Source Sans Pro" w:hAnsi="Source Sans Pro" w:cs="Calibri"/>
                <w:color w:val="000000"/>
                <w:sz w:val="20"/>
              </w:rPr>
              <w:t>2.62</w:t>
            </w:r>
          </w:p>
        </w:tc>
        <w:tc>
          <w:tcPr>
            <w:tcW w:w="984" w:type="dxa"/>
            <w:tcBorders>
              <w:top w:val="nil"/>
              <w:left w:val="nil"/>
              <w:bottom w:val="single" w:sz="8" w:space="0" w:color="auto"/>
              <w:right w:val="single" w:sz="8" w:space="0" w:color="auto"/>
            </w:tcBorders>
            <w:vAlign w:val="center"/>
            <w:hideMark/>
          </w:tcPr>
          <w:p w:rsidR="00D5791C" w:rsidRPr="00595EE3" w:rsidP="00D03DD4" w14:paraId="134CC7E2" w14:textId="77777777">
            <w:pPr>
              <w:jc w:val="center"/>
              <w:rPr>
                <w:rFonts w:ascii="Source Sans Pro" w:hAnsi="Source Sans Pro" w:cs="Calibri"/>
                <w:color w:val="000000"/>
                <w:sz w:val="20"/>
              </w:rPr>
            </w:pPr>
            <w:r w:rsidRPr="00595EE3">
              <w:rPr>
                <w:rFonts w:ascii="Source Sans Pro" w:hAnsi="Source Sans Pro" w:cs="Calibri"/>
                <w:color w:val="000000"/>
                <w:sz w:val="20"/>
              </w:rPr>
              <w:t>0</w:t>
            </w:r>
          </w:p>
        </w:tc>
        <w:tc>
          <w:tcPr>
            <w:tcW w:w="984" w:type="dxa"/>
            <w:tcBorders>
              <w:top w:val="nil"/>
              <w:left w:val="nil"/>
              <w:bottom w:val="single" w:sz="8" w:space="0" w:color="auto"/>
              <w:right w:val="single" w:sz="8" w:space="0" w:color="auto"/>
            </w:tcBorders>
            <w:vAlign w:val="center"/>
            <w:hideMark/>
          </w:tcPr>
          <w:p w:rsidR="00D5791C" w:rsidRPr="00595EE3" w:rsidP="00D03DD4" w14:paraId="039CE01A" w14:textId="77777777">
            <w:pPr>
              <w:jc w:val="center"/>
              <w:rPr>
                <w:rFonts w:ascii="Source Sans Pro" w:hAnsi="Source Sans Pro" w:cs="Calibri"/>
                <w:color w:val="000000"/>
                <w:sz w:val="20"/>
              </w:rPr>
            </w:pPr>
            <w:r w:rsidRPr="00595EE3">
              <w:rPr>
                <w:rFonts w:ascii="Source Sans Pro" w:hAnsi="Source Sans Pro" w:cs="Calibri"/>
                <w:color w:val="000000"/>
                <w:sz w:val="20"/>
              </w:rPr>
              <w:t>100</w:t>
            </w:r>
          </w:p>
        </w:tc>
        <w:tc>
          <w:tcPr>
            <w:tcW w:w="900" w:type="dxa"/>
            <w:tcBorders>
              <w:top w:val="nil"/>
              <w:left w:val="nil"/>
              <w:bottom w:val="single" w:sz="8" w:space="0" w:color="auto"/>
              <w:right w:val="single" w:sz="8" w:space="0" w:color="auto"/>
            </w:tcBorders>
            <w:vAlign w:val="center"/>
            <w:hideMark/>
          </w:tcPr>
          <w:p w:rsidR="00D5791C" w:rsidRPr="00595EE3" w:rsidP="00D03DD4" w14:paraId="344E055C" w14:textId="77777777">
            <w:pPr>
              <w:jc w:val="center"/>
              <w:rPr>
                <w:rFonts w:ascii="Source Sans Pro" w:hAnsi="Source Sans Pro" w:cs="Calibri"/>
                <w:color w:val="000000"/>
                <w:sz w:val="20"/>
              </w:rPr>
            </w:pPr>
            <w:r w:rsidRPr="00595EE3">
              <w:rPr>
                <w:rFonts w:ascii="Source Sans Pro" w:hAnsi="Source Sans Pro" w:cs="Calibri"/>
                <w:color w:val="000000"/>
                <w:sz w:val="20"/>
              </w:rPr>
              <w:t>0</w:t>
            </w:r>
          </w:p>
        </w:tc>
        <w:tc>
          <w:tcPr>
            <w:tcW w:w="984" w:type="dxa"/>
            <w:tcBorders>
              <w:top w:val="nil"/>
              <w:left w:val="nil"/>
              <w:bottom w:val="single" w:sz="8" w:space="0" w:color="auto"/>
              <w:right w:val="single" w:sz="8" w:space="0" w:color="auto"/>
            </w:tcBorders>
            <w:vAlign w:val="center"/>
            <w:hideMark/>
          </w:tcPr>
          <w:p w:rsidR="00D5791C" w:rsidRPr="00595EE3" w:rsidP="00D03DD4" w14:paraId="303071F0" w14:textId="77777777">
            <w:pPr>
              <w:jc w:val="center"/>
              <w:rPr>
                <w:rFonts w:ascii="Source Sans Pro" w:hAnsi="Source Sans Pro" w:cs="Calibri"/>
                <w:color w:val="000000"/>
                <w:sz w:val="20"/>
              </w:rPr>
            </w:pPr>
            <w:r w:rsidRPr="00595EE3">
              <w:rPr>
                <w:rFonts w:ascii="Source Sans Pro" w:hAnsi="Source Sans Pro" w:cs="Calibri"/>
                <w:color w:val="000000"/>
                <w:sz w:val="20"/>
              </w:rPr>
              <w:t>0</w:t>
            </w:r>
          </w:p>
        </w:tc>
        <w:tc>
          <w:tcPr>
            <w:tcW w:w="984" w:type="dxa"/>
            <w:tcBorders>
              <w:top w:val="nil"/>
              <w:left w:val="nil"/>
              <w:bottom w:val="single" w:sz="8" w:space="0" w:color="auto"/>
              <w:right w:val="single" w:sz="8" w:space="0" w:color="auto"/>
            </w:tcBorders>
            <w:vAlign w:val="center"/>
            <w:hideMark/>
          </w:tcPr>
          <w:p w:rsidR="00D5791C" w:rsidRPr="00595EE3" w:rsidP="00D03DD4" w14:paraId="4D8FE405" w14:textId="77777777">
            <w:pPr>
              <w:jc w:val="center"/>
              <w:rPr>
                <w:rFonts w:ascii="Source Sans Pro" w:hAnsi="Source Sans Pro" w:cs="Calibri"/>
                <w:color w:val="000000"/>
                <w:sz w:val="20"/>
              </w:rPr>
            </w:pPr>
            <w:r w:rsidRPr="00595EE3">
              <w:rPr>
                <w:rFonts w:ascii="Source Sans Pro" w:hAnsi="Source Sans Pro" w:cs="Calibri"/>
                <w:color w:val="000000"/>
                <w:sz w:val="20"/>
              </w:rPr>
              <w:t>0</w:t>
            </w:r>
          </w:p>
        </w:tc>
        <w:tc>
          <w:tcPr>
            <w:tcW w:w="884" w:type="dxa"/>
            <w:tcBorders>
              <w:top w:val="nil"/>
              <w:left w:val="nil"/>
              <w:bottom w:val="single" w:sz="8" w:space="0" w:color="auto"/>
              <w:right w:val="single" w:sz="8" w:space="0" w:color="auto"/>
            </w:tcBorders>
            <w:vAlign w:val="center"/>
            <w:hideMark/>
          </w:tcPr>
          <w:p w:rsidR="00D5791C" w:rsidRPr="00595EE3" w:rsidP="00D03DD4" w14:paraId="242B79DF" w14:textId="77777777">
            <w:pPr>
              <w:jc w:val="center"/>
              <w:rPr>
                <w:rFonts w:ascii="Source Sans Pro" w:hAnsi="Source Sans Pro" w:cs="Calibri"/>
                <w:color w:val="000000"/>
                <w:sz w:val="20"/>
              </w:rPr>
            </w:pPr>
            <w:r w:rsidRPr="00595EE3">
              <w:rPr>
                <w:rFonts w:ascii="Source Sans Pro" w:hAnsi="Source Sans Pro" w:cs="Calibri"/>
                <w:color w:val="000000"/>
                <w:sz w:val="20"/>
              </w:rPr>
              <w:t>0</w:t>
            </w:r>
          </w:p>
        </w:tc>
        <w:tc>
          <w:tcPr>
            <w:tcW w:w="1444" w:type="dxa"/>
            <w:tcBorders>
              <w:top w:val="nil"/>
              <w:left w:val="nil"/>
              <w:bottom w:val="single" w:sz="8" w:space="0" w:color="auto"/>
              <w:right w:val="single" w:sz="8" w:space="0" w:color="auto"/>
            </w:tcBorders>
            <w:vAlign w:val="center"/>
          </w:tcPr>
          <w:p w:rsidR="00D5791C" w:rsidRPr="00595EE3" w:rsidP="00D03DD4" w14:paraId="32EF22A0" w14:textId="77777777">
            <w:pPr>
              <w:ind w:firstLine="200" w:firstLineChars="100"/>
              <w:jc w:val="right"/>
              <w:rPr>
                <w:rFonts w:ascii="Source Sans Pro" w:hAnsi="Source Sans Pro" w:cs="Calibri"/>
                <w:color w:val="000000"/>
                <w:sz w:val="20"/>
              </w:rPr>
            </w:pPr>
            <w:r>
              <w:rPr>
                <w:rFonts w:ascii="Source Sans Pro" w:hAnsi="Source Sans Pro" w:cs="Calibri"/>
                <w:color w:val="000000"/>
                <w:sz w:val="20"/>
              </w:rPr>
              <w:t xml:space="preserve">$198.32 </w:t>
            </w:r>
          </w:p>
        </w:tc>
      </w:tr>
      <w:tr w14:paraId="4B01C581" w14:textId="77777777" w:rsidTr="00D03DD4">
        <w:tblPrEx>
          <w:tblW w:w="10423" w:type="dxa"/>
          <w:tblCellMar>
            <w:top w:w="15" w:type="dxa"/>
          </w:tblCellMar>
          <w:tblLook w:val="04A0"/>
        </w:tblPrEx>
        <w:trPr>
          <w:trHeight w:val="840"/>
        </w:trPr>
        <w:tc>
          <w:tcPr>
            <w:tcW w:w="2192" w:type="dxa"/>
            <w:tcBorders>
              <w:top w:val="nil"/>
              <w:left w:val="single" w:sz="8" w:space="0" w:color="auto"/>
              <w:bottom w:val="single" w:sz="8" w:space="0" w:color="auto"/>
              <w:right w:val="single" w:sz="8" w:space="0" w:color="auto"/>
            </w:tcBorders>
            <w:vAlign w:val="center"/>
            <w:hideMark/>
          </w:tcPr>
          <w:p w:rsidR="00D5791C" w:rsidRPr="00595EE3" w:rsidP="00D03DD4" w14:paraId="53C0B0EE" w14:textId="77777777">
            <w:pPr>
              <w:rPr>
                <w:rFonts w:ascii="Source Sans Pro" w:hAnsi="Source Sans Pro" w:cs="Calibri"/>
                <w:color w:val="000000"/>
                <w:sz w:val="20"/>
              </w:rPr>
            </w:pPr>
            <w:r w:rsidRPr="00595EE3">
              <w:rPr>
                <w:rFonts w:ascii="Source Sans Pro" w:hAnsi="Source Sans Pro" w:cs="Calibri"/>
                <w:color w:val="000000"/>
                <w:sz w:val="20"/>
              </w:rPr>
              <w:t>16. Section 351.11(a)(8)(i) - Offerings disclosures (Mandatory)</w:t>
            </w:r>
          </w:p>
        </w:tc>
        <w:tc>
          <w:tcPr>
            <w:tcW w:w="845" w:type="dxa"/>
            <w:tcBorders>
              <w:top w:val="nil"/>
              <w:left w:val="nil"/>
              <w:bottom w:val="single" w:sz="8" w:space="0" w:color="auto"/>
              <w:right w:val="single" w:sz="8" w:space="0" w:color="auto"/>
            </w:tcBorders>
            <w:vAlign w:val="center"/>
            <w:hideMark/>
          </w:tcPr>
          <w:p w:rsidR="00D5791C" w:rsidRPr="00595EE3" w:rsidP="00D03DD4" w14:paraId="22508E01" w14:textId="77777777">
            <w:pPr>
              <w:jc w:val="center"/>
              <w:rPr>
                <w:rFonts w:ascii="Source Sans Pro" w:hAnsi="Source Sans Pro" w:cs="Calibri"/>
                <w:color w:val="000000"/>
                <w:sz w:val="20"/>
              </w:rPr>
            </w:pPr>
            <w:r w:rsidRPr="00595EE3">
              <w:rPr>
                <w:rFonts w:ascii="Source Sans Pro" w:hAnsi="Source Sans Pro" w:cs="Calibri"/>
                <w:color w:val="000000"/>
                <w:sz w:val="20"/>
              </w:rPr>
              <w:t>0.03</w:t>
            </w:r>
          </w:p>
        </w:tc>
        <w:tc>
          <w:tcPr>
            <w:tcW w:w="984" w:type="dxa"/>
            <w:tcBorders>
              <w:top w:val="nil"/>
              <w:left w:val="nil"/>
              <w:bottom w:val="single" w:sz="8" w:space="0" w:color="auto"/>
              <w:right w:val="single" w:sz="8" w:space="0" w:color="auto"/>
            </w:tcBorders>
            <w:vAlign w:val="center"/>
            <w:hideMark/>
          </w:tcPr>
          <w:p w:rsidR="00D5791C" w:rsidRPr="00595EE3" w:rsidP="00D03DD4" w14:paraId="0764734A" w14:textId="77777777">
            <w:pPr>
              <w:jc w:val="center"/>
              <w:rPr>
                <w:rFonts w:ascii="Source Sans Pro" w:hAnsi="Source Sans Pro" w:cs="Calibri"/>
                <w:color w:val="000000"/>
                <w:sz w:val="20"/>
              </w:rPr>
            </w:pPr>
            <w:r w:rsidRPr="00595EE3">
              <w:rPr>
                <w:rFonts w:ascii="Source Sans Pro" w:hAnsi="Source Sans Pro" w:cs="Calibri"/>
                <w:color w:val="000000"/>
                <w:sz w:val="20"/>
              </w:rPr>
              <w:t>0</w:t>
            </w:r>
          </w:p>
        </w:tc>
        <w:tc>
          <w:tcPr>
            <w:tcW w:w="984" w:type="dxa"/>
            <w:tcBorders>
              <w:top w:val="nil"/>
              <w:left w:val="nil"/>
              <w:bottom w:val="single" w:sz="8" w:space="0" w:color="auto"/>
              <w:right w:val="single" w:sz="8" w:space="0" w:color="auto"/>
            </w:tcBorders>
            <w:vAlign w:val="center"/>
            <w:hideMark/>
          </w:tcPr>
          <w:p w:rsidR="00D5791C" w:rsidRPr="00595EE3" w:rsidP="00D03DD4" w14:paraId="33A796D4" w14:textId="77777777">
            <w:pPr>
              <w:jc w:val="center"/>
              <w:rPr>
                <w:rFonts w:ascii="Source Sans Pro" w:hAnsi="Source Sans Pro" w:cs="Calibri"/>
                <w:color w:val="000000"/>
                <w:sz w:val="20"/>
              </w:rPr>
            </w:pPr>
            <w:r w:rsidRPr="00595EE3">
              <w:rPr>
                <w:rFonts w:ascii="Source Sans Pro" w:hAnsi="Source Sans Pro" w:cs="Calibri"/>
                <w:color w:val="000000"/>
                <w:sz w:val="20"/>
              </w:rPr>
              <w:t>100</w:t>
            </w:r>
          </w:p>
        </w:tc>
        <w:tc>
          <w:tcPr>
            <w:tcW w:w="900" w:type="dxa"/>
            <w:tcBorders>
              <w:top w:val="nil"/>
              <w:left w:val="nil"/>
              <w:bottom w:val="single" w:sz="8" w:space="0" w:color="auto"/>
              <w:right w:val="single" w:sz="8" w:space="0" w:color="auto"/>
            </w:tcBorders>
            <w:vAlign w:val="center"/>
            <w:hideMark/>
          </w:tcPr>
          <w:p w:rsidR="00D5791C" w:rsidRPr="00595EE3" w:rsidP="00D03DD4" w14:paraId="3F521EA7" w14:textId="77777777">
            <w:pPr>
              <w:jc w:val="center"/>
              <w:rPr>
                <w:rFonts w:ascii="Source Sans Pro" w:hAnsi="Source Sans Pro" w:cs="Calibri"/>
                <w:color w:val="000000"/>
                <w:sz w:val="20"/>
              </w:rPr>
            </w:pPr>
            <w:r w:rsidRPr="00595EE3">
              <w:rPr>
                <w:rFonts w:ascii="Source Sans Pro" w:hAnsi="Source Sans Pro" w:cs="Calibri"/>
                <w:color w:val="000000"/>
                <w:sz w:val="20"/>
              </w:rPr>
              <w:t>0</w:t>
            </w:r>
          </w:p>
        </w:tc>
        <w:tc>
          <w:tcPr>
            <w:tcW w:w="984" w:type="dxa"/>
            <w:tcBorders>
              <w:top w:val="nil"/>
              <w:left w:val="nil"/>
              <w:bottom w:val="single" w:sz="8" w:space="0" w:color="auto"/>
              <w:right w:val="single" w:sz="8" w:space="0" w:color="auto"/>
            </w:tcBorders>
            <w:vAlign w:val="center"/>
            <w:hideMark/>
          </w:tcPr>
          <w:p w:rsidR="00D5791C" w:rsidRPr="00595EE3" w:rsidP="00D03DD4" w14:paraId="4C6ECC20" w14:textId="77777777">
            <w:pPr>
              <w:jc w:val="center"/>
              <w:rPr>
                <w:rFonts w:ascii="Source Sans Pro" w:hAnsi="Source Sans Pro" w:cs="Calibri"/>
                <w:color w:val="000000"/>
                <w:sz w:val="20"/>
              </w:rPr>
            </w:pPr>
            <w:r w:rsidRPr="00595EE3">
              <w:rPr>
                <w:rFonts w:ascii="Source Sans Pro" w:hAnsi="Source Sans Pro" w:cs="Calibri"/>
                <w:color w:val="000000"/>
                <w:sz w:val="20"/>
              </w:rPr>
              <w:t>0</w:t>
            </w:r>
          </w:p>
        </w:tc>
        <w:tc>
          <w:tcPr>
            <w:tcW w:w="984" w:type="dxa"/>
            <w:tcBorders>
              <w:top w:val="nil"/>
              <w:left w:val="nil"/>
              <w:bottom w:val="single" w:sz="8" w:space="0" w:color="auto"/>
              <w:right w:val="single" w:sz="8" w:space="0" w:color="auto"/>
            </w:tcBorders>
            <w:vAlign w:val="center"/>
            <w:hideMark/>
          </w:tcPr>
          <w:p w:rsidR="00D5791C" w:rsidRPr="00595EE3" w:rsidP="00D03DD4" w14:paraId="5199D133" w14:textId="77777777">
            <w:pPr>
              <w:jc w:val="center"/>
              <w:rPr>
                <w:rFonts w:ascii="Source Sans Pro" w:hAnsi="Source Sans Pro" w:cs="Calibri"/>
                <w:color w:val="000000"/>
                <w:sz w:val="20"/>
              </w:rPr>
            </w:pPr>
            <w:r w:rsidRPr="00595EE3">
              <w:rPr>
                <w:rFonts w:ascii="Source Sans Pro" w:hAnsi="Source Sans Pro" w:cs="Calibri"/>
                <w:color w:val="000000"/>
                <w:sz w:val="20"/>
              </w:rPr>
              <w:t>0</w:t>
            </w:r>
          </w:p>
        </w:tc>
        <w:tc>
          <w:tcPr>
            <w:tcW w:w="884" w:type="dxa"/>
            <w:tcBorders>
              <w:top w:val="nil"/>
              <w:left w:val="nil"/>
              <w:bottom w:val="single" w:sz="8" w:space="0" w:color="auto"/>
              <w:right w:val="single" w:sz="8" w:space="0" w:color="auto"/>
            </w:tcBorders>
            <w:vAlign w:val="center"/>
            <w:hideMark/>
          </w:tcPr>
          <w:p w:rsidR="00D5791C" w:rsidRPr="00595EE3" w:rsidP="00D03DD4" w14:paraId="14FB68BF" w14:textId="77777777">
            <w:pPr>
              <w:jc w:val="center"/>
              <w:rPr>
                <w:rFonts w:ascii="Source Sans Pro" w:hAnsi="Source Sans Pro" w:cs="Calibri"/>
                <w:color w:val="000000"/>
                <w:sz w:val="20"/>
              </w:rPr>
            </w:pPr>
            <w:r w:rsidRPr="00595EE3">
              <w:rPr>
                <w:rFonts w:ascii="Source Sans Pro" w:hAnsi="Source Sans Pro" w:cs="Calibri"/>
                <w:color w:val="000000"/>
                <w:sz w:val="20"/>
              </w:rPr>
              <w:t>0</w:t>
            </w:r>
          </w:p>
        </w:tc>
        <w:tc>
          <w:tcPr>
            <w:tcW w:w="1444" w:type="dxa"/>
            <w:tcBorders>
              <w:top w:val="nil"/>
              <w:left w:val="nil"/>
              <w:bottom w:val="single" w:sz="8" w:space="0" w:color="auto"/>
              <w:right w:val="single" w:sz="8" w:space="0" w:color="auto"/>
            </w:tcBorders>
            <w:vAlign w:val="center"/>
          </w:tcPr>
          <w:p w:rsidR="00D5791C" w:rsidRPr="00595EE3" w:rsidP="00D03DD4" w14:paraId="0BEE2B5A" w14:textId="77777777">
            <w:pPr>
              <w:ind w:firstLine="200" w:firstLineChars="100"/>
              <w:jc w:val="right"/>
              <w:rPr>
                <w:rFonts w:ascii="Source Sans Pro" w:hAnsi="Source Sans Pro" w:cs="Calibri"/>
                <w:color w:val="000000"/>
                <w:sz w:val="20"/>
              </w:rPr>
            </w:pPr>
            <w:r>
              <w:rPr>
                <w:rFonts w:ascii="Source Sans Pro" w:hAnsi="Source Sans Pro" w:cs="Calibri"/>
                <w:color w:val="000000"/>
                <w:sz w:val="20"/>
              </w:rPr>
              <w:t xml:space="preserve">$198.32 </w:t>
            </w:r>
          </w:p>
        </w:tc>
      </w:tr>
      <w:tr w14:paraId="6C8C5686" w14:textId="77777777" w:rsidTr="00D03DD4">
        <w:tblPrEx>
          <w:tblW w:w="10423" w:type="dxa"/>
          <w:tblCellMar>
            <w:top w:w="15" w:type="dxa"/>
          </w:tblCellMar>
          <w:tblLook w:val="04A0"/>
        </w:tblPrEx>
        <w:trPr>
          <w:trHeight w:val="300"/>
        </w:trPr>
        <w:tc>
          <w:tcPr>
            <w:tcW w:w="10201" w:type="dxa"/>
            <w:gridSpan w:val="9"/>
            <w:tcBorders>
              <w:top w:val="single" w:sz="8" w:space="0" w:color="auto"/>
              <w:left w:val="single" w:sz="8" w:space="0" w:color="auto"/>
              <w:bottom w:val="single" w:sz="8" w:space="0" w:color="auto"/>
              <w:right w:val="single" w:sz="8" w:space="0" w:color="000000"/>
            </w:tcBorders>
            <w:shd w:val="clear" w:color="000000" w:fill="F2F2F2"/>
            <w:vAlign w:val="center"/>
            <w:hideMark/>
          </w:tcPr>
          <w:p w:rsidR="00D5791C" w:rsidRPr="00595EE3" w:rsidP="00D03DD4" w14:paraId="1E02CD57" w14:textId="77777777">
            <w:pPr>
              <w:jc w:val="center"/>
              <w:rPr>
                <w:rFonts w:ascii="Source Sans Pro" w:hAnsi="Source Sans Pro" w:cs="Calibri"/>
                <w:b/>
                <w:bCs/>
                <w:color w:val="000000"/>
                <w:sz w:val="20"/>
              </w:rPr>
            </w:pPr>
            <w:r w:rsidRPr="00595EE3">
              <w:rPr>
                <w:rFonts w:ascii="Source Sans Pro" w:hAnsi="Source Sans Pro" w:cs="Calibri"/>
                <w:b/>
                <w:bCs/>
                <w:color w:val="000000"/>
                <w:sz w:val="20"/>
              </w:rPr>
              <w:t>Ongoing Compliance</w:t>
            </w:r>
          </w:p>
        </w:tc>
      </w:tr>
      <w:tr w14:paraId="7F29D9E7" w14:textId="77777777" w:rsidTr="00D03DD4">
        <w:tblPrEx>
          <w:tblW w:w="10423" w:type="dxa"/>
          <w:tblCellMar>
            <w:top w:w="15" w:type="dxa"/>
          </w:tblCellMar>
          <w:tblLook w:val="04A0"/>
        </w:tblPrEx>
        <w:trPr>
          <w:trHeight w:val="840"/>
        </w:trPr>
        <w:tc>
          <w:tcPr>
            <w:tcW w:w="2192" w:type="dxa"/>
            <w:tcBorders>
              <w:top w:val="nil"/>
              <w:left w:val="single" w:sz="8" w:space="0" w:color="auto"/>
              <w:bottom w:val="single" w:sz="8" w:space="0" w:color="auto"/>
              <w:right w:val="single" w:sz="8" w:space="0" w:color="auto"/>
            </w:tcBorders>
            <w:vAlign w:val="center"/>
            <w:hideMark/>
          </w:tcPr>
          <w:p w:rsidR="00D5791C" w:rsidRPr="00595EE3" w:rsidP="00D03DD4" w14:paraId="5EE03D4D" w14:textId="77777777">
            <w:pPr>
              <w:rPr>
                <w:rFonts w:ascii="Source Sans Pro" w:hAnsi="Source Sans Pro" w:cs="Calibri"/>
                <w:color w:val="000000"/>
                <w:sz w:val="20"/>
              </w:rPr>
            </w:pPr>
            <w:r w:rsidRPr="00595EE3">
              <w:rPr>
                <w:rFonts w:ascii="Source Sans Pro" w:hAnsi="Source Sans Pro" w:cs="Calibri"/>
                <w:color w:val="000000"/>
                <w:sz w:val="20"/>
              </w:rPr>
              <w:t>1. Section 351.4(c)(3)(i) - Limit Breaches and Increases (Mandatory)</w:t>
            </w:r>
          </w:p>
        </w:tc>
        <w:tc>
          <w:tcPr>
            <w:tcW w:w="845" w:type="dxa"/>
            <w:tcBorders>
              <w:top w:val="nil"/>
              <w:left w:val="nil"/>
              <w:bottom w:val="single" w:sz="8" w:space="0" w:color="auto"/>
              <w:right w:val="single" w:sz="8" w:space="0" w:color="auto"/>
            </w:tcBorders>
            <w:vAlign w:val="center"/>
            <w:hideMark/>
          </w:tcPr>
          <w:p w:rsidR="00D5791C" w:rsidRPr="00595EE3" w:rsidP="00D03DD4" w14:paraId="5B9C9F18" w14:textId="77777777">
            <w:pPr>
              <w:jc w:val="center"/>
              <w:rPr>
                <w:rFonts w:ascii="Source Sans Pro" w:hAnsi="Source Sans Pro" w:cs="Calibri"/>
                <w:color w:val="000000"/>
                <w:sz w:val="20"/>
              </w:rPr>
            </w:pPr>
            <w:r w:rsidRPr="00595EE3">
              <w:rPr>
                <w:rFonts w:ascii="Source Sans Pro" w:hAnsi="Source Sans Pro" w:cs="Calibri"/>
                <w:color w:val="000000"/>
                <w:sz w:val="20"/>
              </w:rPr>
              <w:t>0.66</w:t>
            </w:r>
          </w:p>
        </w:tc>
        <w:tc>
          <w:tcPr>
            <w:tcW w:w="984" w:type="dxa"/>
            <w:tcBorders>
              <w:top w:val="nil"/>
              <w:left w:val="nil"/>
              <w:bottom w:val="single" w:sz="8" w:space="0" w:color="auto"/>
              <w:right w:val="single" w:sz="8" w:space="0" w:color="auto"/>
            </w:tcBorders>
            <w:vAlign w:val="center"/>
            <w:hideMark/>
          </w:tcPr>
          <w:p w:rsidR="00D5791C" w:rsidRPr="00595EE3" w:rsidP="00D03DD4" w14:paraId="229039AE" w14:textId="77777777">
            <w:pPr>
              <w:jc w:val="center"/>
              <w:rPr>
                <w:rFonts w:ascii="Source Sans Pro" w:hAnsi="Source Sans Pro" w:cs="Calibri"/>
                <w:color w:val="000000"/>
                <w:sz w:val="20"/>
              </w:rPr>
            </w:pPr>
            <w:r w:rsidRPr="00595EE3">
              <w:rPr>
                <w:rFonts w:ascii="Source Sans Pro" w:hAnsi="Source Sans Pro" w:cs="Calibri"/>
                <w:color w:val="000000"/>
                <w:sz w:val="20"/>
              </w:rPr>
              <w:t>0</w:t>
            </w:r>
          </w:p>
        </w:tc>
        <w:tc>
          <w:tcPr>
            <w:tcW w:w="984" w:type="dxa"/>
            <w:tcBorders>
              <w:top w:val="nil"/>
              <w:left w:val="nil"/>
              <w:bottom w:val="single" w:sz="8" w:space="0" w:color="auto"/>
              <w:right w:val="single" w:sz="8" w:space="0" w:color="auto"/>
            </w:tcBorders>
            <w:vAlign w:val="center"/>
            <w:hideMark/>
          </w:tcPr>
          <w:p w:rsidR="00D5791C" w:rsidRPr="00595EE3" w:rsidP="00D03DD4" w14:paraId="12019983" w14:textId="77777777">
            <w:pPr>
              <w:jc w:val="center"/>
              <w:rPr>
                <w:rFonts w:ascii="Source Sans Pro" w:hAnsi="Source Sans Pro" w:cs="Calibri"/>
                <w:color w:val="000000"/>
                <w:sz w:val="20"/>
              </w:rPr>
            </w:pPr>
            <w:r w:rsidRPr="00595EE3">
              <w:rPr>
                <w:rFonts w:ascii="Source Sans Pro" w:hAnsi="Source Sans Pro" w:cs="Calibri"/>
                <w:color w:val="000000"/>
                <w:sz w:val="20"/>
              </w:rPr>
              <w:t>0</w:t>
            </w:r>
          </w:p>
        </w:tc>
        <w:tc>
          <w:tcPr>
            <w:tcW w:w="900" w:type="dxa"/>
            <w:tcBorders>
              <w:top w:val="nil"/>
              <w:left w:val="nil"/>
              <w:bottom w:val="single" w:sz="8" w:space="0" w:color="auto"/>
              <w:right w:val="single" w:sz="8" w:space="0" w:color="auto"/>
            </w:tcBorders>
            <w:vAlign w:val="center"/>
            <w:hideMark/>
          </w:tcPr>
          <w:p w:rsidR="00D5791C" w:rsidRPr="00595EE3" w:rsidP="00D03DD4" w14:paraId="626AED23" w14:textId="77777777">
            <w:pPr>
              <w:jc w:val="center"/>
              <w:rPr>
                <w:rFonts w:ascii="Source Sans Pro" w:hAnsi="Source Sans Pro" w:cs="Calibri"/>
                <w:color w:val="000000"/>
                <w:sz w:val="20"/>
              </w:rPr>
            </w:pPr>
            <w:r w:rsidRPr="00595EE3">
              <w:rPr>
                <w:rFonts w:ascii="Source Sans Pro" w:hAnsi="Source Sans Pro" w:cs="Calibri"/>
                <w:color w:val="000000"/>
                <w:sz w:val="20"/>
              </w:rPr>
              <w:t>0</w:t>
            </w:r>
          </w:p>
        </w:tc>
        <w:tc>
          <w:tcPr>
            <w:tcW w:w="984" w:type="dxa"/>
            <w:tcBorders>
              <w:top w:val="nil"/>
              <w:left w:val="nil"/>
              <w:bottom w:val="single" w:sz="8" w:space="0" w:color="auto"/>
              <w:right w:val="single" w:sz="8" w:space="0" w:color="auto"/>
            </w:tcBorders>
            <w:vAlign w:val="center"/>
            <w:hideMark/>
          </w:tcPr>
          <w:p w:rsidR="00D5791C" w:rsidRPr="00595EE3" w:rsidP="00D03DD4" w14:paraId="3B183A8C" w14:textId="77777777">
            <w:pPr>
              <w:jc w:val="center"/>
              <w:rPr>
                <w:rFonts w:ascii="Source Sans Pro" w:hAnsi="Source Sans Pro" w:cs="Calibri"/>
                <w:color w:val="000000"/>
                <w:sz w:val="20"/>
              </w:rPr>
            </w:pPr>
            <w:r w:rsidRPr="00595EE3">
              <w:rPr>
                <w:rFonts w:ascii="Source Sans Pro" w:hAnsi="Source Sans Pro" w:cs="Calibri"/>
                <w:color w:val="000000"/>
                <w:sz w:val="20"/>
              </w:rPr>
              <w:t>0</w:t>
            </w:r>
          </w:p>
        </w:tc>
        <w:tc>
          <w:tcPr>
            <w:tcW w:w="984" w:type="dxa"/>
            <w:tcBorders>
              <w:top w:val="nil"/>
              <w:left w:val="nil"/>
              <w:bottom w:val="single" w:sz="8" w:space="0" w:color="auto"/>
              <w:right w:val="single" w:sz="8" w:space="0" w:color="auto"/>
            </w:tcBorders>
            <w:vAlign w:val="center"/>
            <w:hideMark/>
          </w:tcPr>
          <w:p w:rsidR="00D5791C" w:rsidRPr="00595EE3" w:rsidP="00D03DD4" w14:paraId="2B8AD6BE" w14:textId="77777777">
            <w:pPr>
              <w:jc w:val="center"/>
              <w:rPr>
                <w:rFonts w:ascii="Source Sans Pro" w:hAnsi="Source Sans Pro" w:cs="Calibri"/>
                <w:color w:val="000000"/>
                <w:sz w:val="20"/>
              </w:rPr>
            </w:pPr>
            <w:r w:rsidRPr="00595EE3">
              <w:rPr>
                <w:rFonts w:ascii="Source Sans Pro" w:hAnsi="Source Sans Pro" w:cs="Calibri"/>
                <w:color w:val="000000"/>
                <w:sz w:val="20"/>
              </w:rPr>
              <w:t>100</w:t>
            </w:r>
          </w:p>
        </w:tc>
        <w:tc>
          <w:tcPr>
            <w:tcW w:w="884" w:type="dxa"/>
            <w:tcBorders>
              <w:top w:val="nil"/>
              <w:left w:val="nil"/>
              <w:bottom w:val="single" w:sz="8" w:space="0" w:color="auto"/>
              <w:right w:val="single" w:sz="8" w:space="0" w:color="auto"/>
            </w:tcBorders>
            <w:vAlign w:val="center"/>
            <w:hideMark/>
          </w:tcPr>
          <w:p w:rsidR="00D5791C" w:rsidRPr="00595EE3" w:rsidP="00D03DD4" w14:paraId="085CEE40" w14:textId="77777777">
            <w:pPr>
              <w:jc w:val="center"/>
              <w:rPr>
                <w:rFonts w:ascii="Source Sans Pro" w:hAnsi="Source Sans Pro" w:cs="Calibri"/>
                <w:color w:val="000000"/>
                <w:sz w:val="20"/>
              </w:rPr>
            </w:pPr>
            <w:r w:rsidRPr="00595EE3">
              <w:rPr>
                <w:rFonts w:ascii="Source Sans Pro" w:hAnsi="Source Sans Pro" w:cs="Calibri"/>
                <w:color w:val="000000"/>
                <w:sz w:val="20"/>
              </w:rPr>
              <w:t>0</w:t>
            </w:r>
          </w:p>
        </w:tc>
        <w:tc>
          <w:tcPr>
            <w:tcW w:w="1444" w:type="dxa"/>
            <w:tcBorders>
              <w:top w:val="nil"/>
              <w:left w:val="nil"/>
              <w:bottom w:val="single" w:sz="8" w:space="0" w:color="auto"/>
              <w:right w:val="single" w:sz="8" w:space="0" w:color="auto"/>
            </w:tcBorders>
            <w:vAlign w:val="center"/>
            <w:hideMark/>
          </w:tcPr>
          <w:p w:rsidR="00D5791C" w:rsidRPr="00595EE3" w:rsidP="00D03DD4" w14:paraId="702CBBB4" w14:textId="77777777">
            <w:pPr>
              <w:ind w:firstLine="200" w:firstLineChars="100"/>
              <w:jc w:val="right"/>
              <w:rPr>
                <w:rFonts w:ascii="Source Sans Pro" w:hAnsi="Source Sans Pro" w:cs="Calibri"/>
                <w:color w:val="000000"/>
                <w:sz w:val="20"/>
              </w:rPr>
            </w:pPr>
            <w:r>
              <w:rPr>
                <w:rFonts w:ascii="Source Sans Pro" w:hAnsi="Source Sans Pro" w:cs="Calibri"/>
                <w:color w:val="000000"/>
                <w:sz w:val="20"/>
              </w:rPr>
              <w:t xml:space="preserve">$103.65 </w:t>
            </w:r>
          </w:p>
        </w:tc>
      </w:tr>
      <w:tr w14:paraId="47C48640" w14:textId="77777777" w:rsidTr="00D03DD4">
        <w:tblPrEx>
          <w:tblW w:w="10423" w:type="dxa"/>
          <w:tblCellMar>
            <w:top w:w="15" w:type="dxa"/>
          </w:tblCellMar>
          <w:tblLook w:val="04A0"/>
        </w:tblPrEx>
        <w:trPr>
          <w:trHeight w:val="1668"/>
        </w:trPr>
        <w:tc>
          <w:tcPr>
            <w:tcW w:w="2192" w:type="dxa"/>
            <w:tcBorders>
              <w:top w:val="nil"/>
              <w:left w:val="single" w:sz="8" w:space="0" w:color="auto"/>
              <w:bottom w:val="single" w:sz="8" w:space="0" w:color="auto"/>
              <w:right w:val="single" w:sz="8" w:space="0" w:color="auto"/>
            </w:tcBorders>
            <w:vAlign w:val="center"/>
            <w:hideMark/>
          </w:tcPr>
          <w:p w:rsidR="00D5791C" w:rsidRPr="00595EE3" w:rsidP="00D03DD4" w14:paraId="03997A51" w14:textId="77777777">
            <w:pPr>
              <w:rPr>
                <w:rFonts w:ascii="Source Sans Pro" w:hAnsi="Source Sans Pro" w:cs="Calibri"/>
                <w:color w:val="000000"/>
                <w:sz w:val="20"/>
              </w:rPr>
            </w:pPr>
            <w:r w:rsidRPr="00595EE3">
              <w:rPr>
                <w:rFonts w:ascii="Source Sans Pro" w:hAnsi="Source Sans Pro" w:cs="Calibri"/>
                <w:color w:val="000000"/>
                <w:sz w:val="20"/>
              </w:rPr>
              <w:t>2. Section 351.20(d) - Requirements under Appendix A for Covered Banks with Significant Trading Assets &amp; Liabilities (Mandatory)</w:t>
            </w:r>
          </w:p>
        </w:tc>
        <w:tc>
          <w:tcPr>
            <w:tcW w:w="845" w:type="dxa"/>
            <w:tcBorders>
              <w:top w:val="nil"/>
              <w:left w:val="nil"/>
              <w:bottom w:val="single" w:sz="8" w:space="0" w:color="auto"/>
              <w:right w:val="single" w:sz="8" w:space="0" w:color="auto"/>
            </w:tcBorders>
            <w:vAlign w:val="center"/>
            <w:hideMark/>
          </w:tcPr>
          <w:p w:rsidR="00D5791C" w:rsidRPr="00595EE3" w:rsidP="00D03DD4" w14:paraId="31F63198" w14:textId="77777777">
            <w:pPr>
              <w:jc w:val="center"/>
              <w:rPr>
                <w:rFonts w:ascii="Source Sans Pro" w:hAnsi="Source Sans Pro" w:cs="Calibri"/>
                <w:color w:val="000000"/>
                <w:sz w:val="20"/>
              </w:rPr>
            </w:pPr>
            <w:r w:rsidRPr="00595EE3">
              <w:rPr>
                <w:rFonts w:ascii="Source Sans Pro" w:hAnsi="Source Sans Pro" w:cs="Calibri"/>
                <w:color w:val="000000"/>
                <w:sz w:val="20"/>
              </w:rPr>
              <w:t>8.60</w:t>
            </w:r>
          </w:p>
        </w:tc>
        <w:tc>
          <w:tcPr>
            <w:tcW w:w="984" w:type="dxa"/>
            <w:tcBorders>
              <w:top w:val="nil"/>
              <w:left w:val="nil"/>
              <w:bottom w:val="single" w:sz="8" w:space="0" w:color="auto"/>
              <w:right w:val="single" w:sz="8" w:space="0" w:color="auto"/>
            </w:tcBorders>
            <w:vAlign w:val="center"/>
            <w:hideMark/>
          </w:tcPr>
          <w:p w:rsidR="00D5791C" w:rsidRPr="00595EE3" w:rsidP="00D03DD4" w14:paraId="4CD96896" w14:textId="77777777">
            <w:pPr>
              <w:jc w:val="center"/>
              <w:rPr>
                <w:rFonts w:ascii="Source Sans Pro" w:hAnsi="Source Sans Pro" w:cs="Calibri"/>
                <w:color w:val="000000"/>
                <w:sz w:val="20"/>
              </w:rPr>
            </w:pPr>
            <w:r w:rsidRPr="00595EE3">
              <w:rPr>
                <w:rFonts w:ascii="Source Sans Pro" w:hAnsi="Source Sans Pro" w:cs="Calibri"/>
                <w:color w:val="000000"/>
                <w:sz w:val="20"/>
              </w:rPr>
              <w:t>0</w:t>
            </w:r>
          </w:p>
        </w:tc>
        <w:tc>
          <w:tcPr>
            <w:tcW w:w="984" w:type="dxa"/>
            <w:tcBorders>
              <w:top w:val="nil"/>
              <w:left w:val="nil"/>
              <w:bottom w:val="single" w:sz="8" w:space="0" w:color="auto"/>
              <w:right w:val="single" w:sz="8" w:space="0" w:color="auto"/>
            </w:tcBorders>
            <w:vAlign w:val="center"/>
            <w:hideMark/>
          </w:tcPr>
          <w:p w:rsidR="00D5791C" w:rsidRPr="00595EE3" w:rsidP="00D03DD4" w14:paraId="4B8E3090" w14:textId="77777777">
            <w:pPr>
              <w:jc w:val="center"/>
              <w:rPr>
                <w:rFonts w:ascii="Source Sans Pro" w:hAnsi="Source Sans Pro" w:cs="Calibri"/>
                <w:color w:val="000000"/>
                <w:sz w:val="20"/>
              </w:rPr>
            </w:pPr>
            <w:r w:rsidRPr="00595EE3">
              <w:rPr>
                <w:rFonts w:ascii="Source Sans Pro" w:hAnsi="Source Sans Pro" w:cs="Calibri"/>
                <w:color w:val="000000"/>
                <w:sz w:val="20"/>
              </w:rPr>
              <w:t>100</w:t>
            </w:r>
          </w:p>
        </w:tc>
        <w:tc>
          <w:tcPr>
            <w:tcW w:w="900" w:type="dxa"/>
            <w:tcBorders>
              <w:top w:val="nil"/>
              <w:left w:val="nil"/>
              <w:bottom w:val="single" w:sz="8" w:space="0" w:color="auto"/>
              <w:right w:val="single" w:sz="8" w:space="0" w:color="auto"/>
            </w:tcBorders>
            <w:vAlign w:val="center"/>
            <w:hideMark/>
          </w:tcPr>
          <w:p w:rsidR="00D5791C" w:rsidRPr="00595EE3" w:rsidP="00D03DD4" w14:paraId="28E9D7A2" w14:textId="77777777">
            <w:pPr>
              <w:jc w:val="center"/>
              <w:rPr>
                <w:rFonts w:ascii="Source Sans Pro" w:hAnsi="Source Sans Pro" w:cs="Calibri"/>
                <w:color w:val="000000"/>
                <w:sz w:val="20"/>
              </w:rPr>
            </w:pPr>
            <w:r w:rsidRPr="00595EE3">
              <w:rPr>
                <w:rFonts w:ascii="Source Sans Pro" w:hAnsi="Source Sans Pro" w:cs="Calibri"/>
                <w:color w:val="000000"/>
                <w:sz w:val="20"/>
              </w:rPr>
              <w:t>0</w:t>
            </w:r>
          </w:p>
        </w:tc>
        <w:tc>
          <w:tcPr>
            <w:tcW w:w="984" w:type="dxa"/>
            <w:tcBorders>
              <w:top w:val="nil"/>
              <w:left w:val="nil"/>
              <w:bottom w:val="single" w:sz="8" w:space="0" w:color="auto"/>
              <w:right w:val="single" w:sz="8" w:space="0" w:color="auto"/>
            </w:tcBorders>
            <w:vAlign w:val="center"/>
            <w:hideMark/>
          </w:tcPr>
          <w:p w:rsidR="00D5791C" w:rsidRPr="00595EE3" w:rsidP="00D03DD4" w14:paraId="2E023B18" w14:textId="77777777">
            <w:pPr>
              <w:jc w:val="center"/>
              <w:rPr>
                <w:rFonts w:ascii="Source Sans Pro" w:hAnsi="Source Sans Pro" w:cs="Calibri"/>
                <w:color w:val="000000"/>
                <w:sz w:val="20"/>
              </w:rPr>
            </w:pPr>
            <w:r w:rsidRPr="00595EE3">
              <w:rPr>
                <w:rFonts w:ascii="Source Sans Pro" w:hAnsi="Source Sans Pro" w:cs="Calibri"/>
                <w:color w:val="000000"/>
                <w:sz w:val="20"/>
              </w:rPr>
              <w:t>0</w:t>
            </w:r>
          </w:p>
        </w:tc>
        <w:tc>
          <w:tcPr>
            <w:tcW w:w="984" w:type="dxa"/>
            <w:tcBorders>
              <w:top w:val="nil"/>
              <w:left w:val="nil"/>
              <w:bottom w:val="single" w:sz="8" w:space="0" w:color="auto"/>
              <w:right w:val="single" w:sz="8" w:space="0" w:color="auto"/>
            </w:tcBorders>
            <w:vAlign w:val="center"/>
            <w:hideMark/>
          </w:tcPr>
          <w:p w:rsidR="00D5791C" w:rsidRPr="00595EE3" w:rsidP="00D03DD4" w14:paraId="26A1C802" w14:textId="77777777">
            <w:pPr>
              <w:jc w:val="center"/>
              <w:rPr>
                <w:rFonts w:ascii="Source Sans Pro" w:hAnsi="Source Sans Pro" w:cs="Calibri"/>
                <w:color w:val="000000"/>
                <w:sz w:val="20"/>
              </w:rPr>
            </w:pPr>
            <w:r w:rsidRPr="00595EE3">
              <w:rPr>
                <w:rFonts w:ascii="Source Sans Pro" w:hAnsi="Source Sans Pro" w:cs="Calibri"/>
                <w:color w:val="000000"/>
                <w:sz w:val="20"/>
              </w:rPr>
              <w:t>0</w:t>
            </w:r>
          </w:p>
        </w:tc>
        <w:tc>
          <w:tcPr>
            <w:tcW w:w="884" w:type="dxa"/>
            <w:tcBorders>
              <w:top w:val="nil"/>
              <w:left w:val="nil"/>
              <w:bottom w:val="single" w:sz="8" w:space="0" w:color="auto"/>
              <w:right w:val="single" w:sz="8" w:space="0" w:color="auto"/>
            </w:tcBorders>
            <w:vAlign w:val="center"/>
            <w:hideMark/>
          </w:tcPr>
          <w:p w:rsidR="00D5791C" w:rsidRPr="00595EE3" w:rsidP="00D03DD4" w14:paraId="2782C8B9" w14:textId="77777777">
            <w:pPr>
              <w:jc w:val="center"/>
              <w:rPr>
                <w:rFonts w:ascii="Source Sans Pro" w:hAnsi="Source Sans Pro" w:cs="Calibri"/>
                <w:color w:val="000000"/>
                <w:sz w:val="20"/>
              </w:rPr>
            </w:pPr>
            <w:r w:rsidRPr="00595EE3">
              <w:rPr>
                <w:rFonts w:ascii="Source Sans Pro" w:hAnsi="Source Sans Pro" w:cs="Calibri"/>
                <w:color w:val="000000"/>
                <w:sz w:val="20"/>
              </w:rPr>
              <w:t>0</w:t>
            </w:r>
          </w:p>
        </w:tc>
        <w:tc>
          <w:tcPr>
            <w:tcW w:w="1444" w:type="dxa"/>
            <w:tcBorders>
              <w:top w:val="nil"/>
              <w:left w:val="nil"/>
              <w:bottom w:val="single" w:sz="8" w:space="0" w:color="auto"/>
              <w:right w:val="single" w:sz="8" w:space="0" w:color="auto"/>
            </w:tcBorders>
            <w:vAlign w:val="center"/>
            <w:hideMark/>
          </w:tcPr>
          <w:p w:rsidR="00D5791C" w:rsidRPr="00595EE3" w:rsidP="00D03DD4" w14:paraId="5F5B2C6F" w14:textId="77777777">
            <w:pPr>
              <w:ind w:firstLine="200" w:firstLineChars="100"/>
              <w:jc w:val="right"/>
              <w:rPr>
                <w:rFonts w:ascii="Source Sans Pro" w:hAnsi="Source Sans Pro" w:cs="Calibri"/>
                <w:color w:val="000000"/>
                <w:sz w:val="20"/>
              </w:rPr>
            </w:pPr>
            <w:r>
              <w:rPr>
                <w:rFonts w:ascii="Source Sans Pro" w:hAnsi="Source Sans Pro" w:cs="Calibri"/>
                <w:color w:val="000000"/>
                <w:sz w:val="20"/>
              </w:rPr>
              <w:t xml:space="preserve">$198.32 </w:t>
            </w:r>
          </w:p>
        </w:tc>
      </w:tr>
      <w:tr w14:paraId="72EDCF37" w14:textId="77777777" w:rsidTr="00D03DD4">
        <w:tblPrEx>
          <w:tblW w:w="10423" w:type="dxa"/>
          <w:tblCellMar>
            <w:top w:w="15" w:type="dxa"/>
          </w:tblCellMar>
          <w:tblLook w:val="04A0"/>
        </w:tblPrEx>
        <w:trPr>
          <w:trHeight w:val="564"/>
        </w:trPr>
        <w:tc>
          <w:tcPr>
            <w:tcW w:w="2192" w:type="dxa"/>
            <w:tcBorders>
              <w:top w:val="nil"/>
              <w:left w:val="single" w:sz="8" w:space="0" w:color="auto"/>
              <w:bottom w:val="single" w:sz="8" w:space="0" w:color="auto"/>
              <w:right w:val="single" w:sz="8" w:space="0" w:color="auto"/>
            </w:tcBorders>
            <w:vAlign w:val="center"/>
            <w:hideMark/>
          </w:tcPr>
          <w:p w:rsidR="00D5791C" w:rsidRPr="00595EE3" w:rsidP="00D03DD4" w14:paraId="595F1C9D" w14:textId="77777777">
            <w:pPr>
              <w:rPr>
                <w:rFonts w:ascii="Source Sans Pro" w:hAnsi="Source Sans Pro" w:cs="Calibri"/>
                <w:color w:val="000000"/>
                <w:sz w:val="20"/>
              </w:rPr>
            </w:pPr>
            <w:r w:rsidRPr="00595EE3">
              <w:rPr>
                <w:rFonts w:ascii="Source Sans Pro" w:hAnsi="Source Sans Pro" w:cs="Calibri"/>
                <w:color w:val="000000"/>
                <w:sz w:val="20"/>
              </w:rPr>
              <w:t>3. Section 351.20(i) - Notice and Response (Voluntary)</w:t>
            </w:r>
          </w:p>
        </w:tc>
        <w:tc>
          <w:tcPr>
            <w:tcW w:w="845" w:type="dxa"/>
            <w:tcBorders>
              <w:top w:val="nil"/>
              <w:left w:val="nil"/>
              <w:bottom w:val="single" w:sz="8" w:space="0" w:color="auto"/>
              <w:right w:val="single" w:sz="8" w:space="0" w:color="auto"/>
            </w:tcBorders>
            <w:vAlign w:val="center"/>
            <w:hideMark/>
          </w:tcPr>
          <w:p w:rsidR="00D5791C" w:rsidRPr="00595EE3" w:rsidP="00D03DD4" w14:paraId="30D9AB4C" w14:textId="77777777">
            <w:pPr>
              <w:jc w:val="center"/>
              <w:rPr>
                <w:rFonts w:ascii="Source Sans Pro" w:hAnsi="Source Sans Pro" w:cs="Calibri"/>
                <w:color w:val="000000"/>
                <w:sz w:val="20"/>
              </w:rPr>
            </w:pPr>
            <w:r w:rsidRPr="00595EE3">
              <w:rPr>
                <w:rFonts w:ascii="Source Sans Pro" w:hAnsi="Source Sans Pro" w:cs="Calibri"/>
                <w:color w:val="000000"/>
                <w:sz w:val="20"/>
              </w:rPr>
              <w:t>2.62</w:t>
            </w:r>
          </w:p>
        </w:tc>
        <w:tc>
          <w:tcPr>
            <w:tcW w:w="984" w:type="dxa"/>
            <w:tcBorders>
              <w:top w:val="nil"/>
              <w:left w:val="nil"/>
              <w:bottom w:val="single" w:sz="8" w:space="0" w:color="auto"/>
              <w:right w:val="single" w:sz="8" w:space="0" w:color="auto"/>
            </w:tcBorders>
            <w:vAlign w:val="center"/>
            <w:hideMark/>
          </w:tcPr>
          <w:p w:rsidR="00D5791C" w:rsidRPr="00595EE3" w:rsidP="00D03DD4" w14:paraId="298D4A8B" w14:textId="77777777">
            <w:pPr>
              <w:jc w:val="center"/>
              <w:rPr>
                <w:rFonts w:ascii="Source Sans Pro" w:hAnsi="Source Sans Pro" w:cs="Calibri"/>
                <w:color w:val="000000"/>
                <w:sz w:val="20"/>
              </w:rPr>
            </w:pPr>
            <w:r w:rsidRPr="00595EE3">
              <w:rPr>
                <w:rFonts w:ascii="Source Sans Pro" w:hAnsi="Source Sans Pro" w:cs="Calibri"/>
                <w:color w:val="000000"/>
                <w:sz w:val="20"/>
              </w:rPr>
              <w:t>0</w:t>
            </w:r>
          </w:p>
        </w:tc>
        <w:tc>
          <w:tcPr>
            <w:tcW w:w="984" w:type="dxa"/>
            <w:tcBorders>
              <w:top w:val="nil"/>
              <w:left w:val="nil"/>
              <w:bottom w:val="single" w:sz="8" w:space="0" w:color="auto"/>
              <w:right w:val="single" w:sz="8" w:space="0" w:color="auto"/>
            </w:tcBorders>
            <w:vAlign w:val="center"/>
            <w:hideMark/>
          </w:tcPr>
          <w:p w:rsidR="00D5791C" w:rsidRPr="00595EE3" w:rsidP="00D03DD4" w14:paraId="2C71785C" w14:textId="77777777">
            <w:pPr>
              <w:jc w:val="center"/>
              <w:rPr>
                <w:rFonts w:ascii="Source Sans Pro" w:hAnsi="Source Sans Pro" w:cs="Calibri"/>
                <w:color w:val="000000"/>
                <w:sz w:val="20"/>
              </w:rPr>
            </w:pPr>
            <w:r w:rsidRPr="00595EE3">
              <w:rPr>
                <w:rFonts w:ascii="Source Sans Pro" w:hAnsi="Source Sans Pro" w:cs="Calibri"/>
                <w:color w:val="000000"/>
                <w:sz w:val="20"/>
              </w:rPr>
              <w:t>100</w:t>
            </w:r>
          </w:p>
        </w:tc>
        <w:tc>
          <w:tcPr>
            <w:tcW w:w="900" w:type="dxa"/>
            <w:tcBorders>
              <w:top w:val="nil"/>
              <w:left w:val="nil"/>
              <w:bottom w:val="single" w:sz="8" w:space="0" w:color="auto"/>
              <w:right w:val="single" w:sz="8" w:space="0" w:color="auto"/>
            </w:tcBorders>
            <w:vAlign w:val="center"/>
            <w:hideMark/>
          </w:tcPr>
          <w:p w:rsidR="00D5791C" w:rsidRPr="00595EE3" w:rsidP="00D03DD4" w14:paraId="18232E4D" w14:textId="77777777">
            <w:pPr>
              <w:jc w:val="center"/>
              <w:rPr>
                <w:rFonts w:ascii="Source Sans Pro" w:hAnsi="Source Sans Pro" w:cs="Calibri"/>
                <w:color w:val="000000"/>
                <w:sz w:val="20"/>
              </w:rPr>
            </w:pPr>
            <w:r w:rsidRPr="00595EE3">
              <w:rPr>
                <w:rFonts w:ascii="Source Sans Pro" w:hAnsi="Source Sans Pro" w:cs="Calibri"/>
                <w:color w:val="000000"/>
                <w:sz w:val="20"/>
              </w:rPr>
              <w:t>0</w:t>
            </w:r>
          </w:p>
        </w:tc>
        <w:tc>
          <w:tcPr>
            <w:tcW w:w="984" w:type="dxa"/>
            <w:tcBorders>
              <w:top w:val="nil"/>
              <w:left w:val="nil"/>
              <w:bottom w:val="single" w:sz="8" w:space="0" w:color="auto"/>
              <w:right w:val="single" w:sz="8" w:space="0" w:color="auto"/>
            </w:tcBorders>
            <w:vAlign w:val="center"/>
            <w:hideMark/>
          </w:tcPr>
          <w:p w:rsidR="00D5791C" w:rsidRPr="00595EE3" w:rsidP="00D03DD4" w14:paraId="18B40163" w14:textId="77777777">
            <w:pPr>
              <w:jc w:val="center"/>
              <w:rPr>
                <w:rFonts w:ascii="Source Sans Pro" w:hAnsi="Source Sans Pro" w:cs="Calibri"/>
                <w:color w:val="000000"/>
                <w:sz w:val="20"/>
              </w:rPr>
            </w:pPr>
            <w:r w:rsidRPr="00595EE3">
              <w:rPr>
                <w:rFonts w:ascii="Source Sans Pro" w:hAnsi="Source Sans Pro" w:cs="Calibri"/>
                <w:color w:val="000000"/>
                <w:sz w:val="20"/>
              </w:rPr>
              <w:t>0</w:t>
            </w:r>
          </w:p>
        </w:tc>
        <w:tc>
          <w:tcPr>
            <w:tcW w:w="984" w:type="dxa"/>
            <w:tcBorders>
              <w:top w:val="nil"/>
              <w:left w:val="nil"/>
              <w:bottom w:val="single" w:sz="8" w:space="0" w:color="auto"/>
              <w:right w:val="single" w:sz="8" w:space="0" w:color="auto"/>
            </w:tcBorders>
            <w:vAlign w:val="center"/>
            <w:hideMark/>
          </w:tcPr>
          <w:p w:rsidR="00D5791C" w:rsidRPr="00595EE3" w:rsidP="00D03DD4" w14:paraId="4CA5FC65" w14:textId="77777777">
            <w:pPr>
              <w:jc w:val="center"/>
              <w:rPr>
                <w:rFonts w:ascii="Source Sans Pro" w:hAnsi="Source Sans Pro" w:cs="Calibri"/>
                <w:color w:val="000000"/>
                <w:sz w:val="20"/>
              </w:rPr>
            </w:pPr>
            <w:r w:rsidRPr="00595EE3">
              <w:rPr>
                <w:rFonts w:ascii="Source Sans Pro" w:hAnsi="Source Sans Pro" w:cs="Calibri"/>
                <w:color w:val="000000"/>
                <w:sz w:val="20"/>
              </w:rPr>
              <w:t>0</w:t>
            </w:r>
          </w:p>
        </w:tc>
        <w:tc>
          <w:tcPr>
            <w:tcW w:w="884" w:type="dxa"/>
            <w:tcBorders>
              <w:top w:val="nil"/>
              <w:left w:val="nil"/>
              <w:bottom w:val="single" w:sz="8" w:space="0" w:color="auto"/>
              <w:right w:val="single" w:sz="8" w:space="0" w:color="auto"/>
            </w:tcBorders>
            <w:vAlign w:val="center"/>
            <w:hideMark/>
          </w:tcPr>
          <w:p w:rsidR="00D5791C" w:rsidRPr="00595EE3" w:rsidP="00D03DD4" w14:paraId="16D088D5" w14:textId="77777777">
            <w:pPr>
              <w:jc w:val="center"/>
              <w:rPr>
                <w:rFonts w:ascii="Source Sans Pro" w:hAnsi="Source Sans Pro" w:cs="Calibri"/>
                <w:color w:val="000000"/>
                <w:sz w:val="20"/>
              </w:rPr>
            </w:pPr>
            <w:r w:rsidRPr="00595EE3">
              <w:rPr>
                <w:rFonts w:ascii="Source Sans Pro" w:hAnsi="Source Sans Pro" w:cs="Calibri"/>
                <w:color w:val="000000"/>
                <w:sz w:val="20"/>
              </w:rPr>
              <w:t>0</w:t>
            </w:r>
          </w:p>
        </w:tc>
        <w:tc>
          <w:tcPr>
            <w:tcW w:w="1444" w:type="dxa"/>
            <w:tcBorders>
              <w:top w:val="nil"/>
              <w:left w:val="nil"/>
              <w:bottom w:val="single" w:sz="8" w:space="0" w:color="auto"/>
              <w:right w:val="single" w:sz="8" w:space="0" w:color="auto"/>
            </w:tcBorders>
            <w:vAlign w:val="center"/>
            <w:hideMark/>
          </w:tcPr>
          <w:p w:rsidR="00D5791C" w:rsidRPr="00595EE3" w:rsidP="00D03DD4" w14:paraId="591E1A8F" w14:textId="77777777">
            <w:pPr>
              <w:ind w:firstLine="200" w:firstLineChars="100"/>
              <w:jc w:val="right"/>
              <w:rPr>
                <w:rFonts w:ascii="Source Sans Pro" w:hAnsi="Source Sans Pro" w:cs="Calibri"/>
                <w:color w:val="000000"/>
                <w:sz w:val="20"/>
              </w:rPr>
            </w:pPr>
            <w:r>
              <w:rPr>
                <w:rFonts w:ascii="Source Sans Pro" w:hAnsi="Source Sans Pro" w:cs="Calibri"/>
                <w:color w:val="000000"/>
                <w:sz w:val="20"/>
              </w:rPr>
              <w:t xml:space="preserve">$198.32 </w:t>
            </w:r>
          </w:p>
        </w:tc>
      </w:tr>
      <w:tr w14:paraId="28CCAC72" w14:textId="77777777" w:rsidTr="00D03DD4">
        <w:tblPrEx>
          <w:tblW w:w="10423" w:type="dxa"/>
          <w:tblCellMar>
            <w:top w:w="15" w:type="dxa"/>
          </w:tblCellMar>
          <w:tblLook w:val="04A0"/>
        </w:tblPrEx>
        <w:trPr>
          <w:trHeight w:val="1392"/>
        </w:trPr>
        <w:tc>
          <w:tcPr>
            <w:tcW w:w="2192" w:type="dxa"/>
            <w:tcBorders>
              <w:top w:val="nil"/>
              <w:left w:val="single" w:sz="8" w:space="0" w:color="auto"/>
              <w:bottom w:val="single" w:sz="8" w:space="0" w:color="auto"/>
              <w:right w:val="single" w:sz="8" w:space="0" w:color="auto"/>
            </w:tcBorders>
            <w:vAlign w:val="center"/>
            <w:hideMark/>
          </w:tcPr>
          <w:p w:rsidR="00D5791C" w:rsidRPr="00595EE3" w:rsidP="00D03DD4" w14:paraId="28336712" w14:textId="77777777">
            <w:pPr>
              <w:rPr>
                <w:rFonts w:ascii="Source Sans Pro" w:hAnsi="Source Sans Pro" w:cs="Calibri"/>
                <w:color w:val="000000"/>
                <w:sz w:val="20"/>
              </w:rPr>
            </w:pPr>
            <w:r w:rsidRPr="00595EE3">
              <w:rPr>
                <w:rFonts w:ascii="Source Sans Pro" w:hAnsi="Source Sans Pro" w:cs="Calibri"/>
                <w:color w:val="000000"/>
                <w:sz w:val="20"/>
              </w:rPr>
              <w:t>4. Section 351.3(d)(3) - Purchase and sale of securities in Accordance with liquidity management plans (Mandatory)</w:t>
            </w:r>
          </w:p>
        </w:tc>
        <w:tc>
          <w:tcPr>
            <w:tcW w:w="845" w:type="dxa"/>
            <w:tcBorders>
              <w:top w:val="nil"/>
              <w:left w:val="nil"/>
              <w:bottom w:val="single" w:sz="8" w:space="0" w:color="auto"/>
              <w:right w:val="single" w:sz="8" w:space="0" w:color="auto"/>
            </w:tcBorders>
            <w:vAlign w:val="center"/>
            <w:hideMark/>
          </w:tcPr>
          <w:p w:rsidR="00D5791C" w:rsidRPr="00595EE3" w:rsidP="00D03DD4" w14:paraId="5705DB34" w14:textId="77777777">
            <w:pPr>
              <w:jc w:val="center"/>
              <w:rPr>
                <w:rFonts w:ascii="Source Sans Pro" w:hAnsi="Source Sans Pro" w:cs="Calibri"/>
                <w:color w:val="000000"/>
                <w:sz w:val="20"/>
              </w:rPr>
            </w:pPr>
            <w:r w:rsidRPr="00595EE3">
              <w:rPr>
                <w:rFonts w:ascii="Source Sans Pro" w:hAnsi="Source Sans Pro" w:cs="Calibri"/>
                <w:color w:val="000000"/>
                <w:sz w:val="20"/>
              </w:rPr>
              <w:t>0.13</w:t>
            </w:r>
          </w:p>
        </w:tc>
        <w:tc>
          <w:tcPr>
            <w:tcW w:w="984" w:type="dxa"/>
            <w:tcBorders>
              <w:top w:val="nil"/>
              <w:left w:val="nil"/>
              <w:bottom w:val="single" w:sz="8" w:space="0" w:color="auto"/>
              <w:right w:val="single" w:sz="8" w:space="0" w:color="auto"/>
            </w:tcBorders>
            <w:vAlign w:val="center"/>
            <w:hideMark/>
          </w:tcPr>
          <w:p w:rsidR="00D5791C" w:rsidRPr="00595EE3" w:rsidP="00D03DD4" w14:paraId="16B7468A" w14:textId="77777777">
            <w:pPr>
              <w:jc w:val="center"/>
              <w:rPr>
                <w:rFonts w:ascii="Source Sans Pro" w:hAnsi="Source Sans Pro" w:cs="Calibri"/>
                <w:color w:val="000000"/>
                <w:sz w:val="20"/>
              </w:rPr>
            </w:pPr>
            <w:r w:rsidRPr="00595EE3">
              <w:rPr>
                <w:rFonts w:ascii="Source Sans Pro" w:hAnsi="Source Sans Pro" w:cs="Calibri"/>
                <w:color w:val="000000"/>
                <w:sz w:val="20"/>
              </w:rPr>
              <w:t>0</w:t>
            </w:r>
          </w:p>
        </w:tc>
        <w:tc>
          <w:tcPr>
            <w:tcW w:w="984" w:type="dxa"/>
            <w:tcBorders>
              <w:top w:val="nil"/>
              <w:left w:val="nil"/>
              <w:bottom w:val="single" w:sz="8" w:space="0" w:color="auto"/>
              <w:right w:val="single" w:sz="8" w:space="0" w:color="auto"/>
            </w:tcBorders>
            <w:vAlign w:val="center"/>
            <w:hideMark/>
          </w:tcPr>
          <w:p w:rsidR="00D5791C" w:rsidRPr="00595EE3" w:rsidP="00D03DD4" w14:paraId="1019DE26" w14:textId="77777777">
            <w:pPr>
              <w:jc w:val="center"/>
              <w:rPr>
                <w:rFonts w:ascii="Source Sans Pro" w:hAnsi="Source Sans Pro" w:cs="Calibri"/>
                <w:color w:val="000000"/>
                <w:sz w:val="20"/>
              </w:rPr>
            </w:pPr>
            <w:r w:rsidRPr="00595EE3">
              <w:rPr>
                <w:rFonts w:ascii="Source Sans Pro" w:hAnsi="Source Sans Pro" w:cs="Calibri"/>
                <w:color w:val="000000"/>
                <w:sz w:val="20"/>
              </w:rPr>
              <w:t>0</w:t>
            </w:r>
          </w:p>
        </w:tc>
        <w:tc>
          <w:tcPr>
            <w:tcW w:w="900" w:type="dxa"/>
            <w:tcBorders>
              <w:top w:val="nil"/>
              <w:left w:val="nil"/>
              <w:bottom w:val="single" w:sz="8" w:space="0" w:color="auto"/>
              <w:right w:val="single" w:sz="8" w:space="0" w:color="auto"/>
            </w:tcBorders>
            <w:vAlign w:val="center"/>
            <w:hideMark/>
          </w:tcPr>
          <w:p w:rsidR="00D5791C" w:rsidRPr="00595EE3" w:rsidP="00D03DD4" w14:paraId="4B6C0C41" w14:textId="77777777">
            <w:pPr>
              <w:jc w:val="center"/>
              <w:rPr>
                <w:rFonts w:ascii="Source Sans Pro" w:hAnsi="Source Sans Pro" w:cs="Calibri"/>
                <w:color w:val="000000"/>
                <w:sz w:val="20"/>
              </w:rPr>
            </w:pPr>
            <w:r w:rsidRPr="00595EE3">
              <w:rPr>
                <w:rFonts w:ascii="Source Sans Pro" w:hAnsi="Source Sans Pro" w:cs="Calibri"/>
                <w:color w:val="000000"/>
                <w:sz w:val="20"/>
              </w:rPr>
              <w:t>0</w:t>
            </w:r>
          </w:p>
        </w:tc>
        <w:tc>
          <w:tcPr>
            <w:tcW w:w="984" w:type="dxa"/>
            <w:tcBorders>
              <w:top w:val="nil"/>
              <w:left w:val="nil"/>
              <w:bottom w:val="single" w:sz="8" w:space="0" w:color="auto"/>
              <w:right w:val="single" w:sz="8" w:space="0" w:color="auto"/>
            </w:tcBorders>
            <w:vAlign w:val="center"/>
            <w:hideMark/>
          </w:tcPr>
          <w:p w:rsidR="00D5791C" w:rsidRPr="00595EE3" w:rsidP="00D03DD4" w14:paraId="0B1EF927" w14:textId="77777777">
            <w:pPr>
              <w:jc w:val="center"/>
              <w:rPr>
                <w:rFonts w:ascii="Source Sans Pro" w:hAnsi="Source Sans Pro" w:cs="Calibri"/>
                <w:color w:val="000000"/>
                <w:sz w:val="20"/>
              </w:rPr>
            </w:pPr>
            <w:r w:rsidRPr="00595EE3">
              <w:rPr>
                <w:rFonts w:ascii="Source Sans Pro" w:hAnsi="Source Sans Pro" w:cs="Calibri"/>
                <w:color w:val="000000"/>
                <w:sz w:val="20"/>
              </w:rPr>
              <w:t>0</w:t>
            </w:r>
          </w:p>
        </w:tc>
        <w:tc>
          <w:tcPr>
            <w:tcW w:w="984" w:type="dxa"/>
            <w:tcBorders>
              <w:top w:val="nil"/>
              <w:left w:val="nil"/>
              <w:bottom w:val="single" w:sz="8" w:space="0" w:color="auto"/>
              <w:right w:val="single" w:sz="8" w:space="0" w:color="auto"/>
            </w:tcBorders>
            <w:vAlign w:val="center"/>
            <w:hideMark/>
          </w:tcPr>
          <w:p w:rsidR="00D5791C" w:rsidRPr="00595EE3" w:rsidP="00D03DD4" w14:paraId="3E48F0FC" w14:textId="77777777">
            <w:pPr>
              <w:jc w:val="center"/>
              <w:rPr>
                <w:rFonts w:ascii="Source Sans Pro" w:hAnsi="Source Sans Pro" w:cs="Calibri"/>
                <w:color w:val="000000"/>
                <w:sz w:val="20"/>
              </w:rPr>
            </w:pPr>
            <w:r w:rsidRPr="00595EE3">
              <w:rPr>
                <w:rFonts w:ascii="Source Sans Pro" w:hAnsi="Source Sans Pro" w:cs="Calibri"/>
                <w:color w:val="000000"/>
                <w:sz w:val="20"/>
              </w:rPr>
              <w:t>100</w:t>
            </w:r>
          </w:p>
        </w:tc>
        <w:tc>
          <w:tcPr>
            <w:tcW w:w="884" w:type="dxa"/>
            <w:tcBorders>
              <w:top w:val="nil"/>
              <w:left w:val="nil"/>
              <w:bottom w:val="single" w:sz="8" w:space="0" w:color="auto"/>
              <w:right w:val="single" w:sz="8" w:space="0" w:color="auto"/>
            </w:tcBorders>
            <w:vAlign w:val="center"/>
            <w:hideMark/>
          </w:tcPr>
          <w:p w:rsidR="00D5791C" w:rsidRPr="00595EE3" w:rsidP="00D03DD4" w14:paraId="0F51C6A5" w14:textId="77777777">
            <w:pPr>
              <w:jc w:val="center"/>
              <w:rPr>
                <w:rFonts w:ascii="Source Sans Pro" w:hAnsi="Source Sans Pro" w:cs="Calibri"/>
                <w:color w:val="000000"/>
                <w:sz w:val="20"/>
              </w:rPr>
            </w:pPr>
            <w:r w:rsidRPr="00595EE3">
              <w:rPr>
                <w:rFonts w:ascii="Source Sans Pro" w:hAnsi="Source Sans Pro" w:cs="Calibri"/>
                <w:color w:val="000000"/>
                <w:sz w:val="20"/>
              </w:rPr>
              <w:t>0</w:t>
            </w:r>
          </w:p>
        </w:tc>
        <w:tc>
          <w:tcPr>
            <w:tcW w:w="1444" w:type="dxa"/>
            <w:tcBorders>
              <w:top w:val="nil"/>
              <w:left w:val="nil"/>
              <w:bottom w:val="single" w:sz="8" w:space="0" w:color="auto"/>
              <w:right w:val="single" w:sz="8" w:space="0" w:color="auto"/>
            </w:tcBorders>
            <w:vAlign w:val="center"/>
            <w:hideMark/>
          </w:tcPr>
          <w:p w:rsidR="00D5791C" w:rsidRPr="00595EE3" w:rsidP="00D03DD4" w14:paraId="4F3E6C47" w14:textId="77777777">
            <w:pPr>
              <w:ind w:firstLine="200" w:firstLineChars="100"/>
              <w:jc w:val="right"/>
              <w:rPr>
                <w:rFonts w:ascii="Source Sans Pro" w:hAnsi="Source Sans Pro" w:cs="Calibri"/>
                <w:color w:val="000000"/>
                <w:sz w:val="20"/>
              </w:rPr>
            </w:pPr>
            <w:r>
              <w:rPr>
                <w:rFonts w:ascii="Source Sans Pro" w:hAnsi="Source Sans Pro" w:cs="Calibri"/>
                <w:color w:val="000000"/>
                <w:sz w:val="20"/>
              </w:rPr>
              <w:t xml:space="preserve">$103.65 </w:t>
            </w:r>
          </w:p>
        </w:tc>
      </w:tr>
      <w:tr w14:paraId="4B65AE5F" w14:textId="77777777" w:rsidTr="00D03DD4">
        <w:tblPrEx>
          <w:tblW w:w="10423" w:type="dxa"/>
          <w:tblCellMar>
            <w:top w:w="15" w:type="dxa"/>
          </w:tblCellMar>
          <w:tblLook w:val="04A0"/>
        </w:tblPrEx>
        <w:trPr>
          <w:trHeight w:val="1116"/>
        </w:trPr>
        <w:tc>
          <w:tcPr>
            <w:tcW w:w="2192" w:type="dxa"/>
            <w:tcBorders>
              <w:top w:val="nil"/>
              <w:left w:val="single" w:sz="8" w:space="0" w:color="auto"/>
              <w:bottom w:val="single" w:sz="8" w:space="0" w:color="auto"/>
              <w:right w:val="single" w:sz="8" w:space="0" w:color="auto"/>
            </w:tcBorders>
            <w:vAlign w:val="center"/>
            <w:hideMark/>
          </w:tcPr>
          <w:p w:rsidR="00D5791C" w:rsidRPr="00595EE3" w:rsidP="00D03DD4" w14:paraId="4F006449" w14:textId="77777777">
            <w:pPr>
              <w:rPr>
                <w:rFonts w:ascii="Source Sans Pro" w:hAnsi="Source Sans Pro" w:cs="Calibri"/>
                <w:color w:val="000000"/>
                <w:sz w:val="20"/>
              </w:rPr>
            </w:pPr>
            <w:r w:rsidRPr="00595EE3">
              <w:rPr>
                <w:rFonts w:ascii="Source Sans Pro" w:hAnsi="Source Sans Pro" w:cs="Calibri"/>
                <w:color w:val="000000"/>
                <w:sz w:val="20"/>
              </w:rPr>
              <w:t>5. Section 351.4(b)(3)(i)(A) - Trading Desk Documentation (Mandatory)</w:t>
            </w:r>
          </w:p>
        </w:tc>
        <w:tc>
          <w:tcPr>
            <w:tcW w:w="845" w:type="dxa"/>
            <w:tcBorders>
              <w:top w:val="nil"/>
              <w:left w:val="nil"/>
              <w:bottom w:val="single" w:sz="8" w:space="0" w:color="auto"/>
              <w:right w:val="single" w:sz="8" w:space="0" w:color="auto"/>
            </w:tcBorders>
            <w:vAlign w:val="center"/>
            <w:hideMark/>
          </w:tcPr>
          <w:p w:rsidR="00D5791C" w:rsidRPr="00595EE3" w:rsidP="00D03DD4" w14:paraId="5D141A50" w14:textId="77777777">
            <w:pPr>
              <w:jc w:val="center"/>
              <w:rPr>
                <w:rFonts w:ascii="Source Sans Pro" w:hAnsi="Source Sans Pro" w:cs="Calibri"/>
                <w:color w:val="000000"/>
                <w:sz w:val="20"/>
              </w:rPr>
            </w:pPr>
            <w:r w:rsidRPr="00595EE3">
              <w:rPr>
                <w:rFonts w:ascii="Source Sans Pro" w:hAnsi="Source Sans Pro" w:cs="Calibri"/>
                <w:color w:val="000000"/>
                <w:sz w:val="20"/>
              </w:rPr>
              <w:t>1.05</w:t>
            </w:r>
          </w:p>
        </w:tc>
        <w:tc>
          <w:tcPr>
            <w:tcW w:w="984" w:type="dxa"/>
            <w:tcBorders>
              <w:top w:val="nil"/>
              <w:left w:val="nil"/>
              <w:bottom w:val="single" w:sz="8" w:space="0" w:color="auto"/>
              <w:right w:val="single" w:sz="8" w:space="0" w:color="auto"/>
            </w:tcBorders>
            <w:vAlign w:val="center"/>
            <w:hideMark/>
          </w:tcPr>
          <w:p w:rsidR="00D5791C" w:rsidRPr="00595EE3" w:rsidP="00D03DD4" w14:paraId="67424813" w14:textId="77777777">
            <w:pPr>
              <w:jc w:val="center"/>
              <w:rPr>
                <w:rFonts w:ascii="Source Sans Pro" w:hAnsi="Source Sans Pro" w:cs="Calibri"/>
                <w:color w:val="000000"/>
                <w:sz w:val="20"/>
              </w:rPr>
            </w:pPr>
            <w:r w:rsidRPr="00595EE3">
              <w:rPr>
                <w:rFonts w:ascii="Source Sans Pro" w:hAnsi="Source Sans Pro" w:cs="Calibri"/>
                <w:color w:val="000000"/>
                <w:sz w:val="20"/>
              </w:rPr>
              <w:t>0</w:t>
            </w:r>
          </w:p>
        </w:tc>
        <w:tc>
          <w:tcPr>
            <w:tcW w:w="984" w:type="dxa"/>
            <w:tcBorders>
              <w:top w:val="nil"/>
              <w:left w:val="nil"/>
              <w:bottom w:val="single" w:sz="8" w:space="0" w:color="auto"/>
              <w:right w:val="single" w:sz="8" w:space="0" w:color="auto"/>
            </w:tcBorders>
            <w:vAlign w:val="center"/>
            <w:hideMark/>
          </w:tcPr>
          <w:p w:rsidR="00D5791C" w:rsidRPr="00595EE3" w:rsidP="00D03DD4" w14:paraId="74D3F902" w14:textId="77777777">
            <w:pPr>
              <w:jc w:val="center"/>
              <w:rPr>
                <w:rFonts w:ascii="Source Sans Pro" w:hAnsi="Source Sans Pro" w:cs="Calibri"/>
                <w:color w:val="000000"/>
                <w:sz w:val="20"/>
              </w:rPr>
            </w:pPr>
            <w:r w:rsidRPr="00595EE3">
              <w:rPr>
                <w:rFonts w:ascii="Source Sans Pro" w:hAnsi="Source Sans Pro" w:cs="Calibri"/>
                <w:color w:val="000000"/>
                <w:sz w:val="20"/>
              </w:rPr>
              <w:t>100</w:t>
            </w:r>
          </w:p>
        </w:tc>
        <w:tc>
          <w:tcPr>
            <w:tcW w:w="900" w:type="dxa"/>
            <w:tcBorders>
              <w:top w:val="nil"/>
              <w:left w:val="nil"/>
              <w:bottom w:val="single" w:sz="8" w:space="0" w:color="auto"/>
              <w:right w:val="single" w:sz="8" w:space="0" w:color="auto"/>
            </w:tcBorders>
            <w:vAlign w:val="center"/>
            <w:hideMark/>
          </w:tcPr>
          <w:p w:rsidR="00D5791C" w:rsidRPr="00595EE3" w:rsidP="00D03DD4" w14:paraId="0304C874" w14:textId="77777777">
            <w:pPr>
              <w:jc w:val="center"/>
              <w:rPr>
                <w:rFonts w:ascii="Source Sans Pro" w:hAnsi="Source Sans Pro" w:cs="Calibri"/>
                <w:color w:val="000000"/>
                <w:sz w:val="20"/>
              </w:rPr>
            </w:pPr>
            <w:r w:rsidRPr="00595EE3">
              <w:rPr>
                <w:rFonts w:ascii="Source Sans Pro" w:hAnsi="Source Sans Pro" w:cs="Calibri"/>
                <w:color w:val="000000"/>
                <w:sz w:val="20"/>
              </w:rPr>
              <w:t>0</w:t>
            </w:r>
          </w:p>
        </w:tc>
        <w:tc>
          <w:tcPr>
            <w:tcW w:w="984" w:type="dxa"/>
            <w:tcBorders>
              <w:top w:val="nil"/>
              <w:left w:val="nil"/>
              <w:bottom w:val="single" w:sz="8" w:space="0" w:color="auto"/>
              <w:right w:val="single" w:sz="8" w:space="0" w:color="auto"/>
            </w:tcBorders>
            <w:vAlign w:val="center"/>
            <w:hideMark/>
          </w:tcPr>
          <w:p w:rsidR="00D5791C" w:rsidRPr="00595EE3" w:rsidP="00D03DD4" w14:paraId="698AAE07" w14:textId="77777777">
            <w:pPr>
              <w:jc w:val="center"/>
              <w:rPr>
                <w:rFonts w:ascii="Source Sans Pro" w:hAnsi="Source Sans Pro" w:cs="Calibri"/>
                <w:color w:val="000000"/>
                <w:sz w:val="20"/>
              </w:rPr>
            </w:pPr>
            <w:r w:rsidRPr="00595EE3">
              <w:rPr>
                <w:rFonts w:ascii="Source Sans Pro" w:hAnsi="Source Sans Pro" w:cs="Calibri"/>
                <w:color w:val="000000"/>
                <w:sz w:val="20"/>
              </w:rPr>
              <w:t>0</w:t>
            </w:r>
          </w:p>
        </w:tc>
        <w:tc>
          <w:tcPr>
            <w:tcW w:w="984" w:type="dxa"/>
            <w:tcBorders>
              <w:top w:val="nil"/>
              <w:left w:val="nil"/>
              <w:bottom w:val="single" w:sz="8" w:space="0" w:color="auto"/>
              <w:right w:val="single" w:sz="8" w:space="0" w:color="auto"/>
            </w:tcBorders>
            <w:vAlign w:val="center"/>
            <w:hideMark/>
          </w:tcPr>
          <w:p w:rsidR="00D5791C" w:rsidRPr="00595EE3" w:rsidP="00D03DD4" w14:paraId="084342FA" w14:textId="77777777">
            <w:pPr>
              <w:jc w:val="center"/>
              <w:rPr>
                <w:rFonts w:ascii="Source Sans Pro" w:hAnsi="Source Sans Pro" w:cs="Calibri"/>
                <w:color w:val="000000"/>
                <w:sz w:val="20"/>
              </w:rPr>
            </w:pPr>
            <w:r w:rsidRPr="00595EE3">
              <w:rPr>
                <w:rFonts w:ascii="Source Sans Pro" w:hAnsi="Source Sans Pro" w:cs="Calibri"/>
                <w:color w:val="000000"/>
                <w:sz w:val="20"/>
              </w:rPr>
              <w:t>0</w:t>
            </w:r>
          </w:p>
        </w:tc>
        <w:tc>
          <w:tcPr>
            <w:tcW w:w="884" w:type="dxa"/>
            <w:tcBorders>
              <w:top w:val="nil"/>
              <w:left w:val="nil"/>
              <w:bottom w:val="single" w:sz="8" w:space="0" w:color="auto"/>
              <w:right w:val="single" w:sz="8" w:space="0" w:color="auto"/>
            </w:tcBorders>
            <w:vAlign w:val="center"/>
            <w:hideMark/>
          </w:tcPr>
          <w:p w:rsidR="00D5791C" w:rsidRPr="00595EE3" w:rsidP="00D03DD4" w14:paraId="176D21AD" w14:textId="77777777">
            <w:pPr>
              <w:jc w:val="center"/>
              <w:rPr>
                <w:rFonts w:ascii="Source Sans Pro" w:hAnsi="Source Sans Pro" w:cs="Calibri"/>
                <w:color w:val="000000"/>
                <w:sz w:val="20"/>
              </w:rPr>
            </w:pPr>
            <w:r w:rsidRPr="00595EE3">
              <w:rPr>
                <w:rFonts w:ascii="Source Sans Pro" w:hAnsi="Source Sans Pro" w:cs="Calibri"/>
                <w:color w:val="000000"/>
                <w:sz w:val="20"/>
              </w:rPr>
              <w:t>0</w:t>
            </w:r>
          </w:p>
        </w:tc>
        <w:tc>
          <w:tcPr>
            <w:tcW w:w="1444" w:type="dxa"/>
            <w:tcBorders>
              <w:top w:val="nil"/>
              <w:left w:val="nil"/>
              <w:bottom w:val="single" w:sz="8" w:space="0" w:color="auto"/>
              <w:right w:val="single" w:sz="8" w:space="0" w:color="auto"/>
            </w:tcBorders>
            <w:vAlign w:val="center"/>
            <w:hideMark/>
          </w:tcPr>
          <w:p w:rsidR="00D5791C" w:rsidRPr="00595EE3" w:rsidP="00D03DD4" w14:paraId="50B1ADCF" w14:textId="77777777">
            <w:pPr>
              <w:ind w:firstLine="200" w:firstLineChars="100"/>
              <w:jc w:val="right"/>
              <w:rPr>
                <w:rFonts w:ascii="Source Sans Pro" w:hAnsi="Source Sans Pro" w:cs="Calibri"/>
                <w:color w:val="000000"/>
                <w:sz w:val="20"/>
              </w:rPr>
            </w:pPr>
            <w:r>
              <w:rPr>
                <w:rFonts w:ascii="Source Sans Pro" w:hAnsi="Source Sans Pro" w:cs="Calibri"/>
                <w:color w:val="000000"/>
                <w:sz w:val="20"/>
              </w:rPr>
              <w:t xml:space="preserve">$198.32 </w:t>
            </w:r>
          </w:p>
        </w:tc>
      </w:tr>
      <w:tr w14:paraId="408E6794" w14:textId="77777777" w:rsidTr="00D03DD4">
        <w:tblPrEx>
          <w:tblW w:w="10423" w:type="dxa"/>
          <w:tblCellMar>
            <w:top w:w="15" w:type="dxa"/>
          </w:tblCellMar>
          <w:tblLook w:val="04A0"/>
        </w:tblPrEx>
        <w:trPr>
          <w:trHeight w:val="840"/>
        </w:trPr>
        <w:tc>
          <w:tcPr>
            <w:tcW w:w="2192" w:type="dxa"/>
            <w:tcBorders>
              <w:top w:val="nil"/>
              <w:left w:val="single" w:sz="8" w:space="0" w:color="auto"/>
              <w:bottom w:val="single" w:sz="8" w:space="0" w:color="auto"/>
              <w:right w:val="single" w:sz="8" w:space="0" w:color="auto"/>
            </w:tcBorders>
            <w:vAlign w:val="center"/>
            <w:hideMark/>
          </w:tcPr>
          <w:p w:rsidR="00D5791C" w:rsidRPr="00595EE3" w:rsidP="00D03DD4" w14:paraId="16DF59FE" w14:textId="77777777">
            <w:pPr>
              <w:rPr>
                <w:rFonts w:ascii="Source Sans Pro" w:hAnsi="Source Sans Pro" w:cs="Calibri"/>
                <w:color w:val="000000"/>
                <w:sz w:val="20"/>
              </w:rPr>
            </w:pPr>
            <w:r w:rsidRPr="00595EE3">
              <w:rPr>
                <w:rFonts w:ascii="Source Sans Pro" w:hAnsi="Source Sans Pro" w:cs="Calibri"/>
                <w:color w:val="000000"/>
                <w:sz w:val="20"/>
              </w:rPr>
              <w:t>6. Section 351.4(c)(3)(i) - Limit Breaches and Increases (Mandatory)</w:t>
            </w:r>
          </w:p>
        </w:tc>
        <w:tc>
          <w:tcPr>
            <w:tcW w:w="845" w:type="dxa"/>
            <w:tcBorders>
              <w:top w:val="nil"/>
              <w:left w:val="nil"/>
              <w:bottom w:val="single" w:sz="8" w:space="0" w:color="auto"/>
              <w:right w:val="single" w:sz="8" w:space="0" w:color="auto"/>
            </w:tcBorders>
            <w:vAlign w:val="center"/>
            <w:hideMark/>
          </w:tcPr>
          <w:p w:rsidR="00D5791C" w:rsidRPr="00595EE3" w:rsidP="00D03DD4" w14:paraId="118C12D5" w14:textId="77777777">
            <w:pPr>
              <w:jc w:val="center"/>
              <w:rPr>
                <w:rFonts w:ascii="Source Sans Pro" w:hAnsi="Source Sans Pro" w:cs="Calibri"/>
                <w:color w:val="000000"/>
                <w:sz w:val="20"/>
              </w:rPr>
            </w:pPr>
            <w:r w:rsidRPr="00595EE3">
              <w:rPr>
                <w:rFonts w:ascii="Source Sans Pro" w:hAnsi="Source Sans Pro" w:cs="Calibri"/>
                <w:color w:val="000000"/>
                <w:sz w:val="20"/>
              </w:rPr>
              <w:t>1.31</w:t>
            </w:r>
          </w:p>
        </w:tc>
        <w:tc>
          <w:tcPr>
            <w:tcW w:w="984" w:type="dxa"/>
            <w:tcBorders>
              <w:top w:val="nil"/>
              <w:left w:val="nil"/>
              <w:bottom w:val="single" w:sz="8" w:space="0" w:color="auto"/>
              <w:right w:val="single" w:sz="8" w:space="0" w:color="auto"/>
            </w:tcBorders>
            <w:vAlign w:val="center"/>
            <w:hideMark/>
          </w:tcPr>
          <w:p w:rsidR="00D5791C" w:rsidRPr="00595EE3" w:rsidP="00D03DD4" w14:paraId="45BB39A3" w14:textId="77777777">
            <w:pPr>
              <w:jc w:val="center"/>
              <w:rPr>
                <w:rFonts w:ascii="Source Sans Pro" w:hAnsi="Source Sans Pro" w:cs="Calibri"/>
                <w:color w:val="000000"/>
                <w:sz w:val="20"/>
              </w:rPr>
            </w:pPr>
            <w:r w:rsidRPr="00595EE3">
              <w:rPr>
                <w:rFonts w:ascii="Source Sans Pro" w:hAnsi="Source Sans Pro" w:cs="Calibri"/>
                <w:color w:val="000000"/>
                <w:sz w:val="20"/>
              </w:rPr>
              <w:t>0</w:t>
            </w:r>
          </w:p>
        </w:tc>
        <w:tc>
          <w:tcPr>
            <w:tcW w:w="984" w:type="dxa"/>
            <w:tcBorders>
              <w:top w:val="nil"/>
              <w:left w:val="nil"/>
              <w:bottom w:val="single" w:sz="8" w:space="0" w:color="auto"/>
              <w:right w:val="single" w:sz="8" w:space="0" w:color="auto"/>
            </w:tcBorders>
            <w:vAlign w:val="center"/>
            <w:hideMark/>
          </w:tcPr>
          <w:p w:rsidR="00D5791C" w:rsidRPr="00595EE3" w:rsidP="00D03DD4" w14:paraId="3A9F0E43" w14:textId="77777777">
            <w:pPr>
              <w:jc w:val="center"/>
              <w:rPr>
                <w:rFonts w:ascii="Source Sans Pro" w:hAnsi="Source Sans Pro" w:cs="Calibri"/>
                <w:color w:val="000000"/>
                <w:sz w:val="20"/>
              </w:rPr>
            </w:pPr>
            <w:r w:rsidRPr="00595EE3">
              <w:rPr>
                <w:rFonts w:ascii="Source Sans Pro" w:hAnsi="Source Sans Pro" w:cs="Calibri"/>
                <w:color w:val="000000"/>
                <w:sz w:val="20"/>
              </w:rPr>
              <w:t>0</w:t>
            </w:r>
          </w:p>
        </w:tc>
        <w:tc>
          <w:tcPr>
            <w:tcW w:w="900" w:type="dxa"/>
            <w:tcBorders>
              <w:top w:val="nil"/>
              <w:left w:val="nil"/>
              <w:bottom w:val="single" w:sz="8" w:space="0" w:color="auto"/>
              <w:right w:val="single" w:sz="8" w:space="0" w:color="auto"/>
            </w:tcBorders>
            <w:vAlign w:val="center"/>
            <w:hideMark/>
          </w:tcPr>
          <w:p w:rsidR="00D5791C" w:rsidRPr="00595EE3" w:rsidP="00D03DD4" w14:paraId="02F2F756" w14:textId="77777777">
            <w:pPr>
              <w:jc w:val="center"/>
              <w:rPr>
                <w:rFonts w:ascii="Source Sans Pro" w:hAnsi="Source Sans Pro" w:cs="Calibri"/>
                <w:color w:val="000000"/>
                <w:sz w:val="20"/>
              </w:rPr>
            </w:pPr>
            <w:r w:rsidRPr="00595EE3">
              <w:rPr>
                <w:rFonts w:ascii="Source Sans Pro" w:hAnsi="Source Sans Pro" w:cs="Calibri"/>
                <w:color w:val="000000"/>
                <w:sz w:val="20"/>
              </w:rPr>
              <w:t>0</w:t>
            </w:r>
          </w:p>
        </w:tc>
        <w:tc>
          <w:tcPr>
            <w:tcW w:w="984" w:type="dxa"/>
            <w:tcBorders>
              <w:top w:val="nil"/>
              <w:left w:val="nil"/>
              <w:bottom w:val="single" w:sz="8" w:space="0" w:color="auto"/>
              <w:right w:val="single" w:sz="8" w:space="0" w:color="auto"/>
            </w:tcBorders>
            <w:vAlign w:val="center"/>
            <w:hideMark/>
          </w:tcPr>
          <w:p w:rsidR="00D5791C" w:rsidRPr="00595EE3" w:rsidP="00D03DD4" w14:paraId="3E074D4C" w14:textId="77777777">
            <w:pPr>
              <w:jc w:val="center"/>
              <w:rPr>
                <w:rFonts w:ascii="Source Sans Pro" w:hAnsi="Source Sans Pro" w:cs="Calibri"/>
                <w:color w:val="000000"/>
                <w:sz w:val="20"/>
              </w:rPr>
            </w:pPr>
            <w:r w:rsidRPr="00595EE3">
              <w:rPr>
                <w:rFonts w:ascii="Source Sans Pro" w:hAnsi="Source Sans Pro" w:cs="Calibri"/>
                <w:color w:val="000000"/>
                <w:sz w:val="20"/>
              </w:rPr>
              <w:t>0</w:t>
            </w:r>
          </w:p>
        </w:tc>
        <w:tc>
          <w:tcPr>
            <w:tcW w:w="984" w:type="dxa"/>
            <w:tcBorders>
              <w:top w:val="nil"/>
              <w:left w:val="nil"/>
              <w:bottom w:val="single" w:sz="8" w:space="0" w:color="auto"/>
              <w:right w:val="single" w:sz="8" w:space="0" w:color="auto"/>
            </w:tcBorders>
            <w:vAlign w:val="center"/>
            <w:hideMark/>
          </w:tcPr>
          <w:p w:rsidR="00D5791C" w:rsidRPr="00595EE3" w:rsidP="00D03DD4" w14:paraId="392D3926" w14:textId="77777777">
            <w:pPr>
              <w:jc w:val="center"/>
              <w:rPr>
                <w:rFonts w:ascii="Source Sans Pro" w:hAnsi="Source Sans Pro" w:cs="Calibri"/>
                <w:color w:val="000000"/>
                <w:sz w:val="20"/>
              </w:rPr>
            </w:pPr>
            <w:r w:rsidRPr="00595EE3">
              <w:rPr>
                <w:rFonts w:ascii="Source Sans Pro" w:hAnsi="Source Sans Pro" w:cs="Calibri"/>
                <w:color w:val="000000"/>
                <w:sz w:val="20"/>
              </w:rPr>
              <w:t>100</w:t>
            </w:r>
          </w:p>
        </w:tc>
        <w:tc>
          <w:tcPr>
            <w:tcW w:w="884" w:type="dxa"/>
            <w:tcBorders>
              <w:top w:val="nil"/>
              <w:left w:val="nil"/>
              <w:bottom w:val="single" w:sz="8" w:space="0" w:color="auto"/>
              <w:right w:val="single" w:sz="8" w:space="0" w:color="auto"/>
            </w:tcBorders>
            <w:vAlign w:val="center"/>
            <w:hideMark/>
          </w:tcPr>
          <w:p w:rsidR="00D5791C" w:rsidRPr="00595EE3" w:rsidP="00D03DD4" w14:paraId="16F63DCD" w14:textId="77777777">
            <w:pPr>
              <w:jc w:val="center"/>
              <w:rPr>
                <w:rFonts w:ascii="Source Sans Pro" w:hAnsi="Source Sans Pro" w:cs="Calibri"/>
                <w:color w:val="000000"/>
                <w:sz w:val="20"/>
              </w:rPr>
            </w:pPr>
            <w:r w:rsidRPr="00595EE3">
              <w:rPr>
                <w:rFonts w:ascii="Source Sans Pro" w:hAnsi="Source Sans Pro" w:cs="Calibri"/>
                <w:color w:val="000000"/>
                <w:sz w:val="20"/>
              </w:rPr>
              <w:t>0</w:t>
            </w:r>
          </w:p>
        </w:tc>
        <w:tc>
          <w:tcPr>
            <w:tcW w:w="1444" w:type="dxa"/>
            <w:tcBorders>
              <w:top w:val="nil"/>
              <w:left w:val="nil"/>
              <w:bottom w:val="single" w:sz="8" w:space="0" w:color="auto"/>
              <w:right w:val="single" w:sz="8" w:space="0" w:color="auto"/>
            </w:tcBorders>
            <w:vAlign w:val="center"/>
            <w:hideMark/>
          </w:tcPr>
          <w:p w:rsidR="00D5791C" w:rsidRPr="00595EE3" w:rsidP="00D03DD4" w14:paraId="7FAD9086" w14:textId="77777777">
            <w:pPr>
              <w:ind w:firstLine="200" w:firstLineChars="100"/>
              <w:jc w:val="right"/>
              <w:rPr>
                <w:rFonts w:ascii="Source Sans Pro" w:hAnsi="Source Sans Pro" w:cs="Calibri"/>
                <w:color w:val="000000"/>
                <w:sz w:val="20"/>
              </w:rPr>
            </w:pPr>
            <w:r>
              <w:rPr>
                <w:rFonts w:ascii="Source Sans Pro" w:hAnsi="Source Sans Pro" w:cs="Calibri"/>
                <w:color w:val="000000"/>
                <w:sz w:val="20"/>
              </w:rPr>
              <w:t xml:space="preserve">$103.65 </w:t>
            </w:r>
          </w:p>
        </w:tc>
      </w:tr>
      <w:tr w14:paraId="1C11823B" w14:textId="77777777" w:rsidTr="00D03DD4">
        <w:tblPrEx>
          <w:tblW w:w="10423" w:type="dxa"/>
          <w:tblCellMar>
            <w:top w:w="15" w:type="dxa"/>
          </w:tblCellMar>
          <w:tblLook w:val="04A0"/>
        </w:tblPrEx>
        <w:trPr>
          <w:trHeight w:val="1116"/>
        </w:trPr>
        <w:tc>
          <w:tcPr>
            <w:tcW w:w="2192" w:type="dxa"/>
            <w:tcBorders>
              <w:top w:val="nil"/>
              <w:left w:val="single" w:sz="8" w:space="0" w:color="auto"/>
              <w:bottom w:val="single" w:sz="8" w:space="0" w:color="auto"/>
              <w:right w:val="single" w:sz="8" w:space="0" w:color="auto"/>
            </w:tcBorders>
            <w:vAlign w:val="center"/>
            <w:hideMark/>
          </w:tcPr>
          <w:p w:rsidR="00D5791C" w:rsidRPr="00595EE3" w:rsidP="00D03DD4" w14:paraId="32287F32" w14:textId="77777777">
            <w:pPr>
              <w:rPr>
                <w:rFonts w:ascii="Source Sans Pro" w:hAnsi="Source Sans Pro" w:cs="Calibri"/>
                <w:color w:val="000000"/>
                <w:sz w:val="20"/>
              </w:rPr>
            </w:pPr>
            <w:r w:rsidRPr="00595EE3">
              <w:rPr>
                <w:rFonts w:ascii="Source Sans Pro" w:hAnsi="Source Sans Pro" w:cs="Calibri"/>
                <w:color w:val="000000"/>
                <w:sz w:val="20"/>
              </w:rPr>
              <w:t>7. Section 351.5(c) - Hedging Instruments Documentation (Mandatory)</w:t>
            </w:r>
          </w:p>
        </w:tc>
        <w:tc>
          <w:tcPr>
            <w:tcW w:w="845" w:type="dxa"/>
            <w:tcBorders>
              <w:top w:val="nil"/>
              <w:left w:val="nil"/>
              <w:bottom w:val="single" w:sz="8" w:space="0" w:color="auto"/>
              <w:right w:val="single" w:sz="8" w:space="0" w:color="auto"/>
            </w:tcBorders>
            <w:vAlign w:val="center"/>
            <w:hideMark/>
          </w:tcPr>
          <w:p w:rsidR="00D5791C" w:rsidRPr="00595EE3" w:rsidP="00D03DD4" w14:paraId="56A46041" w14:textId="77777777">
            <w:pPr>
              <w:jc w:val="center"/>
              <w:rPr>
                <w:rFonts w:ascii="Source Sans Pro" w:hAnsi="Source Sans Pro" w:cs="Calibri"/>
                <w:color w:val="000000"/>
                <w:sz w:val="20"/>
              </w:rPr>
            </w:pPr>
            <w:r w:rsidRPr="00595EE3">
              <w:rPr>
                <w:rFonts w:ascii="Source Sans Pro" w:hAnsi="Source Sans Pro" w:cs="Calibri"/>
                <w:color w:val="000000"/>
                <w:sz w:val="20"/>
              </w:rPr>
              <w:t>4.19</w:t>
            </w:r>
          </w:p>
        </w:tc>
        <w:tc>
          <w:tcPr>
            <w:tcW w:w="984" w:type="dxa"/>
            <w:tcBorders>
              <w:top w:val="nil"/>
              <w:left w:val="nil"/>
              <w:bottom w:val="single" w:sz="8" w:space="0" w:color="auto"/>
              <w:right w:val="single" w:sz="8" w:space="0" w:color="auto"/>
            </w:tcBorders>
            <w:vAlign w:val="center"/>
            <w:hideMark/>
          </w:tcPr>
          <w:p w:rsidR="00D5791C" w:rsidRPr="00595EE3" w:rsidP="00D03DD4" w14:paraId="7B0D7534" w14:textId="77777777">
            <w:pPr>
              <w:jc w:val="center"/>
              <w:rPr>
                <w:rFonts w:ascii="Source Sans Pro" w:hAnsi="Source Sans Pro" w:cs="Calibri"/>
                <w:color w:val="000000"/>
                <w:sz w:val="20"/>
              </w:rPr>
            </w:pPr>
            <w:r w:rsidRPr="00595EE3">
              <w:rPr>
                <w:rFonts w:ascii="Source Sans Pro" w:hAnsi="Source Sans Pro" w:cs="Calibri"/>
                <w:color w:val="000000"/>
                <w:sz w:val="20"/>
              </w:rPr>
              <w:t>0</w:t>
            </w:r>
          </w:p>
        </w:tc>
        <w:tc>
          <w:tcPr>
            <w:tcW w:w="984" w:type="dxa"/>
            <w:tcBorders>
              <w:top w:val="nil"/>
              <w:left w:val="nil"/>
              <w:bottom w:val="single" w:sz="8" w:space="0" w:color="auto"/>
              <w:right w:val="single" w:sz="8" w:space="0" w:color="auto"/>
            </w:tcBorders>
            <w:vAlign w:val="center"/>
            <w:hideMark/>
          </w:tcPr>
          <w:p w:rsidR="00D5791C" w:rsidRPr="00595EE3" w:rsidP="00D03DD4" w14:paraId="4E5632B1" w14:textId="77777777">
            <w:pPr>
              <w:jc w:val="center"/>
              <w:rPr>
                <w:rFonts w:ascii="Source Sans Pro" w:hAnsi="Source Sans Pro" w:cs="Calibri"/>
                <w:color w:val="000000"/>
                <w:sz w:val="20"/>
              </w:rPr>
            </w:pPr>
            <w:r w:rsidRPr="00595EE3">
              <w:rPr>
                <w:rFonts w:ascii="Source Sans Pro" w:hAnsi="Source Sans Pro" w:cs="Calibri"/>
                <w:color w:val="000000"/>
                <w:sz w:val="20"/>
              </w:rPr>
              <w:t>0</w:t>
            </w:r>
          </w:p>
        </w:tc>
        <w:tc>
          <w:tcPr>
            <w:tcW w:w="900" w:type="dxa"/>
            <w:tcBorders>
              <w:top w:val="nil"/>
              <w:left w:val="nil"/>
              <w:bottom w:val="single" w:sz="8" w:space="0" w:color="auto"/>
              <w:right w:val="single" w:sz="8" w:space="0" w:color="auto"/>
            </w:tcBorders>
            <w:vAlign w:val="center"/>
            <w:hideMark/>
          </w:tcPr>
          <w:p w:rsidR="00D5791C" w:rsidRPr="00595EE3" w:rsidP="00D03DD4" w14:paraId="5BE3923B" w14:textId="77777777">
            <w:pPr>
              <w:jc w:val="center"/>
              <w:rPr>
                <w:rFonts w:ascii="Source Sans Pro" w:hAnsi="Source Sans Pro" w:cs="Calibri"/>
                <w:color w:val="000000"/>
                <w:sz w:val="20"/>
              </w:rPr>
            </w:pPr>
            <w:r w:rsidRPr="00595EE3">
              <w:rPr>
                <w:rFonts w:ascii="Source Sans Pro" w:hAnsi="Source Sans Pro" w:cs="Calibri"/>
                <w:color w:val="000000"/>
                <w:sz w:val="20"/>
              </w:rPr>
              <w:t>0</w:t>
            </w:r>
          </w:p>
        </w:tc>
        <w:tc>
          <w:tcPr>
            <w:tcW w:w="984" w:type="dxa"/>
            <w:tcBorders>
              <w:top w:val="nil"/>
              <w:left w:val="nil"/>
              <w:bottom w:val="single" w:sz="8" w:space="0" w:color="auto"/>
              <w:right w:val="single" w:sz="8" w:space="0" w:color="auto"/>
            </w:tcBorders>
            <w:vAlign w:val="center"/>
            <w:hideMark/>
          </w:tcPr>
          <w:p w:rsidR="00D5791C" w:rsidRPr="00595EE3" w:rsidP="00D03DD4" w14:paraId="446DCAC8" w14:textId="77777777">
            <w:pPr>
              <w:jc w:val="center"/>
              <w:rPr>
                <w:rFonts w:ascii="Source Sans Pro" w:hAnsi="Source Sans Pro" w:cs="Calibri"/>
                <w:color w:val="000000"/>
                <w:sz w:val="20"/>
              </w:rPr>
            </w:pPr>
            <w:r w:rsidRPr="00595EE3">
              <w:rPr>
                <w:rFonts w:ascii="Source Sans Pro" w:hAnsi="Source Sans Pro" w:cs="Calibri"/>
                <w:color w:val="000000"/>
                <w:sz w:val="20"/>
              </w:rPr>
              <w:t>0</w:t>
            </w:r>
          </w:p>
        </w:tc>
        <w:tc>
          <w:tcPr>
            <w:tcW w:w="984" w:type="dxa"/>
            <w:tcBorders>
              <w:top w:val="nil"/>
              <w:left w:val="nil"/>
              <w:bottom w:val="single" w:sz="8" w:space="0" w:color="auto"/>
              <w:right w:val="single" w:sz="8" w:space="0" w:color="auto"/>
            </w:tcBorders>
            <w:vAlign w:val="center"/>
            <w:hideMark/>
          </w:tcPr>
          <w:p w:rsidR="00D5791C" w:rsidRPr="00595EE3" w:rsidP="00D03DD4" w14:paraId="43094355" w14:textId="77777777">
            <w:pPr>
              <w:jc w:val="center"/>
              <w:rPr>
                <w:rFonts w:ascii="Source Sans Pro" w:hAnsi="Source Sans Pro" w:cs="Calibri"/>
                <w:color w:val="000000"/>
                <w:sz w:val="20"/>
              </w:rPr>
            </w:pPr>
            <w:r w:rsidRPr="00595EE3">
              <w:rPr>
                <w:rFonts w:ascii="Source Sans Pro" w:hAnsi="Source Sans Pro" w:cs="Calibri"/>
                <w:color w:val="000000"/>
                <w:sz w:val="20"/>
              </w:rPr>
              <w:t>100</w:t>
            </w:r>
          </w:p>
        </w:tc>
        <w:tc>
          <w:tcPr>
            <w:tcW w:w="884" w:type="dxa"/>
            <w:tcBorders>
              <w:top w:val="nil"/>
              <w:left w:val="nil"/>
              <w:bottom w:val="single" w:sz="8" w:space="0" w:color="auto"/>
              <w:right w:val="single" w:sz="8" w:space="0" w:color="auto"/>
            </w:tcBorders>
            <w:vAlign w:val="center"/>
            <w:hideMark/>
          </w:tcPr>
          <w:p w:rsidR="00D5791C" w:rsidRPr="00595EE3" w:rsidP="00D03DD4" w14:paraId="5568E433" w14:textId="77777777">
            <w:pPr>
              <w:jc w:val="center"/>
              <w:rPr>
                <w:rFonts w:ascii="Source Sans Pro" w:hAnsi="Source Sans Pro" w:cs="Calibri"/>
                <w:color w:val="000000"/>
                <w:sz w:val="20"/>
              </w:rPr>
            </w:pPr>
            <w:r w:rsidRPr="00595EE3">
              <w:rPr>
                <w:rFonts w:ascii="Source Sans Pro" w:hAnsi="Source Sans Pro" w:cs="Calibri"/>
                <w:color w:val="000000"/>
                <w:sz w:val="20"/>
              </w:rPr>
              <w:t>0</w:t>
            </w:r>
          </w:p>
        </w:tc>
        <w:tc>
          <w:tcPr>
            <w:tcW w:w="1444" w:type="dxa"/>
            <w:tcBorders>
              <w:top w:val="nil"/>
              <w:left w:val="nil"/>
              <w:bottom w:val="single" w:sz="8" w:space="0" w:color="auto"/>
              <w:right w:val="single" w:sz="8" w:space="0" w:color="auto"/>
            </w:tcBorders>
            <w:vAlign w:val="center"/>
            <w:hideMark/>
          </w:tcPr>
          <w:p w:rsidR="00D5791C" w:rsidRPr="00595EE3" w:rsidP="00D03DD4" w14:paraId="34076DF1" w14:textId="77777777">
            <w:pPr>
              <w:ind w:firstLine="200" w:firstLineChars="100"/>
              <w:jc w:val="right"/>
              <w:rPr>
                <w:rFonts w:ascii="Source Sans Pro" w:hAnsi="Source Sans Pro" w:cs="Calibri"/>
                <w:color w:val="000000"/>
                <w:sz w:val="20"/>
              </w:rPr>
            </w:pPr>
            <w:r>
              <w:rPr>
                <w:rFonts w:ascii="Source Sans Pro" w:hAnsi="Source Sans Pro" w:cs="Calibri"/>
                <w:color w:val="000000"/>
                <w:sz w:val="20"/>
              </w:rPr>
              <w:t xml:space="preserve">$103.65 </w:t>
            </w:r>
          </w:p>
        </w:tc>
      </w:tr>
      <w:tr w14:paraId="525DB9B1" w14:textId="77777777" w:rsidTr="00D03DD4">
        <w:tblPrEx>
          <w:tblW w:w="10423" w:type="dxa"/>
          <w:tblCellMar>
            <w:top w:w="15" w:type="dxa"/>
          </w:tblCellMar>
          <w:tblLook w:val="04A0"/>
        </w:tblPrEx>
        <w:trPr>
          <w:trHeight w:val="1116"/>
        </w:trPr>
        <w:tc>
          <w:tcPr>
            <w:tcW w:w="2192" w:type="dxa"/>
            <w:tcBorders>
              <w:top w:val="nil"/>
              <w:left w:val="single" w:sz="8" w:space="0" w:color="auto"/>
              <w:bottom w:val="single" w:sz="8" w:space="0" w:color="auto"/>
              <w:right w:val="single" w:sz="8" w:space="0" w:color="auto"/>
            </w:tcBorders>
            <w:vAlign w:val="center"/>
            <w:hideMark/>
          </w:tcPr>
          <w:p w:rsidR="00D5791C" w:rsidRPr="00595EE3" w:rsidP="00D03DD4" w14:paraId="66BDD671" w14:textId="77777777">
            <w:pPr>
              <w:rPr>
                <w:rFonts w:ascii="Source Sans Pro" w:hAnsi="Source Sans Pro" w:cs="Calibri"/>
                <w:color w:val="000000"/>
                <w:sz w:val="20"/>
              </w:rPr>
            </w:pPr>
            <w:r w:rsidRPr="00595EE3">
              <w:rPr>
                <w:rFonts w:ascii="Source Sans Pro" w:hAnsi="Source Sans Pro" w:cs="Calibri"/>
                <w:color w:val="000000"/>
                <w:sz w:val="20"/>
              </w:rPr>
              <w:t>8. Section 351.10(c)(18)(ii)(C)(1) - Customer facilitation vehicles (Mandatory)</w:t>
            </w:r>
          </w:p>
        </w:tc>
        <w:tc>
          <w:tcPr>
            <w:tcW w:w="845" w:type="dxa"/>
            <w:tcBorders>
              <w:top w:val="nil"/>
              <w:left w:val="nil"/>
              <w:bottom w:val="single" w:sz="8" w:space="0" w:color="auto"/>
              <w:right w:val="single" w:sz="8" w:space="0" w:color="auto"/>
            </w:tcBorders>
            <w:vAlign w:val="center"/>
            <w:hideMark/>
          </w:tcPr>
          <w:p w:rsidR="00D5791C" w:rsidRPr="00595EE3" w:rsidP="00D03DD4" w14:paraId="1BD8920F" w14:textId="77777777">
            <w:pPr>
              <w:jc w:val="center"/>
              <w:rPr>
                <w:rFonts w:ascii="Source Sans Pro" w:hAnsi="Source Sans Pro" w:cs="Calibri"/>
                <w:color w:val="000000"/>
                <w:sz w:val="20"/>
              </w:rPr>
            </w:pPr>
            <w:r w:rsidRPr="00595EE3">
              <w:rPr>
                <w:rFonts w:ascii="Source Sans Pro" w:hAnsi="Source Sans Pro" w:cs="Calibri"/>
                <w:color w:val="000000"/>
                <w:sz w:val="20"/>
              </w:rPr>
              <w:t>1.31</w:t>
            </w:r>
          </w:p>
        </w:tc>
        <w:tc>
          <w:tcPr>
            <w:tcW w:w="984" w:type="dxa"/>
            <w:tcBorders>
              <w:top w:val="nil"/>
              <w:left w:val="nil"/>
              <w:bottom w:val="single" w:sz="8" w:space="0" w:color="auto"/>
              <w:right w:val="single" w:sz="8" w:space="0" w:color="auto"/>
            </w:tcBorders>
            <w:vAlign w:val="center"/>
            <w:hideMark/>
          </w:tcPr>
          <w:p w:rsidR="00D5791C" w:rsidRPr="00595EE3" w:rsidP="00D03DD4" w14:paraId="5E67F73B" w14:textId="77777777">
            <w:pPr>
              <w:jc w:val="center"/>
              <w:rPr>
                <w:rFonts w:ascii="Source Sans Pro" w:hAnsi="Source Sans Pro" w:cs="Calibri"/>
                <w:color w:val="000000"/>
                <w:sz w:val="20"/>
              </w:rPr>
            </w:pPr>
            <w:r w:rsidRPr="00595EE3">
              <w:rPr>
                <w:rFonts w:ascii="Source Sans Pro" w:hAnsi="Source Sans Pro" w:cs="Calibri"/>
                <w:color w:val="000000"/>
                <w:sz w:val="20"/>
              </w:rPr>
              <w:t>0</w:t>
            </w:r>
          </w:p>
        </w:tc>
        <w:tc>
          <w:tcPr>
            <w:tcW w:w="984" w:type="dxa"/>
            <w:tcBorders>
              <w:top w:val="nil"/>
              <w:left w:val="nil"/>
              <w:bottom w:val="single" w:sz="8" w:space="0" w:color="auto"/>
              <w:right w:val="single" w:sz="8" w:space="0" w:color="auto"/>
            </w:tcBorders>
            <w:vAlign w:val="center"/>
            <w:hideMark/>
          </w:tcPr>
          <w:p w:rsidR="00D5791C" w:rsidRPr="00595EE3" w:rsidP="00D03DD4" w14:paraId="55846B99" w14:textId="77777777">
            <w:pPr>
              <w:jc w:val="center"/>
              <w:rPr>
                <w:rFonts w:ascii="Source Sans Pro" w:hAnsi="Source Sans Pro" w:cs="Calibri"/>
                <w:color w:val="000000"/>
                <w:sz w:val="20"/>
              </w:rPr>
            </w:pPr>
            <w:r w:rsidRPr="00595EE3">
              <w:rPr>
                <w:rFonts w:ascii="Source Sans Pro" w:hAnsi="Source Sans Pro" w:cs="Calibri"/>
                <w:color w:val="000000"/>
                <w:sz w:val="20"/>
              </w:rPr>
              <w:t>50</w:t>
            </w:r>
          </w:p>
        </w:tc>
        <w:tc>
          <w:tcPr>
            <w:tcW w:w="900" w:type="dxa"/>
            <w:tcBorders>
              <w:top w:val="nil"/>
              <w:left w:val="nil"/>
              <w:bottom w:val="single" w:sz="8" w:space="0" w:color="auto"/>
              <w:right w:val="single" w:sz="8" w:space="0" w:color="auto"/>
            </w:tcBorders>
            <w:vAlign w:val="center"/>
            <w:hideMark/>
          </w:tcPr>
          <w:p w:rsidR="00D5791C" w:rsidRPr="00595EE3" w:rsidP="00D03DD4" w14:paraId="5420AC44" w14:textId="77777777">
            <w:pPr>
              <w:jc w:val="center"/>
              <w:rPr>
                <w:rFonts w:ascii="Source Sans Pro" w:hAnsi="Source Sans Pro" w:cs="Calibri"/>
                <w:color w:val="000000"/>
                <w:sz w:val="20"/>
              </w:rPr>
            </w:pPr>
            <w:r w:rsidRPr="00595EE3">
              <w:rPr>
                <w:rFonts w:ascii="Source Sans Pro" w:hAnsi="Source Sans Pro" w:cs="Calibri"/>
                <w:color w:val="000000"/>
                <w:sz w:val="20"/>
              </w:rPr>
              <w:t>0</w:t>
            </w:r>
          </w:p>
        </w:tc>
        <w:tc>
          <w:tcPr>
            <w:tcW w:w="984" w:type="dxa"/>
            <w:tcBorders>
              <w:top w:val="nil"/>
              <w:left w:val="nil"/>
              <w:bottom w:val="single" w:sz="8" w:space="0" w:color="auto"/>
              <w:right w:val="single" w:sz="8" w:space="0" w:color="auto"/>
            </w:tcBorders>
            <w:vAlign w:val="center"/>
            <w:hideMark/>
          </w:tcPr>
          <w:p w:rsidR="00D5791C" w:rsidRPr="00595EE3" w:rsidP="00D03DD4" w14:paraId="047D84D3" w14:textId="77777777">
            <w:pPr>
              <w:jc w:val="center"/>
              <w:rPr>
                <w:rFonts w:ascii="Source Sans Pro" w:hAnsi="Source Sans Pro" w:cs="Calibri"/>
                <w:color w:val="000000"/>
                <w:sz w:val="20"/>
              </w:rPr>
            </w:pPr>
            <w:r w:rsidRPr="00595EE3">
              <w:rPr>
                <w:rFonts w:ascii="Source Sans Pro" w:hAnsi="Source Sans Pro" w:cs="Calibri"/>
                <w:color w:val="000000"/>
                <w:sz w:val="20"/>
              </w:rPr>
              <w:t>0</w:t>
            </w:r>
          </w:p>
        </w:tc>
        <w:tc>
          <w:tcPr>
            <w:tcW w:w="984" w:type="dxa"/>
            <w:tcBorders>
              <w:top w:val="nil"/>
              <w:left w:val="nil"/>
              <w:bottom w:val="single" w:sz="8" w:space="0" w:color="auto"/>
              <w:right w:val="single" w:sz="8" w:space="0" w:color="auto"/>
            </w:tcBorders>
            <w:vAlign w:val="center"/>
            <w:hideMark/>
          </w:tcPr>
          <w:p w:rsidR="00D5791C" w:rsidRPr="00595EE3" w:rsidP="00D03DD4" w14:paraId="5E5D3724" w14:textId="77777777">
            <w:pPr>
              <w:jc w:val="center"/>
              <w:rPr>
                <w:rFonts w:ascii="Source Sans Pro" w:hAnsi="Source Sans Pro" w:cs="Calibri"/>
                <w:color w:val="000000"/>
                <w:sz w:val="20"/>
              </w:rPr>
            </w:pPr>
            <w:r w:rsidRPr="00595EE3">
              <w:rPr>
                <w:rFonts w:ascii="Source Sans Pro" w:hAnsi="Source Sans Pro" w:cs="Calibri"/>
                <w:color w:val="000000"/>
                <w:sz w:val="20"/>
              </w:rPr>
              <w:t>50</w:t>
            </w:r>
          </w:p>
        </w:tc>
        <w:tc>
          <w:tcPr>
            <w:tcW w:w="884" w:type="dxa"/>
            <w:tcBorders>
              <w:top w:val="nil"/>
              <w:left w:val="nil"/>
              <w:bottom w:val="single" w:sz="8" w:space="0" w:color="auto"/>
              <w:right w:val="single" w:sz="8" w:space="0" w:color="auto"/>
            </w:tcBorders>
            <w:vAlign w:val="center"/>
            <w:hideMark/>
          </w:tcPr>
          <w:p w:rsidR="00D5791C" w:rsidRPr="00595EE3" w:rsidP="00D03DD4" w14:paraId="39194B87" w14:textId="77777777">
            <w:pPr>
              <w:jc w:val="center"/>
              <w:rPr>
                <w:rFonts w:ascii="Source Sans Pro" w:hAnsi="Source Sans Pro" w:cs="Calibri"/>
                <w:color w:val="000000"/>
                <w:sz w:val="20"/>
              </w:rPr>
            </w:pPr>
            <w:r w:rsidRPr="00595EE3">
              <w:rPr>
                <w:rFonts w:ascii="Source Sans Pro" w:hAnsi="Source Sans Pro" w:cs="Calibri"/>
                <w:color w:val="000000"/>
                <w:sz w:val="20"/>
              </w:rPr>
              <w:t>0</w:t>
            </w:r>
          </w:p>
        </w:tc>
        <w:tc>
          <w:tcPr>
            <w:tcW w:w="1444" w:type="dxa"/>
            <w:tcBorders>
              <w:top w:val="nil"/>
              <w:left w:val="nil"/>
              <w:bottom w:val="single" w:sz="8" w:space="0" w:color="auto"/>
              <w:right w:val="single" w:sz="8" w:space="0" w:color="auto"/>
            </w:tcBorders>
            <w:vAlign w:val="center"/>
            <w:hideMark/>
          </w:tcPr>
          <w:p w:rsidR="00D5791C" w:rsidRPr="00595EE3" w:rsidP="00D03DD4" w14:paraId="1A733FA7" w14:textId="77777777">
            <w:pPr>
              <w:ind w:firstLine="200" w:firstLineChars="100"/>
              <w:jc w:val="right"/>
              <w:rPr>
                <w:rFonts w:ascii="Source Sans Pro" w:hAnsi="Source Sans Pro" w:cs="Calibri"/>
                <w:color w:val="000000"/>
                <w:sz w:val="20"/>
              </w:rPr>
            </w:pPr>
            <w:r>
              <w:rPr>
                <w:rFonts w:ascii="Source Sans Pro" w:hAnsi="Source Sans Pro" w:cs="Calibri"/>
                <w:color w:val="000000"/>
                <w:sz w:val="20"/>
              </w:rPr>
              <w:t xml:space="preserve">$150.99 </w:t>
            </w:r>
          </w:p>
        </w:tc>
      </w:tr>
      <w:tr w14:paraId="2FB5AF33" w14:textId="77777777" w:rsidTr="00D03DD4">
        <w:tblPrEx>
          <w:tblW w:w="10423" w:type="dxa"/>
          <w:tblCellMar>
            <w:top w:w="15" w:type="dxa"/>
          </w:tblCellMar>
          <w:tblLook w:val="04A0"/>
        </w:tblPrEx>
        <w:trPr>
          <w:trHeight w:val="1116"/>
        </w:trPr>
        <w:tc>
          <w:tcPr>
            <w:tcW w:w="2192" w:type="dxa"/>
            <w:tcBorders>
              <w:top w:val="nil"/>
              <w:left w:val="single" w:sz="8" w:space="0" w:color="auto"/>
              <w:bottom w:val="single" w:sz="8" w:space="0" w:color="auto"/>
              <w:right w:val="single" w:sz="8" w:space="0" w:color="auto"/>
            </w:tcBorders>
            <w:vAlign w:val="center"/>
            <w:hideMark/>
          </w:tcPr>
          <w:p w:rsidR="00D5791C" w:rsidRPr="00595EE3" w:rsidP="00D03DD4" w14:paraId="70A994D6" w14:textId="77777777">
            <w:pPr>
              <w:rPr>
                <w:rFonts w:ascii="Source Sans Pro" w:hAnsi="Source Sans Pro" w:cs="Calibri"/>
                <w:color w:val="000000"/>
                <w:sz w:val="20"/>
              </w:rPr>
            </w:pPr>
            <w:r w:rsidRPr="00595EE3">
              <w:rPr>
                <w:rFonts w:ascii="Source Sans Pro" w:hAnsi="Source Sans Pro" w:cs="Calibri"/>
                <w:color w:val="000000"/>
                <w:sz w:val="20"/>
              </w:rPr>
              <w:t>9. Section 351.11(a)(2) - Documentation on advisory or related services to customers (Mandatory)</w:t>
            </w:r>
          </w:p>
        </w:tc>
        <w:tc>
          <w:tcPr>
            <w:tcW w:w="845" w:type="dxa"/>
            <w:tcBorders>
              <w:top w:val="nil"/>
              <w:left w:val="nil"/>
              <w:bottom w:val="single" w:sz="8" w:space="0" w:color="auto"/>
              <w:right w:val="single" w:sz="8" w:space="0" w:color="auto"/>
            </w:tcBorders>
            <w:vAlign w:val="center"/>
            <w:hideMark/>
          </w:tcPr>
          <w:p w:rsidR="00D5791C" w:rsidRPr="00595EE3" w:rsidP="00D03DD4" w14:paraId="34BFD845" w14:textId="77777777">
            <w:pPr>
              <w:jc w:val="center"/>
              <w:rPr>
                <w:rFonts w:ascii="Source Sans Pro" w:hAnsi="Source Sans Pro" w:cs="Calibri"/>
                <w:color w:val="000000"/>
                <w:sz w:val="20"/>
              </w:rPr>
            </w:pPr>
            <w:r w:rsidRPr="00595EE3">
              <w:rPr>
                <w:rFonts w:ascii="Source Sans Pro" w:hAnsi="Source Sans Pro" w:cs="Calibri"/>
                <w:color w:val="000000"/>
                <w:sz w:val="20"/>
              </w:rPr>
              <w:t>1.31</w:t>
            </w:r>
          </w:p>
        </w:tc>
        <w:tc>
          <w:tcPr>
            <w:tcW w:w="984" w:type="dxa"/>
            <w:tcBorders>
              <w:top w:val="nil"/>
              <w:left w:val="nil"/>
              <w:bottom w:val="single" w:sz="8" w:space="0" w:color="auto"/>
              <w:right w:val="single" w:sz="8" w:space="0" w:color="auto"/>
            </w:tcBorders>
            <w:vAlign w:val="center"/>
            <w:hideMark/>
          </w:tcPr>
          <w:p w:rsidR="00D5791C" w:rsidRPr="00595EE3" w:rsidP="00D03DD4" w14:paraId="3ED892BA" w14:textId="77777777">
            <w:pPr>
              <w:jc w:val="center"/>
              <w:rPr>
                <w:rFonts w:ascii="Source Sans Pro" w:hAnsi="Source Sans Pro" w:cs="Calibri"/>
                <w:color w:val="000000"/>
                <w:sz w:val="20"/>
              </w:rPr>
            </w:pPr>
            <w:r w:rsidRPr="00595EE3">
              <w:rPr>
                <w:rFonts w:ascii="Source Sans Pro" w:hAnsi="Source Sans Pro" w:cs="Calibri"/>
                <w:color w:val="000000"/>
                <w:sz w:val="20"/>
              </w:rPr>
              <w:t>0</w:t>
            </w:r>
          </w:p>
        </w:tc>
        <w:tc>
          <w:tcPr>
            <w:tcW w:w="984" w:type="dxa"/>
            <w:tcBorders>
              <w:top w:val="nil"/>
              <w:left w:val="nil"/>
              <w:bottom w:val="single" w:sz="8" w:space="0" w:color="auto"/>
              <w:right w:val="single" w:sz="8" w:space="0" w:color="auto"/>
            </w:tcBorders>
            <w:vAlign w:val="center"/>
            <w:hideMark/>
          </w:tcPr>
          <w:p w:rsidR="00D5791C" w:rsidRPr="00595EE3" w:rsidP="00D03DD4" w14:paraId="1581C43D" w14:textId="77777777">
            <w:pPr>
              <w:jc w:val="center"/>
              <w:rPr>
                <w:rFonts w:ascii="Source Sans Pro" w:hAnsi="Source Sans Pro" w:cs="Calibri"/>
                <w:color w:val="000000"/>
                <w:sz w:val="20"/>
              </w:rPr>
            </w:pPr>
            <w:r w:rsidRPr="00595EE3">
              <w:rPr>
                <w:rFonts w:ascii="Source Sans Pro" w:hAnsi="Source Sans Pro" w:cs="Calibri"/>
                <w:color w:val="000000"/>
                <w:sz w:val="20"/>
              </w:rPr>
              <w:t>50</w:t>
            </w:r>
          </w:p>
        </w:tc>
        <w:tc>
          <w:tcPr>
            <w:tcW w:w="900" w:type="dxa"/>
            <w:tcBorders>
              <w:top w:val="nil"/>
              <w:left w:val="nil"/>
              <w:bottom w:val="single" w:sz="8" w:space="0" w:color="auto"/>
              <w:right w:val="single" w:sz="8" w:space="0" w:color="auto"/>
            </w:tcBorders>
            <w:vAlign w:val="center"/>
            <w:hideMark/>
          </w:tcPr>
          <w:p w:rsidR="00D5791C" w:rsidRPr="00595EE3" w:rsidP="00D03DD4" w14:paraId="2E520365" w14:textId="77777777">
            <w:pPr>
              <w:jc w:val="center"/>
              <w:rPr>
                <w:rFonts w:ascii="Source Sans Pro" w:hAnsi="Source Sans Pro" w:cs="Calibri"/>
                <w:color w:val="000000"/>
                <w:sz w:val="20"/>
              </w:rPr>
            </w:pPr>
            <w:r w:rsidRPr="00595EE3">
              <w:rPr>
                <w:rFonts w:ascii="Source Sans Pro" w:hAnsi="Source Sans Pro" w:cs="Calibri"/>
                <w:color w:val="000000"/>
                <w:sz w:val="20"/>
              </w:rPr>
              <w:t>0</w:t>
            </w:r>
          </w:p>
        </w:tc>
        <w:tc>
          <w:tcPr>
            <w:tcW w:w="984" w:type="dxa"/>
            <w:tcBorders>
              <w:top w:val="nil"/>
              <w:left w:val="nil"/>
              <w:bottom w:val="single" w:sz="8" w:space="0" w:color="auto"/>
              <w:right w:val="single" w:sz="8" w:space="0" w:color="auto"/>
            </w:tcBorders>
            <w:vAlign w:val="center"/>
            <w:hideMark/>
          </w:tcPr>
          <w:p w:rsidR="00D5791C" w:rsidRPr="00595EE3" w:rsidP="00D03DD4" w14:paraId="1B590C1D" w14:textId="77777777">
            <w:pPr>
              <w:jc w:val="center"/>
              <w:rPr>
                <w:rFonts w:ascii="Source Sans Pro" w:hAnsi="Source Sans Pro" w:cs="Calibri"/>
                <w:color w:val="000000"/>
                <w:sz w:val="20"/>
              </w:rPr>
            </w:pPr>
            <w:r w:rsidRPr="00595EE3">
              <w:rPr>
                <w:rFonts w:ascii="Source Sans Pro" w:hAnsi="Source Sans Pro" w:cs="Calibri"/>
                <w:color w:val="000000"/>
                <w:sz w:val="20"/>
              </w:rPr>
              <w:t>0</w:t>
            </w:r>
          </w:p>
        </w:tc>
        <w:tc>
          <w:tcPr>
            <w:tcW w:w="984" w:type="dxa"/>
            <w:tcBorders>
              <w:top w:val="nil"/>
              <w:left w:val="nil"/>
              <w:bottom w:val="single" w:sz="8" w:space="0" w:color="auto"/>
              <w:right w:val="single" w:sz="8" w:space="0" w:color="auto"/>
            </w:tcBorders>
            <w:vAlign w:val="center"/>
            <w:hideMark/>
          </w:tcPr>
          <w:p w:rsidR="00D5791C" w:rsidRPr="00595EE3" w:rsidP="00D03DD4" w14:paraId="423286E2" w14:textId="77777777">
            <w:pPr>
              <w:jc w:val="center"/>
              <w:rPr>
                <w:rFonts w:ascii="Source Sans Pro" w:hAnsi="Source Sans Pro" w:cs="Calibri"/>
                <w:color w:val="000000"/>
                <w:sz w:val="20"/>
              </w:rPr>
            </w:pPr>
            <w:r w:rsidRPr="00595EE3">
              <w:rPr>
                <w:rFonts w:ascii="Source Sans Pro" w:hAnsi="Source Sans Pro" w:cs="Calibri"/>
                <w:color w:val="000000"/>
                <w:sz w:val="20"/>
              </w:rPr>
              <w:t>50</w:t>
            </w:r>
          </w:p>
        </w:tc>
        <w:tc>
          <w:tcPr>
            <w:tcW w:w="884" w:type="dxa"/>
            <w:tcBorders>
              <w:top w:val="nil"/>
              <w:left w:val="nil"/>
              <w:bottom w:val="single" w:sz="8" w:space="0" w:color="auto"/>
              <w:right w:val="single" w:sz="8" w:space="0" w:color="auto"/>
            </w:tcBorders>
            <w:vAlign w:val="center"/>
            <w:hideMark/>
          </w:tcPr>
          <w:p w:rsidR="00D5791C" w:rsidRPr="00595EE3" w:rsidP="00D03DD4" w14:paraId="276D577B" w14:textId="77777777">
            <w:pPr>
              <w:jc w:val="center"/>
              <w:rPr>
                <w:rFonts w:ascii="Source Sans Pro" w:hAnsi="Source Sans Pro" w:cs="Calibri"/>
                <w:color w:val="000000"/>
                <w:sz w:val="20"/>
              </w:rPr>
            </w:pPr>
            <w:r w:rsidRPr="00595EE3">
              <w:rPr>
                <w:rFonts w:ascii="Source Sans Pro" w:hAnsi="Source Sans Pro" w:cs="Calibri"/>
                <w:color w:val="000000"/>
                <w:sz w:val="20"/>
              </w:rPr>
              <w:t>0</w:t>
            </w:r>
          </w:p>
        </w:tc>
        <w:tc>
          <w:tcPr>
            <w:tcW w:w="1444" w:type="dxa"/>
            <w:tcBorders>
              <w:top w:val="nil"/>
              <w:left w:val="nil"/>
              <w:bottom w:val="single" w:sz="8" w:space="0" w:color="auto"/>
              <w:right w:val="single" w:sz="8" w:space="0" w:color="auto"/>
            </w:tcBorders>
            <w:vAlign w:val="center"/>
            <w:hideMark/>
          </w:tcPr>
          <w:p w:rsidR="00D5791C" w:rsidRPr="00595EE3" w:rsidP="00D03DD4" w14:paraId="28C1D92F" w14:textId="77777777">
            <w:pPr>
              <w:ind w:firstLine="200" w:firstLineChars="100"/>
              <w:jc w:val="right"/>
              <w:rPr>
                <w:rFonts w:ascii="Source Sans Pro" w:hAnsi="Source Sans Pro" w:cs="Calibri"/>
                <w:color w:val="000000"/>
                <w:sz w:val="20"/>
              </w:rPr>
            </w:pPr>
            <w:r>
              <w:rPr>
                <w:rFonts w:ascii="Source Sans Pro" w:hAnsi="Source Sans Pro" w:cs="Calibri"/>
                <w:color w:val="000000"/>
                <w:sz w:val="20"/>
              </w:rPr>
              <w:t xml:space="preserve">$150.99 </w:t>
            </w:r>
          </w:p>
        </w:tc>
      </w:tr>
      <w:tr w14:paraId="30E6F1F0" w14:textId="77777777" w:rsidTr="00D03DD4">
        <w:tblPrEx>
          <w:tblW w:w="10423" w:type="dxa"/>
          <w:tblCellMar>
            <w:top w:w="15" w:type="dxa"/>
          </w:tblCellMar>
          <w:tblLook w:val="04A0"/>
        </w:tblPrEx>
        <w:trPr>
          <w:trHeight w:val="1392"/>
        </w:trPr>
        <w:tc>
          <w:tcPr>
            <w:tcW w:w="2192" w:type="dxa"/>
            <w:tcBorders>
              <w:top w:val="nil"/>
              <w:left w:val="single" w:sz="8" w:space="0" w:color="auto"/>
              <w:bottom w:val="single" w:sz="8" w:space="0" w:color="auto"/>
              <w:right w:val="single" w:sz="8" w:space="0" w:color="auto"/>
            </w:tcBorders>
            <w:vAlign w:val="center"/>
            <w:hideMark/>
          </w:tcPr>
          <w:p w:rsidR="00D5791C" w:rsidRPr="00595EE3" w:rsidP="00D03DD4" w14:paraId="680F0A2C" w14:textId="77777777">
            <w:pPr>
              <w:rPr>
                <w:rFonts w:ascii="Source Sans Pro" w:hAnsi="Source Sans Pro" w:cs="Calibri"/>
                <w:color w:val="000000"/>
                <w:sz w:val="20"/>
              </w:rPr>
            </w:pPr>
            <w:r w:rsidRPr="00595EE3">
              <w:rPr>
                <w:rFonts w:ascii="Source Sans Pro" w:hAnsi="Source Sans Pro" w:cs="Calibri"/>
                <w:color w:val="000000"/>
                <w:sz w:val="20"/>
              </w:rPr>
              <w:t>10. Section 351.20(b) - Compliance Program for Covered Banks with Significant Trading Assets &amp; Liabilities (Mandatory)</w:t>
            </w:r>
          </w:p>
        </w:tc>
        <w:tc>
          <w:tcPr>
            <w:tcW w:w="845" w:type="dxa"/>
            <w:tcBorders>
              <w:top w:val="nil"/>
              <w:left w:val="nil"/>
              <w:bottom w:val="single" w:sz="8" w:space="0" w:color="auto"/>
              <w:right w:val="single" w:sz="8" w:space="0" w:color="auto"/>
            </w:tcBorders>
            <w:vAlign w:val="center"/>
            <w:hideMark/>
          </w:tcPr>
          <w:p w:rsidR="00D5791C" w:rsidRPr="00595EE3" w:rsidP="00D03DD4" w14:paraId="2406213D" w14:textId="77777777">
            <w:pPr>
              <w:jc w:val="center"/>
              <w:rPr>
                <w:rFonts w:ascii="Source Sans Pro" w:hAnsi="Source Sans Pro" w:cs="Calibri"/>
                <w:color w:val="000000"/>
                <w:sz w:val="20"/>
              </w:rPr>
            </w:pPr>
            <w:r w:rsidRPr="00595EE3">
              <w:rPr>
                <w:rFonts w:ascii="Source Sans Pro" w:hAnsi="Source Sans Pro" w:cs="Calibri"/>
                <w:color w:val="000000"/>
                <w:sz w:val="20"/>
              </w:rPr>
              <w:t>13.89</w:t>
            </w:r>
          </w:p>
        </w:tc>
        <w:tc>
          <w:tcPr>
            <w:tcW w:w="984" w:type="dxa"/>
            <w:tcBorders>
              <w:top w:val="nil"/>
              <w:left w:val="nil"/>
              <w:bottom w:val="single" w:sz="8" w:space="0" w:color="auto"/>
              <w:right w:val="single" w:sz="8" w:space="0" w:color="auto"/>
            </w:tcBorders>
            <w:vAlign w:val="center"/>
            <w:hideMark/>
          </w:tcPr>
          <w:p w:rsidR="00D5791C" w:rsidRPr="00595EE3" w:rsidP="00D03DD4" w14:paraId="1A35E02D" w14:textId="77777777">
            <w:pPr>
              <w:jc w:val="center"/>
              <w:rPr>
                <w:rFonts w:ascii="Source Sans Pro" w:hAnsi="Source Sans Pro" w:cs="Calibri"/>
                <w:color w:val="000000"/>
                <w:sz w:val="20"/>
              </w:rPr>
            </w:pPr>
            <w:r w:rsidRPr="00595EE3">
              <w:rPr>
                <w:rFonts w:ascii="Source Sans Pro" w:hAnsi="Source Sans Pro" w:cs="Calibri"/>
                <w:color w:val="000000"/>
                <w:sz w:val="20"/>
              </w:rPr>
              <w:t>0</w:t>
            </w:r>
          </w:p>
        </w:tc>
        <w:tc>
          <w:tcPr>
            <w:tcW w:w="984" w:type="dxa"/>
            <w:tcBorders>
              <w:top w:val="nil"/>
              <w:left w:val="nil"/>
              <w:bottom w:val="single" w:sz="8" w:space="0" w:color="auto"/>
              <w:right w:val="single" w:sz="8" w:space="0" w:color="auto"/>
            </w:tcBorders>
            <w:vAlign w:val="center"/>
            <w:hideMark/>
          </w:tcPr>
          <w:p w:rsidR="00D5791C" w:rsidRPr="00595EE3" w:rsidP="00D03DD4" w14:paraId="1FE5EEF9" w14:textId="77777777">
            <w:pPr>
              <w:jc w:val="center"/>
              <w:rPr>
                <w:rFonts w:ascii="Source Sans Pro" w:hAnsi="Source Sans Pro" w:cs="Calibri"/>
                <w:color w:val="000000"/>
                <w:sz w:val="20"/>
              </w:rPr>
            </w:pPr>
            <w:r w:rsidRPr="00595EE3">
              <w:rPr>
                <w:rFonts w:ascii="Source Sans Pro" w:hAnsi="Source Sans Pro" w:cs="Calibri"/>
                <w:color w:val="000000"/>
                <w:sz w:val="20"/>
              </w:rPr>
              <w:t>50</w:t>
            </w:r>
          </w:p>
        </w:tc>
        <w:tc>
          <w:tcPr>
            <w:tcW w:w="900" w:type="dxa"/>
            <w:tcBorders>
              <w:top w:val="nil"/>
              <w:left w:val="nil"/>
              <w:bottom w:val="single" w:sz="8" w:space="0" w:color="auto"/>
              <w:right w:val="single" w:sz="8" w:space="0" w:color="auto"/>
            </w:tcBorders>
            <w:vAlign w:val="center"/>
            <w:hideMark/>
          </w:tcPr>
          <w:p w:rsidR="00D5791C" w:rsidRPr="00595EE3" w:rsidP="00D03DD4" w14:paraId="530D8B04" w14:textId="77777777">
            <w:pPr>
              <w:jc w:val="center"/>
              <w:rPr>
                <w:rFonts w:ascii="Source Sans Pro" w:hAnsi="Source Sans Pro" w:cs="Calibri"/>
                <w:color w:val="000000"/>
                <w:sz w:val="20"/>
              </w:rPr>
            </w:pPr>
            <w:r w:rsidRPr="00595EE3">
              <w:rPr>
                <w:rFonts w:ascii="Source Sans Pro" w:hAnsi="Source Sans Pro" w:cs="Calibri"/>
                <w:color w:val="000000"/>
                <w:sz w:val="20"/>
              </w:rPr>
              <w:t>0</w:t>
            </w:r>
          </w:p>
        </w:tc>
        <w:tc>
          <w:tcPr>
            <w:tcW w:w="984" w:type="dxa"/>
            <w:tcBorders>
              <w:top w:val="nil"/>
              <w:left w:val="nil"/>
              <w:bottom w:val="single" w:sz="8" w:space="0" w:color="auto"/>
              <w:right w:val="single" w:sz="8" w:space="0" w:color="auto"/>
            </w:tcBorders>
            <w:vAlign w:val="center"/>
            <w:hideMark/>
          </w:tcPr>
          <w:p w:rsidR="00D5791C" w:rsidRPr="00595EE3" w:rsidP="00D03DD4" w14:paraId="499AFA02" w14:textId="77777777">
            <w:pPr>
              <w:jc w:val="center"/>
              <w:rPr>
                <w:rFonts w:ascii="Source Sans Pro" w:hAnsi="Source Sans Pro" w:cs="Calibri"/>
                <w:color w:val="000000"/>
                <w:sz w:val="20"/>
              </w:rPr>
            </w:pPr>
            <w:r w:rsidRPr="00595EE3">
              <w:rPr>
                <w:rFonts w:ascii="Source Sans Pro" w:hAnsi="Source Sans Pro" w:cs="Calibri"/>
                <w:color w:val="000000"/>
                <w:sz w:val="20"/>
              </w:rPr>
              <w:t>0</w:t>
            </w:r>
          </w:p>
        </w:tc>
        <w:tc>
          <w:tcPr>
            <w:tcW w:w="984" w:type="dxa"/>
            <w:tcBorders>
              <w:top w:val="nil"/>
              <w:left w:val="nil"/>
              <w:bottom w:val="single" w:sz="8" w:space="0" w:color="auto"/>
              <w:right w:val="single" w:sz="8" w:space="0" w:color="auto"/>
            </w:tcBorders>
            <w:vAlign w:val="center"/>
            <w:hideMark/>
          </w:tcPr>
          <w:p w:rsidR="00D5791C" w:rsidRPr="00595EE3" w:rsidP="00D03DD4" w14:paraId="59760B99" w14:textId="77777777">
            <w:pPr>
              <w:jc w:val="center"/>
              <w:rPr>
                <w:rFonts w:ascii="Source Sans Pro" w:hAnsi="Source Sans Pro" w:cs="Calibri"/>
                <w:color w:val="000000"/>
                <w:sz w:val="20"/>
              </w:rPr>
            </w:pPr>
            <w:r w:rsidRPr="00595EE3">
              <w:rPr>
                <w:rFonts w:ascii="Source Sans Pro" w:hAnsi="Source Sans Pro" w:cs="Calibri"/>
                <w:color w:val="000000"/>
                <w:sz w:val="20"/>
              </w:rPr>
              <w:t>50</w:t>
            </w:r>
          </w:p>
        </w:tc>
        <w:tc>
          <w:tcPr>
            <w:tcW w:w="884" w:type="dxa"/>
            <w:tcBorders>
              <w:top w:val="nil"/>
              <w:left w:val="nil"/>
              <w:bottom w:val="single" w:sz="8" w:space="0" w:color="auto"/>
              <w:right w:val="single" w:sz="8" w:space="0" w:color="auto"/>
            </w:tcBorders>
            <w:vAlign w:val="center"/>
            <w:hideMark/>
          </w:tcPr>
          <w:p w:rsidR="00D5791C" w:rsidRPr="00595EE3" w:rsidP="00D03DD4" w14:paraId="20A7C380" w14:textId="77777777">
            <w:pPr>
              <w:jc w:val="center"/>
              <w:rPr>
                <w:rFonts w:ascii="Source Sans Pro" w:hAnsi="Source Sans Pro" w:cs="Calibri"/>
                <w:color w:val="000000"/>
                <w:sz w:val="20"/>
              </w:rPr>
            </w:pPr>
            <w:r w:rsidRPr="00595EE3">
              <w:rPr>
                <w:rFonts w:ascii="Source Sans Pro" w:hAnsi="Source Sans Pro" w:cs="Calibri"/>
                <w:color w:val="000000"/>
                <w:sz w:val="20"/>
              </w:rPr>
              <w:t>0</w:t>
            </w:r>
          </w:p>
        </w:tc>
        <w:tc>
          <w:tcPr>
            <w:tcW w:w="1444" w:type="dxa"/>
            <w:tcBorders>
              <w:top w:val="nil"/>
              <w:left w:val="nil"/>
              <w:bottom w:val="single" w:sz="8" w:space="0" w:color="auto"/>
              <w:right w:val="single" w:sz="8" w:space="0" w:color="auto"/>
            </w:tcBorders>
            <w:vAlign w:val="center"/>
            <w:hideMark/>
          </w:tcPr>
          <w:p w:rsidR="00D5791C" w:rsidRPr="00595EE3" w:rsidP="00D03DD4" w14:paraId="5F03D3F3" w14:textId="77777777">
            <w:pPr>
              <w:ind w:firstLine="200" w:firstLineChars="100"/>
              <w:jc w:val="right"/>
              <w:rPr>
                <w:rFonts w:ascii="Source Sans Pro" w:hAnsi="Source Sans Pro" w:cs="Calibri"/>
                <w:color w:val="000000"/>
                <w:sz w:val="20"/>
              </w:rPr>
            </w:pPr>
            <w:r>
              <w:rPr>
                <w:rFonts w:ascii="Source Sans Pro" w:hAnsi="Source Sans Pro" w:cs="Calibri"/>
                <w:color w:val="000000"/>
                <w:sz w:val="20"/>
              </w:rPr>
              <w:t xml:space="preserve">$150.99 </w:t>
            </w:r>
          </w:p>
        </w:tc>
      </w:tr>
      <w:tr w14:paraId="12AC97DC" w14:textId="77777777" w:rsidTr="00D03DD4">
        <w:tblPrEx>
          <w:tblW w:w="10423" w:type="dxa"/>
          <w:tblCellMar>
            <w:top w:w="15" w:type="dxa"/>
          </w:tblCellMar>
          <w:tblLook w:val="04A0"/>
        </w:tblPrEx>
        <w:trPr>
          <w:trHeight w:val="1392"/>
        </w:trPr>
        <w:tc>
          <w:tcPr>
            <w:tcW w:w="2192" w:type="dxa"/>
            <w:tcBorders>
              <w:top w:val="nil"/>
              <w:left w:val="single" w:sz="8" w:space="0" w:color="auto"/>
              <w:bottom w:val="single" w:sz="8" w:space="0" w:color="auto"/>
              <w:right w:val="single" w:sz="8" w:space="0" w:color="auto"/>
            </w:tcBorders>
            <w:vAlign w:val="center"/>
            <w:hideMark/>
          </w:tcPr>
          <w:p w:rsidR="00D5791C" w:rsidRPr="00595EE3" w:rsidP="00D03DD4" w14:paraId="26DC43CE" w14:textId="77777777">
            <w:pPr>
              <w:rPr>
                <w:rFonts w:ascii="Source Sans Pro" w:hAnsi="Source Sans Pro" w:cs="Calibri"/>
                <w:color w:val="000000"/>
                <w:sz w:val="20"/>
              </w:rPr>
            </w:pPr>
            <w:r w:rsidRPr="00595EE3">
              <w:rPr>
                <w:rFonts w:ascii="Source Sans Pro" w:hAnsi="Source Sans Pro" w:cs="Calibri"/>
                <w:color w:val="000000"/>
                <w:sz w:val="20"/>
              </w:rPr>
              <w:t>11. Section 351.20(c) - CEO attestation for Covered Banks with Significant Trading Assets &amp; Liabilities (Mandatory)</w:t>
            </w:r>
          </w:p>
        </w:tc>
        <w:tc>
          <w:tcPr>
            <w:tcW w:w="845" w:type="dxa"/>
            <w:tcBorders>
              <w:top w:val="nil"/>
              <w:left w:val="nil"/>
              <w:bottom w:val="single" w:sz="8" w:space="0" w:color="auto"/>
              <w:right w:val="single" w:sz="8" w:space="0" w:color="auto"/>
            </w:tcBorders>
            <w:vAlign w:val="center"/>
            <w:hideMark/>
          </w:tcPr>
          <w:p w:rsidR="00D5791C" w:rsidRPr="00595EE3" w:rsidP="00D03DD4" w14:paraId="6B21F17A" w14:textId="77777777">
            <w:pPr>
              <w:jc w:val="center"/>
              <w:rPr>
                <w:rFonts w:ascii="Source Sans Pro" w:hAnsi="Source Sans Pro" w:cs="Calibri"/>
                <w:color w:val="000000"/>
                <w:sz w:val="20"/>
              </w:rPr>
            </w:pPr>
            <w:r w:rsidRPr="00595EE3">
              <w:rPr>
                <w:rFonts w:ascii="Source Sans Pro" w:hAnsi="Source Sans Pro" w:cs="Calibri"/>
                <w:color w:val="000000"/>
                <w:sz w:val="20"/>
              </w:rPr>
              <w:t>5.24</w:t>
            </w:r>
          </w:p>
        </w:tc>
        <w:tc>
          <w:tcPr>
            <w:tcW w:w="984" w:type="dxa"/>
            <w:tcBorders>
              <w:top w:val="nil"/>
              <w:left w:val="nil"/>
              <w:bottom w:val="single" w:sz="8" w:space="0" w:color="auto"/>
              <w:right w:val="single" w:sz="8" w:space="0" w:color="auto"/>
            </w:tcBorders>
            <w:vAlign w:val="center"/>
            <w:hideMark/>
          </w:tcPr>
          <w:p w:rsidR="00D5791C" w:rsidRPr="00595EE3" w:rsidP="00D03DD4" w14:paraId="1039C5A4" w14:textId="77777777">
            <w:pPr>
              <w:jc w:val="center"/>
              <w:rPr>
                <w:rFonts w:ascii="Source Sans Pro" w:hAnsi="Source Sans Pro" w:cs="Calibri"/>
                <w:color w:val="000000"/>
                <w:sz w:val="20"/>
              </w:rPr>
            </w:pPr>
            <w:r w:rsidRPr="00595EE3">
              <w:rPr>
                <w:rFonts w:ascii="Source Sans Pro" w:hAnsi="Source Sans Pro" w:cs="Calibri"/>
                <w:color w:val="000000"/>
                <w:sz w:val="20"/>
              </w:rPr>
              <w:t>100</w:t>
            </w:r>
          </w:p>
        </w:tc>
        <w:tc>
          <w:tcPr>
            <w:tcW w:w="984" w:type="dxa"/>
            <w:tcBorders>
              <w:top w:val="nil"/>
              <w:left w:val="nil"/>
              <w:bottom w:val="single" w:sz="8" w:space="0" w:color="auto"/>
              <w:right w:val="single" w:sz="8" w:space="0" w:color="auto"/>
            </w:tcBorders>
            <w:vAlign w:val="center"/>
            <w:hideMark/>
          </w:tcPr>
          <w:p w:rsidR="00D5791C" w:rsidRPr="00595EE3" w:rsidP="00D03DD4" w14:paraId="135FE2D9" w14:textId="77777777">
            <w:pPr>
              <w:jc w:val="center"/>
              <w:rPr>
                <w:rFonts w:ascii="Source Sans Pro" w:hAnsi="Source Sans Pro" w:cs="Calibri"/>
                <w:color w:val="000000"/>
                <w:sz w:val="20"/>
              </w:rPr>
            </w:pPr>
            <w:r w:rsidRPr="00595EE3">
              <w:rPr>
                <w:rFonts w:ascii="Source Sans Pro" w:hAnsi="Source Sans Pro" w:cs="Calibri"/>
                <w:color w:val="000000"/>
                <w:sz w:val="20"/>
              </w:rPr>
              <w:t>0</w:t>
            </w:r>
          </w:p>
        </w:tc>
        <w:tc>
          <w:tcPr>
            <w:tcW w:w="900" w:type="dxa"/>
            <w:tcBorders>
              <w:top w:val="nil"/>
              <w:left w:val="nil"/>
              <w:bottom w:val="single" w:sz="8" w:space="0" w:color="auto"/>
              <w:right w:val="single" w:sz="8" w:space="0" w:color="auto"/>
            </w:tcBorders>
            <w:vAlign w:val="center"/>
            <w:hideMark/>
          </w:tcPr>
          <w:p w:rsidR="00D5791C" w:rsidRPr="00595EE3" w:rsidP="00D03DD4" w14:paraId="608E5022" w14:textId="77777777">
            <w:pPr>
              <w:jc w:val="center"/>
              <w:rPr>
                <w:rFonts w:ascii="Source Sans Pro" w:hAnsi="Source Sans Pro" w:cs="Calibri"/>
                <w:color w:val="000000"/>
                <w:sz w:val="20"/>
              </w:rPr>
            </w:pPr>
            <w:r w:rsidRPr="00595EE3">
              <w:rPr>
                <w:rFonts w:ascii="Source Sans Pro" w:hAnsi="Source Sans Pro" w:cs="Calibri"/>
                <w:color w:val="000000"/>
                <w:sz w:val="20"/>
              </w:rPr>
              <w:t>0</w:t>
            </w:r>
          </w:p>
        </w:tc>
        <w:tc>
          <w:tcPr>
            <w:tcW w:w="984" w:type="dxa"/>
            <w:tcBorders>
              <w:top w:val="nil"/>
              <w:left w:val="nil"/>
              <w:bottom w:val="single" w:sz="8" w:space="0" w:color="auto"/>
              <w:right w:val="single" w:sz="8" w:space="0" w:color="auto"/>
            </w:tcBorders>
            <w:vAlign w:val="center"/>
            <w:hideMark/>
          </w:tcPr>
          <w:p w:rsidR="00D5791C" w:rsidRPr="00595EE3" w:rsidP="00D03DD4" w14:paraId="4EA5161F" w14:textId="77777777">
            <w:pPr>
              <w:jc w:val="center"/>
              <w:rPr>
                <w:rFonts w:ascii="Source Sans Pro" w:hAnsi="Source Sans Pro" w:cs="Calibri"/>
                <w:color w:val="000000"/>
                <w:sz w:val="20"/>
              </w:rPr>
            </w:pPr>
            <w:r w:rsidRPr="00595EE3">
              <w:rPr>
                <w:rFonts w:ascii="Source Sans Pro" w:hAnsi="Source Sans Pro" w:cs="Calibri"/>
                <w:color w:val="000000"/>
                <w:sz w:val="20"/>
              </w:rPr>
              <w:t>0</w:t>
            </w:r>
          </w:p>
        </w:tc>
        <w:tc>
          <w:tcPr>
            <w:tcW w:w="984" w:type="dxa"/>
            <w:tcBorders>
              <w:top w:val="nil"/>
              <w:left w:val="nil"/>
              <w:bottom w:val="single" w:sz="8" w:space="0" w:color="auto"/>
              <w:right w:val="single" w:sz="8" w:space="0" w:color="auto"/>
            </w:tcBorders>
            <w:vAlign w:val="center"/>
            <w:hideMark/>
          </w:tcPr>
          <w:p w:rsidR="00D5791C" w:rsidRPr="00595EE3" w:rsidP="00D03DD4" w14:paraId="2E4E8113" w14:textId="77777777">
            <w:pPr>
              <w:jc w:val="center"/>
              <w:rPr>
                <w:rFonts w:ascii="Source Sans Pro" w:hAnsi="Source Sans Pro" w:cs="Calibri"/>
                <w:color w:val="000000"/>
                <w:sz w:val="20"/>
              </w:rPr>
            </w:pPr>
            <w:r w:rsidRPr="00595EE3">
              <w:rPr>
                <w:rFonts w:ascii="Source Sans Pro" w:hAnsi="Source Sans Pro" w:cs="Calibri"/>
                <w:color w:val="000000"/>
                <w:sz w:val="20"/>
              </w:rPr>
              <w:t>0</w:t>
            </w:r>
          </w:p>
        </w:tc>
        <w:tc>
          <w:tcPr>
            <w:tcW w:w="884" w:type="dxa"/>
            <w:tcBorders>
              <w:top w:val="nil"/>
              <w:left w:val="nil"/>
              <w:bottom w:val="single" w:sz="8" w:space="0" w:color="auto"/>
              <w:right w:val="single" w:sz="8" w:space="0" w:color="auto"/>
            </w:tcBorders>
            <w:vAlign w:val="center"/>
            <w:hideMark/>
          </w:tcPr>
          <w:p w:rsidR="00D5791C" w:rsidRPr="00595EE3" w:rsidP="00D03DD4" w14:paraId="14BA7944" w14:textId="77777777">
            <w:pPr>
              <w:jc w:val="center"/>
              <w:rPr>
                <w:rFonts w:ascii="Source Sans Pro" w:hAnsi="Source Sans Pro" w:cs="Calibri"/>
                <w:color w:val="000000"/>
                <w:sz w:val="20"/>
              </w:rPr>
            </w:pPr>
            <w:r w:rsidRPr="00595EE3">
              <w:rPr>
                <w:rFonts w:ascii="Source Sans Pro" w:hAnsi="Source Sans Pro" w:cs="Calibri"/>
                <w:color w:val="000000"/>
                <w:sz w:val="20"/>
              </w:rPr>
              <w:t>0</w:t>
            </w:r>
          </w:p>
        </w:tc>
        <w:tc>
          <w:tcPr>
            <w:tcW w:w="1444" w:type="dxa"/>
            <w:tcBorders>
              <w:top w:val="nil"/>
              <w:left w:val="nil"/>
              <w:bottom w:val="single" w:sz="8" w:space="0" w:color="auto"/>
              <w:right w:val="single" w:sz="8" w:space="0" w:color="auto"/>
            </w:tcBorders>
            <w:vAlign w:val="center"/>
            <w:hideMark/>
          </w:tcPr>
          <w:p w:rsidR="00D5791C" w:rsidRPr="00595EE3" w:rsidP="00D03DD4" w14:paraId="50CAE47E" w14:textId="77777777">
            <w:pPr>
              <w:ind w:firstLine="200" w:firstLineChars="100"/>
              <w:jc w:val="right"/>
              <w:rPr>
                <w:rFonts w:ascii="Source Sans Pro" w:hAnsi="Source Sans Pro" w:cs="Calibri"/>
                <w:color w:val="000000"/>
                <w:sz w:val="20"/>
              </w:rPr>
            </w:pPr>
            <w:r>
              <w:rPr>
                <w:rFonts w:ascii="Source Sans Pro" w:hAnsi="Source Sans Pro" w:cs="Calibri"/>
                <w:color w:val="000000"/>
                <w:sz w:val="20"/>
              </w:rPr>
              <w:t xml:space="preserve">$165.42 </w:t>
            </w:r>
          </w:p>
        </w:tc>
      </w:tr>
      <w:tr w14:paraId="308E6193" w14:textId="77777777" w:rsidTr="00D03DD4">
        <w:tblPrEx>
          <w:tblW w:w="10423" w:type="dxa"/>
          <w:tblCellMar>
            <w:top w:w="15" w:type="dxa"/>
          </w:tblCellMar>
          <w:tblLook w:val="04A0"/>
        </w:tblPrEx>
        <w:trPr>
          <w:trHeight w:val="1668"/>
        </w:trPr>
        <w:tc>
          <w:tcPr>
            <w:tcW w:w="2192" w:type="dxa"/>
            <w:tcBorders>
              <w:top w:val="nil"/>
              <w:left w:val="single" w:sz="8" w:space="0" w:color="auto"/>
              <w:bottom w:val="single" w:sz="8" w:space="0" w:color="auto"/>
              <w:right w:val="single" w:sz="8" w:space="0" w:color="auto"/>
            </w:tcBorders>
            <w:vAlign w:val="center"/>
            <w:hideMark/>
          </w:tcPr>
          <w:p w:rsidR="00D5791C" w:rsidRPr="00595EE3" w:rsidP="00D03DD4" w14:paraId="024A7D7C" w14:textId="77777777">
            <w:pPr>
              <w:rPr>
                <w:rFonts w:ascii="Source Sans Pro" w:hAnsi="Source Sans Pro" w:cs="Calibri"/>
                <w:color w:val="000000"/>
                <w:sz w:val="20"/>
              </w:rPr>
            </w:pPr>
            <w:r w:rsidRPr="00595EE3">
              <w:rPr>
                <w:rFonts w:ascii="Source Sans Pro" w:hAnsi="Source Sans Pro" w:cs="Calibri"/>
                <w:color w:val="000000"/>
                <w:sz w:val="20"/>
              </w:rPr>
              <w:t>12</w:t>
            </w:r>
            <w:r w:rsidRPr="00595EE3">
              <w:rPr>
                <w:rFonts w:ascii="Source Sans Pro" w:hAnsi="Source Sans Pro" w:cs="Calibri"/>
                <w:color w:val="000000"/>
                <w:sz w:val="20"/>
              </w:rPr>
              <w:t>.  Section</w:t>
            </w:r>
            <w:r w:rsidRPr="00595EE3">
              <w:rPr>
                <w:rFonts w:ascii="Source Sans Pro" w:hAnsi="Source Sans Pro" w:cs="Calibri"/>
                <w:color w:val="000000"/>
                <w:sz w:val="20"/>
              </w:rPr>
              <w:t xml:space="preserve"> 351.20(d) - Requirements under Appendix A for Covered Banks with Significant Trading Assets &amp; Liabilities (Mandatory)</w:t>
            </w:r>
          </w:p>
        </w:tc>
        <w:tc>
          <w:tcPr>
            <w:tcW w:w="845" w:type="dxa"/>
            <w:tcBorders>
              <w:top w:val="nil"/>
              <w:left w:val="nil"/>
              <w:bottom w:val="single" w:sz="8" w:space="0" w:color="auto"/>
              <w:right w:val="single" w:sz="8" w:space="0" w:color="auto"/>
            </w:tcBorders>
            <w:vAlign w:val="center"/>
            <w:hideMark/>
          </w:tcPr>
          <w:p w:rsidR="00D5791C" w:rsidRPr="00595EE3" w:rsidP="00D03DD4" w14:paraId="7EBCB81D" w14:textId="77777777">
            <w:pPr>
              <w:jc w:val="center"/>
              <w:rPr>
                <w:rFonts w:ascii="Source Sans Pro" w:hAnsi="Source Sans Pro" w:cs="Calibri"/>
                <w:color w:val="000000"/>
                <w:sz w:val="20"/>
              </w:rPr>
            </w:pPr>
            <w:r w:rsidRPr="00595EE3">
              <w:rPr>
                <w:rFonts w:ascii="Source Sans Pro" w:hAnsi="Source Sans Pro" w:cs="Calibri"/>
                <w:color w:val="000000"/>
                <w:sz w:val="20"/>
              </w:rPr>
              <w:t>0.52</w:t>
            </w:r>
          </w:p>
        </w:tc>
        <w:tc>
          <w:tcPr>
            <w:tcW w:w="984" w:type="dxa"/>
            <w:tcBorders>
              <w:top w:val="nil"/>
              <w:left w:val="nil"/>
              <w:bottom w:val="single" w:sz="8" w:space="0" w:color="auto"/>
              <w:right w:val="single" w:sz="8" w:space="0" w:color="auto"/>
            </w:tcBorders>
            <w:vAlign w:val="center"/>
            <w:hideMark/>
          </w:tcPr>
          <w:p w:rsidR="00D5791C" w:rsidRPr="00595EE3" w:rsidP="00D03DD4" w14:paraId="28F027FA" w14:textId="77777777">
            <w:pPr>
              <w:jc w:val="center"/>
              <w:rPr>
                <w:rFonts w:ascii="Source Sans Pro" w:hAnsi="Source Sans Pro" w:cs="Calibri"/>
                <w:color w:val="000000"/>
                <w:sz w:val="20"/>
              </w:rPr>
            </w:pPr>
            <w:r w:rsidRPr="00595EE3">
              <w:rPr>
                <w:rFonts w:ascii="Source Sans Pro" w:hAnsi="Source Sans Pro" w:cs="Calibri"/>
                <w:color w:val="000000"/>
                <w:sz w:val="20"/>
              </w:rPr>
              <w:t>0</w:t>
            </w:r>
          </w:p>
        </w:tc>
        <w:tc>
          <w:tcPr>
            <w:tcW w:w="984" w:type="dxa"/>
            <w:tcBorders>
              <w:top w:val="nil"/>
              <w:left w:val="nil"/>
              <w:bottom w:val="single" w:sz="8" w:space="0" w:color="auto"/>
              <w:right w:val="single" w:sz="8" w:space="0" w:color="auto"/>
            </w:tcBorders>
            <w:vAlign w:val="center"/>
            <w:hideMark/>
          </w:tcPr>
          <w:p w:rsidR="00D5791C" w:rsidRPr="00595EE3" w:rsidP="00D03DD4" w14:paraId="203A5A8B" w14:textId="77777777">
            <w:pPr>
              <w:jc w:val="center"/>
              <w:rPr>
                <w:rFonts w:ascii="Source Sans Pro" w:hAnsi="Source Sans Pro" w:cs="Calibri"/>
                <w:color w:val="000000"/>
                <w:sz w:val="20"/>
              </w:rPr>
            </w:pPr>
            <w:r w:rsidRPr="00595EE3">
              <w:rPr>
                <w:rFonts w:ascii="Source Sans Pro" w:hAnsi="Source Sans Pro" w:cs="Calibri"/>
                <w:color w:val="000000"/>
                <w:sz w:val="20"/>
              </w:rPr>
              <w:t>50</w:t>
            </w:r>
          </w:p>
        </w:tc>
        <w:tc>
          <w:tcPr>
            <w:tcW w:w="900" w:type="dxa"/>
            <w:tcBorders>
              <w:top w:val="nil"/>
              <w:left w:val="nil"/>
              <w:bottom w:val="single" w:sz="8" w:space="0" w:color="auto"/>
              <w:right w:val="single" w:sz="8" w:space="0" w:color="auto"/>
            </w:tcBorders>
            <w:vAlign w:val="center"/>
            <w:hideMark/>
          </w:tcPr>
          <w:p w:rsidR="00D5791C" w:rsidRPr="00595EE3" w:rsidP="00D03DD4" w14:paraId="79B04D3A" w14:textId="77777777">
            <w:pPr>
              <w:jc w:val="center"/>
              <w:rPr>
                <w:rFonts w:ascii="Source Sans Pro" w:hAnsi="Source Sans Pro" w:cs="Calibri"/>
                <w:color w:val="000000"/>
                <w:sz w:val="20"/>
              </w:rPr>
            </w:pPr>
            <w:r w:rsidRPr="00595EE3">
              <w:rPr>
                <w:rFonts w:ascii="Source Sans Pro" w:hAnsi="Source Sans Pro" w:cs="Calibri"/>
                <w:color w:val="000000"/>
                <w:sz w:val="20"/>
              </w:rPr>
              <w:t>0</w:t>
            </w:r>
          </w:p>
        </w:tc>
        <w:tc>
          <w:tcPr>
            <w:tcW w:w="984" w:type="dxa"/>
            <w:tcBorders>
              <w:top w:val="nil"/>
              <w:left w:val="nil"/>
              <w:bottom w:val="single" w:sz="8" w:space="0" w:color="auto"/>
              <w:right w:val="single" w:sz="8" w:space="0" w:color="auto"/>
            </w:tcBorders>
            <w:vAlign w:val="center"/>
            <w:hideMark/>
          </w:tcPr>
          <w:p w:rsidR="00D5791C" w:rsidRPr="00595EE3" w:rsidP="00D03DD4" w14:paraId="7B8F95E4" w14:textId="77777777">
            <w:pPr>
              <w:jc w:val="center"/>
              <w:rPr>
                <w:rFonts w:ascii="Source Sans Pro" w:hAnsi="Source Sans Pro" w:cs="Calibri"/>
                <w:color w:val="000000"/>
                <w:sz w:val="20"/>
              </w:rPr>
            </w:pPr>
            <w:r w:rsidRPr="00595EE3">
              <w:rPr>
                <w:rFonts w:ascii="Source Sans Pro" w:hAnsi="Source Sans Pro" w:cs="Calibri"/>
                <w:color w:val="000000"/>
                <w:sz w:val="20"/>
              </w:rPr>
              <w:t>0</w:t>
            </w:r>
          </w:p>
        </w:tc>
        <w:tc>
          <w:tcPr>
            <w:tcW w:w="984" w:type="dxa"/>
            <w:tcBorders>
              <w:top w:val="nil"/>
              <w:left w:val="nil"/>
              <w:bottom w:val="single" w:sz="8" w:space="0" w:color="auto"/>
              <w:right w:val="single" w:sz="8" w:space="0" w:color="auto"/>
            </w:tcBorders>
            <w:vAlign w:val="center"/>
            <w:hideMark/>
          </w:tcPr>
          <w:p w:rsidR="00D5791C" w:rsidRPr="00595EE3" w:rsidP="00D03DD4" w14:paraId="4E76345A" w14:textId="77777777">
            <w:pPr>
              <w:jc w:val="center"/>
              <w:rPr>
                <w:rFonts w:ascii="Source Sans Pro" w:hAnsi="Source Sans Pro" w:cs="Calibri"/>
                <w:color w:val="000000"/>
                <w:sz w:val="20"/>
              </w:rPr>
            </w:pPr>
            <w:r w:rsidRPr="00595EE3">
              <w:rPr>
                <w:rFonts w:ascii="Source Sans Pro" w:hAnsi="Source Sans Pro" w:cs="Calibri"/>
                <w:color w:val="000000"/>
                <w:sz w:val="20"/>
              </w:rPr>
              <w:t>50</w:t>
            </w:r>
          </w:p>
        </w:tc>
        <w:tc>
          <w:tcPr>
            <w:tcW w:w="884" w:type="dxa"/>
            <w:tcBorders>
              <w:top w:val="nil"/>
              <w:left w:val="nil"/>
              <w:bottom w:val="single" w:sz="8" w:space="0" w:color="auto"/>
              <w:right w:val="single" w:sz="8" w:space="0" w:color="auto"/>
            </w:tcBorders>
            <w:vAlign w:val="center"/>
            <w:hideMark/>
          </w:tcPr>
          <w:p w:rsidR="00D5791C" w:rsidRPr="00595EE3" w:rsidP="00D03DD4" w14:paraId="27C34986" w14:textId="77777777">
            <w:pPr>
              <w:jc w:val="center"/>
              <w:rPr>
                <w:rFonts w:ascii="Source Sans Pro" w:hAnsi="Source Sans Pro" w:cs="Calibri"/>
                <w:color w:val="000000"/>
                <w:sz w:val="20"/>
              </w:rPr>
            </w:pPr>
            <w:r w:rsidRPr="00595EE3">
              <w:rPr>
                <w:rFonts w:ascii="Source Sans Pro" w:hAnsi="Source Sans Pro" w:cs="Calibri"/>
                <w:color w:val="000000"/>
                <w:sz w:val="20"/>
              </w:rPr>
              <w:t>0</w:t>
            </w:r>
          </w:p>
        </w:tc>
        <w:tc>
          <w:tcPr>
            <w:tcW w:w="1444" w:type="dxa"/>
            <w:tcBorders>
              <w:top w:val="nil"/>
              <w:left w:val="nil"/>
              <w:bottom w:val="single" w:sz="8" w:space="0" w:color="auto"/>
              <w:right w:val="single" w:sz="8" w:space="0" w:color="auto"/>
            </w:tcBorders>
            <w:vAlign w:val="center"/>
            <w:hideMark/>
          </w:tcPr>
          <w:p w:rsidR="00D5791C" w:rsidRPr="00595EE3" w:rsidP="00D03DD4" w14:paraId="09E85194" w14:textId="77777777">
            <w:pPr>
              <w:ind w:firstLine="200" w:firstLineChars="100"/>
              <w:jc w:val="right"/>
              <w:rPr>
                <w:rFonts w:ascii="Source Sans Pro" w:hAnsi="Source Sans Pro" w:cs="Calibri"/>
                <w:color w:val="000000"/>
                <w:sz w:val="20"/>
              </w:rPr>
            </w:pPr>
            <w:r>
              <w:rPr>
                <w:rFonts w:ascii="Source Sans Pro" w:hAnsi="Source Sans Pro" w:cs="Calibri"/>
                <w:color w:val="000000"/>
                <w:sz w:val="20"/>
              </w:rPr>
              <w:t xml:space="preserve">$150.99 </w:t>
            </w:r>
          </w:p>
        </w:tc>
      </w:tr>
      <w:tr w14:paraId="23D8CFB9" w14:textId="77777777" w:rsidTr="00D03DD4">
        <w:tblPrEx>
          <w:tblW w:w="10423" w:type="dxa"/>
          <w:tblCellMar>
            <w:top w:w="15" w:type="dxa"/>
          </w:tblCellMar>
          <w:tblLook w:val="04A0"/>
        </w:tblPrEx>
        <w:trPr>
          <w:trHeight w:val="1668"/>
        </w:trPr>
        <w:tc>
          <w:tcPr>
            <w:tcW w:w="2192" w:type="dxa"/>
            <w:tcBorders>
              <w:top w:val="nil"/>
              <w:left w:val="single" w:sz="8" w:space="0" w:color="auto"/>
              <w:bottom w:val="single" w:sz="8" w:space="0" w:color="auto"/>
              <w:right w:val="single" w:sz="8" w:space="0" w:color="auto"/>
            </w:tcBorders>
            <w:vAlign w:val="center"/>
            <w:hideMark/>
          </w:tcPr>
          <w:p w:rsidR="00D5791C" w:rsidRPr="00595EE3" w:rsidP="00D03DD4" w14:paraId="614210D4" w14:textId="77777777">
            <w:pPr>
              <w:rPr>
                <w:rFonts w:ascii="Source Sans Pro" w:hAnsi="Source Sans Pro" w:cs="Calibri"/>
                <w:color w:val="000000"/>
                <w:sz w:val="20"/>
              </w:rPr>
            </w:pPr>
            <w:r w:rsidRPr="00595EE3">
              <w:rPr>
                <w:rFonts w:ascii="Source Sans Pro" w:hAnsi="Source Sans Pro" w:cs="Calibri"/>
                <w:color w:val="000000"/>
                <w:sz w:val="20"/>
              </w:rPr>
              <w:t>13. Section 351.20(e) - Additional documentation for covered funds for Covered Banks with Significant Trading Assets &amp; Liabilities (Mandatory)</w:t>
            </w:r>
          </w:p>
        </w:tc>
        <w:tc>
          <w:tcPr>
            <w:tcW w:w="845" w:type="dxa"/>
            <w:tcBorders>
              <w:top w:val="nil"/>
              <w:left w:val="nil"/>
              <w:bottom w:val="single" w:sz="8" w:space="0" w:color="auto"/>
              <w:right w:val="single" w:sz="8" w:space="0" w:color="auto"/>
            </w:tcBorders>
            <w:vAlign w:val="center"/>
            <w:hideMark/>
          </w:tcPr>
          <w:p w:rsidR="00D5791C" w:rsidRPr="00595EE3" w:rsidP="00D03DD4" w14:paraId="3E8C7958" w14:textId="77777777">
            <w:pPr>
              <w:jc w:val="center"/>
              <w:rPr>
                <w:rFonts w:ascii="Source Sans Pro" w:hAnsi="Source Sans Pro" w:cs="Calibri"/>
                <w:color w:val="000000"/>
                <w:sz w:val="20"/>
              </w:rPr>
            </w:pPr>
            <w:r w:rsidRPr="00595EE3">
              <w:rPr>
                <w:rFonts w:ascii="Source Sans Pro" w:hAnsi="Source Sans Pro" w:cs="Calibri"/>
                <w:color w:val="000000"/>
                <w:sz w:val="20"/>
              </w:rPr>
              <w:t>10.48</w:t>
            </w:r>
          </w:p>
        </w:tc>
        <w:tc>
          <w:tcPr>
            <w:tcW w:w="984" w:type="dxa"/>
            <w:tcBorders>
              <w:top w:val="nil"/>
              <w:left w:val="nil"/>
              <w:bottom w:val="single" w:sz="8" w:space="0" w:color="auto"/>
              <w:right w:val="single" w:sz="8" w:space="0" w:color="auto"/>
            </w:tcBorders>
            <w:vAlign w:val="center"/>
            <w:hideMark/>
          </w:tcPr>
          <w:p w:rsidR="00D5791C" w:rsidRPr="00595EE3" w:rsidP="00D03DD4" w14:paraId="2E180720" w14:textId="77777777">
            <w:pPr>
              <w:jc w:val="center"/>
              <w:rPr>
                <w:rFonts w:ascii="Source Sans Pro" w:hAnsi="Source Sans Pro" w:cs="Calibri"/>
                <w:color w:val="000000"/>
                <w:sz w:val="20"/>
              </w:rPr>
            </w:pPr>
            <w:r w:rsidRPr="00595EE3">
              <w:rPr>
                <w:rFonts w:ascii="Source Sans Pro" w:hAnsi="Source Sans Pro" w:cs="Calibri"/>
                <w:color w:val="000000"/>
                <w:sz w:val="20"/>
              </w:rPr>
              <w:t>0</w:t>
            </w:r>
          </w:p>
        </w:tc>
        <w:tc>
          <w:tcPr>
            <w:tcW w:w="984" w:type="dxa"/>
            <w:tcBorders>
              <w:top w:val="nil"/>
              <w:left w:val="nil"/>
              <w:bottom w:val="single" w:sz="8" w:space="0" w:color="auto"/>
              <w:right w:val="single" w:sz="8" w:space="0" w:color="auto"/>
            </w:tcBorders>
            <w:vAlign w:val="center"/>
            <w:hideMark/>
          </w:tcPr>
          <w:p w:rsidR="00D5791C" w:rsidRPr="00595EE3" w:rsidP="00D03DD4" w14:paraId="6AD62E83" w14:textId="77777777">
            <w:pPr>
              <w:jc w:val="center"/>
              <w:rPr>
                <w:rFonts w:ascii="Source Sans Pro" w:hAnsi="Source Sans Pro" w:cs="Calibri"/>
                <w:color w:val="000000"/>
                <w:sz w:val="20"/>
              </w:rPr>
            </w:pPr>
            <w:r w:rsidRPr="00595EE3">
              <w:rPr>
                <w:rFonts w:ascii="Source Sans Pro" w:hAnsi="Source Sans Pro" w:cs="Calibri"/>
                <w:color w:val="000000"/>
                <w:sz w:val="20"/>
              </w:rPr>
              <w:t>80</w:t>
            </w:r>
          </w:p>
        </w:tc>
        <w:tc>
          <w:tcPr>
            <w:tcW w:w="900" w:type="dxa"/>
            <w:tcBorders>
              <w:top w:val="nil"/>
              <w:left w:val="nil"/>
              <w:bottom w:val="single" w:sz="8" w:space="0" w:color="auto"/>
              <w:right w:val="single" w:sz="8" w:space="0" w:color="auto"/>
            </w:tcBorders>
            <w:vAlign w:val="center"/>
            <w:hideMark/>
          </w:tcPr>
          <w:p w:rsidR="00D5791C" w:rsidRPr="00595EE3" w:rsidP="00D03DD4" w14:paraId="35C35A44" w14:textId="77777777">
            <w:pPr>
              <w:jc w:val="center"/>
              <w:rPr>
                <w:rFonts w:ascii="Source Sans Pro" w:hAnsi="Source Sans Pro" w:cs="Calibri"/>
                <w:color w:val="000000"/>
                <w:sz w:val="20"/>
              </w:rPr>
            </w:pPr>
            <w:r w:rsidRPr="00595EE3">
              <w:rPr>
                <w:rFonts w:ascii="Source Sans Pro" w:hAnsi="Source Sans Pro" w:cs="Calibri"/>
                <w:color w:val="000000"/>
                <w:sz w:val="20"/>
              </w:rPr>
              <w:t>0</w:t>
            </w:r>
          </w:p>
        </w:tc>
        <w:tc>
          <w:tcPr>
            <w:tcW w:w="984" w:type="dxa"/>
            <w:tcBorders>
              <w:top w:val="nil"/>
              <w:left w:val="nil"/>
              <w:bottom w:val="single" w:sz="8" w:space="0" w:color="auto"/>
              <w:right w:val="single" w:sz="8" w:space="0" w:color="auto"/>
            </w:tcBorders>
            <w:vAlign w:val="center"/>
            <w:hideMark/>
          </w:tcPr>
          <w:p w:rsidR="00D5791C" w:rsidRPr="00595EE3" w:rsidP="00D03DD4" w14:paraId="226AB427" w14:textId="77777777">
            <w:pPr>
              <w:jc w:val="center"/>
              <w:rPr>
                <w:rFonts w:ascii="Source Sans Pro" w:hAnsi="Source Sans Pro" w:cs="Calibri"/>
                <w:color w:val="000000"/>
                <w:sz w:val="20"/>
              </w:rPr>
            </w:pPr>
            <w:r w:rsidRPr="00595EE3">
              <w:rPr>
                <w:rFonts w:ascii="Source Sans Pro" w:hAnsi="Source Sans Pro" w:cs="Calibri"/>
                <w:color w:val="000000"/>
                <w:sz w:val="20"/>
              </w:rPr>
              <w:t>0</w:t>
            </w:r>
          </w:p>
        </w:tc>
        <w:tc>
          <w:tcPr>
            <w:tcW w:w="984" w:type="dxa"/>
            <w:tcBorders>
              <w:top w:val="nil"/>
              <w:left w:val="nil"/>
              <w:bottom w:val="single" w:sz="8" w:space="0" w:color="auto"/>
              <w:right w:val="single" w:sz="8" w:space="0" w:color="auto"/>
            </w:tcBorders>
            <w:vAlign w:val="center"/>
            <w:hideMark/>
          </w:tcPr>
          <w:p w:rsidR="00D5791C" w:rsidRPr="00595EE3" w:rsidP="00D03DD4" w14:paraId="728E00A6" w14:textId="77777777">
            <w:pPr>
              <w:jc w:val="center"/>
              <w:rPr>
                <w:rFonts w:ascii="Source Sans Pro" w:hAnsi="Source Sans Pro" w:cs="Calibri"/>
                <w:color w:val="000000"/>
                <w:sz w:val="20"/>
              </w:rPr>
            </w:pPr>
            <w:r w:rsidRPr="00595EE3">
              <w:rPr>
                <w:rFonts w:ascii="Source Sans Pro" w:hAnsi="Source Sans Pro" w:cs="Calibri"/>
                <w:color w:val="000000"/>
                <w:sz w:val="20"/>
              </w:rPr>
              <w:t>20</w:t>
            </w:r>
          </w:p>
        </w:tc>
        <w:tc>
          <w:tcPr>
            <w:tcW w:w="884" w:type="dxa"/>
            <w:tcBorders>
              <w:top w:val="nil"/>
              <w:left w:val="nil"/>
              <w:bottom w:val="single" w:sz="8" w:space="0" w:color="auto"/>
              <w:right w:val="single" w:sz="8" w:space="0" w:color="auto"/>
            </w:tcBorders>
            <w:vAlign w:val="center"/>
            <w:hideMark/>
          </w:tcPr>
          <w:p w:rsidR="00D5791C" w:rsidRPr="00595EE3" w:rsidP="00D03DD4" w14:paraId="4CBBE141" w14:textId="77777777">
            <w:pPr>
              <w:jc w:val="center"/>
              <w:rPr>
                <w:rFonts w:ascii="Source Sans Pro" w:hAnsi="Source Sans Pro" w:cs="Calibri"/>
                <w:color w:val="000000"/>
                <w:sz w:val="20"/>
              </w:rPr>
            </w:pPr>
            <w:r w:rsidRPr="00595EE3">
              <w:rPr>
                <w:rFonts w:ascii="Source Sans Pro" w:hAnsi="Source Sans Pro" w:cs="Calibri"/>
                <w:color w:val="000000"/>
                <w:sz w:val="20"/>
              </w:rPr>
              <w:t>0</w:t>
            </w:r>
          </w:p>
        </w:tc>
        <w:tc>
          <w:tcPr>
            <w:tcW w:w="1444" w:type="dxa"/>
            <w:tcBorders>
              <w:top w:val="nil"/>
              <w:left w:val="nil"/>
              <w:bottom w:val="single" w:sz="8" w:space="0" w:color="auto"/>
              <w:right w:val="single" w:sz="8" w:space="0" w:color="auto"/>
            </w:tcBorders>
            <w:vAlign w:val="center"/>
            <w:hideMark/>
          </w:tcPr>
          <w:p w:rsidR="00D5791C" w:rsidRPr="00595EE3" w:rsidP="00D03DD4" w14:paraId="5EBD6BAE" w14:textId="77777777">
            <w:pPr>
              <w:ind w:firstLine="200" w:firstLineChars="100"/>
              <w:jc w:val="right"/>
              <w:rPr>
                <w:rFonts w:ascii="Source Sans Pro" w:hAnsi="Source Sans Pro" w:cs="Calibri"/>
                <w:color w:val="000000"/>
                <w:sz w:val="20"/>
              </w:rPr>
            </w:pPr>
            <w:r>
              <w:rPr>
                <w:rFonts w:ascii="Source Sans Pro" w:hAnsi="Source Sans Pro" w:cs="Calibri"/>
                <w:color w:val="000000"/>
                <w:sz w:val="20"/>
              </w:rPr>
              <w:t xml:space="preserve">$179.39 </w:t>
            </w:r>
          </w:p>
        </w:tc>
      </w:tr>
      <w:tr w14:paraId="4DCB5C78" w14:textId="77777777" w:rsidTr="00D03DD4">
        <w:tblPrEx>
          <w:tblW w:w="10423" w:type="dxa"/>
          <w:tblCellMar>
            <w:top w:w="15" w:type="dxa"/>
          </w:tblCellMar>
          <w:tblLook w:val="04A0"/>
        </w:tblPrEx>
        <w:trPr>
          <w:trHeight w:val="1392"/>
        </w:trPr>
        <w:tc>
          <w:tcPr>
            <w:tcW w:w="2192" w:type="dxa"/>
            <w:tcBorders>
              <w:top w:val="nil"/>
              <w:left w:val="single" w:sz="8" w:space="0" w:color="auto"/>
              <w:bottom w:val="single" w:sz="8" w:space="0" w:color="auto"/>
              <w:right w:val="single" w:sz="8" w:space="0" w:color="auto"/>
            </w:tcBorders>
            <w:vAlign w:val="center"/>
            <w:hideMark/>
          </w:tcPr>
          <w:p w:rsidR="00D5791C" w:rsidRPr="00595EE3" w:rsidP="00D03DD4" w14:paraId="4FA5BA0F" w14:textId="77777777">
            <w:pPr>
              <w:rPr>
                <w:rFonts w:ascii="Source Sans Pro" w:hAnsi="Source Sans Pro" w:cs="Calibri"/>
                <w:color w:val="000000"/>
                <w:sz w:val="20"/>
              </w:rPr>
            </w:pPr>
            <w:r w:rsidRPr="00595EE3">
              <w:rPr>
                <w:rFonts w:ascii="Source Sans Pro" w:hAnsi="Source Sans Pro" w:cs="Calibri"/>
                <w:color w:val="000000"/>
                <w:sz w:val="20"/>
              </w:rPr>
              <w:t>14. Section 351.20(f)(1) - Simplified compliance program for Covered Banks with no trading assets or liabilities (Mandatory)</w:t>
            </w:r>
          </w:p>
        </w:tc>
        <w:tc>
          <w:tcPr>
            <w:tcW w:w="845" w:type="dxa"/>
            <w:tcBorders>
              <w:top w:val="nil"/>
              <w:left w:val="nil"/>
              <w:bottom w:val="single" w:sz="8" w:space="0" w:color="auto"/>
              <w:right w:val="single" w:sz="8" w:space="0" w:color="auto"/>
            </w:tcBorders>
            <w:vAlign w:val="center"/>
            <w:hideMark/>
          </w:tcPr>
          <w:p w:rsidR="00D5791C" w:rsidRPr="00595EE3" w:rsidP="00D03DD4" w14:paraId="23DFA0BA" w14:textId="77777777">
            <w:pPr>
              <w:jc w:val="center"/>
              <w:rPr>
                <w:rFonts w:ascii="Source Sans Pro" w:hAnsi="Source Sans Pro" w:cs="Calibri"/>
                <w:color w:val="000000"/>
                <w:sz w:val="20"/>
              </w:rPr>
            </w:pPr>
            <w:r w:rsidRPr="00595EE3">
              <w:rPr>
                <w:rFonts w:ascii="Source Sans Pro" w:hAnsi="Source Sans Pro" w:cs="Calibri"/>
                <w:color w:val="000000"/>
                <w:sz w:val="20"/>
              </w:rPr>
              <w:t>0.21</w:t>
            </w:r>
          </w:p>
        </w:tc>
        <w:tc>
          <w:tcPr>
            <w:tcW w:w="984" w:type="dxa"/>
            <w:tcBorders>
              <w:top w:val="nil"/>
              <w:left w:val="nil"/>
              <w:bottom w:val="single" w:sz="8" w:space="0" w:color="auto"/>
              <w:right w:val="single" w:sz="8" w:space="0" w:color="auto"/>
            </w:tcBorders>
            <w:vAlign w:val="center"/>
            <w:hideMark/>
          </w:tcPr>
          <w:p w:rsidR="00D5791C" w:rsidRPr="00595EE3" w:rsidP="00D03DD4" w14:paraId="5525B9CA" w14:textId="77777777">
            <w:pPr>
              <w:jc w:val="center"/>
              <w:rPr>
                <w:rFonts w:ascii="Source Sans Pro" w:hAnsi="Source Sans Pro" w:cs="Calibri"/>
                <w:color w:val="000000"/>
                <w:sz w:val="20"/>
              </w:rPr>
            </w:pPr>
            <w:r w:rsidRPr="00595EE3">
              <w:rPr>
                <w:rFonts w:ascii="Source Sans Pro" w:hAnsi="Source Sans Pro" w:cs="Calibri"/>
                <w:color w:val="000000"/>
                <w:sz w:val="20"/>
              </w:rPr>
              <w:t>0</w:t>
            </w:r>
          </w:p>
        </w:tc>
        <w:tc>
          <w:tcPr>
            <w:tcW w:w="984" w:type="dxa"/>
            <w:tcBorders>
              <w:top w:val="nil"/>
              <w:left w:val="nil"/>
              <w:bottom w:val="single" w:sz="8" w:space="0" w:color="auto"/>
              <w:right w:val="single" w:sz="8" w:space="0" w:color="auto"/>
            </w:tcBorders>
            <w:vAlign w:val="center"/>
            <w:hideMark/>
          </w:tcPr>
          <w:p w:rsidR="00D5791C" w:rsidRPr="00595EE3" w:rsidP="00D03DD4" w14:paraId="23555965" w14:textId="77777777">
            <w:pPr>
              <w:jc w:val="center"/>
              <w:rPr>
                <w:rFonts w:ascii="Source Sans Pro" w:hAnsi="Source Sans Pro" w:cs="Calibri"/>
                <w:color w:val="000000"/>
                <w:sz w:val="20"/>
              </w:rPr>
            </w:pPr>
            <w:r w:rsidRPr="00595EE3">
              <w:rPr>
                <w:rFonts w:ascii="Source Sans Pro" w:hAnsi="Source Sans Pro" w:cs="Calibri"/>
                <w:color w:val="000000"/>
                <w:sz w:val="20"/>
              </w:rPr>
              <w:t>100</w:t>
            </w:r>
          </w:p>
        </w:tc>
        <w:tc>
          <w:tcPr>
            <w:tcW w:w="900" w:type="dxa"/>
            <w:tcBorders>
              <w:top w:val="nil"/>
              <w:left w:val="nil"/>
              <w:bottom w:val="single" w:sz="8" w:space="0" w:color="auto"/>
              <w:right w:val="single" w:sz="8" w:space="0" w:color="auto"/>
            </w:tcBorders>
            <w:vAlign w:val="center"/>
            <w:hideMark/>
          </w:tcPr>
          <w:p w:rsidR="00D5791C" w:rsidRPr="00595EE3" w:rsidP="00D03DD4" w14:paraId="1C533775" w14:textId="77777777">
            <w:pPr>
              <w:jc w:val="center"/>
              <w:rPr>
                <w:rFonts w:ascii="Source Sans Pro" w:hAnsi="Source Sans Pro" w:cs="Calibri"/>
                <w:color w:val="000000"/>
                <w:sz w:val="20"/>
              </w:rPr>
            </w:pPr>
            <w:r w:rsidRPr="00595EE3">
              <w:rPr>
                <w:rFonts w:ascii="Source Sans Pro" w:hAnsi="Source Sans Pro" w:cs="Calibri"/>
                <w:color w:val="000000"/>
                <w:sz w:val="20"/>
              </w:rPr>
              <w:t>0</w:t>
            </w:r>
          </w:p>
        </w:tc>
        <w:tc>
          <w:tcPr>
            <w:tcW w:w="984" w:type="dxa"/>
            <w:tcBorders>
              <w:top w:val="nil"/>
              <w:left w:val="nil"/>
              <w:bottom w:val="single" w:sz="8" w:space="0" w:color="auto"/>
              <w:right w:val="single" w:sz="8" w:space="0" w:color="auto"/>
            </w:tcBorders>
            <w:vAlign w:val="center"/>
            <w:hideMark/>
          </w:tcPr>
          <w:p w:rsidR="00D5791C" w:rsidRPr="00595EE3" w:rsidP="00D03DD4" w14:paraId="3F834D15" w14:textId="77777777">
            <w:pPr>
              <w:jc w:val="center"/>
              <w:rPr>
                <w:rFonts w:ascii="Source Sans Pro" w:hAnsi="Source Sans Pro" w:cs="Calibri"/>
                <w:color w:val="000000"/>
                <w:sz w:val="20"/>
              </w:rPr>
            </w:pPr>
            <w:r w:rsidRPr="00595EE3">
              <w:rPr>
                <w:rFonts w:ascii="Source Sans Pro" w:hAnsi="Source Sans Pro" w:cs="Calibri"/>
                <w:color w:val="000000"/>
                <w:sz w:val="20"/>
              </w:rPr>
              <w:t>0</w:t>
            </w:r>
          </w:p>
        </w:tc>
        <w:tc>
          <w:tcPr>
            <w:tcW w:w="984" w:type="dxa"/>
            <w:tcBorders>
              <w:top w:val="nil"/>
              <w:left w:val="nil"/>
              <w:bottom w:val="single" w:sz="8" w:space="0" w:color="auto"/>
              <w:right w:val="single" w:sz="8" w:space="0" w:color="auto"/>
            </w:tcBorders>
            <w:vAlign w:val="center"/>
            <w:hideMark/>
          </w:tcPr>
          <w:p w:rsidR="00D5791C" w:rsidRPr="00595EE3" w:rsidP="00D03DD4" w14:paraId="2B3106B5" w14:textId="77777777">
            <w:pPr>
              <w:jc w:val="center"/>
              <w:rPr>
                <w:rFonts w:ascii="Source Sans Pro" w:hAnsi="Source Sans Pro" w:cs="Calibri"/>
                <w:color w:val="000000"/>
                <w:sz w:val="20"/>
              </w:rPr>
            </w:pPr>
            <w:r w:rsidRPr="00595EE3">
              <w:rPr>
                <w:rFonts w:ascii="Source Sans Pro" w:hAnsi="Source Sans Pro" w:cs="Calibri"/>
                <w:color w:val="000000"/>
                <w:sz w:val="20"/>
              </w:rPr>
              <w:t>0</w:t>
            </w:r>
          </w:p>
        </w:tc>
        <w:tc>
          <w:tcPr>
            <w:tcW w:w="884" w:type="dxa"/>
            <w:tcBorders>
              <w:top w:val="nil"/>
              <w:left w:val="nil"/>
              <w:bottom w:val="single" w:sz="8" w:space="0" w:color="auto"/>
              <w:right w:val="single" w:sz="8" w:space="0" w:color="auto"/>
            </w:tcBorders>
            <w:vAlign w:val="center"/>
            <w:hideMark/>
          </w:tcPr>
          <w:p w:rsidR="00D5791C" w:rsidRPr="00595EE3" w:rsidP="00D03DD4" w14:paraId="12DB0CB2" w14:textId="77777777">
            <w:pPr>
              <w:jc w:val="center"/>
              <w:rPr>
                <w:rFonts w:ascii="Source Sans Pro" w:hAnsi="Source Sans Pro" w:cs="Calibri"/>
                <w:color w:val="000000"/>
                <w:sz w:val="20"/>
              </w:rPr>
            </w:pPr>
            <w:r w:rsidRPr="00595EE3">
              <w:rPr>
                <w:rFonts w:ascii="Source Sans Pro" w:hAnsi="Source Sans Pro" w:cs="Calibri"/>
                <w:color w:val="000000"/>
                <w:sz w:val="20"/>
              </w:rPr>
              <w:t>0</w:t>
            </w:r>
          </w:p>
        </w:tc>
        <w:tc>
          <w:tcPr>
            <w:tcW w:w="1444" w:type="dxa"/>
            <w:tcBorders>
              <w:top w:val="nil"/>
              <w:left w:val="nil"/>
              <w:bottom w:val="single" w:sz="8" w:space="0" w:color="auto"/>
              <w:right w:val="single" w:sz="8" w:space="0" w:color="auto"/>
            </w:tcBorders>
            <w:vAlign w:val="center"/>
            <w:hideMark/>
          </w:tcPr>
          <w:p w:rsidR="00D5791C" w:rsidRPr="00595EE3" w:rsidP="00D03DD4" w14:paraId="7882D251" w14:textId="77777777">
            <w:pPr>
              <w:ind w:firstLine="200" w:firstLineChars="100"/>
              <w:jc w:val="right"/>
              <w:rPr>
                <w:rFonts w:ascii="Source Sans Pro" w:hAnsi="Source Sans Pro" w:cs="Calibri"/>
                <w:color w:val="000000"/>
                <w:sz w:val="20"/>
              </w:rPr>
            </w:pPr>
            <w:r>
              <w:rPr>
                <w:rFonts w:ascii="Source Sans Pro" w:hAnsi="Source Sans Pro" w:cs="Calibri"/>
                <w:color w:val="000000"/>
                <w:sz w:val="20"/>
              </w:rPr>
              <w:t xml:space="preserve">$198.32 </w:t>
            </w:r>
          </w:p>
        </w:tc>
      </w:tr>
      <w:tr w14:paraId="4A226F90" w14:textId="77777777" w:rsidTr="00D03DD4">
        <w:tblPrEx>
          <w:tblW w:w="10423" w:type="dxa"/>
          <w:tblCellMar>
            <w:top w:w="15" w:type="dxa"/>
          </w:tblCellMar>
          <w:tblLook w:val="04A0"/>
        </w:tblPrEx>
        <w:trPr>
          <w:trHeight w:val="1668"/>
        </w:trPr>
        <w:tc>
          <w:tcPr>
            <w:tcW w:w="2192" w:type="dxa"/>
            <w:tcBorders>
              <w:top w:val="nil"/>
              <w:left w:val="single" w:sz="8" w:space="0" w:color="auto"/>
              <w:bottom w:val="single" w:sz="8" w:space="0" w:color="auto"/>
              <w:right w:val="single" w:sz="8" w:space="0" w:color="auto"/>
            </w:tcBorders>
            <w:vAlign w:val="center"/>
            <w:hideMark/>
          </w:tcPr>
          <w:p w:rsidR="00D5791C" w:rsidRPr="00595EE3" w:rsidP="00D03DD4" w14:paraId="0DA748EE" w14:textId="77777777">
            <w:pPr>
              <w:rPr>
                <w:rFonts w:ascii="Source Sans Pro" w:hAnsi="Source Sans Pro" w:cs="Calibri"/>
                <w:color w:val="000000"/>
                <w:sz w:val="20"/>
              </w:rPr>
            </w:pPr>
            <w:r w:rsidRPr="00595EE3">
              <w:rPr>
                <w:rFonts w:ascii="Source Sans Pro" w:hAnsi="Source Sans Pro" w:cs="Calibri"/>
                <w:color w:val="000000"/>
                <w:sz w:val="20"/>
              </w:rPr>
              <w:t>15. Section 351.20(f)(2) - Simplified compliance program for Covered Banks with moderate trading assets and liabilities (Mandatory)</w:t>
            </w:r>
          </w:p>
        </w:tc>
        <w:tc>
          <w:tcPr>
            <w:tcW w:w="845" w:type="dxa"/>
            <w:tcBorders>
              <w:top w:val="nil"/>
              <w:left w:val="nil"/>
              <w:bottom w:val="single" w:sz="8" w:space="0" w:color="auto"/>
              <w:right w:val="single" w:sz="8" w:space="0" w:color="auto"/>
            </w:tcBorders>
            <w:vAlign w:val="center"/>
            <w:hideMark/>
          </w:tcPr>
          <w:p w:rsidR="00D5791C" w:rsidRPr="00595EE3" w:rsidP="00D03DD4" w14:paraId="65A58410" w14:textId="77777777">
            <w:pPr>
              <w:jc w:val="center"/>
              <w:rPr>
                <w:rFonts w:ascii="Source Sans Pro" w:hAnsi="Source Sans Pro" w:cs="Calibri"/>
                <w:color w:val="000000"/>
                <w:sz w:val="20"/>
              </w:rPr>
            </w:pPr>
            <w:r w:rsidRPr="00595EE3">
              <w:rPr>
                <w:rFonts w:ascii="Source Sans Pro" w:hAnsi="Source Sans Pro" w:cs="Calibri"/>
                <w:color w:val="000000"/>
                <w:sz w:val="20"/>
              </w:rPr>
              <w:t>3.15</w:t>
            </w:r>
          </w:p>
        </w:tc>
        <w:tc>
          <w:tcPr>
            <w:tcW w:w="984" w:type="dxa"/>
            <w:tcBorders>
              <w:top w:val="nil"/>
              <w:left w:val="nil"/>
              <w:bottom w:val="single" w:sz="8" w:space="0" w:color="auto"/>
              <w:right w:val="single" w:sz="8" w:space="0" w:color="auto"/>
            </w:tcBorders>
            <w:vAlign w:val="center"/>
            <w:hideMark/>
          </w:tcPr>
          <w:p w:rsidR="00D5791C" w:rsidRPr="00595EE3" w:rsidP="00D03DD4" w14:paraId="19C83D18" w14:textId="77777777">
            <w:pPr>
              <w:jc w:val="center"/>
              <w:rPr>
                <w:rFonts w:ascii="Source Sans Pro" w:hAnsi="Source Sans Pro" w:cs="Calibri"/>
                <w:color w:val="000000"/>
                <w:sz w:val="20"/>
              </w:rPr>
            </w:pPr>
            <w:r w:rsidRPr="00595EE3">
              <w:rPr>
                <w:rFonts w:ascii="Source Sans Pro" w:hAnsi="Source Sans Pro" w:cs="Calibri"/>
                <w:color w:val="000000"/>
                <w:sz w:val="20"/>
              </w:rPr>
              <w:t>0</w:t>
            </w:r>
          </w:p>
        </w:tc>
        <w:tc>
          <w:tcPr>
            <w:tcW w:w="984" w:type="dxa"/>
            <w:tcBorders>
              <w:top w:val="nil"/>
              <w:left w:val="nil"/>
              <w:bottom w:val="single" w:sz="8" w:space="0" w:color="auto"/>
              <w:right w:val="single" w:sz="8" w:space="0" w:color="auto"/>
            </w:tcBorders>
            <w:vAlign w:val="center"/>
            <w:hideMark/>
          </w:tcPr>
          <w:p w:rsidR="00D5791C" w:rsidRPr="00595EE3" w:rsidP="00D03DD4" w14:paraId="31DC8F0C" w14:textId="77777777">
            <w:pPr>
              <w:jc w:val="center"/>
              <w:rPr>
                <w:rFonts w:ascii="Source Sans Pro" w:hAnsi="Source Sans Pro" w:cs="Calibri"/>
                <w:color w:val="000000"/>
                <w:sz w:val="20"/>
              </w:rPr>
            </w:pPr>
            <w:r w:rsidRPr="00595EE3">
              <w:rPr>
                <w:rFonts w:ascii="Source Sans Pro" w:hAnsi="Source Sans Pro" w:cs="Calibri"/>
                <w:color w:val="000000"/>
                <w:sz w:val="20"/>
              </w:rPr>
              <w:t>100</w:t>
            </w:r>
          </w:p>
        </w:tc>
        <w:tc>
          <w:tcPr>
            <w:tcW w:w="900" w:type="dxa"/>
            <w:tcBorders>
              <w:top w:val="nil"/>
              <w:left w:val="nil"/>
              <w:bottom w:val="single" w:sz="8" w:space="0" w:color="auto"/>
              <w:right w:val="single" w:sz="8" w:space="0" w:color="auto"/>
            </w:tcBorders>
            <w:vAlign w:val="center"/>
            <w:hideMark/>
          </w:tcPr>
          <w:p w:rsidR="00D5791C" w:rsidRPr="00595EE3" w:rsidP="00D03DD4" w14:paraId="75688437" w14:textId="77777777">
            <w:pPr>
              <w:jc w:val="center"/>
              <w:rPr>
                <w:rFonts w:ascii="Source Sans Pro" w:hAnsi="Source Sans Pro" w:cs="Calibri"/>
                <w:color w:val="000000"/>
                <w:sz w:val="20"/>
              </w:rPr>
            </w:pPr>
            <w:r w:rsidRPr="00595EE3">
              <w:rPr>
                <w:rFonts w:ascii="Source Sans Pro" w:hAnsi="Source Sans Pro" w:cs="Calibri"/>
                <w:color w:val="000000"/>
                <w:sz w:val="20"/>
              </w:rPr>
              <w:t>0</w:t>
            </w:r>
          </w:p>
        </w:tc>
        <w:tc>
          <w:tcPr>
            <w:tcW w:w="984" w:type="dxa"/>
            <w:tcBorders>
              <w:top w:val="nil"/>
              <w:left w:val="nil"/>
              <w:bottom w:val="single" w:sz="8" w:space="0" w:color="auto"/>
              <w:right w:val="single" w:sz="8" w:space="0" w:color="auto"/>
            </w:tcBorders>
            <w:vAlign w:val="center"/>
            <w:hideMark/>
          </w:tcPr>
          <w:p w:rsidR="00D5791C" w:rsidRPr="00595EE3" w:rsidP="00D03DD4" w14:paraId="45A52F69" w14:textId="77777777">
            <w:pPr>
              <w:jc w:val="center"/>
              <w:rPr>
                <w:rFonts w:ascii="Source Sans Pro" w:hAnsi="Source Sans Pro" w:cs="Calibri"/>
                <w:color w:val="000000"/>
                <w:sz w:val="20"/>
              </w:rPr>
            </w:pPr>
            <w:r w:rsidRPr="00595EE3">
              <w:rPr>
                <w:rFonts w:ascii="Source Sans Pro" w:hAnsi="Source Sans Pro" w:cs="Calibri"/>
                <w:color w:val="000000"/>
                <w:sz w:val="20"/>
              </w:rPr>
              <w:t>0</w:t>
            </w:r>
          </w:p>
        </w:tc>
        <w:tc>
          <w:tcPr>
            <w:tcW w:w="984" w:type="dxa"/>
            <w:tcBorders>
              <w:top w:val="nil"/>
              <w:left w:val="nil"/>
              <w:bottom w:val="single" w:sz="8" w:space="0" w:color="auto"/>
              <w:right w:val="single" w:sz="8" w:space="0" w:color="auto"/>
            </w:tcBorders>
            <w:vAlign w:val="center"/>
            <w:hideMark/>
          </w:tcPr>
          <w:p w:rsidR="00D5791C" w:rsidRPr="00595EE3" w:rsidP="00D03DD4" w14:paraId="6D18ABAE" w14:textId="77777777">
            <w:pPr>
              <w:jc w:val="center"/>
              <w:rPr>
                <w:rFonts w:ascii="Source Sans Pro" w:hAnsi="Source Sans Pro" w:cs="Calibri"/>
                <w:color w:val="000000"/>
                <w:sz w:val="20"/>
              </w:rPr>
            </w:pPr>
            <w:r w:rsidRPr="00595EE3">
              <w:rPr>
                <w:rFonts w:ascii="Source Sans Pro" w:hAnsi="Source Sans Pro" w:cs="Calibri"/>
                <w:color w:val="000000"/>
                <w:sz w:val="20"/>
              </w:rPr>
              <w:t>0</w:t>
            </w:r>
          </w:p>
        </w:tc>
        <w:tc>
          <w:tcPr>
            <w:tcW w:w="884" w:type="dxa"/>
            <w:tcBorders>
              <w:top w:val="nil"/>
              <w:left w:val="nil"/>
              <w:bottom w:val="single" w:sz="8" w:space="0" w:color="auto"/>
              <w:right w:val="single" w:sz="8" w:space="0" w:color="auto"/>
            </w:tcBorders>
            <w:vAlign w:val="center"/>
            <w:hideMark/>
          </w:tcPr>
          <w:p w:rsidR="00D5791C" w:rsidRPr="00595EE3" w:rsidP="00D03DD4" w14:paraId="667F1890" w14:textId="77777777">
            <w:pPr>
              <w:jc w:val="center"/>
              <w:rPr>
                <w:rFonts w:ascii="Source Sans Pro" w:hAnsi="Source Sans Pro" w:cs="Calibri"/>
                <w:color w:val="000000"/>
                <w:sz w:val="20"/>
              </w:rPr>
            </w:pPr>
            <w:r w:rsidRPr="00595EE3">
              <w:rPr>
                <w:rFonts w:ascii="Source Sans Pro" w:hAnsi="Source Sans Pro" w:cs="Calibri"/>
                <w:color w:val="000000"/>
                <w:sz w:val="20"/>
              </w:rPr>
              <w:t>0</w:t>
            </w:r>
          </w:p>
        </w:tc>
        <w:tc>
          <w:tcPr>
            <w:tcW w:w="1444" w:type="dxa"/>
            <w:tcBorders>
              <w:top w:val="nil"/>
              <w:left w:val="nil"/>
              <w:bottom w:val="single" w:sz="8" w:space="0" w:color="auto"/>
              <w:right w:val="single" w:sz="8" w:space="0" w:color="auto"/>
            </w:tcBorders>
            <w:vAlign w:val="center"/>
            <w:hideMark/>
          </w:tcPr>
          <w:p w:rsidR="00D5791C" w:rsidRPr="00595EE3" w:rsidP="00D03DD4" w14:paraId="34DE2AF3" w14:textId="77777777">
            <w:pPr>
              <w:ind w:firstLine="200" w:firstLineChars="100"/>
              <w:jc w:val="right"/>
              <w:rPr>
                <w:rFonts w:ascii="Source Sans Pro" w:hAnsi="Source Sans Pro" w:cs="Calibri"/>
                <w:color w:val="000000"/>
                <w:sz w:val="20"/>
              </w:rPr>
            </w:pPr>
            <w:r>
              <w:rPr>
                <w:rFonts w:ascii="Source Sans Pro" w:hAnsi="Source Sans Pro" w:cs="Calibri"/>
                <w:color w:val="000000"/>
                <w:sz w:val="20"/>
              </w:rPr>
              <w:t xml:space="preserve">$198.32 </w:t>
            </w:r>
          </w:p>
        </w:tc>
      </w:tr>
      <w:tr w14:paraId="068B204C" w14:textId="77777777" w:rsidTr="00D03DD4">
        <w:tblPrEx>
          <w:tblW w:w="10423" w:type="dxa"/>
          <w:tblCellMar>
            <w:top w:w="15" w:type="dxa"/>
          </w:tblCellMar>
          <w:tblLook w:val="04A0"/>
        </w:tblPrEx>
        <w:trPr>
          <w:trHeight w:val="840"/>
        </w:trPr>
        <w:tc>
          <w:tcPr>
            <w:tcW w:w="2192" w:type="dxa"/>
            <w:tcBorders>
              <w:top w:val="nil"/>
              <w:left w:val="single" w:sz="8" w:space="0" w:color="auto"/>
              <w:bottom w:val="single" w:sz="8" w:space="0" w:color="auto"/>
              <w:right w:val="single" w:sz="8" w:space="0" w:color="auto"/>
            </w:tcBorders>
            <w:vAlign w:val="center"/>
            <w:hideMark/>
          </w:tcPr>
          <w:p w:rsidR="00D5791C" w:rsidRPr="00595EE3" w:rsidP="00D03DD4" w14:paraId="261EC580" w14:textId="77777777">
            <w:pPr>
              <w:rPr>
                <w:rFonts w:ascii="Source Sans Pro" w:hAnsi="Source Sans Pro" w:cs="Calibri"/>
                <w:color w:val="000000"/>
                <w:sz w:val="20"/>
              </w:rPr>
            </w:pPr>
            <w:r w:rsidRPr="00595EE3">
              <w:rPr>
                <w:rFonts w:ascii="Source Sans Pro" w:hAnsi="Source Sans Pro" w:cs="Calibri"/>
                <w:color w:val="000000"/>
                <w:sz w:val="20"/>
              </w:rPr>
              <w:t>16. Section 351.11(a)(8)(i) - Offerings disclosures (Mandatory)</w:t>
            </w:r>
          </w:p>
        </w:tc>
        <w:tc>
          <w:tcPr>
            <w:tcW w:w="845" w:type="dxa"/>
            <w:tcBorders>
              <w:top w:val="nil"/>
              <w:left w:val="nil"/>
              <w:bottom w:val="single" w:sz="8" w:space="0" w:color="auto"/>
              <w:right w:val="single" w:sz="8" w:space="0" w:color="auto"/>
            </w:tcBorders>
            <w:vAlign w:val="center"/>
            <w:hideMark/>
          </w:tcPr>
          <w:p w:rsidR="00D5791C" w:rsidRPr="00595EE3" w:rsidP="00D03DD4" w14:paraId="058B7F58" w14:textId="77777777">
            <w:pPr>
              <w:jc w:val="center"/>
              <w:rPr>
                <w:rFonts w:ascii="Source Sans Pro" w:hAnsi="Source Sans Pro" w:cs="Calibri"/>
                <w:color w:val="000000"/>
                <w:sz w:val="20"/>
              </w:rPr>
            </w:pPr>
            <w:r w:rsidRPr="00595EE3">
              <w:rPr>
                <w:rFonts w:ascii="Source Sans Pro" w:hAnsi="Source Sans Pro" w:cs="Calibri"/>
                <w:color w:val="000000"/>
                <w:sz w:val="20"/>
              </w:rPr>
              <w:t>1.70</w:t>
            </w:r>
          </w:p>
        </w:tc>
        <w:tc>
          <w:tcPr>
            <w:tcW w:w="984" w:type="dxa"/>
            <w:tcBorders>
              <w:top w:val="nil"/>
              <w:left w:val="nil"/>
              <w:bottom w:val="single" w:sz="8" w:space="0" w:color="auto"/>
              <w:right w:val="single" w:sz="8" w:space="0" w:color="auto"/>
            </w:tcBorders>
            <w:vAlign w:val="center"/>
            <w:hideMark/>
          </w:tcPr>
          <w:p w:rsidR="00D5791C" w:rsidRPr="00595EE3" w:rsidP="00D03DD4" w14:paraId="53A0FD27" w14:textId="77777777">
            <w:pPr>
              <w:jc w:val="center"/>
              <w:rPr>
                <w:rFonts w:ascii="Source Sans Pro" w:hAnsi="Source Sans Pro" w:cs="Calibri"/>
                <w:color w:val="000000"/>
                <w:sz w:val="20"/>
              </w:rPr>
            </w:pPr>
            <w:r w:rsidRPr="00595EE3">
              <w:rPr>
                <w:rFonts w:ascii="Source Sans Pro" w:hAnsi="Source Sans Pro" w:cs="Calibri"/>
                <w:color w:val="000000"/>
                <w:sz w:val="20"/>
              </w:rPr>
              <w:t>0</w:t>
            </w:r>
          </w:p>
        </w:tc>
        <w:tc>
          <w:tcPr>
            <w:tcW w:w="984" w:type="dxa"/>
            <w:tcBorders>
              <w:top w:val="nil"/>
              <w:left w:val="nil"/>
              <w:bottom w:val="single" w:sz="8" w:space="0" w:color="auto"/>
              <w:right w:val="single" w:sz="8" w:space="0" w:color="auto"/>
            </w:tcBorders>
            <w:vAlign w:val="center"/>
            <w:hideMark/>
          </w:tcPr>
          <w:p w:rsidR="00D5791C" w:rsidRPr="00595EE3" w:rsidP="00D03DD4" w14:paraId="621CA51F" w14:textId="77777777">
            <w:pPr>
              <w:jc w:val="center"/>
              <w:rPr>
                <w:rFonts w:ascii="Source Sans Pro" w:hAnsi="Source Sans Pro" w:cs="Calibri"/>
                <w:color w:val="000000"/>
                <w:sz w:val="20"/>
              </w:rPr>
            </w:pPr>
            <w:r w:rsidRPr="00595EE3">
              <w:rPr>
                <w:rFonts w:ascii="Source Sans Pro" w:hAnsi="Source Sans Pro" w:cs="Calibri"/>
                <w:color w:val="000000"/>
                <w:sz w:val="20"/>
              </w:rPr>
              <w:t>100</w:t>
            </w:r>
          </w:p>
        </w:tc>
        <w:tc>
          <w:tcPr>
            <w:tcW w:w="900" w:type="dxa"/>
            <w:tcBorders>
              <w:top w:val="nil"/>
              <w:left w:val="nil"/>
              <w:bottom w:val="single" w:sz="8" w:space="0" w:color="auto"/>
              <w:right w:val="single" w:sz="8" w:space="0" w:color="auto"/>
            </w:tcBorders>
            <w:vAlign w:val="center"/>
            <w:hideMark/>
          </w:tcPr>
          <w:p w:rsidR="00D5791C" w:rsidRPr="00595EE3" w:rsidP="00D03DD4" w14:paraId="7FF77BF0" w14:textId="77777777">
            <w:pPr>
              <w:jc w:val="center"/>
              <w:rPr>
                <w:rFonts w:ascii="Source Sans Pro" w:hAnsi="Source Sans Pro" w:cs="Calibri"/>
                <w:color w:val="000000"/>
                <w:sz w:val="20"/>
              </w:rPr>
            </w:pPr>
            <w:r w:rsidRPr="00595EE3">
              <w:rPr>
                <w:rFonts w:ascii="Source Sans Pro" w:hAnsi="Source Sans Pro" w:cs="Calibri"/>
                <w:color w:val="000000"/>
                <w:sz w:val="20"/>
              </w:rPr>
              <w:t>0</w:t>
            </w:r>
          </w:p>
        </w:tc>
        <w:tc>
          <w:tcPr>
            <w:tcW w:w="984" w:type="dxa"/>
            <w:tcBorders>
              <w:top w:val="nil"/>
              <w:left w:val="nil"/>
              <w:bottom w:val="single" w:sz="8" w:space="0" w:color="auto"/>
              <w:right w:val="single" w:sz="8" w:space="0" w:color="auto"/>
            </w:tcBorders>
            <w:vAlign w:val="center"/>
            <w:hideMark/>
          </w:tcPr>
          <w:p w:rsidR="00D5791C" w:rsidRPr="00595EE3" w:rsidP="00D03DD4" w14:paraId="545A92AF" w14:textId="77777777">
            <w:pPr>
              <w:jc w:val="center"/>
              <w:rPr>
                <w:rFonts w:ascii="Source Sans Pro" w:hAnsi="Source Sans Pro" w:cs="Calibri"/>
                <w:color w:val="000000"/>
                <w:sz w:val="20"/>
              </w:rPr>
            </w:pPr>
            <w:r w:rsidRPr="00595EE3">
              <w:rPr>
                <w:rFonts w:ascii="Source Sans Pro" w:hAnsi="Source Sans Pro" w:cs="Calibri"/>
                <w:color w:val="000000"/>
                <w:sz w:val="20"/>
              </w:rPr>
              <w:t>0</w:t>
            </w:r>
          </w:p>
        </w:tc>
        <w:tc>
          <w:tcPr>
            <w:tcW w:w="984" w:type="dxa"/>
            <w:tcBorders>
              <w:top w:val="nil"/>
              <w:left w:val="nil"/>
              <w:bottom w:val="single" w:sz="8" w:space="0" w:color="auto"/>
              <w:right w:val="single" w:sz="8" w:space="0" w:color="auto"/>
            </w:tcBorders>
            <w:vAlign w:val="center"/>
            <w:hideMark/>
          </w:tcPr>
          <w:p w:rsidR="00D5791C" w:rsidRPr="00595EE3" w:rsidP="00D03DD4" w14:paraId="31BA1E04" w14:textId="77777777">
            <w:pPr>
              <w:jc w:val="center"/>
              <w:rPr>
                <w:rFonts w:ascii="Source Sans Pro" w:hAnsi="Source Sans Pro" w:cs="Calibri"/>
                <w:color w:val="000000"/>
                <w:sz w:val="20"/>
              </w:rPr>
            </w:pPr>
            <w:r w:rsidRPr="00595EE3">
              <w:rPr>
                <w:rFonts w:ascii="Source Sans Pro" w:hAnsi="Source Sans Pro" w:cs="Calibri"/>
                <w:color w:val="000000"/>
                <w:sz w:val="20"/>
              </w:rPr>
              <w:t>0</w:t>
            </w:r>
          </w:p>
        </w:tc>
        <w:tc>
          <w:tcPr>
            <w:tcW w:w="884" w:type="dxa"/>
            <w:tcBorders>
              <w:top w:val="nil"/>
              <w:left w:val="nil"/>
              <w:bottom w:val="single" w:sz="8" w:space="0" w:color="auto"/>
              <w:right w:val="single" w:sz="8" w:space="0" w:color="auto"/>
            </w:tcBorders>
            <w:vAlign w:val="center"/>
            <w:hideMark/>
          </w:tcPr>
          <w:p w:rsidR="00D5791C" w:rsidRPr="00595EE3" w:rsidP="00D03DD4" w14:paraId="4C1E3C25" w14:textId="77777777">
            <w:pPr>
              <w:jc w:val="center"/>
              <w:rPr>
                <w:rFonts w:ascii="Source Sans Pro" w:hAnsi="Source Sans Pro" w:cs="Calibri"/>
                <w:color w:val="000000"/>
                <w:sz w:val="20"/>
              </w:rPr>
            </w:pPr>
            <w:r w:rsidRPr="00595EE3">
              <w:rPr>
                <w:rFonts w:ascii="Source Sans Pro" w:hAnsi="Source Sans Pro" w:cs="Calibri"/>
                <w:color w:val="000000"/>
                <w:sz w:val="20"/>
              </w:rPr>
              <w:t>0</w:t>
            </w:r>
          </w:p>
        </w:tc>
        <w:tc>
          <w:tcPr>
            <w:tcW w:w="1444" w:type="dxa"/>
            <w:tcBorders>
              <w:top w:val="nil"/>
              <w:left w:val="nil"/>
              <w:bottom w:val="single" w:sz="8" w:space="0" w:color="auto"/>
              <w:right w:val="single" w:sz="8" w:space="0" w:color="auto"/>
            </w:tcBorders>
            <w:vAlign w:val="center"/>
            <w:hideMark/>
          </w:tcPr>
          <w:p w:rsidR="00D5791C" w:rsidRPr="00595EE3" w:rsidP="00D03DD4" w14:paraId="3EF6363A" w14:textId="77777777">
            <w:pPr>
              <w:ind w:firstLine="200" w:firstLineChars="100"/>
              <w:jc w:val="right"/>
              <w:rPr>
                <w:rFonts w:ascii="Source Sans Pro" w:hAnsi="Source Sans Pro" w:cs="Calibri"/>
                <w:color w:val="000000"/>
                <w:sz w:val="20"/>
              </w:rPr>
            </w:pPr>
            <w:r>
              <w:rPr>
                <w:rFonts w:ascii="Source Sans Pro" w:hAnsi="Source Sans Pro" w:cs="Calibri"/>
                <w:color w:val="000000"/>
                <w:sz w:val="20"/>
              </w:rPr>
              <w:t xml:space="preserve">$198.32 </w:t>
            </w:r>
          </w:p>
        </w:tc>
      </w:tr>
      <w:tr w14:paraId="579E08D5" w14:textId="77777777" w:rsidTr="00D03DD4">
        <w:tblPrEx>
          <w:tblW w:w="10423" w:type="dxa"/>
          <w:tblCellMar>
            <w:top w:w="15" w:type="dxa"/>
          </w:tblCellMar>
          <w:tblLook w:val="04A0"/>
        </w:tblPrEx>
        <w:trPr>
          <w:trHeight w:val="300"/>
        </w:trPr>
        <w:tc>
          <w:tcPr>
            <w:tcW w:w="8757" w:type="dxa"/>
            <w:gridSpan w:val="8"/>
            <w:tcBorders>
              <w:top w:val="single" w:sz="8" w:space="0" w:color="auto"/>
              <w:left w:val="single" w:sz="8" w:space="0" w:color="auto"/>
              <w:bottom w:val="nil"/>
              <w:right w:val="single" w:sz="8" w:space="0" w:color="auto"/>
            </w:tcBorders>
            <w:vAlign w:val="center"/>
            <w:hideMark/>
          </w:tcPr>
          <w:p w:rsidR="00D5791C" w:rsidRPr="00595EE3" w:rsidP="00D03DD4" w14:paraId="2262B331" w14:textId="77777777">
            <w:pPr>
              <w:jc w:val="right"/>
              <w:rPr>
                <w:rFonts w:ascii="Source Sans Pro" w:hAnsi="Source Sans Pro" w:cs="Calibri"/>
                <w:b/>
                <w:bCs/>
                <w:i/>
                <w:iCs/>
                <w:color w:val="000000"/>
              </w:rPr>
            </w:pPr>
            <w:r w:rsidRPr="00595EE3">
              <w:rPr>
                <w:rFonts w:ascii="Source Sans Pro" w:hAnsi="Source Sans Pro" w:cs="Calibri"/>
                <w:b/>
                <w:bCs/>
                <w:i/>
                <w:iCs/>
                <w:color w:val="000000"/>
              </w:rPr>
              <w:t>Weighted Average Hourly Compensation Rate:</w:t>
            </w:r>
          </w:p>
        </w:tc>
        <w:tc>
          <w:tcPr>
            <w:tcW w:w="1444" w:type="dxa"/>
            <w:tcBorders>
              <w:top w:val="nil"/>
              <w:left w:val="nil"/>
              <w:bottom w:val="nil"/>
              <w:right w:val="single" w:sz="8" w:space="0" w:color="auto"/>
            </w:tcBorders>
            <w:vAlign w:val="center"/>
            <w:hideMark/>
          </w:tcPr>
          <w:p w:rsidR="00D5791C" w:rsidRPr="00595EE3" w:rsidP="00D03DD4" w14:paraId="3F811F64" w14:textId="77777777">
            <w:pPr>
              <w:ind w:firstLine="240" w:firstLineChars="100"/>
              <w:jc w:val="right"/>
              <w:rPr>
                <w:rFonts w:ascii="Source Sans Pro" w:hAnsi="Source Sans Pro" w:cs="Calibri"/>
                <w:b/>
                <w:bCs/>
                <w:i/>
                <w:iCs/>
                <w:color w:val="000000"/>
              </w:rPr>
            </w:pPr>
            <w:r>
              <w:rPr>
                <w:rFonts w:ascii="Source Sans Pro" w:hAnsi="Source Sans Pro" w:cs="Calibri"/>
                <w:b/>
                <w:bCs/>
                <w:i/>
                <w:iCs/>
                <w:color w:val="000000"/>
              </w:rPr>
              <w:t>$164.72</w:t>
            </w:r>
          </w:p>
        </w:tc>
      </w:tr>
      <w:tr w14:paraId="0FA9E279" w14:textId="77777777" w:rsidTr="00D03DD4">
        <w:tblPrEx>
          <w:tblW w:w="10423" w:type="dxa"/>
          <w:tblCellMar>
            <w:top w:w="15" w:type="dxa"/>
          </w:tblCellMar>
          <w:tblLook w:val="04A0"/>
        </w:tblPrEx>
        <w:trPr>
          <w:trHeight w:val="252"/>
        </w:trPr>
        <w:tc>
          <w:tcPr>
            <w:tcW w:w="10201" w:type="dxa"/>
            <w:gridSpan w:val="9"/>
            <w:vMerge w:val="restart"/>
            <w:tcBorders>
              <w:top w:val="single" w:sz="8" w:space="0" w:color="auto"/>
              <w:left w:val="single" w:sz="8" w:space="0" w:color="auto"/>
              <w:bottom w:val="nil"/>
              <w:right w:val="single" w:sz="8" w:space="0" w:color="000000"/>
            </w:tcBorders>
            <w:vAlign w:val="center"/>
            <w:hideMark/>
          </w:tcPr>
          <w:p w:rsidR="00D5791C" w:rsidRPr="00595EE3" w:rsidP="00D03DD4" w14:paraId="64C5B47C" w14:textId="77777777">
            <w:pPr>
              <w:rPr>
                <w:rFonts w:ascii="Source Sans Pro" w:hAnsi="Source Sans Pro" w:cs="Calibri"/>
                <w:color w:val="000000"/>
                <w:sz w:val="18"/>
                <w:szCs w:val="18"/>
              </w:rPr>
            </w:pPr>
            <w:r w:rsidRPr="00595EE3">
              <w:rPr>
                <w:rFonts w:ascii="Source Sans Pro" w:hAnsi="Source Sans Pro" w:cs="Calibri"/>
                <w:color w:val="000000"/>
                <w:sz w:val="18"/>
                <w:szCs w:val="18"/>
              </w:rPr>
              <w:t xml:space="preserve">Source: Bureau of Labor Statistics: 'National Industry-Specific Occupational Employment and Wage Estimates: Industry: Credit Intermediation and Related Activities (5221 And 5223 only)' (May 2024), Employer Cost of Employee Compensation (March 2024), and Employment Cost Index (March 2024 and December 2025). Standard Occupational Classification (SOC) Codes: Exec. And </w:t>
            </w:r>
            <w:r w:rsidRPr="00595EE3">
              <w:rPr>
                <w:rFonts w:ascii="Source Sans Pro" w:hAnsi="Source Sans Pro" w:cs="Calibri"/>
                <w:color w:val="000000"/>
                <w:sz w:val="18"/>
                <w:szCs w:val="18"/>
              </w:rPr>
              <w:t>Mgr</w:t>
            </w:r>
            <w:r w:rsidRPr="00595EE3">
              <w:rPr>
                <w:rFonts w:ascii="Source Sans Pro" w:hAnsi="Source Sans Pro" w:cs="Calibri"/>
                <w:color w:val="000000"/>
                <w:sz w:val="18"/>
                <w:szCs w:val="18"/>
              </w:rPr>
              <w:t xml:space="preserve"> = 11-0000 Management Occupations; Lawyer = 23-0000 Legal Occupations; </w:t>
            </w:r>
            <w:r w:rsidRPr="00595EE3">
              <w:rPr>
                <w:rFonts w:ascii="Source Sans Pro" w:hAnsi="Source Sans Pro" w:cs="Calibri"/>
                <w:color w:val="000000"/>
                <w:sz w:val="18"/>
                <w:szCs w:val="18"/>
              </w:rPr>
              <w:t>Compl</w:t>
            </w:r>
            <w:r w:rsidRPr="00595EE3">
              <w:rPr>
                <w:rFonts w:ascii="Source Sans Pro" w:hAnsi="Source Sans Pro" w:cs="Calibri"/>
                <w:color w:val="000000"/>
                <w:sz w:val="18"/>
                <w:szCs w:val="18"/>
              </w:rPr>
              <w:t xml:space="preserve">. Ofc. = 13-1040 Compliance Officers; IT = 15-0000 Computer and Mathematical Occupations; Fin. </w:t>
            </w:r>
            <w:r w:rsidRPr="00595EE3">
              <w:rPr>
                <w:rFonts w:ascii="Source Sans Pro" w:hAnsi="Source Sans Pro" w:cs="Calibri"/>
                <w:color w:val="000000"/>
                <w:sz w:val="18"/>
                <w:szCs w:val="18"/>
              </w:rPr>
              <w:t>Anlst</w:t>
            </w:r>
            <w:r w:rsidRPr="00595EE3">
              <w:rPr>
                <w:rFonts w:ascii="Source Sans Pro" w:hAnsi="Source Sans Pro" w:cs="Calibri"/>
                <w:color w:val="000000"/>
                <w:sz w:val="18"/>
                <w:szCs w:val="18"/>
              </w:rPr>
              <w:t xml:space="preserve">. = 13-2051 Financial and Investment Analysts; Clerical = 43-0000 Office and Administrative Support Occupations. </w:t>
            </w:r>
          </w:p>
        </w:tc>
      </w:tr>
      <w:tr w14:paraId="626FC15C" w14:textId="77777777" w:rsidTr="00D03DD4">
        <w:tblPrEx>
          <w:tblW w:w="10423" w:type="dxa"/>
          <w:tblCellMar>
            <w:top w:w="15" w:type="dxa"/>
          </w:tblCellMar>
          <w:tblLook w:val="04A0"/>
        </w:tblPrEx>
        <w:trPr>
          <w:trHeight w:val="288"/>
        </w:trPr>
        <w:tc>
          <w:tcPr>
            <w:tcW w:w="10201" w:type="dxa"/>
            <w:gridSpan w:val="9"/>
            <w:vMerge/>
            <w:tcBorders>
              <w:top w:val="single" w:sz="8" w:space="0" w:color="auto"/>
              <w:left w:val="single" w:sz="8" w:space="0" w:color="auto"/>
              <w:bottom w:val="nil"/>
              <w:right w:val="single" w:sz="8" w:space="0" w:color="000000"/>
            </w:tcBorders>
            <w:vAlign w:val="center"/>
            <w:hideMark/>
          </w:tcPr>
          <w:p w:rsidR="00D5791C" w:rsidRPr="00595EE3" w:rsidP="00D03DD4" w14:paraId="0362053E" w14:textId="77777777">
            <w:pPr>
              <w:rPr>
                <w:rFonts w:ascii="Source Sans Pro" w:hAnsi="Source Sans Pro" w:cs="Calibri"/>
                <w:color w:val="000000"/>
                <w:sz w:val="18"/>
                <w:szCs w:val="18"/>
              </w:rPr>
            </w:pPr>
          </w:p>
        </w:tc>
      </w:tr>
      <w:tr w14:paraId="3661CBC6" w14:textId="77777777" w:rsidTr="00D03DD4">
        <w:tblPrEx>
          <w:tblW w:w="10423" w:type="dxa"/>
          <w:tblCellMar>
            <w:top w:w="15" w:type="dxa"/>
          </w:tblCellMar>
          <w:tblLook w:val="04A0"/>
        </w:tblPrEx>
        <w:trPr>
          <w:trHeight w:val="288"/>
        </w:trPr>
        <w:tc>
          <w:tcPr>
            <w:tcW w:w="10201" w:type="dxa"/>
            <w:gridSpan w:val="9"/>
            <w:vMerge/>
            <w:tcBorders>
              <w:top w:val="single" w:sz="8" w:space="0" w:color="auto"/>
              <w:left w:val="single" w:sz="8" w:space="0" w:color="auto"/>
              <w:bottom w:val="nil"/>
              <w:right w:val="single" w:sz="8" w:space="0" w:color="000000"/>
            </w:tcBorders>
            <w:vAlign w:val="center"/>
            <w:hideMark/>
          </w:tcPr>
          <w:p w:rsidR="00D5791C" w:rsidRPr="00595EE3" w:rsidP="00D03DD4" w14:paraId="7459DC35" w14:textId="77777777">
            <w:pPr>
              <w:rPr>
                <w:rFonts w:ascii="Source Sans Pro" w:hAnsi="Source Sans Pro" w:cs="Calibri"/>
                <w:color w:val="000000"/>
                <w:sz w:val="18"/>
                <w:szCs w:val="18"/>
              </w:rPr>
            </w:pPr>
          </w:p>
        </w:tc>
      </w:tr>
      <w:tr w14:paraId="238F106A" w14:textId="77777777" w:rsidTr="00D03DD4">
        <w:tblPrEx>
          <w:tblW w:w="10423" w:type="dxa"/>
          <w:tblCellMar>
            <w:top w:w="15" w:type="dxa"/>
          </w:tblCellMar>
          <w:tblLook w:val="04A0"/>
        </w:tblPrEx>
        <w:trPr>
          <w:trHeight w:val="312"/>
        </w:trPr>
        <w:tc>
          <w:tcPr>
            <w:tcW w:w="10201" w:type="dxa"/>
            <w:gridSpan w:val="9"/>
            <w:vMerge/>
            <w:tcBorders>
              <w:top w:val="single" w:sz="8" w:space="0" w:color="auto"/>
              <w:left w:val="single" w:sz="8" w:space="0" w:color="auto"/>
              <w:bottom w:val="nil"/>
              <w:right w:val="single" w:sz="8" w:space="0" w:color="000000"/>
            </w:tcBorders>
            <w:vAlign w:val="center"/>
            <w:hideMark/>
          </w:tcPr>
          <w:p w:rsidR="00D5791C" w:rsidRPr="00595EE3" w:rsidP="00D03DD4" w14:paraId="60D341C5" w14:textId="77777777">
            <w:pPr>
              <w:rPr>
                <w:rFonts w:ascii="Source Sans Pro" w:hAnsi="Source Sans Pro" w:cs="Calibri"/>
                <w:color w:val="000000"/>
                <w:sz w:val="18"/>
                <w:szCs w:val="18"/>
              </w:rPr>
            </w:pPr>
          </w:p>
        </w:tc>
      </w:tr>
      <w:tr w14:paraId="2E79F357" w14:textId="77777777" w:rsidTr="00D03DD4">
        <w:tblPrEx>
          <w:tblW w:w="10423" w:type="dxa"/>
          <w:tblCellMar>
            <w:top w:w="15" w:type="dxa"/>
          </w:tblCellMar>
          <w:tblLook w:val="04A0"/>
        </w:tblPrEx>
        <w:trPr>
          <w:trHeight w:val="408"/>
        </w:trPr>
        <w:tc>
          <w:tcPr>
            <w:tcW w:w="10201" w:type="dxa"/>
            <w:gridSpan w:val="9"/>
            <w:vMerge w:val="restart"/>
            <w:tcBorders>
              <w:top w:val="nil"/>
              <w:left w:val="single" w:sz="8" w:space="0" w:color="auto"/>
              <w:bottom w:val="single" w:sz="8" w:space="0" w:color="auto"/>
              <w:right w:val="single" w:sz="8" w:space="0" w:color="auto"/>
            </w:tcBorders>
            <w:vAlign w:val="center"/>
            <w:hideMark/>
          </w:tcPr>
          <w:p w:rsidR="00D5791C" w:rsidRPr="00595EE3" w:rsidP="00D03DD4" w14:paraId="427570EC" w14:textId="77777777">
            <w:pPr>
              <w:rPr>
                <w:rFonts w:ascii="Source Sans Pro" w:hAnsi="Source Sans Pro" w:cs="Calibri"/>
                <w:color w:val="000000"/>
                <w:sz w:val="18"/>
                <w:szCs w:val="18"/>
              </w:rPr>
            </w:pPr>
            <w:r w:rsidRPr="00595EE3">
              <w:rPr>
                <w:rFonts w:ascii="Source Sans Pro" w:hAnsi="Source Sans Pro" w:cs="Calibri"/>
                <w:color w:val="000000"/>
                <w:sz w:val="18"/>
                <w:szCs w:val="18"/>
              </w:rPr>
              <w:t>Note: The estimated hourly compensation rate for a given IC is the average of the hourly compensation rates for the occupations used to comply with that IC, weighted by the estimated share of hours spent by each occupation. The weighted average hourly compensation rate for the entire ICR is the average of the estimated hourly compensation rates for all ICs, weighted by the share of hourly burden for IC. These hourly weights, as shown in the “Hourly Weight” column of this table, are the quotients of the estimated number of annual burden hours for each IC and the total estimated number of annual burden hours across all ICs.</w:t>
            </w:r>
          </w:p>
        </w:tc>
      </w:tr>
      <w:tr w14:paraId="1A5ED721" w14:textId="77777777" w:rsidTr="00D03DD4">
        <w:tblPrEx>
          <w:tblW w:w="10423" w:type="dxa"/>
          <w:tblCellMar>
            <w:top w:w="15" w:type="dxa"/>
          </w:tblCellMar>
          <w:tblLook w:val="04A0"/>
        </w:tblPrEx>
        <w:trPr>
          <w:trHeight w:val="288"/>
        </w:trPr>
        <w:tc>
          <w:tcPr>
            <w:tcW w:w="10201" w:type="dxa"/>
            <w:gridSpan w:val="9"/>
            <w:vMerge/>
            <w:tcBorders>
              <w:top w:val="nil"/>
              <w:left w:val="single" w:sz="8" w:space="0" w:color="auto"/>
              <w:bottom w:val="single" w:sz="8" w:space="0" w:color="auto"/>
              <w:right w:val="single" w:sz="8" w:space="0" w:color="auto"/>
            </w:tcBorders>
            <w:vAlign w:val="center"/>
            <w:hideMark/>
          </w:tcPr>
          <w:p w:rsidR="00D5791C" w:rsidRPr="00595EE3" w:rsidP="00D03DD4" w14:paraId="17790FC6" w14:textId="77777777">
            <w:pPr>
              <w:rPr>
                <w:rFonts w:ascii="Source Sans Pro" w:hAnsi="Source Sans Pro" w:cs="Calibri"/>
                <w:color w:val="000000"/>
                <w:sz w:val="18"/>
                <w:szCs w:val="18"/>
              </w:rPr>
            </w:pPr>
          </w:p>
        </w:tc>
      </w:tr>
      <w:tr w14:paraId="328A97A5" w14:textId="77777777" w:rsidTr="00D03DD4">
        <w:tblPrEx>
          <w:tblW w:w="10423" w:type="dxa"/>
          <w:tblCellMar>
            <w:top w:w="15" w:type="dxa"/>
          </w:tblCellMar>
          <w:tblLook w:val="04A0"/>
        </w:tblPrEx>
        <w:trPr>
          <w:trHeight w:val="288"/>
        </w:trPr>
        <w:tc>
          <w:tcPr>
            <w:tcW w:w="10201" w:type="dxa"/>
            <w:gridSpan w:val="9"/>
            <w:vMerge/>
            <w:tcBorders>
              <w:top w:val="nil"/>
              <w:left w:val="single" w:sz="8" w:space="0" w:color="auto"/>
              <w:bottom w:val="single" w:sz="8" w:space="0" w:color="auto"/>
              <w:right w:val="single" w:sz="8" w:space="0" w:color="auto"/>
            </w:tcBorders>
            <w:vAlign w:val="center"/>
            <w:hideMark/>
          </w:tcPr>
          <w:p w:rsidR="00D5791C" w:rsidRPr="00595EE3" w:rsidP="00D03DD4" w14:paraId="436FC94E" w14:textId="77777777">
            <w:pPr>
              <w:rPr>
                <w:rFonts w:ascii="Source Sans Pro" w:hAnsi="Source Sans Pro" w:cs="Calibri"/>
                <w:color w:val="000000"/>
                <w:sz w:val="18"/>
                <w:szCs w:val="18"/>
              </w:rPr>
            </w:pPr>
          </w:p>
        </w:tc>
      </w:tr>
      <w:tr w14:paraId="30FAEDDA" w14:textId="77777777" w:rsidTr="00D03DD4">
        <w:tblPrEx>
          <w:tblW w:w="10423" w:type="dxa"/>
          <w:tblCellMar>
            <w:top w:w="15" w:type="dxa"/>
          </w:tblCellMar>
          <w:tblLook w:val="04A0"/>
        </w:tblPrEx>
        <w:trPr>
          <w:trHeight w:val="300"/>
        </w:trPr>
        <w:tc>
          <w:tcPr>
            <w:tcW w:w="10201" w:type="dxa"/>
            <w:gridSpan w:val="9"/>
            <w:vMerge/>
            <w:tcBorders>
              <w:top w:val="nil"/>
              <w:left w:val="single" w:sz="8" w:space="0" w:color="auto"/>
              <w:bottom w:val="single" w:sz="8" w:space="0" w:color="auto"/>
              <w:right w:val="single" w:sz="8" w:space="0" w:color="auto"/>
            </w:tcBorders>
            <w:vAlign w:val="center"/>
            <w:hideMark/>
          </w:tcPr>
          <w:p w:rsidR="00D5791C" w:rsidRPr="00595EE3" w:rsidP="00D03DD4" w14:paraId="09E85469" w14:textId="77777777">
            <w:pPr>
              <w:rPr>
                <w:rFonts w:ascii="Source Sans Pro" w:hAnsi="Source Sans Pro" w:cs="Calibri"/>
                <w:color w:val="000000"/>
                <w:sz w:val="18"/>
                <w:szCs w:val="18"/>
              </w:rPr>
            </w:pPr>
          </w:p>
        </w:tc>
      </w:tr>
    </w:tbl>
    <w:p w:rsidR="00D84C13" w:rsidRPr="00D84C13" w:rsidP="00D84C13" w14:paraId="24561F4E" w14:textId="77777777">
      <w:pPr>
        <w:autoSpaceDE w:val="0"/>
        <w:autoSpaceDN w:val="0"/>
        <w:spacing w:after="120" w:line="280" w:lineRule="exact"/>
        <w:contextualSpacing/>
        <w:rPr>
          <w:rFonts w:ascii="Times New Roman" w:eastAsia="Source Sans Pro" w:hAnsi="Times New Roman"/>
          <w:snapToGrid/>
          <w:sz w:val="22"/>
          <w:szCs w:val="19"/>
          <w:lang w:bidi="en-US"/>
        </w:rPr>
      </w:pPr>
    </w:p>
    <w:p w:rsidR="00D84C13" w:rsidRPr="00D84C13" w:rsidP="00D84C13" w14:paraId="16FBBD5E" w14:textId="77777777">
      <w:pPr>
        <w:autoSpaceDE w:val="0"/>
        <w:autoSpaceDN w:val="0"/>
        <w:spacing w:line="280" w:lineRule="exact"/>
        <w:ind w:firstLine="720"/>
        <w:rPr>
          <w:rFonts w:ascii="Times New Roman" w:eastAsia="Source Sans Pro" w:hAnsi="Times New Roman"/>
          <w:b/>
          <w:snapToGrid/>
          <w:color w:val="000000"/>
          <w:szCs w:val="24"/>
          <w:lang w:bidi="en-US"/>
        </w:rPr>
      </w:pPr>
      <w:r w:rsidRPr="00D84C13">
        <w:rPr>
          <w:rFonts w:ascii="Times New Roman" w:eastAsia="Source Sans Pro" w:hAnsi="Times New Roman"/>
          <w:b/>
          <w:snapToGrid/>
          <w:color w:val="000000"/>
          <w:szCs w:val="24"/>
          <w:lang w:bidi="en-US"/>
        </w:rPr>
        <w:fldChar w:fldCharType="begin"/>
      </w:r>
      <w:r w:rsidRPr="00D84C13">
        <w:rPr>
          <w:rFonts w:ascii="Times New Roman" w:eastAsia="Source Sans Pro" w:hAnsi="Times New Roman"/>
          <w:b/>
          <w:snapToGrid/>
          <w:color w:val="000000"/>
          <w:szCs w:val="24"/>
          <w:lang w:bidi="en-US"/>
        </w:rPr>
        <w:instrText xml:space="preserve"> LINK Excel.Sheet.12 "\\\\VASWRES004P\\EBreitenstein$\\U Projects\\Reg Analysis\\ICRs\\Notice of Branch Closure ICR\\2021\\Derek S. Burden Table.xlsx" "cost_table!R2C7:R18C10" \a \f 4 \h  \* MERGEFORMAT </w:instrText>
      </w:r>
      <w:r w:rsidRPr="00D84C13">
        <w:rPr>
          <w:rFonts w:ascii="Times New Roman" w:eastAsia="Source Sans Pro" w:hAnsi="Times New Roman"/>
          <w:b/>
          <w:snapToGrid/>
          <w:color w:val="000000"/>
          <w:szCs w:val="24"/>
          <w:lang w:bidi="en-US"/>
        </w:rPr>
        <w:fldChar w:fldCharType="separate"/>
      </w:r>
      <w:r w:rsidRPr="00D84C13">
        <w:rPr>
          <w:rFonts w:ascii="Times New Roman" w:eastAsia="Source Sans Pro" w:hAnsi="Times New Roman"/>
          <w:b/>
          <w:snapToGrid/>
          <w:color w:val="000000"/>
          <w:szCs w:val="24"/>
          <w:lang w:bidi="en-US"/>
        </w:rPr>
        <w:fldChar w:fldCharType="end"/>
      </w:r>
      <w:r w:rsidRPr="00D84C13">
        <w:rPr>
          <w:rFonts w:ascii="Times New Roman" w:eastAsia="Source Sans Pro" w:hAnsi="Times New Roman"/>
          <w:b/>
          <w:snapToGrid/>
          <w:color w:val="000000"/>
          <w:szCs w:val="24"/>
          <w:lang w:bidi="en-US"/>
        </w:rPr>
        <w:t>Total Estimated Labor Cost</w:t>
      </w:r>
    </w:p>
    <w:tbl>
      <w:tblPr>
        <w:tblW w:w="5376" w:type="pct"/>
        <w:tblLook w:val="04A0"/>
      </w:tblPr>
      <w:tblGrid>
        <w:gridCol w:w="2172"/>
        <w:gridCol w:w="3121"/>
        <w:gridCol w:w="2747"/>
        <w:gridCol w:w="2002"/>
      </w:tblGrid>
      <w:tr w14:paraId="116B7B94" w14:textId="77777777" w:rsidTr="00D03DD4">
        <w:tblPrEx>
          <w:tblW w:w="5376" w:type="pct"/>
          <w:tblLook w:val="04A0"/>
        </w:tblPrEx>
        <w:trPr>
          <w:trHeight w:val="374"/>
        </w:trPr>
        <w:tc>
          <w:tcPr>
            <w:tcW w:w="5000" w:type="pct"/>
            <w:gridSpan w:val="4"/>
            <w:tcBorders>
              <w:top w:val="single" w:sz="8" w:space="0" w:color="auto"/>
              <w:left w:val="single" w:sz="8" w:space="0" w:color="auto"/>
              <w:bottom w:val="single" w:sz="8" w:space="0" w:color="auto"/>
              <w:right w:val="single" w:sz="8" w:space="0" w:color="000000"/>
            </w:tcBorders>
            <w:noWrap/>
            <w:vAlign w:val="center"/>
            <w:hideMark/>
          </w:tcPr>
          <w:p w:rsidR="00D5791C" w:rsidRPr="00211015" w:rsidP="00D03DD4" w14:paraId="5384317D" w14:textId="77777777">
            <w:pPr>
              <w:jc w:val="center"/>
              <w:rPr>
                <w:rFonts w:ascii="Source Sans Pro" w:hAnsi="Source Sans Pro" w:cs="Calibri"/>
                <w:color w:val="000000"/>
                <w:szCs w:val="24"/>
              </w:rPr>
            </w:pPr>
            <w:r w:rsidRPr="00211015">
              <w:rPr>
                <w:rFonts w:ascii="Source Sans Pro" w:hAnsi="Source Sans Pro" w:cs="Calibri"/>
                <w:color w:val="000000"/>
                <w:szCs w:val="24"/>
              </w:rPr>
              <w:t>Table 3. Total Estimated Cost Burden (OMB No. 3064-0184)</w:t>
            </w:r>
          </w:p>
        </w:tc>
      </w:tr>
      <w:tr w14:paraId="7877005F" w14:textId="77777777" w:rsidTr="00D03DD4">
        <w:tblPrEx>
          <w:tblW w:w="5376" w:type="pct"/>
          <w:tblLook w:val="04A0"/>
        </w:tblPrEx>
        <w:trPr>
          <w:trHeight w:val="623"/>
        </w:trPr>
        <w:tc>
          <w:tcPr>
            <w:tcW w:w="1081" w:type="pct"/>
            <w:tcBorders>
              <w:top w:val="nil"/>
              <w:left w:val="single" w:sz="8" w:space="0" w:color="auto"/>
              <w:bottom w:val="single" w:sz="8" w:space="0" w:color="auto"/>
              <w:right w:val="single" w:sz="8" w:space="0" w:color="auto"/>
            </w:tcBorders>
            <w:vAlign w:val="center"/>
            <w:hideMark/>
          </w:tcPr>
          <w:p w:rsidR="00D5791C" w:rsidRPr="00211015" w:rsidP="00D03DD4" w14:paraId="63709735" w14:textId="77777777">
            <w:pPr>
              <w:rPr>
                <w:rFonts w:ascii="Source Sans Pro" w:hAnsi="Source Sans Pro" w:cs="Calibri"/>
                <w:color w:val="000000"/>
                <w:sz w:val="20"/>
              </w:rPr>
            </w:pPr>
            <w:r w:rsidRPr="00211015">
              <w:rPr>
                <w:rFonts w:ascii="Source Sans Pro" w:hAnsi="Source Sans Pro" w:cs="Calibri"/>
                <w:color w:val="000000"/>
                <w:sz w:val="20"/>
              </w:rPr>
              <w:t>Information Collection Request</w:t>
            </w:r>
          </w:p>
        </w:tc>
        <w:tc>
          <w:tcPr>
            <w:tcW w:w="1554" w:type="pct"/>
            <w:tcBorders>
              <w:top w:val="nil"/>
              <w:left w:val="nil"/>
              <w:bottom w:val="single" w:sz="8" w:space="0" w:color="auto"/>
              <w:right w:val="single" w:sz="8" w:space="0" w:color="auto"/>
            </w:tcBorders>
            <w:vAlign w:val="center"/>
            <w:hideMark/>
          </w:tcPr>
          <w:p w:rsidR="00D5791C" w:rsidRPr="00211015" w:rsidP="00D03DD4" w14:paraId="7165C02A" w14:textId="77777777">
            <w:pPr>
              <w:jc w:val="center"/>
              <w:rPr>
                <w:rFonts w:ascii="Source Sans Pro" w:hAnsi="Source Sans Pro" w:cs="Calibri"/>
                <w:color w:val="000000"/>
                <w:sz w:val="20"/>
              </w:rPr>
            </w:pPr>
            <w:r w:rsidRPr="00211015">
              <w:rPr>
                <w:rFonts w:ascii="Source Sans Pro" w:hAnsi="Source Sans Pro" w:cs="Calibri"/>
                <w:color w:val="000000"/>
                <w:sz w:val="20"/>
              </w:rPr>
              <w:t>Annual Burden (Hours)</w:t>
            </w:r>
          </w:p>
        </w:tc>
        <w:tc>
          <w:tcPr>
            <w:tcW w:w="1368" w:type="pct"/>
            <w:tcBorders>
              <w:top w:val="nil"/>
              <w:left w:val="nil"/>
              <w:bottom w:val="single" w:sz="8" w:space="0" w:color="auto"/>
              <w:right w:val="single" w:sz="8" w:space="0" w:color="auto"/>
            </w:tcBorders>
            <w:vAlign w:val="center"/>
            <w:hideMark/>
          </w:tcPr>
          <w:p w:rsidR="00D5791C" w:rsidRPr="00211015" w:rsidP="00D03DD4" w14:paraId="678A0B62" w14:textId="77777777">
            <w:pPr>
              <w:jc w:val="center"/>
              <w:rPr>
                <w:rFonts w:ascii="Source Sans Pro" w:hAnsi="Source Sans Pro" w:cs="Calibri"/>
                <w:color w:val="000000"/>
                <w:sz w:val="20"/>
              </w:rPr>
            </w:pPr>
            <w:r w:rsidRPr="00211015">
              <w:rPr>
                <w:rFonts w:ascii="Source Sans Pro" w:hAnsi="Source Sans Pro" w:cs="Calibri"/>
                <w:color w:val="000000"/>
                <w:sz w:val="20"/>
              </w:rPr>
              <w:t>Weighted Average Hourly Compensation Rate</w:t>
            </w:r>
          </w:p>
        </w:tc>
        <w:tc>
          <w:tcPr>
            <w:tcW w:w="997" w:type="pct"/>
            <w:tcBorders>
              <w:top w:val="nil"/>
              <w:left w:val="nil"/>
              <w:bottom w:val="single" w:sz="8" w:space="0" w:color="auto"/>
              <w:right w:val="single" w:sz="8" w:space="0" w:color="auto"/>
            </w:tcBorders>
            <w:vAlign w:val="center"/>
            <w:hideMark/>
          </w:tcPr>
          <w:p w:rsidR="00D5791C" w:rsidRPr="00211015" w:rsidP="00D03DD4" w14:paraId="35E39FD2" w14:textId="77777777">
            <w:pPr>
              <w:jc w:val="center"/>
              <w:rPr>
                <w:rFonts w:ascii="Source Sans Pro" w:hAnsi="Source Sans Pro" w:cs="Calibri"/>
                <w:color w:val="000000"/>
                <w:sz w:val="20"/>
              </w:rPr>
            </w:pPr>
            <w:r w:rsidRPr="00211015">
              <w:rPr>
                <w:rFonts w:ascii="Source Sans Pro" w:hAnsi="Source Sans Pro" w:cs="Calibri"/>
                <w:color w:val="000000"/>
                <w:sz w:val="20"/>
              </w:rPr>
              <w:t>Annual Respondent Cost</w:t>
            </w:r>
          </w:p>
        </w:tc>
      </w:tr>
      <w:tr w14:paraId="4132ABAD" w14:textId="77777777" w:rsidTr="00D03DD4">
        <w:tblPrEx>
          <w:tblW w:w="5376" w:type="pct"/>
          <w:tblLook w:val="04A0"/>
        </w:tblPrEx>
        <w:trPr>
          <w:trHeight w:val="898"/>
        </w:trPr>
        <w:tc>
          <w:tcPr>
            <w:tcW w:w="1081" w:type="pct"/>
            <w:tcBorders>
              <w:top w:val="nil"/>
              <w:left w:val="single" w:sz="8" w:space="0" w:color="auto"/>
              <w:bottom w:val="single" w:sz="8" w:space="0" w:color="auto"/>
              <w:right w:val="single" w:sz="8" w:space="0" w:color="auto"/>
            </w:tcBorders>
            <w:vAlign w:val="center"/>
            <w:hideMark/>
          </w:tcPr>
          <w:p w:rsidR="00D5791C" w:rsidRPr="00211015" w:rsidP="00D03DD4" w14:paraId="0856287D" w14:textId="77777777">
            <w:pPr>
              <w:rPr>
                <w:rFonts w:ascii="Source Sans Pro" w:hAnsi="Source Sans Pro" w:cs="Calibri"/>
                <w:color w:val="000000"/>
                <w:sz w:val="20"/>
              </w:rPr>
            </w:pPr>
            <w:r w:rsidRPr="00211015">
              <w:rPr>
                <w:rFonts w:ascii="Source Sans Pro" w:hAnsi="Source Sans Pro" w:cs="Calibri"/>
                <w:color w:val="000000"/>
                <w:sz w:val="20"/>
              </w:rPr>
              <w:t xml:space="preserve">Volcker Rule Restrictions on </w:t>
            </w:r>
            <w:r w:rsidRPr="00211015">
              <w:rPr>
                <w:rFonts w:ascii="Source Sans Pro" w:hAnsi="Source Sans Pro" w:cs="Calibri"/>
                <w:color w:val="000000"/>
                <w:sz w:val="20"/>
              </w:rPr>
              <w:br/>
              <w:t>Proprietary Trading and Relationships with Hedge Funds and Private Equity Funds</w:t>
            </w:r>
          </w:p>
        </w:tc>
        <w:tc>
          <w:tcPr>
            <w:tcW w:w="1554" w:type="pct"/>
            <w:tcBorders>
              <w:top w:val="nil"/>
              <w:left w:val="nil"/>
              <w:bottom w:val="single" w:sz="8" w:space="0" w:color="auto"/>
              <w:right w:val="single" w:sz="8" w:space="0" w:color="auto"/>
            </w:tcBorders>
            <w:noWrap/>
            <w:vAlign w:val="center"/>
            <w:hideMark/>
          </w:tcPr>
          <w:p w:rsidR="00D5791C" w:rsidRPr="00211015" w:rsidP="00D03DD4" w14:paraId="6C5BED25" w14:textId="77777777">
            <w:pPr>
              <w:ind w:firstLine="400" w:firstLineChars="200"/>
              <w:jc w:val="right"/>
              <w:rPr>
                <w:rFonts w:ascii="Source Sans Pro" w:hAnsi="Source Sans Pro" w:cs="Calibri"/>
                <w:color w:val="000000"/>
                <w:sz w:val="20"/>
              </w:rPr>
            </w:pPr>
            <w:r w:rsidRPr="00211015">
              <w:rPr>
                <w:rFonts w:ascii="Source Sans Pro" w:hAnsi="Source Sans Pro" w:cs="Calibri"/>
                <w:color w:val="000000"/>
                <w:sz w:val="20"/>
              </w:rPr>
              <w:t xml:space="preserve">                                              3,815 </w:t>
            </w:r>
          </w:p>
        </w:tc>
        <w:tc>
          <w:tcPr>
            <w:tcW w:w="1368" w:type="pct"/>
            <w:tcBorders>
              <w:top w:val="nil"/>
              <w:left w:val="nil"/>
              <w:bottom w:val="single" w:sz="8" w:space="0" w:color="auto"/>
              <w:right w:val="single" w:sz="8" w:space="0" w:color="auto"/>
            </w:tcBorders>
            <w:noWrap/>
            <w:vAlign w:val="center"/>
            <w:hideMark/>
          </w:tcPr>
          <w:p w:rsidR="00D5791C" w:rsidRPr="00211015" w:rsidP="00D03DD4" w14:paraId="1DA584F4" w14:textId="77777777">
            <w:pPr>
              <w:ind w:firstLine="200" w:firstLineChars="100"/>
              <w:jc w:val="right"/>
              <w:rPr>
                <w:rFonts w:ascii="Source Sans Pro" w:hAnsi="Source Sans Pro" w:cs="Calibri"/>
                <w:color w:val="000000"/>
                <w:sz w:val="20"/>
              </w:rPr>
            </w:pPr>
            <w:r w:rsidRPr="00211015">
              <w:rPr>
                <w:rFonts w:ascii="Source Sans Pro" w:hAnsi="Source Sans Pro" w:cs="Calibri"/>
                <w:color w:val="000000"/>
                <w:sz w:val="20"/>
              </w:rPr>
              <w:t>$164.72</w:t>
            </w:r>
          </w:p>
        </w:tc>
        <w:tc>
          <w:tcPr>
            <w:tcW w:w="997" w:type="pct"/>
            <w:tcBorders>
              <w:top w:val="nil"/>
              <w:left w:val="nil"/>
              <w:bottom w:val="single" w:sz="8" w:space="0" w:color="auto"/>
              <w:right w:val="single" w:sz="8" w:space="0" w:color="auto"/>
            </w:tcBorders>
            <w:noWrap/>
            <w:vAlign w:val="center"/>
            <w:hideMark/>
          </w:tcPr>
          <w:p w:rsidR="00D5791C" w:rsidRPr="00211015" w:rsidP="00D03DD4" w14:paraId="71EA3651" w14:textId="77777777">
            <w:pPr>
              <w:ind w:firstLine="200" w:firstLineChars="100"/>
              <w:jc w:val="right"/>
              <w:rPr>
                <w:rFonts w:ascii="Source Sans Pro" w:hAnsi="Source Sans Pro" w:cs="Calibri"/>
                <w:color w:val="000000"/>
                <w:sz w:val="20"/>
              </w:rPr>
            </w:pPr>
            <w:r w:rsidRPr="00211015">
              <w:rPr>
                <w:rFonts w:ascii="Source Sans Pro" w:hAnsi="Source Sans Pro" w:cs="Calibri"/>
                <w:color w:val="000000"/>
                <w:sz w:val="20"/>
              </w:rPr>
              <w:t>$628,407</w:t>
            </w:r>
          </w:p>
        </w:tc>
      </w:tr>
      <w:tr w14:paraId="7D58D41D" w14:textId="77777777" w:rsidTr="00D03DD4">
        <w:tblPrEx>
          <w:tblW w:w="5376" w:type="pct"/>
          <w:tblLook w:val="04A0"/>
        </w:tblPrEx>
        <w:trPr>
          <w:trHeight w:val="374"/>
        </w:trPr>
        <w:tc>
          <w:tcPr>
            <w:tcW w:w="4003" w:type="pct"/>
            <w:gridSpan w:val="3"/>
            <w:tcBorders>
              <w:top w:val="single" w:sz="8" w:space="0" w:color="auto"/>
              <w:left w:val="single" w:sz="8" w:space="0" w:color="auto"/>
              <w:bottom w:val="single" w:sz="8" w:space="0" w:color="auto"/>
              <w:right w:val="nil"/>
            </w:tcBorders>
            <w:shd w:val="clear" w:color="000000" w:fill="FFFFFF"/>
            <w:noWrap/>
            <w:vAlign w:val="center"/>
            <w:hideMark/>
          </w:tcPr>
          <w:p w:rsidR="00D5791C" w:rsidRPr="00211015" w:rsidP="00D03DD4" w14:paraId="4FF0D534" w14:textId="77777777">
            <w:pPr>
              <w:jc w:val="right"/>
              <w:rPr>
                <w:rFonts w:ascii="Source Sans Pro" w:hAnsi="Source Sans Pro" w:cs="Calibri"/>
                <w:b/>
                <w:bCs/>
                <w:i/>
                <w:iCs/>
                <w:color w:val="000000"/>
              </w:rPr>
            </w:pPr>
            <w:r w:rsidRPr="00211015">
              <w:rPr>
                <w:rFonts w:ascii="Source Sans Pro" w:hAnsi="Source Sans Pro" w:cs="Calibri"/>
                <w:b/>
                <w:bCs/>
                <w:i/>
                <w:iCs/>
                <w:color w:val="000000"/>
              </w:rPr>
              <w:t>Total Annual Respondent Cost:</w:t>
            </w:r>
          </w:p>
        </w:tc>
        <w:tc>
          <w:tcPr>
            <w:tcW w:w="997" w:type="pct"/>
            <w:tcBorders>
              <w:top w:val="nil"/>
              <w:left w:val="nil"/>
              <w:bottom w:val="single" w:sz="8" w:space="0" w:color="auto"/>
              <w:right w:val="single" w:sz="8" w:space="0" w:color="auto"/>
            </w:tcBorders>
            <w:shd w:val="clear" w:color="000000" w:fill="FFFFFF"/>
            <w:vAlign w:val="center"/>
            <w:hideMark/>
          </w:tcPr>
          <w:p w:rsidR="00D5791C" w:rsidRPr="00211015" w:rsidP="00D03DD4" w14:paraId="652FFF0F" w14:textId="77777777">
            <w:pPr>
              <w:ind w:firstLine="240" w:firstLineChars="100"/>
              <w:jc w:val="right"/>
              <w:rPr>
                <w:rFonts w:ascii="Source Sans Pro" w:hAnsi="Source Sans Pro" w:cs="Calibri"/>
                <w:b/>
                <w:bCs/>
                <w:i/>
                <w:iCs/>
                <w:color w:val="000000"/>
              </w:rPr>
            </w:pPr>
            <w:r w:rsidRPr="00211015">
              <w:rPr>
                <w:rFonts w:ascii="Source Sans Pro" w:hAnsi="Source Sans Pro" w:cs="Calibri"/>
                <w:b/>
                <w:bCs/>
                <w:i/>
                <w:iCs/>
                <w:color w:val="000000"/>
              </w:rPr>
              <w:t xml:space="preserve">$628,407 </w:t>
            </w:r>
          </w:p>
        </w:tc>
      </w:tr>
      <w:tr w14:paraId="2C308E35" w14:textId="77777777" w:rsidTr="00D03DD4">
        <w:tblPrEx>
          <w:tblW w:w="5376" w:type="pct"/>
          <w:tblLook w:val="04A0"/>
        </w:tblPrEx>
        <w:trPr>
          <w:trHeight w:val="250"/>
        </w:trPr>
        <w:tc>
          <w:tcPr>
            <w:tcW w:w="5000" w:type="pct"/>
            <w:gridSpan w:val="4"/>
            <w:tcBorders>
              <w:top w:val="single" w:sz="8" w:space="0" w:color="auto"/>
              <w:left w:val="single" w:sz="8" w:space="0" w:color="auto"/>
              <w:bottom w:val="single" w:sz="8" w:space="0" w:color="auto"/>
              <w:right w:val="single" w:sz="8" w:space="0" w:color="000000"/>
            </w:tcBorders>
            <w:noWrap/>
            <w:hideMark/>
          </w:tcPr>
          <w:p w:rsidR="00D5791C" w:rsidRPr="00211015" w:rsidP="00D03DD4" w14:paraId="53CE4B6E" w14:textId="77777777">
            <w:pPr>
              <w:rPr>
                <w:rFonts w:ascii="Source Sans Pro" w:hAnsi="Source Sans Pro" w:cs="Calibri"/>
                <w:color w:val="000000"/>
                <w:sz w:val="18"/>
                <w:szCs w:val="18"/>
              </w:rPr>
            </w:pPr>
            <w:r w:rsidRPr="00211015">
              <w:rPr>
                <w:rFonts w:ascii="Source Sans Pro" w:hAnsi="Source Sans Pro" w:cs="Calibri"/>
                <w:color w:val="000000"/>
                <w:sz w:val="18"/>
                <w:szCs w:val="18"/>
              </w:rPr>
              <w:t>Source: FDIC.</w:t>
            </w:r>
          </w:p>
        </w:tc>
      </w:tr>
    </w:tbl>
    <w:p w:rsidR="00D84C13" w:rsidRPr="00D84C13" w:rsidP="00D84C13" w14:paraId="4472CE68" w14:textId="77777777">
      <w:pPr>
        <w:autoSpaceDE w:val="0"/>
        <w:autoSpaceDN w:val="0"/>
        <w:spacing w:after="120" w:line="280" w:lineRule="exact"/>
        <w:contextualSpacing/>
        <w:rPr>
          <w:rFonts w:ascii="Times New Roman" w:eastAsia="Source Sans Pro" w:hAnsi="Times New Roman"/>
          <w:snapToGrid/>
          <w:sz w:val="22"/>
          <w:szCs w:val="19"/>
          <w:lang w:bidi="en-US"/>
        </w:rPr>
      </w:pPr>
    </w:p>
    <w:p w:rsidR="00087063" w14:paraId="0C3DBA93" w14:textId="77777777">
      <w:pPr>
        <w:widowControl/>
        <w:tabs>
          <w:tab w:val="left" w:pos="-1440"/>
          <w:tab w:val="left" w:pos="-720"/>
          <w:tab w:val="left" w:pos="0"/>
          <w:tab w:val="left" w:pos="432"/>
          <w:tab w:val="left" w:pos="720"/>
        </w:tabs>
        <w:suppressAutoHyphens/>
        <w:rPr>
          <w:rFonts w:ascii="Times New Roman" w:hAnsi="Times New Roman"/>
        </w:rPr>
      </w:pPr>
    </w:p>
    <w:p w:rsidR="009701A0" w:rsidP="004A652B" w14:paraId="372B52B9" w14:textId="77777777">
      <w:pPr>
        <w:widowControl/>
        <w:tabs>
          <w:tab w:val="left" w:pos="-1440"/>
          <w:tab w:val="left" w:pos="-720"/>
          <w:tab w:val="left" w:pos="0"/>
          <w:tab w:val="left" w:pos="432"/>
          <w:tab w:val="left" w:pos="720"/>
          <w:tab w:val="left" w:pos="1008"/>
          <w:tab w:val="left" w:pos="1440"/>
        </w:tabs>
        <w:suppressAutoHyphens/>
        <w:spacing w:after="100" w:afterAutospacing="1"/>
        <w:rPr>
          <w:rFonts w:ascii="Times New Roman" w:hAnsi="Times New Roman"/>
        </w:rPr>
      </w:pPr>
      <w:r>
        <w:rPr>
          <w:rFonts w:ascii="Times New Roman" w:hAnsi="Times New Roman"/>
        </w:rPr>
        <w:t>13</w:t>
      </w:r>
      <w:r>
        <w:rPr>
          <w:rFonts w:ascii="Times New Roman" w:hAnsi="Times New Roman"/>
        </w:rPr>
        <w:t xml:space="preserve">.  </w:t>
      </w:r>
      <w:r w:rsidRPr="00E82DEB" w:rsidR="00E82DEB">
        <w:rPr>
          <w:rFonts w:ascii="Times New Roman" w:hAnsi="Times New Roman"/>
          <w:bCs/>
          <w:u w:val="single"/>
        </w:rPr>
        <w:t>Estimate</w:t>
      </w:r>
      <w:r w:rsidRPr="00E82DEB" w:rsidR="00E82DEB">
        <w:rPr>
          <w:rFonts w:ascii="Times New Roman" w:hAnsi="Times New Roman"/>
          <w:bCs/>
          <w:u w:val="single"/>
        </w:rPr>
        <w:t xml:space="preserve"> of start-up costs to respondents:</w:t>
      </w:r>
    </w:p>
    <w:p w:rsidR="009701A0" w:rsidP="004A652B" w14:paraId="14115B53" w14:textId="77777777">
      <w:pPr>
        <w:rPr>
          <w:rFonts w:ascii="Times New Roman" w:hAnsi="Times New Roman"/>
        </w:rPr>
      </w:pPr>
      <w:r>
        <w:rPr>
          <w:rFonts w:ascii="Times New Roman" w:hAnsi="Times New Roman"/>
        </w:rPr>
        <w:tab/>
      </w:r>
      <w:r w:rsidRPr="00206869">
        <w:rPr>
          <w:rFonts w:ascii="Times New Roman" w:hAnsi="Times New Roman"/>
          <w:iCs/>
          <w:lang w:bidi="en-US"/>
        </w:rPr>
        <w:t>None</w:t>
      </w:r>
      <w:r>
        <w:rPr>
          <w:rFonts w:ascii="Times New Roman" w:hAnsi="Times New Roman"/>
        </w:rPr>
        <w:t>.</w:t>
      </w:r>
    </w:p>
    <w:p w:rsidR="00061D09" w14:paraId="78E94A01" w14:textId="77777777">
      <w:pPr>
        <w:widowControl/>
        <w:tabs>
          <w:tab w:val="left" w:pos="-1440"/>
          <w:tab w:val="left" w:pos="-720"/>
          <w:tab w:val="left" w:pos="0"/>
          <w:tab w:val="left" w:pos="432"/>
          <w:tab w:val="left" w:pos="720"/>
        </w:tabs>
        <w:suppressAutoHyphens/>
        <w:rPr>
          <w:rFonts w:ascii="Times New Roman" w:hAnsi="Times New Roman"/>
        </w:rPr>
      </w:pPr>
    </w:p>
    <w:p w:rsidR="009701A0" w:rsidP="004A652B" w14:paraId="28C8F3D0" w14:textId="77777777">
      <w:pPr>
        <w:widowControl/>
        <w:tabs>
          <w:tab w:val="left" w:pos="-1440"/>
          <w:tab w:val="left" w:pos="-720"/>
          <w:tab w:val="left" w:pos="0"/>
          <w:tab w:val="left" w:pos="432"/>
          <w:tab w:val="left" w:pos="720"/>
          <w:tab w:val="left" w:pos="1008"/>
          <w:tab w:val="left" w:pos="1440"/>
        </w:tabs>
        <w:suppressAutoHyphens/>
        <w:spacing w:after="100" w:afterAutospacing="1"/>
        <w:rPr>
          <w:rFonts w:ascii="Times New Roman" w:hAnsi="Times New Roman"/>
        </w:rPr>
      </w:pPr>
      <w:r>
        <w:rPr>
          <w:rFonts w:ascii="Times New Roman" w:hAnsi="Times New Roman"/>
        </w:rPr>
        <w:t>14</w:t>
      </w:r>
      <w:r>
        <w:rPr>
          <w:rFonts w:ascii="Times New Roman" w:hAnsi="Times New Roman"/>
        </w:rPr>
        <w:t xml:space="preserve">.  </w:t>
      </w:r>
      <w:r w:rsidRPr="00E82DEB" w:rsidR="00E82DEB">
        <w:rPr>
          <w:rFonts w:ascii="Times New Roman" w:hAnsi="Times New Roman"/>
          <w:bCs/>
          <w:u w:val="single"/>
        </w:rPr>
        <w:t>Estimate</w:t>
      </w:r>
      <w:r w:rsidRPr="00E82DEB" w:rsidR="00E82DEB">
        <w:rPr>
          <w:rFonts w:ascii="Times New Roman" w:hAnsi="Times New Roman"/>
          <w:bCs/>
          <w:u w:val="single"/>
        </w:rPr>
        <w:t xml:space="preserve"> of annualized costs to the government:</w:t>
      </w:r>
    </w:p>
    <w:p w:rsidR="009701A0" w:rsidP="004A652B" w14:paraId="403E3852" w14:textId="77777777">
      <w:pPr>
        <w:rPr>
          <w:rFonts w:ascii="Times New Roman" w:hAnsi="Times New Roman"/>
        </w:rPr>
      </w:pPr>
      <w:r>
        <w:rPr>
          <w:rFonts w:ascii="Times New Roman" w:hAnsi="Times New Roman"/>
        </w:rPr>
        <w:tab/>
      </w:r>
      <w:r w:rsidRPr="00206869" w:rsidR="00C03279">
        <w:rPr>
          <w:rFonts w:ascii="Times New Roman" w:hAnsi="Times New Roman"/>
          <w:iCs/>
          <w:lang w:bidi="en-US"/>
        </w:rPr>
        <w:t>None</w:t>
      </w:r>
      <w:r w:rsidR="00C03279">
        <w:rPr>
          <w:rFonts w:ascii="Times New Roman" w:hAnsi="Times New Roman"/>
        </w:rPr>
        <w:t>.</w:t>
      </w:r>
    </w:p>
    <w:p w:rsidR="009701A0" w14:paraId="2E037FC0" w14:textId="77777777">
      <w:pPr>
        <w:widowControl/>
        <w:tabs>
          <w:tab w:val="left" w:pos="-1440"/>
          <w:tab w:val="left" w:pos="-720"/>
          <w:tab w:val="left" w:pos="0"/>
          <w:tab w:val="left" w:pos="432"/>
          <w:tab w:val="left" w:pos="720"/>
        </w:tabs>
        <w:suppressAutoHyphens/>
        <w:rPr>
          <w:rFonts w:ascii="Times New Roman" w:hAnsi="Times New Roman"/>
        </w:rPr>
      </w:pPr>
    </w:p>
    <w:p w:rsidR="009701A0" w:rsidP="00951D20" w14:paraId="5748BA0C" w14:textId="77777777">
      <w:pPr>
        <w:widowControl/>
        <w:tabs>
          <w:tab w:val="left" w:pos="-1440"/>
          <w:tab w:val="left" w:pos="-720"/>
          <w:tab w:val="left" w:pos="0"/>
          <w:tab w:val="left" w:pos="432"/>
          <w:tab w:val="left" w:pos="720"/>
          <w:tab w:val="left" w:pos="1008"/>
          <w:tab w:val="left" w:pos="1440"/>
        </w:tabs>
        <w:suppressAutoHyphens/>
        <w:spacing w:after="100" w:afterAutospacing="1"/>
        <w:rPr>
          <w:rFonts w:ascii="Times New Roman" w:hAnsi="Times New Roman"/>
        </w:rPr>
      </w:pPr>
      <w:r>
        <w:rPr>
          <w:rFonts w:ascii="Times New Roman" w:hAnsi="Times New Roman"/>
        </w:rPr>
        <w:t>15</w:t>
      </w:r>
      <w:r>
        <w:rPr>
          <w:rFonts w:ascii="Times New Roman" w:hAnsi="Times New Roman"/>
        </w:rPr>
        <w:t xml:space="preserve">.  </w:t>
      </w:r>
      <w:r w:rsidRPr="004A652B" w:rsidR="00E82DEB">
        <w:rPr>
          <w:rFonts w:ascii="Times New Roman" w:hAnsi="Times New Roman"/>
          <w:bCs/>
          <w:u w:val="single"/>
        </w:rPr>
        <w:t>Analysis</w:t>
      </w:r>
      <w:r w:rsidRPr="00E82DEB" w:rsidR="00E82DEB">
        <w:rPr>
          <w:rFonts w:ascii="Times New Roman" w:hAnsi="Times New Roman"/>
          <w:u w:val="single"/>
        </w:rPr>
        <w:t xml:space="preserve"> of change in burden:</w:t>
      </w:r>
    </w:p>
    <w:p w:rsidR="00951D20" w:rsidP="00951D20" w14:paraId="7BC604E8" w14:textId="77777777">
      <w:pPr>
        <w:widowControl/>
        <w:tabs>
          <w:tab w:val="left" w:pos="-720"/>
          <w:tab w:val="left" w:pos="0"/>
          <w:tab w:val="left" w:pos="1008"/>
          <w:tab w:val="left" w:pos="2160"/>
          <w:tab w:val="left" w:pos="2856"/>
          <w:tab w:val="left" w:pos="3570"/>
          <w:tab w:val="left" w:pos="4794"/>
          <w:tab w:val="right" w:pos="6324"/>
          <w:tab w:val="right" w:pos="7854"/>
        </w:tabs>
        <w:suppressAutoHyphens/>
        <w:rPr>
          <w:rFonts w:ascii="Times New Roman" w:hAnsi="Times New Roman"/>
          <w:iCs/>
          <w:lang w:bidi="en-US"/>
        </w:rPr>
      </w:pPr>
    </w:p>
    <w:p w:rsidR="003135B4" w:rsidP="003135B4" w14:paraId="414E53C8" w14:textId="77777777">
      <w:pPr>
        <w:pStyle w:val="BodyText"/>
        <w:rPr>
          <w:bCs/>
        </w:rPr>
      </w:pPr>
      <w:r w:rsidRPr="00B0133E">
        <w:rPr>
          <w:bCs/>
        </w:rPr>
        <w:t xml:space="preserve">The total estimated annual burden for this </w:t>
      </w:r>
      <w:r>
        <w:rPr>
          <w:bCs/>
        </w:rPr>
        <w:t>ICR</w:t>
      </w:r>
      <w:r w:rsidRPr="00B0133E">
        <w:rPr>
          <w:bCs/>
        </w:rPr>
        <w:t xml:space="preserve"> </w:t>
      </w:r>
      <w:r w:rsidRPr="002D4ADA">
        <w:rPr>
          <w:bCs/>
        </w:rPr>
        <w:t xml:space="preserve">is </w:t>
      </w:r>
      <w:r>
        <w:rPr>
          <w:bCs/>
        </w:rPr>
        <w:t>3,815</w:t>
      </w:r>
      <w:r w:rsidRPr="002D4ADA">
        <w:rPr>
          <w:bCs/>
        </w:rPr>
        <w:t xml:space="preserve"> hours. Relative to the 202</w:t>
      </w:r>
      <w:r>
        <w:rPr>
          <w:bCs/>
        </w:rPr>
        <w:t>3</w:t>
      </w:r>
      <w:r w:rsidRPr="002D4ADA">
        <w:rPr>
          <w:bCs/>
        </w:rPr>
        <w:t xml:space="preserve"> ICR, the estimated annual burden in the current ICR is </w:t>
      </w:r>
      <w:r w:rsidRPr="005456B0">
        <w:rPr>
          <w:bCs/>
        </w:rPr>
        <w:t>lower by 234 hours.</w:t>
      </w:r>
      <w:r w:rsidRPr="002D4ADA">
        <w:rPr>
          <w:bCs/>
        </w:rPr>
        <w:t xml:space="preserve"> </w:t>
      </w:r>
      <w:r>
        <w:rPr>
          <w:bCs/>
        </w:rPr>
        <w:t>The decrease</w:t>
      </w:r>
      <w:r w:rsidRPr="002D4ADA">
        <w:rPr>
          <w:bCs/>
        </w:rPr>
        <w:t xml:space="preserve"> is driven </w:t>
      </w:r>
      <w:r>
        <w:rPr>
          <w:bCs/>
        </w:rPr>
        <w:t xml:space="preserve">by </w:t>
      </w:r>
      <w:r w:rsidRPr="002D4ADA">
        <w:rPr>
          <w:bCs/>
        </w:rPr>
        <w:t>the</w:t>
      </w:r>
      <w:r>
        <w:rPr>
          <w:bCs/>
        </w:rPr>
        <w:t xml:space="preserve"> decrease in the estimated number of respondents. </w:t>
      </w:r>
    </w:p>
    <w:p w:rsidR="00FE0283" w:rsidP="00951D20" w14:paraId="37C5A363" w14:textId="77777777">
      <w:pPr>
        <w:widowControl/>
        <w:tabs>
          <w:tab w:val="left" w:pos="-720"/>
          <w:tab w:val="left" w:pos="0"/>
          <w:tab w:val="left" w:pos="1008"/>
          <w:tab w:val="left" w:pos="2160"/>
          <w:tab w:val="left" w:pos="2856"/>
          <w:tab w:val="left" w:pos="3570"/>
          <w:tab w:val="left" w:pos="4794"/>
          <w:tab w:val="right" w:pos="6324"/>
          <w:tab w:val="right" w:pos="7854"/>
        </w:tabs>
        <w:suppressAutoHyphens/>
        <w:rPr>
          <w:rFonts w:ascii="Times New Roman" w:hAnsi="Times New Roman"/>
        </w:rPr>
      </w:pPr>
    </w:p>
    <w:p w:rsidR="009701A0" w:rsidP="00D15ABA" w14:paraId="76B73376" w14:textId="77777777">
      <w:pPr>
        <w:widowControl/>
        <w:tabs>
          <w:tab w:val="left" w:pos="-1440"/>
          <w:tab w:val="left" w:pos="-720"/>
          <w:tab w:val="left" w:pos="0"/>
          <w:tab w:val="left" w:pos="432"/>
          <w:tab w:val="left" w:pos="720"/>
          <w:tab w:val="left" w:pos="1008"/>
          <w:tab w:val="left" w:pos="1440"/>
        </w:tabs>
        <w:suppressAutoHyphens/>
        <w:spacing w:after="100" w:afterAutospacing="1"/>
        <w:rPr>
          <w:rFonts w:ascii="Times New Roman" w:hAnsi="Times New Roman"/>
        </w:rPr>
      </w:pPr>
      <w:r>
        <w:rPr>
          <w:rFonts w:ascii="Times New Roman" w:hAnsi="Times New Roman"/>
        </w:rPr>
        <w:t>16</w:t>
      </w:r>
      <w:r>
        <w:rPr>
          <w:rFonts w:ascii="Times New Roman" w:hAnsi="Times New Roman"/>
        </w:rPr>
        <w:t xml:space="preserve">.  </w:t>
      </w:r>
      <w:r w:rsidRPr="004A652B" w:rsidR="00EC1969">
        <w:rPr>
          <w:rFonts w:ascii="Times New Roman" w:hAnsi="Times New Roman"/>
          <w:bCs/>
          <w:u w:val="single"/>
        </w:rPr>
        <w:t>Information</w:t>
      </w:r>
      <w:r w:rsidRPr="00EC1969" w:rsidR="00EC1969">
        <w:rPr>
          <w:rFonts w:ascii="Times New Roman" w:hAnsi="Times New Roman"/>
          <w:u w:val="single"/>
        </w:rPr>
        <w:t xml:space="preserve"> regarding collections whose results are planned to be published for statistical use:</w:t>
      </w:r>
    </w:p>
    <w:p w:rsidR="009701A0" w:rsidP="00D15ABA" w14:paraId="6D3E2762" w14:textId="77777777">
      <w:pPr>
        <w:rPr>
          <w:rFonts w:ascii="Times New Roman" w:hAnsi="Times New Roman"/>
        </w:rPr>
      </w:pPr>
      <w:r w:rsidRPr="00EC1969">
        <w:rPr>
          <w:rFonts w:ascii="Times New Roman" w:hAnsi="Times New Roman"/>
        </w:rPr>
        <w:t>The results of this collection will not be published for statistical use.</w:t>
      </w:r>
    </w:p>
    <w:p w:rsidR="009701A0" w14:paraId="0479BBA3" w14:textId="77777777">
      <w:pPr>
        <w:widowControl/>
        <w:tabs>
          <w:tab w:val="left" w:pos="-720"/>
          <w:tab w:val="left" w:pos="0"/>
          <w:tab w:val="left" w:pos="1008"/>
          <w:tab w:val="left" w:pos="2160"/>
          <w:tab w:val="left" w:pos="4176"/>
          <w:tab w:val="left" w:pos="5472"/>
          <w:tab w:val="left" w:pos="6912"/>
        </w:tabs>
        <w:suppressAutoHyphens/>
        <w:rPr>
          <w:rFonts w:ascii="Times New Roman" w:hAnsi="Times New Roman"/>
        </w:rPr>
      </w:pPr>
    </w:p>
    <w:p w:rsidR="009701A0" w:rsidP="00D15ABA" w14:paraId="4D201862" w14:textId="77777777">
      <w:pPr>
        <w:widowControl/>
        <w:tabs>
          <w:tab w:val="left" w:pos="-1440"/>
          <w:tab w:val="left" w:pos="-720"/>
          <w:tab w:val="left" w:pos="0"/>
          <w:tab w:val="left" w:pos="432"/>
          <w:tab w:val="left" w:pos="720"/>
          <w:tab w:val="left" w:pos="1008"/>
          <w:tab w:val="left" w:pos="1440"/>
        </w:tabs>
        <w:suppressAutoHyphens/>
        <w:spacing w:after="100" w:afterAutospacing="1"/>
        <w:rPr>
          <w:rFonts w:ascii="Times New Roman" w:hAnsi="Times New Roman"/>
        </w:rPr>
      </w:pPr>
      <w:r>
        <w:rPr>
          <w:rFonts w:ascii="Times New Roman" w:hAnsi="Times New Roman"/>
        </w:rPr>
        <w:t>17</w:t>
      </w:r>
      <w:r>
        <w:rPr>
          <w:rFonts w:ascii="Times New Roman" w:hAnsi="Times New Roman"/>
        </w:rPr>
        <w:t xml:space="preserve">.  </w:t>
      </w:r>
      <w:r w:rsidRPr="004A652B" w:rsidR="00EC1969">
        <w:rPr>
          <w:rFonts w:ascii="Times New Roman" w:hAnsi="Times New Roman"/>
          <w:bCs/>
          <w:u w:val="single"/>
        </w:rPr>
        <w:t>Display</w:t>
      </w:r>
      <w:r w:rsidRPr="00EC1969" w:rsidR="00EC1969">
        <w:rPr>
          <w:rFonts w:ascii="Times New Roman" w:hAnsi="Times New Roman"/>
          <w:u w:val="single"/>
        </w:rPr>
        <w:t xml:space="preserve"> of expiration date:</w:t>
      </w:r>
    </w:p>
    <w:p w:rsidR="009701A0" w:rsidP="00D15ABA" w14:paraId="63543BF8" w14:textId="77777777">
      <w:pPr>
        <w:rPr>
          <w:rFonts w:ascii="Times New Roman" w:hAnsi="Times New Roman"/>
        </w:rPr>
      </w:pPr>
      <w:r>
        <w:rPr>
          <w:rFonts w:ascii="Times New Roman" w:hAnsi="Times New Roman"/>
        </w:rPr>
        <w:t>Not applicable.</w:t>
      </w:r>
    </w:p>
    <w:p w:rsidR="009701A0" w14:paraId="318D872A" w14:textId="77777777">
      <w:pPr>
        <w:widowControl/>
        <w:tabs>
          <w:tab w:val="left" w:pos="-720"/>
          <w:tab w:val="left" w:pos="0"/>
          <w:tab w:val="left" w:pos="1008"/>
          <w:tab w:val="left" w:pos="2160"/>
          <w:tab w:val="left" w:pos="4176"/>
          <w:tab w:val="left" w:pos="5472"/>
          <w:tab w:val="left" w:pos="6912"/>
        </w:tabs>
        <w:suppressAutoHyphens/>
        <w:rPr>
          <w:rFonts w:ascii="Times New Roman" w:hAnsi="Times New Roman"/>
        </w:rPr>
      </w:pPr>
    </w:p>
    <w:p w:rsidR="009701A0" w:rsidP="00D15ABA" w14:paraId="1D872995" w14:textId="77777777">
      <w:pPr>
        <w:widowControl/>
        <w:tabs>
          <w:tab w:val="left" w:pos="-1440"/>
          <w:tab w:val="left" w:pos="-720"/>
          <w:tab w:val="left" w:pos="0"/>
          <w:tab w:val="left" w:pos="432"/>
          <w:tab w:val="left" w:pos="720"/>
          <w:tab w:val="left" w:pos="1008"/>
          <w:tab w:val="left" w:pos="1440"/>
        </w:tabs>
        <w:suppressAutoHyphens/>
        <w:spacing w:after="100" w:afterAutospacing="1"/>
        <w:rPr>
          <w:rFonts w:ascii="Times New Roman" w:hAnsi="Times New Roman"/>
        </w:rPr>
      </w:pPr>
      <w:r>
        <w:rPr>
          <w:rFonts w:ascii="Times New Roman" w:hAnsi="Times New Roman"/>
        </w:rPr>
        <w:t>18</w:t>
      </w:r>
      <w:r>
        <w:rPr>
          <w:rFonts w:ascii="Times New Roman" w:hAnsi="Times New Roman"/>
        </w:rPr>
        <w:t xml:space="preserve">.  </w:t>
      </w:r>
      <w:r w:rsidRPr="004A652B" w:rsidR="00EC1969">
        <w:rPr>
          <w:rFonts w:ascii="Times New Roman" w:hAnsi="Times New Roman"/>
          <w:bCs/>
          <w:u w:val="single"/>
        </w:rPr>
        <w:t>Exceptions</w:t>
      </w:r>
      <w:r w:rsidR="00EC1969">
        <w:rPr>
          <w:rFonts w:ascii="Times New Roman" w:hAnsi="Times New Roman"/>
          <w:u w:val="single"/>
        </w:rPr>
        <w:t xml:space="preserve"> to c</w:t>
      </w:r>
      <w:r>
        <w:rPr>
          <w:rFonts w:ascii="Times New Roman" w:hAnsi="Times New Roman"/>
          <w:u w:val="single"/>
        </w:rPr>
        <w:t>ertification</w:t>
      </w:r>
      <w:r w:rsidR="00EC1969">
        <w:rPr>
          <w:rFonts w:ascii="Times New Roman" w:hAnsi="Times New Roman"/>
          <w:u w:val="single"/>
        </w:rPr>
        <w:t>:</w:t>
      </w:r>
    </w:p>
    <w:p w:rsidR="009701A0" w:rsidP="00B960AF" w14:paraId="6552EC01" w14:textId="77777777">
      <w:pPr>
        <w:rPr>
          <w:rFonts w:ascii="Times New Roman" w:hAnsi="Times New Roman"/>
        </w:rPr>
      </w:pPr>
      <w:r>
        <w:rPr>
          <w:rFonts w:ascii="Times New Roman" w:hAnsi="Times New Roman"/>
        </w:rPr>
        <w:t>None</w:t>
      </w:r>
      <w:r w:rsidR="00443989">
        <w:rPr>
          <w:rFonts w:ascii="Times New Roman" w:hAnsi="Times New Roman"/>
        </w:rPr>
        <w:t>.</w:t>
      </w:r>
      <w:r>
        <w:rPr>
          <w:rFonts w:ascii="Times New Roman" w:hAnsi="Times New Roman"/>
        </w:rPr>
        <w:t xml:space="preserve">  </w:t>
      </w:r>
    </w:p>
    <w:p w:rsidR="009701A0" w14:paraId="3934C904" w14:textId="77777777">
      <w:pPr>
        <w:widowControl/>
        <w:tabs>
          <w:tab w:val="left" w:pos="-720"/>
          <w:tab w:val="left" w:pos="0"/>
          <w:tab w:val="left" w:pos="1008"/>
          <w:tab w:val="left" w:pos="2160"/>
          <w:tab w:val="left" w:pos="4176"/>
          <w:tab w:val="left" w:pos="5472"/>
          <w:tab w:val="left" w:pos="6912"/>
        </w:tabs>
        <w:suppressAutoHyphens/>
        <w:rPr>
          <w:rFonts w:ascii="Times New Roman" w:hAnsi="Times New Roman"/>
        </w:rPr>
      </w:pPr>
    </w:p>
    <w:p w:rsidR="009701A0" w:rsidP="00D15ABA" w14:paraId="39107273" w14:textId="77777777">
      <w:pPr>
        <w:widowControl/>
        <w:tabs>
          <w:tab w:val="left" w:pos="-720"/>
          <w:tab w:val="left" w:pos="0"/>
          <w:tab w:val="left" w:pos="1008"/>
          <w:tab w:val="left" w:pos="2160"/>
          <w:tab w:val="left" w:pos="4176"/>
          <w:tab w:val="left" w:pos="5472"/>
          <w:tab w:val="left" w:pos="6912"/>
        </w:tabs>
        <w:suppressAutoHyphens/>
        <w:spacing w:after="100" w:afterAutospacing="1"/>
        <w:rPr>
          <w:rFonts w:ascii="Times New Roman" w:hAnsi="Times New Roman"/>
        </w:rPr>
      </w:pPr>
      <w:r>
        <w:rPr>
          <w:rFonts w:ascii="Times New Roman" w:hAnsi="Times New Roman"/>
        </w:rPr>
        <w:t xml:space="preserve">B.  </w:t>
      </w:r>
      <w:r>
        <w:rPr>
          <w:rFonts w:ascii="Times New Roman" w:hAnsi="Times New Roman"/>
          <w:u w:val="single"/>
        </w:rPr>
        <w:t>COLLECTION OF INFORMATION EMPLOYING STATISTICAL METHODS</w:t>
      </w:r>
    </w:p>
    <w:p w:rsidR="009701A0" w:rsidP="00B960AF" w14:paraId="47037101" w14:textId="77777777">
      <w:r>
        <w:rPr>
          <w:rFonts w:ascii="Times New Roman" w:hAnsi="Times New Roman"/>
        </w:rPr>
        <w:t>Not applicable.</w:t>
      </w:r>
    </w:p>
    <w:sectPr>
      <w:headerReference w:type="even" r:id="rId7"/>
      <w:headerReference w:type="default" r:id="rId8"/>
      <w:footerReference w:type="even" r:id="rId9"/>
      <w:footerReference w:type="default" r:id="rId10"/>
      <w:headerReference w:type="first" r:id="rId11"/>
      <w:footerReference w:type="first" r:id="rId12"/>
      <w:endnotePr>
        <w:numFmt w:val="decimal"/>
      </w:endnotePr>
      <w:pgSz w:w="12240" w:h="15840"/>
      <w:pgMar w:top="1440" w:right="1440" w:bottom="1440" w:left="1440" w:header="1080" w:footer="1080" w:gutter="0"/>
      <w:pgNumType w:start="1"/>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C623F7" w14:paraId="5BE74E85" w14:textId="77777777">
      <w:pPr>
        <w:widowControl/>
        <w:spacing w:line="20" w:lineRule="exact"/>
      </w:pPr>
    </w:p>
  </w:endnote>
  <w:endnote w:type="continuationSeparator" w:id="1">
    <w:p w:rsidR="00C623F7" w14:paraId="7530BB6E" w14:textId="77777777">
      <w:r>
        <w:t xml:space="preserve"> </w:t>
      </w:r>
    </w:p>
  </w:endnote>
  <w:endnote w:type="continuationNotice" w:id="2">
    <w:p w:rsidR="00C623F7" w14:paraId="5615EC5A" w14:textId="77777777">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altName w:val="Courier New"/>
    <w:panose1 w:val="02070409020205020404"/>
    <w:charset w:val="00"/>
    <w:family w:val="modern"/>
    <w:pitch w:val="fixed"/>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Source Sans Pro">
    <w:panose1 w:val="020B0503030403020204"/>
    <w:charset w:val="00"/>
    <w:family w:val="swiss"/>
    <w:notTrueType/>
    <w:pitch w:val="variable"/>
    <w:sig w:usb0="600002F7" w:usb1="02000001" w:usb2="00000000" w:usb3="00000000" w:csb0="0000019F" w:csb1="00000000"/>
  </w:font>
  <w:font w:name="Source Sans Pro Semibold">
    <w:panose1 w:val="020B0603030403020204"/>
    <w:charset w:val="00"/>
    <w:family w:val="swiss"/>
    <w:notTrueType/>
    <w:pitch w:val="variable"/>
    <w:sig w:usb0="600002F7" w:usb1="02000001"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51D20" w14:paraId="0BB6C917"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1D20" w14:paraId="7E4D3FBC"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51D20" w14:paraId="45B2D6AF" w14:textId="77777777">
    <w:pPr>
      <w:pStyle w:val="Footer"/>
      <w:framePr w:wrap="around" w:vAnchor="text" w:hAnchor="margin" w:xAlign="center" w:y="1"/>
      <w:rPr>
        <w:rStyle w:val="PageNumber"/>
        <w:rFonts w:ascii="Times New Roman" w:hAnsi="Times New Roman"/>
      </w:rPr>
    </w:pPr>
    <w:r>
      <w:rPr>
        <w:rStyle w:val="PageNumber"/>
        <w:rFonts w:ascii="Times New Roman" w:hAnsi="Times New Roman"/>
      </w:rPr>
      <w:fldChar w:fldCharType="begin"/>
    </w:r>
    <w:r>
      <w:rPr>
        <w:rStyle w:val="PageNumber"/>
        <w:rFonts w:ascii="Times New Roman" w:hAnsi="Times New Roman"/>
      </w:rPr>
      <w:instrText xml:space="preserve">PAGE  </w:instrText>
    </w:r>
    <w:r>
      <w:rPr>
        <w:rStyle w:val="PageNumber"/>
        <w:rFonts w:ascii="Times New Roman" w:hAnsi="Times New Roman"/>
      </w:rPr>
      <w:fldChar w:fldCharType="separate"/>
    </w:r>
    <w:r w:rsidR="00C745B4">
      <w:rPr>
        <w:rStyle w:val="PageNumber"/>
        <w:rFonts w:ascii="Times New Roman" w:hAnsi="Times New Roman"/>
        <w:noProof/>
      </w:rPr>
      <w:t>23</w:t>
    </w:r>
    <w:r>
      <w:rPr>
        <w:rStyle w:val="PageNumber"/>
        <w:rFonts w:ascii="Times New Roman" w:hAnsi="Times New Roman"/>
      </w:rPr>
      <w:fldChar w:fldCharType="end"/>
    </w:r>
  </w:p>
  <w:p w:rsidR="00951D20" w14:paraId="78E2C246" w14:textId="77777777">
    <w:pPr>
      <w:pStyle w:val="Footer"/>
      <w:jc w:val="center"/>
      <w:rPr>
        <w:rFonts w:ascii="Times New Roman" w:hAnsi="Times New Roman"/>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51D20" w14:paraId="2B18FBB4" w14:textId="77777777">
    <w:pPr>
      <w:pStyle w:val="Footer"/>
      <w:framePr w:wrap="around" w:vAnchor="text" w:hAnchor="margin" w:xAlign="center" w:y="1"/>
      <w:rPr>
        <w:rStyle w:val="PageNumber"/>
        <w:rFonts w:ascii="Times New Roman" w:hAnsi="Times New Roman"/>
      </w:rPr>
    </w:pPr>
    <w:r>
      <w:rPr>
        <w:rStyle w:val="PageNumber"/>
        <w:rFonts w:ascii="Times New Roman" w:hAnsi="Times New Roman"/>
      </w:rPr>
      <w:fldChar w:fldCharType="begin"/>
    </w:r>
    <w:r>
      <w:rPr>
        <w:rStyle w:val="PageNumber"/>
        <w:rFonts w:ascii="Times New Roman" w:hAnsi="Times New Roman"/>
      </w:rPr>
      <w:instrText xml:space="preserve">PAGE  </w:instrText>
    </w:r>
    <w:r>
      <w:rPr>
        <w:rStyle w:val="PageNumber"/>
        <w:rFonts w:ascii="Times New Roman" w:hAnsi="Times New Roman"/>
      </w:rPr>
      <w:fldChar w:fldCharType="separate"/>
    </w:r>
    <w:r w:rsidR="00C745B4">
      <w:rPr>
        <w:rStyle w:val="PageNumber"/>
        <w:rFonts w:ascii="Times New Roman" w:hAnsi="Times New Roman"/>
        <w:noProof/>
      </w:rPr>
      <w:t>1</w:t>
    </w:r>
    <w:r>
      <w:rPr>
        <w:rStyle w:val="PageNumber"/>
        <w:rFonts w:ascii="Times New Roman" w:hAnsi="Times New Roman"/>
      </w:rPr>
      <w:fldChar w:fldCharType="end"/>
    </w:r>
  </w:p>
  <w:p w:rsidR="00951D20" w14:paraId="787CEC7F" w14:textId="77777777">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C623F7" w14:paraId="6262D278" w14:textId="77777777">
      <w:r>
        <w:separator/>
      </w:r>
    </w:p>
  </w:footnote>
  <w:footnote w:type="continuationSeparator" w:id="1">
    <w:p w:rsidR="00C623F7" w14:paraId="70BFBB3F" w14:textId="77777777">
      <w:r>
        <w:continuationSeparator/>
      </w:r>
    </w:p>
  </w:footnote>
  <w:footnote w:id="2">
    <w:p w:rsidR="00951D20" w:rsidRPr="00235FB8" w:rsidP="00235FB8" w14:paraId="5F4084EA" w14:textId="77777777">
      <w:pPr>
        <w:pStyle w:val="FootnoteText"/>
        <w:rPr>
          <w:rFonts w:ascii="Times New Roman" w:hAnsi="Times New Roman"/>
          <w:sz w:val="20"/>
        </w:rPr>
      </w:pPr>
      <w:r w:rsidRPr="00235FB8">
        <w:rPr>
          <w:rStyle w:val="FootnoteReference"/>
          <w:rFonts w:ascii="Times New Roman" w:hAnsi="Times New Roman"/>
          <w:sz w:val="20"/>
        </w:rPr>
        <w:footnoteRef/>
      </w:r>
      <w:r w:rsidRPr="00235FB8">
        <w:rPr>
          <w:rFonts w:ascii="Times New Roman" w:hAnsi="Times New Roman"/>
          <w:sz w:val="20"/>
        </w:rPr>
        <w:t xml:space="preserve"> 12 CFR Part 351.2(r)(2)</w:t>
      </w:r>
    </w:p>
  </w:footnote>
  <w:footnote w:id="3">
    <w:p w:rsidR="00951D20" w:rsidRPr="00DC7416" w14:paraId="4937E511" w14:textId="77777777">
      <w:pPr>
        <w:pStyle w:val="FootnoteText"/>
        <w:rPr>
          <w:rFonts w:ascii="Times New Roman" w:hAnsi="Times New Roman"/>
          <w:sz w:val="18"/>
          <w:szCs w:val="18"/>
        </w:rPr>
      </w:pPr>
      <w:r w:rsidRPr="00DC7416">
        <w:rPr>
          <w:rStyle w:val="FootnoteReference"/>
          <w:rFonts w:ascii="Times New Roman" w:hAnsi="Times New Roman"/>
          <w:sz w:val="18"/>
          <w:szCs w:val="18"/>
        </w:rPr>
        <w:footnoteRef/>
      </w:r>
      <w:r w:rsidRPr="00DC7416">
        <w:rPr>
          <w:rFonts w:ascii="Times New Roman" w:hAnsi="Times New Roman"/>
          <w:sz w:val="18"/>
          <w:szCs w:val="18"/>
        </w:rPr>
        <w:t xml:space="preserve"> </w:t>
      </w:r>
      <w:r>
        <w:rPr>
          <w:rFonts w:ascii="Times New Roman" w:hAnsi="Times New Roman"/>
          <w:sz w:val="18"/>
          <w:szCs w:val="18"/>
        </w:rPr>
        <w:t xml:space="preserve">  </w:t>
      </w:r>
      <w:r w:rsidRPr="00DC7416">
        <w:rPr>
          <w:rFonts w:ascii="Times New Roman" w:hAnsi="Times New Roman"/>
          <w:sz w:val="18"/>
          <w:szCs w:val="18"/>
        </w:rPr>
        <w:t xml:space="preserve">All respondents have now gone through the implementation phase.  The estimated number of respondents for implementation burden is estimated at one </w:t>
      </w:r>
      <w:r>
        <w:rPr>
          <w:rFonts w:ascii="Times New Roman" w:hAnsi="Times New Roman"/>
          <w:sz w:val="18"/>
          <w:szCs w:val="18"/>
        </w:rPr>
        <w:t xml:space="preserve">(1), </w:t>
      </w:r>
      <w:r w:rsidRPr="00DC7416">
        <w:rPr>
          <w:rFonts w:ascii="Times New Roman" w:hAnsi="Times New Roman"/>
          <w:sz w:val="18"/>
          <w:szCs w:val="18"/>
        </w:rPr>
        <w:t xml:space="preserve">as a </w:t>
      </w:r>
      <w:r w:rsidRPr="00DC7416">
        <w:rPr>
          <w:rFonts w:ascii="Times New Roman" w:hAnsi="Times New Roman"/>
          <w:sz w:val="18"/>
          <w:szCs w:val="18"/>
        </w:rPr>
        <w:t>place-holder</w:t>
      </w:r>
      <w:r>
        <w:rPr>
          <w:rFonts w:ascii="Times New Roman" w:hAnsi="Times New Roman"/>
          <w:sz w:val="18"/>
          <w:szCs w:val="18"/>
        </w:rPr>
        <w:t>,</w:t>
      </w:r>
      <w:r w:rsidRPr="00DC7416">
        <w:rPr>
          <w:rFonts w:ascii="Times New Roman" w:hAnsi="Times New Roman"/>
          <w:sz w:val="18"/>
          <w:szCs w:val="18"/>
        </w:rPr>
        <w:t xml:space="preserve"> </w:t>
      </w:r>
      <w:r>
        <w:rPr>
          <w:rFonts w:ascii="Times New Roman" w:hAnsi="Times New Roman"/>
          <w:sz w:val="18"/>
          <w:szCs w:val="18"/>
        </w:rPr>
        <w:t>in case a</w:t>
      </w:r>
      <w:r w:rsidRPr="00DC7416">
        <w:rPr>
          <w:rFonts w:ascii="Times New Roman" w:hAnsi="Times New Roman"/>
          <w:sz w:val="18"/>
          <w:szCs w:val="18"/>
        </w:rPr>
        <w:t xml:space="preserve"> new respondent would need to go through the implementation phase.</w:t>
      </w:r>
    </w:p>
  </w:footnote>
  <w:footnote w:id="4">
    <w:p w:rsidR="00951D20" w:rsidRPr="00F9420A" w:rsidP="00F9420A" w14:paraId="005B91C6" w14:textId="77777777">
      <w:pPr>
        <w:pStyle w:val="FootnoteText"/>
        <w:rPr>
          <w:rFonts w:ascii="Times New Roman" w:hAnsi="Times New Roman"/>
          <w:sz w:val="20"/>
        </w:rPr>
      </w:pPr>
      <w:r w:rsidRPr="00F9420A">
        <w:rPr>
          <w:rStyle w:val="FootnoteReference"/>
          <w:rFonts w:ascii="Times New Roman" w:hAnsi="Times New Roman"/>
          <w:sz w:val="20"/>
        </w:rPr>
        <w:footnoteRef/>
      </w:r>
      <w:r w:rsidRPr="00F9420A">
        <w:rPr>
          <w:rFonts w:ascii="Times New Roman" w:hAnsi="Times New Roman"/>
          <w:sz w:val="20"/>
        </w:rPr>
        <w:t xml:space="preserve"> See </w:t>
      </w:r>
      <w:hyperlink r:id="rId1" w:history="1">
        <w:r w:rsidRPr="00F9420A">
          <w:rPr>
            <w:rStyle w:val="Hyperlink"/>
            <w:rFonts w:ascii="Times New Roman" w:hAnsi="Times New Roman"/>
            <w:sz w:val="20"/>
          </w:rPr>
          <w:t>https://www.ecfr.gov/current/title-12/chapter-III/subchapter-B/part-351/subpart-B/section-351.4</w:t>
        </w:r>
      </w:hyperlink>
      <w:r w:rsidRPr="00F9420A">
        <w:rPr>
          <w:rFonts w:ascii="Times New Roman" w:hAnsi="Times New Roman"/>
          <w:sz w:val="20"/>
        </w:rPr>
        <w:t xml:space="preserve"> </w:t>
      </w:r>
    </w:p>
  </w:footnote>
  <w:footnote w:id="5">
    <w:p w:rsidR="00951D20" w:rsidRPr="00F9420A" w:rsidP="00F9420A" w14:paraId="53F40F2D" w14:textId="77777777">
      <w:pPr>
        <w:pStyle w:val="FootnoteText"/>
        <w:rPr>
          <w:rFonts w:ascii="Times New Roman" w:hAnsi="Times New Roman"/>
          <w:sz w:val="20"/>
        </w:rPr>
      </w:pPr>
      <w:r w:rsidRPr="00F9420A">
        <w:rPr>
          <w:rStyle w:val="FootnoteReference"/>
          <w:rFonts w:ascii="Times New Roman" w:hAnsi="Times New Roman"/>
          <w:sz w:val="20"/>
        </w:rPr>
        <w:footnoteRef/>
      </w:r>
      <w:r w:rsidRPr="00F9420A">
        <w:rPr>
          <w:rFonts w:ascii="Times New Roman" w:hAnsi="Times New Roman"/>
          <w:sz w:val="20"/>
        </w:rPr>
        <w:t xml:space="preserve"> See </w:t>
      </w:r>
      <w:hyperlink r:id="rId2" w:anchor="p-351.4(b)(3)(i)(A)" w:history="1">
        <w:r w:rsidRPr="00F9420A">
          <w:rPr>
            <w:rStyle w:val="Hyperlink"/>
            <w:rFonts w:ascii="Times New Roman" w:hAnsi="Times New Roman"/>
            <w:sz w:val="20"/>
          </w:rPr>
          <w:t>https://www.ecfr.gov/current/title-12/chapter-III/subchapter-B/part-351#p-351.4(b)(3)(i)(A)</w:t>
        </w:r>
      </w:hyperlink>
      <w:r w:rsidRPr="00F9420A">
        <w:rPr>
          <w:rFonts w:ascii="Times New Roman" w:hAnsi="Times New Roman"/>
          <w:sz w:val="20"/>
        </w:rPr>
        <w:t xml:space="preserve"> </w:t>
      </w:r>
    </w:p>
  </w:footnote>
  <w:footnote w:id="6">
    <w:p w:rsidR="00951D20" w:rsidP="00F9420A" w14:paraId="54F71EAB" w14:textId="77777777">
      <w:pPr>
        <w:pStyle w:val="FootnoteText"/>
      </w:pPr>
      <w:r w:rsidRPr="00F9420A">
        <w:rPr>
          <w:rStyle w:val="FootnoteReference"/>
          <w:rFonts w:ascii="Times New Roman" w:hAnsi="Times New Roman"/>
          <w:sz w:val="20"/>
        </w:rPr>
        <w:footnoteRef/>
      </w:r>
      <w:r w:rsidRPr="00F9420A">
        <w:rPr>
          <w:rFonts w:ascii="Times New Roman" w:hAnsi="Times New Roman"/>
          <w:sz w:val="20"/>
        </w:rPr>
        <w:t xml:space="preserve"> See </w:t>
      </w:r>
      <w:hyperlink r:id="rId3" w:history="1">
        <w:r w:rsidRPr="00F9420A">
          <w:rPr>
            <w:rStyle w:val="Hyperlink"/>
            <w:rFonts w:ascii="Times New Roman" w:hAnsi="Times New Roman"/>
            <w:sz w:val="20"/>
          </w:rPr>
          <w:t>https://www.ecfr.gov/current/title-12/chapter-III/subchapter-B/part-351/subpart-D/section-351.20</w:t>
        </w:r>
      </w:hyperlink>
      <w:r>
        <w:t xml:space="preserve"> </w:t>
      </w:r>
    </w:p>
  </w:footnote>
  <w:footnote w:id="7">
    <w:p w:rsidR="00951D20" w:rsidRPr="00F9420A" w:rsidP="00F9420A" w14:paraId="27606EDF" w14:textId="77777777">
      <w:pPr>
        <w:pStyle w:val="FootnoteText"/>
        <w:rPr>
          <w:rFonts w:ascii="Times New Roman" w:hAnsi="Times New Roman"/>
          <w:sz w:val="20"/>
        </w:rPr>
      </w:pPr>
      <w:r w:rsidRPr="00F9420A">
        <w:rPr>
          <w:rStyle w:val="FootnoteReference"/>
          <w:rFonts w:ascii="Times New Roman" w:hAnsi="Times New Roman"/>
          <w:sz w:val="20"/>
        </w:rPr>
        <w:footnoteRef/>
      </w:r>
      <w:r w:rsidRPr="00F9420A">
        <w:rPr>
          <w:rFonts w:ascii="Times New Roman" w:hAnsi="Times New Roman"/>
          <w:sz w:val="20"/>
        </w:rPr>
        <w:t xml:space="preserve"> See </w:t>
      </w:r>
      <w:hyperlink r:id="rId2" w:anchor="p-351.20(d)" w:history="1">
        <w:r w:rsidRPr="00F9420A">
          <w:rPr>
            <w:rStyle w:val="Hyperlink"/>
            <w:rFonts w:ascii="Times New Roman" w:hAnsi="Times New Roman"/>
            <w:sz w:val="20"/>
            <w:shd w:val="clear" w:color="auto" w:fill="FFFFFF"/>
          </w:rPr>
          <w:t>https://www.ecfr.gov/current/title-12/chapter-III/subchapter-B/part-351#p-351.20(d)</w:t>
        </w:r>
      </w:hyperlink>
      <w:r w:rsidRPr="00F9420A">
        <w:rPr>
          <w:rFonts w:ascii="Times New Roman" w:hAnsi="Times New Roman"/>
          <w:color w:val="333333"/>
          <w:sz w:val="20"/>
          <w:shd w:val="clear" w:color="auto" w:fill="FFFFFF"/>
        </w:rPr>
        <w:t xml:space="preserve"> </w:t>
      </w:r>
    </w:p>
  </w:footnote>
  <w:footnote w:id="8">
    <w:p w:rsidR="00951D20" w:rsidRPr="00F9420A" w:rsidP="00F9420A" w14:paraId="398A384E" w14:textId="77777777">
      <w:pPr>
        <w:pStyle w:val="FootnoteText"/>
        <w:rPr>
          <w:rFonts w:ascii="Times New Roman" w:hAnsi="Times New Roman"/>
          <w:sz w:val="20"/>
        </w:rPr>
      </w:pPr>
      <w:r w:rsidRPr="00F9420A">
        <w:rPr>
          <w:rStyle w:val="FootnoteReference"/>
          <w:rFonts w:ascii="Times New Roman" w:hAnsi="Times New Roman"/>
          <w:sz w:val="20"/>
        </w:rPr>
        <w:footnoteRef/>
      </w:r>
      <w:r w:rsidRPr="00F9420A">
        <w:rPr>
          <w:rFonts w:ascii="Times New Roman" w:hAnsi="Times New Roman"/>
          <w:sz w:val="20"/>
        </w:rPr>
        <w:t xml:space="preserve"> Part 351.2(ee) defines ‘significant trading assets and liabilities’ as institutions that have, together with their subsidiaries and affiliates, trading assets and liabilities the average gross sum of which over the previous consecutive four quarters, as measured as of the last day of each of the four previous calendar quarters, equals or exceeds $20 billion.</w:t>
      </w:r>
    </w:p>
  </w:footnote>
  <w:footnote w:id="9">
    <w:p w:rsidR="00951D20" w:rsidRPr="00F9420A" w:rsidP="00F9420A" w14:paraId="069ED345" w14:textId="77777777">
      <w:pPr>
        <w:pStyle w:val="FootnoteText"/>
        <w:rPr>
          <w:rFonts w:ascii="Times New Roman" w:hAnsi="Times New Roman"/>
          <w:sz w:val="20"/>
        </w:rPr>
      </w:pPr>
      <w:r w:rsidRPr="00F9420A">
        <w:rPr>
          <w:rStyle w:val="FootnoteReference"/>
          <w:rFonts w:ascii="Times New Roman" w:hAnsi="Times New Roman"/>
          <w:sz w:val="20"/>
        </w:rPr>
        <w:footnoteRef/>
      </w:r>
      <w:r w:rsidRPr="00F9420A">
        <w:rPr>
          <w:rFonts w:ascii="Times New Roman" w:hAnsi="Times New Roman"/>
          <w:sz w:val="20"/>
        </w:rPr>
        <w:t xml:space="preserve"> See </w:t>
      </w:r>
      <w:hyperlink r:id="rId2" w:anchor="p-351.20(i)" w:history="1">
        <w:r w:rsidRPr="00F9420A">
          <w:rPr>
            <w:rStyle w:val="Hyperlink"/>
            <w:rFonts w:ascii="Times New Roman" w:hAnsi="Times New Roman"/>
            <w:sz w:val="20"/>
            <w:shd w:val="clear" w:color="auto" w:fill="FFFFFF"/>
          </w:rPr>
          <w:t>https://www.ecfr.gov/current/title-12/chapter-III/subchapter-B/part-351#p-351.20(i)</w:t>
        </w:r>
      </w:hyperlink>
      <w:r w:rsidRPr="00F9420A">
        <w:rPr>
          <w:rFonts w:ascii="Times New Roman" w:hAnsi="Times New Roman"/>
          <w:color w:val="333333"/>
          <w:sz w:val="20"/>
          <w:shd w:val="clear" w:color="auto" w:fill="FFFFFF"/>
        </w:rPr>
        <w:t xml:space="preserve"> </w:t>
      </w:r>
    </w:p>
  </w:footnote>
  <w:footnote w:id="10">
    <w:p w:rsidR="00951D20" w:rsidRPr="00F9420A" w:rsidP="00F9420A" w14:paraId="161BA3C2" w14:textId="77777777">
      <w:pPr>
        <w:pStyle w:val="FootnoteText"/>
        <w:rPr>
          <w:rFonts w:ascii="Times New Roman" w:hAnsi="Times New Roman"/>
          <w:sz w:val="20"/>
        </w:rPr>
      </w:pPr>
      <w:r w:rsidRPr="00F9420A">
        <w:rPr>
          <w:rStyle w:val="FootnoteReference"/>
          <w:rFonts w:ascii="Times New Roman" w:hAnsi="Times New Roman"/>
          <w:sz w:val="20"/>
        </w:rPr>
        <w:footnoteRef/>
      </w:r>
      <w:r w:rsidRPr="00F9420A">
        <w:rPr>
          <w:rFonts w:ascii="Times New Roman" w:hAnsi="Times New Roman"/>
          <w:sz w:val="20"/>
        </w:rPr>
        <w:t xml:space="preserve"> See </w:t>
      </w:r>
      <w:hyperlink r:id="rId2" w:anchor="p-351.3(d)(3)" w:history="1">
        <w:r w:rsidRPr="00F9420A">
          <w:rPr>
            <w:rStyle w:val="Hyperlink"/>
            <w:rFonts w:ascii="Times New Roman" w:hAnsi="Times New Roman"/>
            <w:sz w:val="20"/>
            <w:shd w:val="clear" w:color="auto" w:fill="FFFFFF"/>
          </w:rPr>
          <w:t>https://www.ecfr.gov/current/title-12/chapter-III/subchapter-B/part-351#p-351.3(d)(3)</w:t>
        </w:r>
      </w:hyperlink>
      <w:r w:rsidRPr="00F9420A">
        <w:rPr>
          <w:rFonts w:ascii="Times New Roman" w:hAnsi="Times New Roman"/>
          <w:color w:val="333333"/>
          <w:sz w:val="20"/>
          <w:shd w:val="clear" w:color="auto" w:fill="FFFFFF"/>
        </w:rPr>
        <w:t xml:space="preserve"> </w:t>
      </w:r>
    </w:p>
  </w:footnote>
  <w:footnote w:id="11">
    <w:p w:rsidR="00951D20" w:rsidRPr="00F9420A" w:rsidP="00F9420A" w14:paraId="3D660AF7" w14:textId="77777777">
      <w:pPr>
        <w:pStyle w:val="FootnoteText"/>
        <w:rPr>
          <w:rFonts w:ascii="Times New Roman" w:hAnsi="Times New Roman"/>
          <w:sz w:val="20"/>
        </w:rPr>
      </w:pPr>
      <w:r w:rsidRPr="00F9420A">
        <w:rPr>
          <w:rStyle w:val="FootnoteReference"/>
          <w:rFonts w:ascii="Times New Roman" w:hAnsi="Times New Roman"/>
          <w:sz w:val="20"/>
        </w:rPr>
        <w:footnoteRef/>
      </w:r>
      <w:r w:rsidRPr="00F9420A">
        <w:rPr>
          <w:rFonts w:ascii="Times New Roman" w:hAnsi="Times New Roman"/>
          <w:sz w:val="20"/>
        </w:rPr>
        <w:t xml:space="preserve"> See </w:t>
      </w:r>
      <w:hyperlink r:id="rId2" w:anchor="p-351.4(b)(3)(i)(A)" w:history="1">
        <w:r w:rsidRPr="00F9420A">
          <w:rPr>
            <w:rStyle w:val="Hyperlink"/>
            <w:rFonts w:ascii="Times New Roman" w:hAnsi="Times New Roman"/>
            <w:sz w:val="20"/>
            <w:shd w:val="clear" w:color="auto" w:fill="FFFFFF"/>
          </w:rPr>
          <w:t>https://www.ecfr.gov/current/title-12/chapter-III/subchapter-B/part-351#p-351.4(b)(3)(i)(A)</w:t>
        </w:r>
      </w:hyperlink>
      <w:r w:rsidRPr="00F9420A">
        <w:rPr>
          <w:rFonts w:ascii="Times New Roman" w:hAnsi="Times New Roman"/>
          <w:color w:val="333333"/>
          <w:sz w:val="20"/>
          <w:shd w:val="clear" w:color="auto" w:fill="FFFFFF"/>
        </w:rPr>
        <w:t xml:space="preserve"> </w:t>
      </w:r>
    </w:p>
  </w:footnote>
  <w:footnote w:id="12">
    <w:p w:rsidR="00951D20" w:rsidRPr="00F9420A" w:rsidP="00F9420A" w14:paraId="0EBF7622" w14:textId="77777777">
      <w:pPr>
        <w:pStyle w:val="FootnoteText"/>
        <w:rPr>
          <w:rFonts w:ascii="Times New Roman" w:hAnsi="Times New Roman"/>
          <w:sz w:val="20"/>
        </w:rPr>
      </w:pPr>
      <w:r w:rsidRPr="00F9420A">
        <w:rPr>
          <w:rStyle w:val="FootnoteReference"/>
          <w:rFonts w:ascii="Times New Roman" w:hAnsi="Times New Roman"/>
          <w:sz w:val="20"/>
        </w:rPr>
        <w:footnoteRef/>
      </w:r>
      <w:r w:rsidRPr="00F9420A">
        <w:rPr>
          <w:rFonts w:ascii="Times New Roman" w:hAnsi="Times New Roman"/>
          <w:sz w:val="20"/>
        </w:rPr>
        <w:t xml:space="preserve"> See </w:t>
      </w:r>
      <w:hyperlink r:id="rId2" w:anchor="p-351.5(c)" w:history="1">
        <w:r w:rsidRPr="00F9420A">
          <w:rPr>
            <w:rStyle w:val="Hyperlink"/>
            <w:rFonts w:ascii="Times New Roman" w:hAnsi="Times New Roman"/>
            <w:sz w:val="20"/>
          </w:rPr>
          <w:t>https://www.ecfr.gov/current/title-12/chapter-III/subchapter-B/part-351#p-351.5(c)</w:t>
        </w:r>
      </w:hyperlink>
      <w:r w:rsidRPr="00F9420A">
        <w:rPr>
          <w:rFonts w:ascii="Times New Roman" w:hAnsi="Times New Roman"/>
          <w:sz w:val="20"/>
        </w:rPr>
        <w:t xml:space="preserve"> </w:t>
      </w:r>
    </w:p>
  </w:footnote>
  <w:footnote w:id="13">
    <w:p w:rsidR="00951D20" w:rsidRPr="00F9420A" w:rsidP="00F9420A" w14:paraId="6223A601" w14:textId="77777777">
      <w:pPr>
        <w:pStyle w:val="FootnoteText"/>
        <w:rPr>
          <w:rFonts w:ascii="Times New Roman" w:hAnsi="Times New Roman"/>
          <w:sz w:val="20"/>
        </w:rPr>
      </w:pPr>
      <w:r w:rsidRPr="00F9420A">
        <w:rPr>
          <w:rStyle w:val="FootnoteReference"/>
          <w:rFonts w:ascii="Times New Roman" w:hAnsi="Times New Roman"/>
          <w:sz w:val="20"/>
        </w:rPr>
        <w:footnoteRef/>
      </w:r>
      <w:r w:rsidRPr="00F9420A">
        <w:rPr>
          <w:rFonts w:ascii="Times New Roman" w:hAnsi="Times New Roman"/>
          <w:sz w:val="20"/>
        </w:rPr>
        <w:t xml:space="preserve"> See 12 CFR 351.10(b) for the definition of covered fund. Generally, these are banking entities that are one of the following: (1) organized or established outside the United States and the ownership interests of which are offered and sold solely outside the United States; (2) Is, or holds itself out as being, an entity or arrangement that raises money from investors primarily for the purpose of investing in securities for resale or other disposition or otherwise trading in securities; or (3) has as its spo</w:t>
      </w:r>
      <w:r w:rsidRPr="00F9420A">
        <w:rPr>
          <w:rFonts w:ascii="Times New Roman" w:hAnsi="Times New Roman"/>
          <w:sz w:val="20"/>
        </w:rPr>
        <w:t>nsor that banking entity (or an affiliate thereof) or has issued an ownership interest that is owned directly or indirectly by that banking entity (or an affiliate thereof).</w:t>
      </w:r>
    </w:p>
  </w:footnote>
  <w:footnote w:id="14">
    <w:p w:rsidR="00951D20" w:rsidRPr="00F9420A" w:rsidP="00F9420A" w14:paraId="0CA46249" w14:textId="77777777">
      <w:pPr>
        <w:pStyle w:val="FootnoteText"/>
        <w:rPr>
          <w:rFonts w:ascii="Times New Roman" w:hAnsi="Times New Roman"/>
          <w:sz w:val="20"/>
        </w:rPr>
      </w:pPr>
      <w:r w:rsidRPr="00F9420A">
        <w:rPr>
          <w:rStyle w:val="FootnoteReference"/>
          <w:rFonts w:ascii="Times New Roman" w:hAnsi="Times New Roman"/>
          <w:sz w:val="20"/>
        </w:rPr>
        <w:footnoteRef/>
      </w:r>
      <w:r w:rsidRPr="00F9420A">
        <w:rPr>
          <w:rFonts w:ascii="Times New Roman" w:hAnsi="Times New Roman"/>
          <w:sz w:val="20"/>
        </w:rPr>
        <w:t xml:space="preserve"> Customer facilitation vehicles are defined in 12 CFR Section 351.10(c)(18)(i) as an issuer that is formed by or at the request of a customer of the banking entity for the purpose of providing such customer (which may include one or more affiliates of such customer) with exposure to a transaction, investment strategy, or other service provided by the banking entity.</w:t>
      </w:r>
    </w:p>
  </w:footnote>
  <w:footnote w:id="15">
    <w:p w:rsidR="00951D20" w:rsidRPr="00F9420A" w:rsidP="00F9420A" w14:paraId="195B4FE8" w14:textId="77777777">
      <w:pPr>
        <w:pStyle w:val="FootnoteText"/>
        <w:rPr>
          <w:rFonts w:ascii="Times New Roman" w:hAnsi="Times New Roman"/>
          <w:sz w:val="20"/>
        </w:rPr>
      </w:pPr>
      <w:r w:rsidRPr="00F9420A">
        <w:rPr>
          <w:rStyle w:val="FootnoteReference"/>
          <w:rFonts w:ascii="Times New Roman" w:hAnsi="Times New Roman"/>
          <w:sz w:val="20"/>
        </w:rPr>
        <w:footnoteRef/>
      </w:r>
      <w:r w:rsidRPr="00F9420A">
        <w:rPr>
          <w:rFonts w:ascii="Times New Roman" w:hAnsi="Times New Roman"/>
          <w:sz w:val="20"/>
        </w:rPr>
        <w:t xml:space="preserve"> See </w:t>
      </w:r>
      <w:hyperlink r:id="rId2" w:anchor="p-351.20(b)" w:history="1">
        <w:r w:rsidRPr="00F9420A">
          <w:rPr>
            <w:rStyle w:val="Hyperlink"/>
            <w:rFonts w:ascii="Times New Roman" w:hAnsi="Times New Roman"/>
            <w:sz w:val="20"/>
          </w:rPr>
          <w:t>https://www.ecfr.gov/current/title-12/chapter-III/subchapter-B/part-351#p-351.20(b)</w:t>
        </w:r>
      </w:hyperlink>
      <w:r w:rsidRPr="00F9420A">
        <w:rPr>
          <w:rFonts w:ascii="Times New Roman" w:hAnsi="Times New Roman"/>
          <w:sz w:val="20"/>
        </w:rPr>
        <w:t xml:space="preserve"> </w:t>
      </w:r>
    </w:p>
  </w:footnote>
  <w:footnote w:id="16">
    <w:p w:rsidR="00951D20" w:rsidP="00F9420A" w14:paraId="5F153266" w14:textId="77777777">
      <w:pPr>
        <w:pStyle w:val="FootnoteText"/>
      </w:pPr>
      <w:r w:rsidRPr="00F9420A">
        <w:rPr>
          <w:rStyle w:val="FootnoteReference"/>
          <w:rFonts w:ascii="Times New Roman" w:hAnsi="Times New Roman"/>
          <w:sz w:val="20"/>
        </w:rPr>
        <w:footnoteRef/>
      </w:r>
      <w:r w:rsidRPr="00F9420A">
        <w:rPr>
          <w:rFonts w:ascii="Times New Roman" w:hAnsi="Times New Roman"/>
          <w:sz w:val="20"/>
        </w:rPr>
        <w:t xml:space="preserve"> See </w:t>
      </w:r>
      <w:hyperlink r:id="rId2" w:anchor="p-351.20(c)" w:history="1">
        <w:r w:rsidRPr="00F9420A">
          <w:rPr>
            <w:rStyle w:val="Hyperlink"/>
            <w:rFonts w:ascii="Times New Roman" w:hAnsi="Times New Roman"/>
            <w:sz w:val="20"/>
          </w:rPr>
          <w:t>https://www.ecfr.gov/current/title-12/chapter-III/subchapter-B/part-351#p-351.20(c)</w:t>
        </w:r>
      </w:hyperlink>
      <w:r>
        <w:t xml:space="preserve"> </w:t>
      </w:r>
    </w:p>
  </w:footnote>
  <w:footnote w:id="17">
    <w:p w:rsidR="00951D20" w:rsidRPr="00B973CE" w:rsidP="00F9420A" w14:paraId="4B3B58F5" w14:textId="77777777">
      <w:pPr>
        <w:pStyle w:val="FootnoteText"/>
        <w:rPr>
          <w:rFonts w:ascii="Times New Roman" w:hAnsi="Times New Roman"/>
          <w:sz w:val="20"/>
        </w:rPr>
      </w:pPr>
      <w:r w:rsidRPr="00B973CE">
        <w:rPr>
          <w:rStyle w:val="FootnoteReference"/>
          <w:rFonts w:ascii="Times New Roman" w:hAnsi="Times New Roman"/>
          <w:sz w:val="20"/>
        </w:rPr>
        <w:footnoteRef/>
      </w:r>
      <w:r w:rsidRPr="00B973CE">
        <w:rPr>
          <w:rFonts w:ascii="Times New Roman" w:hAnsi="Times New Roman"/>
          <w:sz w:val="20"/>
        </w:rPr>
        <w:t xml:space="preserve"> 12 CFR Part 351.20(e)(4) states that covered banks are only required to satisfy this recordkeeping requirement until the covered bank’s aggregate ownership interests in such public funds </w:t>
      </w:r>
      <w:r w:rsidRPr="00B973CE">
        <w:rPr>
          <w:rFonts w:ascii="Times New Roman" w:hAnsi="Times New Roman"/>
          <w:sz w:val="20"/>
        </w:rPr>
        <w:t>is</w:t>
      </w:r>
      <w:r w:rsidRPr="00B973CE">
        <w:rPr>
          <w:rFonts w:ascii="Times New Roman" w:hAnsi="Times New Roman"/>
          <w:sz w:val="20"/>
        </w:rPr>
        <w:t xml:space="preserve"> below $50 million for two consecutive calendar quarters.</w:t>
      </w:r>
    </w:p>
  </w:footnote>
  <w:footnote w:id="18">
    <w:p w:rsidR="00951D20" w:rsidRPr="00B973CE" w:rsidP="00F9420A" w14:paraId="3ED08A0B" w14:textId="77777777">
      <w:pPr>
        <w:pStyle w:val="FootnoteText"/>
        <w:rPr>
          <w:rFonts w:ascii="Times New Roman" w:hAnsi="Times New Roman"/>
          <w:sz w:val="20"/>
        </w:rPr>
      </w:pPr>
      <w:r w:rsidRPr="00B973CE">
        <w:rPr>
          <w:rStyle w:val="FootnoteReference"/>
          <w:rFonts w:ascii="Times New Roman" w:hAnsi="Times New Roman"/>
          <w:sz w:val="20"/>
        </w:rPr>
        <w:footnoteRef/>
      </w:r>
      <w:r w:rsidRPr="00B973CE">
        <w:rPr>
          <w:rFonts w:ascii="Times New Roman" w:hAnsi="Times New Roman"/>
          <w:sz w:val="20"/>
        </w:rPr>
        <w:t xml:space="preserve"> 12 CFR 351.2(s) defines ‘limited trading assets and liabilities’ as having trading assets and </w:t>
      </w:r>
      <w:r w:rsidRPr="00B973CE">
        <w:rPr>
          <w:rFonts w:ascii="Times New Roman" w:hAnsi="Times New Roman"/>
          <w:sz w:val="20"/>
        </w:rPr>
        <w:t>liabilities</w:t>
      </w:r>
      <w:r w:rsidRPr="00B973CE">
        <w:rPr>
          <w:rFonts w:ascii="Times New Roman" w:hAnsi="Times New Roman"/>
          <w:sz w:val="20"/>
        </w:rPr>
        <w:t xml:space="preserve"> the average gross sum of which over the previous </w:t>
      </w:r>
      <w:r w:rsidRPr="00B973CE">
        <w:rPr>
          <w:rFonts w:ascii="Times New Roman" w:hAnsi="Times New Roman"/>
          <w:sz w:val="20"/>
        </w:rPr>
        <w:t>consecutive four</w:t>
      </w:r>
      <w:r w:rsidRPr="00B973CE">
        <w:rPr>
          <w:rFonts w:ascii="Times New Roman" w:hAnsi="Times New Roman"/>
          <w:sz w:val="20"/>
        </w:rPr>
        <w:t xml:space="preserve"> quarters, as measured as of the last day of each of the four previous calendar quarters, is less than $1 billion. 12 CFR 351.2(ee) defines ‘significant trading assets and liabilities as having trading assets and </w:t>
      </w:r>
      <w:r w:rsidRPr="00B973CE">
        <w:rPr>
          <w:rFonts w:ascii="Times New Roman" w:hAnsi="Times New Roman"/>
          <w:sz w:val="20"/>
        </w:rPr>
        <w:t>liabilities</w:t>
      </w:r>
      <w:r w:rsidRPr="00B973CE">
        <w:rPr>
          <w:rFonts w:ascii="Times New Roman" w:hAnsi="Times New Roman"/>
          <w:sz w:val="20"/>
        </w:rPr>
        <w:t xml:space="preserve"> the average gross sum of which over the previous consecutive four quarters, as measured as of the last day of each </w:t>
      </w:r>
      <w:r w:rsidRPr="00B973CE">
        <w:rPr>
          <w:rFonts w:ascii="Times New Roman" w:hAnsi="Times New Roman"/>
          <w:sz w:val="20"/>
        </w:rPr>
        <w:t xml:space="preserve">of the four previous calendar quarters, equals or exceeds $20 billion. 12 CFR 351.2(u) defines an entity as having ‘moderate trading assets and </w:t>
      </w:r>
      <w:r w:rsidRPr="00B973CE">
        <w:rPr>
          <w:rFonts w:ascii="Times New Roman" w:hAnsi="Times New Roman"/>
          <w:sz w:val="20"/>
        </w:rPr>
        <w:t>liabilities’</w:t>
      </w:r>
      <w:r w:rsidRPr="00B973CE">
        <w:rPr>
          <w:rFonts w:ascii="Times New Roman" w:hAnsi="Times New Roman"/>
          <w:sz w:val="20"/>
        </w:rPr>
        <w:t xml:space="preserve"> if it does not have limited or significant trading assets and liabilities.</w:t>
      </w:r>
    </w:p>
  </w:footnote>
  <w:footnote w:id="19">
    <w:p w:rsidR="00951D20" w:rsidRPr="00B973CE" w:rsidP="00F9420A" w14:paraId="614C9612" w14:textId="77777777">
      <w:pPr>
        <w:pStyle w:val="FootnoteText"/>
        <w:rPr>
          <w:rFonts w:ascii="Times New Roman" w:hAnsi="Times New Roman"/>
          <w:sz w:val="20"/>
        </w:rPr>
      </w:pPr>
      <w:r w:rsidRPr="00B973CE">
        <w:rPr>
          <w:rStyle w:val="FootnoteReference"/>
          <w:rFonts w:ascii="Times New Roman" w:hAnsi="Times New Roman"/>
          <w:sz w:val="20"/>
        </w:rPr>
        <w:footnoteRef/>
      </w:r>
      <w:r w:rsidRPr="00B973CE">
        <w:rPr>
          <w:rFonts w:ascii="Times New Roman" w:hAnsi="Times New Roman"/>
          <w:sz w:val="20"/>
        </w:rPr>
        <w:t xml:space="preserve"> See </w:t>
      </w:r>
      <w:hyperlink r:id="rId4" w:history="1">
        <w:r w:rsidRPr="00B973CE">
          <w:rPr>
            <w:rStyle w:val="Hyperlink"/>
            <w:rFonts w:ascii="Times New Roman" w:hAnsi="Times New Roman"/>
            <w:sz w:val="20"/>
          </w:rPr>
          <w:t>https://www.reginfo.gov/public/do/PRAViewICR?ref_nbr=202001-3064-005</w:t>
        </w:r>
      </w:hyperlink>
      <w:r w:rsidRPr="00B973CE">
        <w:rPr>
          <w:rFonts w:ascii="Times New Roman" w:hAnsi="Times New Roman"/>
          <w:sz w:val="20"/>
        </w:rPr>
        <w:t xml:space="preserve"> </w:t>
      </w:r>
    </w:p>
  </w:footnote>
  <w:footnote w:id="20">
    <w:p w:rsidR="00951D20" w:rsidRPr="006A541D" w:rsidP="003D016B" w14:paraId="522614B8" w14:textId="77777777">
      <w:pPr>
        <w:pStyle w:val="FootnoteText"/>
        <w:rPr>
          <w:rFonts w:ascii="Times New Roman" w:hAnsi="Times New Roman"/>
          <w:sz w:val="20"/>
        </w:rPr>
      </w:pPr>
      <w:r w:rsidRPr="006A541D">
        <w:rPr>
          <w:rStyle w:val="FootnoteReference"/>
          <w:rFonts w:ascii="Times New Roman" w:hAnsi="Times New Roman"/>
          <w:sz w:val="20"/>
        </w:rPr>
        <w:footnoteRef/>
      </w:r>
      <w:r w:rsidRPr="006A541D">
        <w:rPr>
          <w:rFonts w:ascii="Times New Roman" w:hAnsi="Times New Roman"/>
          <w:sz w:val="20"/>
        </w:rPr>
        <w:t xml:space="preserve"> 12 CFR Part 351.1(c)</w:t>
      </w:r>
    </w:p>
  </w:footnote>
  <w:footnote w:id="21">
    <w:p w:rsidR="00951D20" w:rsidRPr="006A541D" w:rsidP="003D016B" w14:paraId="19F5AB11" w14:textId="77777777">
      <w:pPr>
        <w:pStyle w:val="FootnoteText"/>
        <w:rPr>
          <w:rFonts w:ascii="Times New Roman" w:hAnsi="Times New Roman"/>
          <w:sz w:val="20"/>
        </w:rPr>
      </w:pPr>
      <w:r w:rsidRPr="006A541D">
        <w:rPr>
          <w:rStyle w:val="FootnoteReference"/>
          <w:rFonts w:ascii="Times New Roman" w:hAnsi="Times New Roman"/>
          <w:sz w:val="20"/>
        </w:rPr>
        <w:footnoteRef/>
      </w:r>
      <w:r w:rsidRPr="006A541D">
        <w:rPr>
          <w:rFonts w:ascii="Times New Roman" w:hAnsi="Times New Roman"/>
          <w:sz w:val="20"/>
        </w:rPr>
        <w:t xml:space="preserve"> 12 CFR Part 351.2(ee). The FDIC may also </w:t>
      </w:r>
      <w:r w:rsidRPr="006A541D">
        <w:rPr>
          <w:rFonts w:ascii="Times New Roman" w:hAnsi="Times New Roman"/>
          <w:sz w:val="20"/>
        </w:rPr>
        <w:t>make a determination</w:t>
      </w:r>
      <w:r w:rsidRPr="006A541D">
        <w:rPr>
          <w:rFonts w:ascii="Times New Roman" w:hAnsi="Times New Roman"/>
          <w:sz w:val="20"/>
        </w:rPr>
        <w:t xml:space="preserve"> that a covered bank that does not meet the $20 billion trading assets and liabilities threshold should be treated as having “significant” trading assets and liabilities.</w:t>
      </w:r>
    </w:p>
  </w:footnote>
  <w:footnote w:id="22">
    <w:p w:rsidR="00951D20" w:rsidRPr="006A541D" w:rsidP="003D016B" w14:paraId="00B064F3" w14:textId="77777777">
      <w:pPr>
        <w:pStyle w:val="FootnoteText"/>
        <w:rPr>
          <w:rFonts w:ascii="Times New Roman" w:hAnsi="Times New Roman"/>
          <w:sz w:val="20"/>
        </w:rPr>
      </w:pPr>
      <w:r w:rsidRPr="006A541D">
        <w:rPr>
          <w:rStyle w:val="FootnoteReference"/>
          <w:rFonts w:ascii="Times New Roman" w:hAnsi="Times New Roman"/>
          <w:sz w:val="20"/>
        </w:rPr>
        <w:footnoteRef/>
      </w:r>
      <w:r w:rsidRPr="006A541D">
        <w:rPr>
          <w:rFonts w:ascii="Times New Roman" w:hAnsi="Times New Roman"/>
          <w:sz w:val="20"/>
        </w:rPr>
        <w:t xml:space="preserve"> 12 CFR Part 351.2(u) and 12 CFR Part 351.2(s). </w:t>
      </w:r>
    </w:p>
  </w:footnote>
  <w:footnote w:id="23">
    <w:p w:rsidR="00951D20" w:rsidRPr="006A541D" w:rsidP="003D016B" w14:paraId="0A1D737B" w14:textId="77777777">
      <w:pPr>
        <w:pStyle w:val="FootnoteText"/>
        <w:rPr>
          <w:rFonts w:ascii="Times New Roman" w:hAnsi="Times New Roman"/>
          <w:sz w:val="20"/>
        </w:rPr>
      </w:pPr>
      <w:r w:rsidRPr="006A541D">
        <w:rPr>
          <w:rStyle w:val="FootnoteReference"/>
          <w:rFonts w:ascii="Times New Roman" w:hAnsi="Times New Roman"/>
          <w:sz w:val="20"/>
        </w:rPr>
        <w:footnoteRef/>
      </w:r>
      <w:r w:rsidRPr="006A541D">
        <w:rPr>
          <w:rFonts w:ascii="Times New Roman" w:hAnsi="Times New Roman"/>
          <w:sz w:val="20"/>
        </w:rPr>
        <w:t xml:space="preserve"> 12 CFR Part 351.2(s)</w:t>
      </w:r>
    </w:p>
  </w:footnote>
  <w:footnote w:id="24">
    <w:p w:rsidR="00951D20" w:rsidRPr="006A541D" w:rsidP="003D016B" w14:paraId="26E3E7D0" w14:textId="77777777">
      <w:pPr>
        <w:pStyle w:val="FootnoteText"/>
        <w:rPr>
          <w:rFonts w:ascii="Times New Roman" w:hAnsi="Times New Roman"/>
          <w:sz w:val="20"/>
        </w:rPr>
      </w:pPr>
      <w:r w:rsidRPr="006A541D">
        <w:rPr>
          <w:rStyle w:val="FootnoteReference"/>
          <w:rFonts w:ascii="Times New Roman" w:hAnsi="Times New Roman"/>
          <w:sz w:val="20"/>
        </w:rPr>
        <w:footnoteRef/>
      </w:r>
      <w:r w:rsidRPr="006A541D">
        <w:rPr>
          <w:rFonts w:ascii="Times New Roman" w:hAnsi="Times New Roman"/>
          <w:sz w:val="20"/>
        </w:rPr>
        <w:t xml:space="preserve"> 12 CFR Part 351.20(g)(1)</w:t>
      </w:r>
    </w:p>
  </w:footnote>
  <w:footnote w:id="25">
    <w:p w:rsidR="00951D20" w:rsidRPr="006A541D" w:rsidP="003D016B" w14:paraId="1040E966" w14:textId="77777777">
      <w:pPr>
        <w:pStyle w:val="FootnoteText"/>
        <w:rPr>
          <w:rFonts w:ascii="Times New Roman" w:hAnsi="Times New Roman"/>
          <w:sz w:val="20"/>
        </w:rPr>
      </w:pPr>
      <w:r w:rsidRPr="006A541D">
        <w:rPr>
          <w:rStyle w:val="FootnoteReference"/>
          <w:rFonts w:ascii="Times New Roman" w:hAnsi="Times New Roman"/>
          <w:sz w:val="20"/>
        </w:rPr>
        <w:footnoteRef/>
      </w:r>
      <w:r w:rsidRPr="006A541D">
        <w:rPr>
          <w:rFonts w:ascii="Times New Roman" w:hAnsi="Times New Roman"/>
          <w:sz w:val="20"/>
        </w:rPr>
        <w:t xml:space="preserve"> 12 CFR Part 351.20(g)(2)</w:t>
      </w:r>
    </w:p>
  </w:footnote>
  <w:footnote w:id="26">
    <w:p w:rsidR="00951D20" w:rsidRPr="006A541D" w:rsidP="003D016B" w14:paraId="2546AD2F" w14:textId="77777777">
      <w:pPr>
        <w:pStyle w:val="FootnoteText"/>
        <w:rPr>
          <w:rFonts w:ascii="Times New Roman" w:hAnsi="Times New Roman"/>
          <w:sz w:val="20"/>
        </w:rPr>
      </w:pPr>
      <w:r w:rsidRPr="006A541D">
        <w:rPr>
          <w:rStyle w:val="FootnoteReference"/>
          <w:rFonts w:ascii="Times New Roman" w:hAnsi="Times New Roman"/>
          <w:sz w:val="20"/>
        </w:rPr>
        <w:footnoteRef/>
      </w:r>
      <w:r w:rsidRPr="006A541D">
        <w:rPr>
          <w:rFonts w:ascii="Times New Roman" w:hAnsi="Times New Roman"/>
          <w:sz w:val="20"/>
        </w:rPr>
        <w:t xml:space="preserve"> The SBA defines a small banking organization as having $850 million or less in assets, where an </w:t>
      </w:r>
      <w:r w:rsidRPr="006A541D">
        <w:rPr>
          <w:rFonts w:ascii="Times New Roman" w:hAnsi="Times New Roman"/>
          <w:sz w:val="20"/>
        </w:rPr>
        <w:t>organization's ''</w:t>
      </w:r>
      <w:r w:rsidRPr="006A541D">
        <w:rPr>
          <w:rFonts w:ascii="Times New Roman" w:hAnsi="Times New Roman"/>
          <w:sz w:val="20"/>
        </w:rPr>
        <w:t xml:space="preserve">assets are determined by averaging the assets reported on its four quarterly financial statements for the preceding </w:t>
      </w:r>
      <w:r w:rsidRPr="006A541D">
        <w:rPr>
          <w:rFonts w:ascii="Times New Roman" w:hAnsi="Times New Roman"/>
          <w:sz w:val="20"/>
        </w:rPr>
        <w:t>year.'</w:t>
      </w:r>
      <w:r w:rsidRPr="006A541D">
        <w:rPr>
          <w:rFonts w:ascii="Times New Roman" w:hAnsi="Times New Roman"/>
          <w:sz w:val="20"/>
        </w:rPr>
        <w:t xml:space="preserve">' See 13 CFR 121.201 (as amended by 87 FR 69118, effective December 19, 2022). In its determination, </w:t>
      </w:r>
      <w:r w:rsidRPr="006A541D">
        <w:rPr>
          <w:rFonts w:ascii="Times New Roman" w:hAnsi="Times New Roman"/>
          <w:sz w:val="20"/>
        </w:rPr>
        <w:t>the ''</w:t>
      </w:r>
      <w:r w:rsidRPr="006A541D">
        <w:rPr>
          <w:rFonts w:ascii="Times New Roman" w:hAnsi="Times New Roman"/>
          <w:sz w:val="20"/>
        </w:rPr>
        <w:t xml:space="preserve">SBA counts the receipts, employees, or other measure of size of the concern whose size is at issue and </w:t>
      </w:r>
      <w:r w:rsidRPr="006A541D">
        <w:rPr>
          <w:rFonts w:ascii="Times New Roman" w:hAnsi="Times New Roman"/>
          <w:sz w:val="20"/>
        </w:rPr>
        <w:t>all of</w:t>
      </w:r>
      <w:r w:rsidRPr="006A541D">
        <w:rPr>
          <w:rFonts w:ascii="Times New Roman" w:hAnsi="Times New Roman"/>
          <w:sz w:val="20"/>
        </w:rPr>
        <w:t xml:space="preserve"> its domestic and foreign </w:t>
      </w:r>
      <w:r w:rsidRPr="006A541D">
        <w:rPr>
          <w:rFonts w:ascii="Times New Roman" w:hAnsi="Times New Roman"/>
          <w:sz w:val="20"/>
        </w:rPr>
        <w:t>affiliates.'</w:t>
      </w:r>
      <w:r w:rsidRPr="006A541D">
        <w:rPr>
          <w:rFonts w:ascii="Times New Roman" w:hAnsi="Times New Roman"/>
          <w:sz w:val="20"/>
        </w:rPr>
        <w:t xml:space="preserve">' See 13 CFR 121.103. </w:t>
      </w:r>
      <w:r w:rsidRPr="006A541D">
        <w:rPr>
          <w:rFonts w:ascii="Times New Roman" w:hAnsi="Times New Roman"/>
          <w:sz w:val="20"/>
        </w:rPr>
        <w:t xml:space="preserve">Following these regulations, the FDIC uses an insured depository institution's affiliated and acquired assets, averaged over the preceding four quarters, to determine whether the insured depository institution </w:t>
      </w:r>
      <w:r w:rsidRPr="006A541D">
        <w:rPr>
          <w:rFonts w:ascii="Times New Roman" w:hAnsi="Times New Roman"/>
          <w:sz w:val="20"/>
        </w:rPr>
        <w:t>is ''small''</w:t>
      </w:r>
      <w:r w:rsidRPr="006A541D">
        <w:rPr>
          <w:rFonts w:ascii="Times New Roman" w:hAnsi="Times New Roman"/>
          <w:sz w:val="20"/>
        </w:rPr>
        <w:t xml:space="preserve"> for the purposes of RFA.</w:t>
      </w:r>
    </w:p>
  </w:footnote>
  <w:footnote w:id="27">
    <w:p w:rsidR="00951D20" w:rsidRPr="006A541D" w:rsidP="003D016B" w14:paraId="236EABF8" w14:textId="77777777">
      <w:pPr>
        <w:pStyle w:val="FootnoteText"/>
        <w:rPr>
          <w:rFonts w:ascii="Times New Roman" w:hAnsi="Times New Roman"/>
          <w:sz w:val="20"/>
        </w:rPr>
      </w:pPr>
      <w:r w:rsidRPr="006A541D">
        <w:rPr>
          <w:rStyle w:val="FootnoteReference"/>
          <w:rFonts w:ascii="Times New Roman" w:hAnsi="Times New Roman"/>
          <w:sz w:val="20"/>
        </w:rPr>
        <w:footnoteRef/>
      </w:r>
      <w:r w:rsidRPr="006A541D">
        <w:rPr>
          <w:rFonts w:ascii="Times New Roman" w:hAnsi="Times New Roman"/>
          <w:sz w:val="20"/>
        </w:rPr>
        <w:t xml:space="preserve"> See </w:t>
      </w:r>
      <w:hyperlink r:id="rId5" w:history="1">
        <w:r w:rsidRPr="006A541D">
          <w:rPr>
            <w:rStyle w:val="Hyperlink"/>
            <w:rFonts w:ascii="Times New Roman" w:hAnsi="Times New Roman"/>
            <w:sz w:val="20"/>
          </w:rPr>
          <w:t>https://www.reginfo.gov/public/do/PRAViewICR?ref_nbr=202012-7100-005</w:t>
        </w:r>
      </w:hyperlink>
      <w:r w:rsidRPr="006A541D">
        <w:rPr>
          <w:rFonts w:ascii="Times New Roman" w:hAnsi="Times New Roman"/>
          <w:sz w:val="20"/>
        </w:rPr>
        <w:t xml:space="preserve"> </w:t>
      </w:r>
    </w:p>
  </w:footnote>
  <w:footnote w:id="28">
    <w:p w:rsidR="00951D20" w:rsidRPr="006A541D" w:rsidP="003D016B" w14:paraId="67C81AA7" w14:textId="77777777">
      <w:pPr>
        <w:pStyle w:val="FootnoteText"/>
        <w:rPr>
          <w:rFonts w:ascii="Times New Roman" w:hAnsi="Times New Roman"/>
          <w:sz w:val="20"/>
        </w:rPr>
      </w:pPr>
      <w:r w:rsidRPr="006A541D">
        <w:rPr>
          <w:rStyle w:val="FootnoteReference"/>
          <w:rFonts w:ascii="Times New Roman" w:hAnsi="Times New Roman"/>
          <w:sz w:val="20"/>
        </w:rPr>
        <w:footnoteRef/>
      </w:r>
      <w:r w:rsidRPr="006A541D">
        <w:rPr>
          <w:rFonts w:ascii="Times New Roman" w:hAnsi="Times New Roman"/>
          <w:sz w:val="20"/>
        </w:rPr>
        <w:t xml:space="preserve"> See </w:t>
      </w:r>
      <w:hyperlink r:id="rId6" w:history="1">
        <w:r w:rsidRPr="006A541D">
          <w:rPr>
            <w:rStyle w:val="Hyperlink"/>
            <w:rFonts w:ascii="Times New Roman" w:hAnsi="Times New Roman"/>
            <w:sz w:val="20"/>
          </w:rPr>
          <w:t>https://www.reginfo.gov/public/do/PRAViewICR?ref_nbr=202006-1557-003</w:t>
        </w:r>
      </w:hyperlink>
      <w:r w:rsidRPr="006A541D">
        <w:rPr>
          <w:rFonts w:ascii="Times New Roman" w:hAnsi="Times New Roman"/>
          <w:sz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51D20" w14:paraId="42116D9C"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51D20" w14:paraId="655B394C" w14:textId="77777777">
    <w:pPr>
      <w:tabs>
        <w:tab w:val="left" w:pos="-1440"/>
        <w:tab w:val="left" w:pos="-720"/>
        <w:tab w:val="left" w:pos="0"/>
        <w:tab w:val="left" w:pos="432"/>
        <w:tab w:val="left" w:pos="720"/>
        <w:tab w:val="left" w:pos="1008"/>
        <w:tab w:val="left" w:pos="1440"/>
      </w:tabs>
      <w:suppressAutoHyphens/>
      <w:jc w:val="both"/>
    </w:pPr>
    <w:r>
      <w:rPr>
        <w:noProof/>
        <w:snapToGrid/>
      </w:rPr>
      <mc:AlternateContent>
        <mc:Choice Requires="wps">
          <w:drawing>
            <wp:anchor distT="0" distB="0" distL="114300" distR="114300" simplePos="0" relativeHeight="251659264" behindDoc="0" locked="0" layoutInCell="0" allowOverlap="1">
              <wp:simplePos x="0" y="0"/>
              <wp:positionH relativeFrom="page">
                <wp:posOffset>0</wp:posOffset>
              </wp:positionH>
              <wp:positionV relativeFrom="page">
                <wp:posOffset>190500</wp:posOffset>
              </wp:positionV>
              <wp:extent cx="7772400" cy="280670"/>
              <wp:effectExtent l="0" t="0" r="0" b="5080"/>
              <wp:wrapNone/>
              <wp:docPr id="13" name="MSIPCM15634fb2a1e6f54c15f73b7f" descr="{&quot;HashCode&quot;:474619262,&quot;Height&quot;:792.0,&quot;Width&quot;:612.0,&quot;Placement&quot;:&quot;Header&quot;,&quot;Index&quot;:&quot;Primary&quot;,&quot;Section&quot;:1,&quot;Top&quot;:0.0,&quot;Left&quot;:0.0}"/>
              <wp:cNvGraphicFramePr/>
              <a:graphic xmlns:a="http://schemas.openxmlformats.org/drawingml/2006/main">
                <a:graphicData uri="http://schemas.microsoft.com/office/word/2010/wordprocessingShape">
                  <wps:wsp xmlns:wps="http://schemas.microsoft.com/office/word/2010/wordprocessingShape">
                    <wps:cNvSpPr txBox="1"/>
                    <wps:spPr>
                      <a:xfrm>
                        <a:off x="0" y="0"/>
                        <a:ext cx="7772400" cy="28067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C745B4" w:rsidRPr="00C745B4" w:rsidP="00C745B4" w14:textId="77777777">
                          <w:pPr>
                            <w:jc w:val="center"/>
                            <w:rPr>
                              <w:rFonts w:ascii="Source Sans Pro Semibold" w:hAnsi="Source Sans Pro Semibold"/>
                              <w:color w:val="000000"/>
                            </w:rPr>
                          </w:pPr>
                          <w:r w:rsidRPr="00C745B4">
                            <w:rPr>
                              <w:rFonts w:ascii="Source Sans Pro Semibold" w:hAnsi="Source Sans Pro Semibold"/>
                              <w:color w:val="000000"/>
                            </w:rPr>
                            <w:t>NONPUBLIC//</w:t>
                          </w:r>
                          <w:r w:rsidRPr="00C745B4">
                            <w:rPr>
                              <w:rFonts w:ascii="Source Sans Pro Semibold" w:hAnsi="Source Sans Pro Semibold"/>
                              <w:color w:val="000000"/>
                            </w:rPr>
                            <w:t>FDIC INTERNAL ONLY</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wps:bodyPr>
                  </wps:wsp>
                </a:graphicData>
              </a:graphic>
            </wp:anchor>
          </w:drawing>
        </mc:Choice>
        <mc:Fallback>
          <w:pict>
            <v:shapetype id="_x0000_t202" coordsize="21600,21600" o:spt="202" path="m,l,21600r21600,l21600,xe">
              <v:stroke joinstyle="miter"/>
              <v:path gradientshapeok="t" o:connecttype="rect"/>
            </v:shapetype>
            <v:shape id="MSIPCM15634fb2a1e6f54c15f73b7f" o:spid="_x0000_s2049" type="#_x0000_t202" alt="{&quot;HashCode&quot;:474619262,&quot;Height&quot;:792.0,&quot;Width&quot;:612.0,&quot;Placement&quot;:&quot;Header&quot;,&quot;Index&quot;:&quot;Primary&quot;,&quot;Section&quot;:1,&quot;Top&quot;:0.0,&quot;Left&quot;:0.0}" style="width:612pt;height:22.1pt;margin-top:15pt;margin-left:0;mso-position-horizontal-relative:page;mso-position-vertical-relative:page;mso-wrap-distance-bottom:0;mso-wrap-distance-left:9pt;mso-wrap-distance-right:9pt;mso-wrap-distance-top:0;position:absolute;v-text-anchor:top;z-index:251658240" o:allowincell="f" filled="f" fillcolor="this" stroked="f" strokeweight="0.5pt">
              <v:textbox inset=",0,,0">
                <w:txbxContent>
                  <w:p w:rsidR="00C745B4" w:rsidRPr="00C745B4" w:rsidP="00C745B4" w14:paraId="5A663F4D" w14:textId="77777777">
                    <w:pPr>
                      <w:jc w:val="center"/>
                      <w:rPr>
                        <w:rFonts w:ascii="Source Sans Pro Semibold" w:hAnsi="Source Sans Pro Semibold"/>
                        <w:color w:val="000000"/>
                      </w:rPr>
                    </w:pPr>
                    <w:r w:rsidRPr="00C745B4">
                      <w:rPr>
                        <w:rFonts w:ascii="Source Sans Pro Semibold" w:hAnsi="Source Sans Pro Semibold"/>
                        <w:color w:val="000000"/>
                      </w:rPr>
                      <w:t>NONPUBLIC//</w:t>
                    </w:r>
                    <w:r w:rsidRPr="00C745B4">
                      <w:rPr>
                        <w:rFonts w:ascii="Source Sans Pro Semibold" w:hAnsi="Source Sans Pro Semibold"/>
                        <w:color w:val="000000"/>
                      </w:rPr>
                      <w:t>FDIC INTERNAL ONLY</w:t>
                    </w:r>
                  </w:p>
                </w:txbxContent>
              </v:textbox>
            </v:shape>
          </w:pict>
        </mc:Fallback>
      </mc:AlternateContent>
    </w:r>
  </w:p>
  <w:p w:rsidR="00951D20" w14:paraId="77B20FF8" w14:textId="77777777">
    <w:pPr>
      <w:tabs>
        <w:tab w:val="left" w:pos="-1440"/>
        <w:tab w:val="left" w:pos="-720"/>
        <w:tab w:val="left" w:pos="0"/>
        <w:tab w:val="left" w:pos="432"/>
        <w:tab w:val="left" w:pos="720"/>
        <w:tab w:val="left" w:pos="1008"/>
        <w:tab w:val="left" w:pos="1440"/>
      </w:tabs>
      <w:suppressAutoHyphens/>
      <w:spacing w:after="140" w:line="100" w:lineRule="exact"/>
      <w:jc w:val="both"/>
      <w:rPr>
        <w:sz w:val="1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51D20" w14:paraId="010CAD31" w14:textId="77777777">
    <w:pPr>
      <w:pStyle w:val="Header"/>
      <w:jc w:val="right"/>
      <w:rPr>
        <w:rFonts w:ascii="Times New Roman" w:hAnsi="Times New Roman"/>
        <w:color w:val="C0C0C0"/>
      </w:rPr>
    </w:pPr>
    <w:r>
      <w:rPr>
        <w:rFonts w:ascii="Times New Roman" w:hAnsi="Times New Roman"/>
        <w:noProof/>
        <w:snapToGrid/>
        <w:color w:val="C0C0C0"/>
      </w:rPr>
      <mc:AlternateContent>
        <mc:Choice Requires="wps">
          <w:drawing>
            <wp:anchor distT="0" distB="0" distL="114300" distR="114300" simplePos="0" relativeHeight="251661312" behindDoc="0" locked="0" layoutInCell="0" allowOverlap="1">
              <wp:simplePos x="0" y="0"/>
              <wp:positionH relativeFrom="page">
                <wp:posOffset>0</wp:posOffset>
              </wp:positionH>
              <wp:positionV relativeFrom="page">
                <wp:posOffset>190500</wp:posOffset>
              </wp:positionV>
              <wp:extent cx="7772400" cy="280670"/>
              <wp:effectExtent l="0" t="0" r="0" b="5080"/>
              <wp:wrapNone/>
              <wp:docPr id="14" name="MSIPCM76544aff9c9b0ab2354513b9" descr="{&quot;HashCode&quot;:474619262,&quot;Height&quot;:792.0,&quot;Width&quot;:612.0,&quot;Placement&quot;:&quot;Header&quot;,&quot;Index&quot;:&quot;FirstPage&quot;,&quot;Section&quot;:1,&quot;Top&quot;:0.0,&quot;Left&quot;:0.0}"/>
              <wp:cNvGraphicFramePr/>
              <a:graphic xmlns:a="http://schemas.openxmlformats.org/drawingml/2006/main">
                <a:graphicData uri="http://schemas.microsoft.com/office/word/2010/wordprocessingShape">
                  <wps:wsp xmlns:wps="http://schemas.microsoft.com/office/word/2010/wordprocessingShape">
                    <wps:cNvSpPr txBox="1"/>
                    <wps:spPr>
                      <a:xfrm>
                        <a:off x="0" y="0"/>
                        <a:ext cx="7772400" cy="28067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C745B4" w:rsidRPr="00C745B4" w:rsidP="00C745B4" w14:textId="77777777">
                          <w:pPr>
                            <w:jc w:val="center"/>
                            <w:rPr>
                              <w:rFonts w:ascii="Source Sans Pro Semibold" w:hAnsi="Source Sans Pro Semibold"/>
                              <w:color w:val="000000"/>
                            </w:rPr>
                          </w:pPr>
                          <w:r w:rsidRPr="00C745B4">
                            <w:rPr>
                              <w:rFonts w:ascii="Source Sans Pro Semibold" w:hAnsi="Source Sans Pro Semibold"/>
                              <w:color w:val="000000"/>
                            </w:rPr>
                            <w:t>NONPUBLIC//</w:t>
                          </w:r>
                          <w:r w:rsidRPr="00C745B4">
                            <w:rPr>
                              <w:rFonts w:ascii="Source Sans Pro Semibold" w:hAnsi="Source Sans Pro Semibold"/>
                              <w:color w:val="000000"/>
                            </w:rPr>
                            <w:t>FDIC INTERNAL ONLY</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wps:bodyPr>
                  </wps:wsp>
                </a:graphicData>
              </a:graphic>
            </wp:anchor>
          </w:drawing>
        </mc:Choice>
        <mc:Fallback>
          <w:pict>
            <v:shapetype id="_x0000_t202" coordsize="21600,21600" o:spt="202" path="m,l,21600r21600,l21600,xe">
              <v:stroke joinstyle="miter"/>
              <v:path gradientshapeok="t" o:connecttype="rect"/>
            </v:shapetype>
            <v:shape id="MSIPCM76544aff9c9b0ab2354513b9" o:spid="_x0000_s2050" type="#_x0000_t202" alt="{&quot;HashCode&quot;:474619262,&quot;Height&quot;:792.0,&quot;Width&quot;:612.0,&quot;Placement&quot;:&quot;Header&quot;,&quot;Index&quot;:&quot;FirstPage&quot;,&quot;Section&quot;:1,&quot;Top&quot;:0.0,&quot;Left&quot;:0.0}" style="width:612pt;height:22.1pt;margin-top:15pt;margin-left:0;mso-position-horizontal-relative:page;mso-position-vertical-relative:page;mso-wrap-distance-bottom:0;mso-wrap-distance-left:9pt;mso-wrap-distance-right:9pt;mso-wrap-distance-top:0;position:absolute;v-text-anchor:top;z-index:251660288" o:allowincell="f" filled="f" fillcolor="this" stroked="f" strokeweight="0.5pt">
              <v:textbox inset=",0,,0">
                <w:txbxContent>
                  <w:p w:rsidR="00C745B4" w:rsidRPr="00C745B4" w:rsidP="00C745B4" w14:paraId="08AFB4CF" w14:textId="77777777">
                    <w:pPr>
                      <w:jc w:val="center"/>
                      <w:rPr>
                        <w:rFonts w:ascii="Source Sans Pro Semibold" w:hAnsi="Source Sans Pro Semibold"/>
                        <w:color w:val="000000"/>
                      </w:rPr>
                    </w:pPr>
                    <w:r w:rsidRPr="00C745B4">
                      <w:rPr>
                        <w:rFonts w:ascii="Source Sans Pro Semibold" w:hAnsi="Source Sans Pro Semibold"/>
                        <w:color w:val="000000"/>
                      </w:rPr>
                      <w:t>NONPUBLIC//</w:t>
                    </w:r>
                    <w:r w:rsidRPr="00C745B4">
                      <w:rPr>
                        <w:rFonts w:ascii="Source Sans Pro Semibold" w:hAnsi="Source Sans Pro Semibold"/>
                        <w:color w:val="000000"/>
                      </w:rPr>
                      <w:t>FDIC INTERNAL ONLY</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41E1214"/>
    <w:multiLevelType w:val="hybridMultilevel"/>
    <w:tmpl w:val="8A72D766"/>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
    <w:nsid w:val="05DD1FBE"/>
    <w:multiLevelType w:val="multilevel"/>
    <w:tmpl w:val="B5BEEF54"/>
    <w:lvl w:ilvl="0">
      <w:start w:val="1"/>
      <w:numFmt w:val="lowerLetter"/>
      <w:lvlText w:val="(%1)"/>
      <w:lvlJc w:val="left"/>
      <w:pPr>
        <w:ind w:firstLine="720"/>
      </w:pPr>
      <w:rPr>
        <w:rFonts w:cs="Times New Roman" w:hint="default"/>
        <w:b w:val="0"/>
      </w:rPr>
    </w:lvl>
    <w:lvl w:ilvl="1">
      <w:start w:val="1"/>
      <w:numFmt w:val="bullet"/>
      <w:lvlText w:val=""/>
      <w:lvlJc w:val="left"/>
      <w:pPr>
        <w:ind w:firstLine="720"/>
      </w:pPr>
      <w:rPr>
        <w:rFonts w:ascii="Symbol" w:hAnsi="Symbol" w:hint="default"/>
        <w:b w:val="0"/>
      </w:rPr>
    </w:lvl>
    <w:lvl w:ilvl="2">
      <w:start w:val="1"/>
      <w:numFmt w:val="lowerRoman"/>
      <w:lvlText w:val="(%3)"/>
      <w:lvlJc w:val="left"/>
      <w:pPr>
        <w:ind w:firstLine="720"/>
      </w:pPr>
      <w:rPr>
        <w:rFonts w:cs="Times New Roman" w:hint="default"/>
      </w:rPr>
    </w:lvl>
    <w:lvl w:ilvl="3">
      <w:start w:val="1"/>
      <w:numFmt w:val="lowerLetter"/>
      <w:lvlText w:val="(%4)"/>
      <w:lvlJc w:val="left"/>
      <w:pPr>
        <w:ind w:firstLine="720"/>
      </w:pPr>
      <w:rPr>
        <w:rFonts w:ascii="Times New Roman" w:eastAsia="Times New Roman" w:hAnsi="Times New Roman" w:cs="Times New Roman"/>
      </w:rPr>
    </w:lvl>
    <w:lvl w:ilvl="4">
      <w:start w:val="1"/>
      <w:numFmt w:val="decimal"/>
      <w:lvlText w:val="(%5)"/>
      <w:lvlJc w:val="left"/>
      <w:pPr>
        <w:ind w:firstLine="720"/>
      </w:pPr>
      <w:rPr>
        <w:rFonts w:cs="Times New Roman" w:hint="default"/>
        <w:u w:val="none"/>
      </w:rPr>
    </w:lvl>
    <w:lvl w:ilvl="5">
      <w:start w:val="1"/>
      <w:numFmt w:val="lowerRoman"/>
      <w:lvlText w:val="(%6)"/>
      <w:lvlJc w:val="left"/>
      <w:pPr>
        <w:ind w:firstLine="720"/>
      </w:pPr>
      <w:rPr>
        <w:rFonts w:cs="Times New Roman" w:hint="default"/>
        <w:u w:val="words"/>
      </w:rPr>
    </w:lvl>
    <w:lvl w:ilvl="6">
      <w:start w:val="1"/>
      <w:numFmt w:val="decimal"/>
      <w:lvlText w:val="%7."/>
      <w:lvlJc w:val="left"/>
      <w:pPr>
        <w:ind w:firstLine="720"/>
      </w:pPr>
      <w:rPr>
        <w:rFonts w:cs="Times New Roman" w:hint="default"/>
      </w:rPr>
    </w:lvl>
    <w:lvl w:ilvl="7">
      <w:start w:val="1"/>
      <w:numFmt w:val="lowerLetter"/>
      <w:lvlText w:val="%8."/>
      <w:lvlJc w:val="left"/>
      <w:pPr>
        <w:ind w:firstLine="720"/>
      </w:pPr>
      <w:rPr>
        <w:rFonts w:cs="Times New Roman" w:hint="default"/>
      </w:rPr>
    </w:lvl>
    <w:lvl w:ilvl="8">
      <w:start w:val="1"/>
      <w:numFmt w:val="lowerRoman"/>
      <w:lvlText w:val="%9."/>
      <w:lvlJc w:val="right"/>
      <w:pPr>
        <w:ind w:firstLine="720"/>
      </w:pPr>
      <w:rPr>
        <w:rFonts w:cs="Times New Roman" w:hint="default"/>
      </w:rPr>
    </w:lvl>
  </w:abstractNum>
  <w:abstractNum w:abstractNumId="2">
    <w:nsid w:val="0895781E"/>
    <w:multiLevelType w:val="hybridMultilevel"/>
    <w:tmpl w:val="EBFEEEEC"/>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360"/>
        </w:tabs>
        <w:ind w:left="360" w:hanging="360"/>
      </w:pPr>
      <w:rPr>
        <w:rFonts w:ascii="Courier New" w:hAnsi="Courier New" w:cs="Courier New" w:hint="default"/>
      </w:rPr>
    </w:lvl>
    <w:lvl w:ilvl="2" w:tentative="1">
      <w:start w:val="1"/>
      <w:numFmt w:val="bullet"/>
      <w:lvlText w:val=""/>
      <w:lvlJc w:val="left"/>
      <w:pPr>
        <w:tabs>
          <w:tab w:val="num" w:pos="1080"/>
        </w:tabs>
        <w:ind w:left="1080" w:hanging="360"/>
      </w:pPr>
      <w:rPr>
        <w:rFonts w:ascii="Wingdings" w:hAnsi="Wingdings" w:hint="default"/>
      </w:rPr>
    </w:lvl>
    <w:lvl w:ilvl="3" w:tentative="1">
      <w:start w:val="1"/>
      <w:numFmt w:val="bullet"/>
      <w:lvlText w:val=""/>
      <w:lvlJc w:val="left"/>
      <w:pPr>
        <w:tabs>
          <w:tab w:val="num" w:pos="1800"/>
        </w:tabs>
        <w:ind w:left="1800" w:hanging="360"/>
      </w:pPr>
      <w:rPr>
        <w:rFonts w:ascii="Symbol" w:hAnsi="Symbol" w:hint="default"/>
      </w:rPr>
    </w:lvl>
    <w:lvl w:ilvl="4" w:tentative="1">
      <w:start w:val="1"/>
      <w:numFmt w:val="bullet"/>
      <w:lvlText w:val="o"/>
      <w:lvlJc w:val="left"/>
      <w:pPr>
        <w:tabs>
          <w:tab w:val="num" w:pos="2520"/>
        </w:tabs>
        <w:ind w:left="2520" w:hanging="360"/>
      </w:pPr>
      <w:rPr>
        <w:rFonts w:ascii="Courier New" w:hAnsi="Courier New" w:cs="Courier New" w:hint="default"/>
      </w:rPr>
    </w:lvl>
    <w:lvl w:ilvl="5" w:tentative="1">
      <w:start w:val="1"/>
      <w:numFmt w:val="bullet"/>
      <w:lvlText w:val=""/>
      <w:lvlJc w:val="left"/>
      <w:pPr>
        <w:tabs>
          <w:tab w:val="num" w:pos="3240"/>
        </w:tabs>
        <w:ind w:left="3240" w:hanging="360"/>
      </w:pPr>
      <w:rPr>
        <w:rFonts w:ascii="Wingdings" w:hAnsi="Wingdings" w:hint="default"/>
      </w:rPr>
    </w:lvl>
    <w:lvl w:ilvl="6" w:tentative="1">
      <w:start w:val="1"/>
      <w:numFmt w:val="bullet"/>
      <w:lvlText w:val=""/>
      <w:lvlJc w:val="left"/>
      <w:pPr>
        <w:tabs>
          <w:tab w:val="num" w:pos="3960"/>
        </w:tabs>
        <w:ind w:left="3960" w:hanging="360"/>
      </w:pPr>
      <w:rPr>
        <w:rFonts w:ascii="Symbol" w:hAnsi="Symbol" w:hint="default"/>
      </w:rPr>
    </w:lvl>
    <w:lvl w:ilvl="7" w:tentative="1">
      <w:start w:val="1"/>
      <w:numFmt w:val="bullet"/>
      <w:lvlText w:val="o"/>
      <w:lvlJc w:val="left"/>
      <w:pPr>
        <w:tabs>
          <w:tab w:val="num" w:pos="4680"/>
        </w:tabs>
        <w:ind w:left="4680" w:hanging="360"/>
      </w:pPr>
      <w:rPr>
        <w:rFonts w:ascii="Courier New" w:hAnsi="Courier New" w:cs="Courier New" w:hint="default"/>
      </w:rPr>
    </w:lvl>
    <w:lvl w:ilvl="8" w:tentative="1">
      <w:start w:val="1"/>
      <w:numFmt w:val="bullet"/>
      <w:lvlText w:val=""/>
      <w:lvlJc w:val="left"/>
      <w:pPr>
        <w:tabs>
          <w:tab w:val="num" w:pos="5400"/>
        </w:tabs>
        <w:ind w:left="5400" w:hanging="360"/>
      </w:pPr>
      <w:rPr>
        <w:rFonts w:ascii="Wingdings" w:hAnsi="Wingdings" w:hint="default"/>
      </w:rPr>
    </w:lvl>
  </w:abstractNum>
  <w:abstractNum w:abstractNumId="3">
    <w:nsid w:val="09135771"/>
    <w:multiLevelType w:val="singleLevel"/>
    <w:tmpl w:val="2EDC24D0"/>
    <w:lvl w:ilvl="0">
      <w:start w:val="1"/>
      <w:numFmt w:val="bullet"/>
      <w:lvlText w:val=""/>
      <w:lvlJc w:val="left"/>
      <w:pPr>
        <w:tabs>
          <w:tab w:val="num" w:pos="504"/>
        </w:tabs>
        <w:ind w:left="504" w:hanging="504"/>
      </w:pPr>
      <w:rPr>
        <w:rFonts w:ascii="Symbol" w:hAnsi="Symbol" w:hint="default"/>
      </w:rPr>
    </w:lvl>
  </w:abstractNum>
  <w:abstractNum w:abstractNumId="4">
    <w:nsid w:val="0B5F68A4"/>
    <w:multiLevelType w:val="multilevel"/>
    <w:tmpl w:val="25D498EC"/>
    <w:lvl w:ilvl="0">
      <w:start w:val="1"/>
      <w:numFmt w:val="lowerLetter"/>
      <w:lvlText w:val="(%1)"/>
      <w:lvlJc w:val="left"/>
      <w:pPr>
        <w:ind w:firstLine="720"/>
      </w:pPr>
      <w:rPr>
        <w:rFonts w:cs="Times New Roman" w:hint="default"/>
        <w:b w:val="0"/>
      </w:rPr>
    </w:lvl>
    <w:lvl w:ilvl="1">
      <w:start w:val="1"/>
      <w:numFmt w:val="decimal"/>
      <w:lvlText w:val="(%2)"/>
      <w:lvlJc w:val="left"/>
      <w:pPr>
        <w:ind w:firstLine="720"/>
      </w:pPr>
      <w:rPr>
        <w:rFonts w:cs="Times New Roman" w:hint="default"/>
        <w:b w:val="0"/>
      </w:rPr>
    </w:lvl>
    <w:lvl w:ilvl="2">
      <w:start w:val="1"/>
      <w:numFmt w:val="lowerRoman"/>
      <w:lvlText w:val="(%3)"/>
      <w:lvlJc w:val="left"/>
      <w:pPr>
        <w:ind w:firstLine="720"/>
      </w:pPr>
      <w:rPr>
        <w:rFonts w:cs="Times New Roman" w:hint="default"/>
      </w:rPr>
    </w:lvl>
    <w:lvl w:ilvl="3">
      <w:start w:val="1"/>
      <w:numFmt w:val="lowerLetter"/>
      <w:lvlText w:val="(%4)"/>
      <w:lvlJc w:val="left"/>
      <w:pPr>
        <w:ind w:firstLine="720"/>
      </w:pPr>
      <w:rPr>
        <w:rFonts w:ascii="Times New Roman" w:eastAsia="Times New Roman" w:hAnsi="Times New Roman" w:cs="Times New Roman"/>
      </w:rPr>
    </w:lvl>
    <w:lvl w:ilvl="4">
      <w:start w:val="1"/>
      <w:numFmt w:val="decimal"/>
      <w:lvlText w:val="(%5)"/>
      <w:lvlJc w:val="left"/>
      <w:pPr>
        <w:ind w:firstLine="720"/>
      </w:pPr>
      <w:rPr>
        <w:rFonts w:cs="Times New Roman" w:hint="default"/>
        <w:u w:val="words"/>
      </w:rPr>
    </w:lvl>
    <w:lvl w:ilvl="5">
      <w:start w:val="1"/>
      <w:numFmt w:val="lowerRoman"/>
      <w:lvlText w:val="(%6)"/>
      <w:lvlJc w:val="left"/>
      <w:pPr>
        <w:ind w:firstLine="720"/>
      </w:pPr>
      <w:rPr>
        <w:rFonts w:cs="Times New Roman" w:hint="default"/>
        <w:u w:val="words"/>
      </w:rPr>
    </w:lvl>
    <w:lvl w:ilvl="6">
      <w:start w:val="1"/>
      <w:numFmt w:val="decimal"/>
      <w:lvlText w:val="%7."/>
      <w:lvlJc w:val="left"/>
      <w:pPr>
        <w:ind w:firstLine="720"/>
      </w:pPr>
      <w:rPr>
        <w:rFonts w:cs="Times New Roman" w:hint="default"/>
      </w:rPr>
    </w:lvl>
    <w:lvl w:ilvl="7">
      <w:start w:val="1"/>
      <w:numFmt w:val="lowerLetter"/>
      <w:lvlText w:val="%8."/>
      <w:lvlJc w:val="left"/>
      <w:pPr>
        <w:ind w:firstLine="720"/>
      </w:pPr>
      <w:rPr>
        <w:rFonts w:cs="Times New Roman" w:hint="default"/>
      </w:rPr>
    </w:lvl>
    <w:lvl w:ilvl="8">
      <w:start w:val="1"/>
      <w:numFmt w:val="lowerRoman"/>
      <w:lvlText w:val="%9."/>
      <w:lvlJc w:val="right"/>
      <w:pPr>
        <w:ind w:firstLine="720"/>
      </w:pPr>
      <w:rPr>
        <w:rFonts w:cs="Times New Roman" w:hint="default"/>
      </w:rPr>
    </w:lvl>
  </w:abstractNum>
  <w:abstractNum w:abstractNumId="5">
    <w:nsid w:val="0C8A446B"/>
    <w:multiLevelType w:val="singleLevel"/>
    <w:tmpl w:val="BE36AEE0"/>
    <w:lvl w:ilvl="0">
      <w:start w:val="1"/>
      <w:numFmt w:val="decimal"/>
      <w:lvlText w:val="(%1)"/>
      <w:lvlJc w:val="left"/>
      <w:pPr>
        <w:tabs>
          <w:tab w:val="num" w:pos="504"/>
        </w:tabs>
        <w:ind w:left="504" w:hanging="504"/>
      </w:pPr>
    </w:lvl>
  </w:abstractNum>
  <w:abstractNum w:abstractNumId="6">
    <w:nsid w:val="0EEC32D9"/>
    <w:multiLevelType w:val="multilevel"/>
    <w:tmpl w:val="7D3E5264"/>
    <w:lvl w:ilvl="0">
      <w:start w:val="1"/>
      <w:numFmt w:val="lowerLetter"/>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nsid w:val="0FCE0069"/>
    <w:multiLevelType w:val="hybridMultilevel"/>
    <w:tmpl w:val="76200D6A"/>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8">
    <w:nsid w:val="116D4231"/>
    <w:multiLevelType w:val="singleLevel"/>
    <w:tmpl w:val="BE36AEE0"/>
    <w:lvl w:ilvl="0">
      <w:start w:val="1"/>
      <w:numFmt w:val="decimal"/>
      <w:lvlText w:val="(%1)"/>
      <w:lvlJc w:val="left"/>
      <w:pPr>
        <w:tabs>
          <w:tab w:val="num" w:pos="504"/>
        </w:tabs>
        <w:ind w:left="504" w:hanging="504"/>
      </w:pPr>
    </w:lvl>
  </w:abstractNum>
  <w:abstractNum w:abstractNumId="9">
    <w:nsid w:val="11B051B3"/>
    <w:multiLevelType w:val="singleLevel"/>
    <w:tmpl w:val="223231D2"/>
    <w:lvl w:ilvl="0">
      <w:start w:val="1"/>
      <w:numFmt w:val="bullet"/>
      <w:lvlText w:val=""/>
      <w:lvlJc w:val="left"/>
      <w:pPr>
        <w:tabs>
          <w:tab w:val="num" w:pos="504"/>
        </w:tabs>
        <w:ind w:left="504" w:hanging="504"/>
      </w:pPr>
      <w:rPr>
        <w:rFonts w:ascii="Symbol" w:hAnsi="Symbol" w:hint="default"/>
      </w:rPr>
    </w:lvl>
  </w:abstractNum>
  <w:abstractNum w:abstractNumId="10">
    <w:nsid w:val="16FD1EBA"/>
    <w:multiLevelType w:val="singleLevel"/>
    <w:tmpl w:val="F82C3C94"/>
    <w:lvl w:ilvl="0">
      <w:start w:val="1"/>
      <w:numFmt w:val="decimal"/>
      <w:lvlText w:val="(%1)"/>
      <w:lvlJc w:val="left"/>
      <w:pPr>
        <w:tabs>
          <w:tab w:val="num" w:pos="1125"/>
        </w:tabs>
        <w:ind w:left="1125" w:hanging="405"/>
      </w:pPr>
      <w:rPr>
        <w:rFonts w:hint="default"/>
      </w:rPr>
    </w:lvl>
  </w:abstractNum>
  <w:abstractNum w:abstractNumId="11">
    <w:nsid w:val="19D23C1A"/>
    <w:multiLevelType w:val="hybridMultilevel"/>
    <w:tmpl w:val="0618344E"/>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2">
    <w:nsid w:val="1D0C043A"/>
    <w:multiLevelType w:val="hybridMultilevel"/>
    <w:tmpl w:val="98046F68"/>
    <w:lvl w:ilvl="0">
      <w:start w:val="1"/>
      <w:numFmt w:val="upperLetter"/>
      <w:lvlText w:val="(%1)"/>
      <w:lvlJc w:val="left"/>
      <w:pPr>
        <w:ind w:left="864" w:hanging="432"/>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208C44B7"/>
    <w:multiLevelType w:val="singleLevel"/>
    <w:tmpl w:val="C64A8546"/>
    <w:lvl w:ilvl="0">
      <w:start w:val="1"/>
      <w:numFmt w:val="bullet"/>
      <w:lvlText w:val=""/>
      <w:lvlJc w:val="left"/>
      <w:pPr>
        <w:tabs>
          <w:tab w:val="num" w:pos="360"/>
        </w:tabs>
        <w:ind w:left="360" w:hanging="360"/>
      </w:pPr>
      <w:rPr>
        <w:rFonts w:ascii="Symbol" w:hAnsi="Symbol" w:hint="default"/>
        <w:b w:val="0"/>
        <w:i w:val="0"/>
        <w:sz w:val="20"/>
      </w:rPr>
    </w:lvl>
  </w:abstractNum>
  <w:abstractNum w:abstractNumId="14">
    <w:nsid w:val="231F0EB6"/>
    <w:multiLevelType w:val="singleLevel"/>
    <w:tmpl w:val="BE36AEE0"/>
    <w:lvl w:ilvl="0">
      <w:start w:val="1"/>
      <w:numFmt w:val="decimal"/>
      <w:lvlText w:val="(%1)"/>
      <w:lvlJc w:val="left"/>
      <w:pPr>
        <w:tabs>
          <w:tab w:val="num" w:pos="504"/>
        </w:tabs>
        <w:ind w:left="504" w:hanging="504"/>
      </w:pPr>
    </w:lvl>
  </w:abstractNum>
  <w:abstractNum w:abstractNumId="15">
    <w:nsid w:val="24BA1AE0"/>
    <w:multiLevelType w:val="singleLevel"/>
    <w:tmpl w:val="EFF67184"/>
    <w:lvl w:ilvl="0">
      <w:start w:val="1"/>
      <w:numFmt w:val="bullet"/>
      <w:lvlText w:val=""/>
      <w:lvlJc w:val="left"/>
      <w:pPr>
        <w:tabs>
          <w:tab w:val="num" w:pos="360"/>
        </w:tabs>
        <w:ind w:left="360" w:hanging="360"/>
      </w:pPr>
      <w:rPr>
        <w:rFonts w:ascii="Symbol" w:hAnsi="Symbol" w:hint="default"/>
        <w:sz w:val="28"/>
      </w:rPr>
    </w:lvl>
  </w:abstractNum>
  <w:abstractNum w:abstractNumId="16">
    <w:nsid w:val="299F7114"/>
    <w:multiLevelType w:val="hybridMultilevel"/>
    <w:tmpl w:val="7B6C64C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nsid w:val="2D56715B"/>
    <w:multiLevelType w:val="singleLevel"/>
    <w:tmpl w:val="E0B07378"/>
    <w:lvl w:ilvl="0">
      <w:start w:val="1"/>
      <w:numFmt w:val="bullet"/>
      <w:lvlText w:val=""/>
      <w:lvlJc w:val="left"/>
      <w:pPr>
        <w:tabs>
          <w:tab w:val="num" w:pos="360"/>
        </w:tabs>
        <w:ind w:left="360" w:hanging="360"/>
      </w:pPr>
      <w:rPr>
        <w:rFonts w:ascii="Symbol" w:hAnsi="Symbol" w:hint="default"/>
      </w:rPr>
    </w:lvl>
  </w:abstractNum>
  <w:abstractNum w:abstractNumId="18">
    <w:nsid w:val="386F2FC1"/>
    <w:multiLevelType w:val="multilevel"/>
    <w:tmpl w:val="EA10FB82"/>
    <w:lvl w:ilvl="0">
      <w:start w:val="1"/>
      <w:numFmt w:val="lowerLetter"/>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nsid w:val="3A6027F1"/>
    <w:multiLevelType w:val="singleLevel"/>
    <w:tmpl w:val="04090019"/>
    <w:lvl w:ilvl="0">
      <w:start w:val="1"/>
      <w:numFmt w:val="lowerLetter"/>
      <w:lvlText w:val="(%1)"/>
      <w:lvlJc w:val="left"/>
      <w:pPr>
        <w:tabs>
          <w:tab w:val="num" w:pos="360"/>
        </w:tabs>
        <w:ind w:left="360" w:hanging="360"/>
      </w:pPr>
      <w:rPr>
        <w:rFonts w:hint="default"/>
      </w:rPr>
    </w:lvl>
  </w:abstractNum>
  <w:abstractNum w:abstractNumId="20">
    <w:nsid w:val="3F35131D"/>
    <w:multiLevelType w:val="hybridMultilevel"/>
    <w:tmpl w:val="CBBCA072"/>
    <w:lvl w:ilvl="0">
      <w:start w:val="1"/>
      <w:numFmt w:val="bullet"/>
      <w:lvlText w:val=""/>
      <w:lvlJc w:val="left"/>
      <w:pPr>
        <w:tabs>
          <w:tab w:val="num" w:pos="360"/>
        </w:tabs>
        <w:ind w:left="360" w:hanging="360"/>
      </w:pPr>
      <w:rPr>
        <w:rFonts w:ascii="Wingdings" w:hAnsi="Wingdings" w:hint="default"/>
      </w:rPr>
    </w:lvl>
    <w:lvl w:ilvl="1" w:tentative="1">
      <w:start w:val="1"/>
      <w:numFmt w:val="bullet"/>
      <w:lvlText w:val="o"/>
      <w:lvlJc w:val="left"/>
      <w:pPr>
        <w:tabs>
          <w:tab w:val="num" w:pos="360"/>
        </w:tabs>
        <w:ind w:left="360" w:hanging="360"/>
      </w:pPr>
      <w:rPr>
        <w:rFonts w:ascii="Courier New" w:hAnsi="Courier New" w:cs="Courier New" w:hint="default"/>
      </w:rPr>
    </w:lvl>
    <w:lvl w:ilvl="2" w:tentative="1">
      <w:start w:val="1"/>
      <w:numFmt w:val="bullet"/>
      <w:lvlText w:val=""/>
      <w:lvlJc w:val="left"/>
      <w:pPr>
        <w:tabs>
          <w:tab w:val="num" w:pos="1080"/>
        </w:tabs>
        <w:ind w:left="1080" w:hanging="360"/>
      </w:pPr>
      <w:rPr>
        <w:rFonts w:ascii="Wingdings" w:hAnsi="Wingdings" w:hint="default"/>
      </w:rPr>
    </w:lvl>
    <w:lvl w:ilvl="3" w:tentative="1">
      <w:start w:val="1"/>
      <w:numFmt w:val="bullet"/>
      <w:lvlText w:val=""/>
      <w:lvlJc w:val="left"/>
      <w:pPr>
        <w:tabs>
          <w:tab w:val="num" w:pos="1800"/>
        </w:tabs>
        <w:ind w:left="1800" w:hanging="360"/>
      </w:pPr>
      <w:rPr>
        <w:rFonts w:ascii="Symbol" w:hAnsi="Symbol" w:hint="default"/>
      </w:rPr>
    </w:lvl>
    <w:lvl w:ilvl="4" w:tentative="1">
      <w:start w:val="1"/>
      <w:numFmt w:val="bullet"/>
      <w:lvlText w:val="o"/>
      <w:lvlJc w:val="left"/>
      <w:pPr>
        <w:tabs>
          <w:tab w:val="num" w:pos="2520"/>
        </w:tabs>
        <w:ind w:left="2520" w:hanging="360"/>
      </w:pPr>
      <w:rPr>
        <w:rFonts w:ascii="Courier New" w:hAnsi="Courier New" w:cs="Courier New" w:hint="default"/>
      </w:rPr>
    </w:lvl>
    <w:lvl w:ilvl="5" w:tentative="1">
      <w:start w:val="1"/>
      <w:numFmt w:val="bullet"/>
      <w:lvlText w:val=""/>
      <w:lvlJc w:val="left"/>
      <w:pPr>
        <w:tabs>
          <w:tab w:val="num" w:pos="3240"/>
        </w:tabs>
        <w:ind w:left="3240" w:hanging="360"/>
      </w:pPr>
      <w:rPr>
        <w:rFonts w:ascii="Wingdings" w:hAnsi="Wingdings" w:hint="default"/>
      </w:rPr>
    </w:lvl>
    <w:lvl w:ilvl="6" w:tentative="1">
      <w:start w:val="1"/>
      <w:numFmt w:val="bullet"/>
      <w:lvlText w:val=""/>
      <w:lvlJc w:val="left"/>
      <w:pPr>
        <w:tabs>
          <w:tab w:val="num" w:pos="3960"/>
        </w:tabs>
        <w:ind w:left="3960" w:hanging="360"/>
      </w:pPr>
      <w:rPr>
        <w:rFonts w:ascii="Symbol" w:hAnsi="Symbol" w:hint="default"/>
      </w:rPr>
    </w:lvl>
    <w:lvl w:ilvl="7" w:tentative="1">
      <w:start w:val="1"/>
      <w:numFmt w:val="bullet"/>
      <w:lvlText w:val="o"/>
      <w:lvlJc w:val="left"/>
      <w:pPr>
        <w:tabs>
          <w:tab w:val="num" w:pos="4680"/>
        </w:tabs>
        <w:ind w:left="4680" w:hanging="360"/>
      </w:pPr>
      <w:rPr>
        <w:rFonts w:ascii="Courier New" w:hAnsi="Courier New" w:cs="Courier New" w:hint="default"/>
      </w:rPr>
    </w:lvl>
    <w:lvl w:ilvl="8" w:tentative="1">
      <w:start w:val="1"/>
      <w:numFmt w:val="bullet"/>
      <w:lvlText w:val=""/>
      <w:lvlJc w:val="left"/>
      <w:pPr>
        <w:tabs>
          <w:tab w:val="num" w:pos="5400"/>
        </w:tabs>
        <w:ind w:left="5400" w:hanging="360"/>
      </w:pPr>
      <w:rPr>
        <w:rFonts w:ascii="Wingdings" w:hAnsi="Wingdings" w:hint="default"/>
      </w:rPr>
    </w:lvl>
  </w:abstractNum>
  <w:abstractNum w:abstractNumId="21">
    <w:nsid w:val="40F66CA7"/>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nsid w:val="52037703"/>
    <w:multiLevelType w:val="multilevel"/>
    <w:tmpl w:val="CBBCA072"/>
    <w:lvl w:ilvl="0">
      <w:start w:val="1"/>
      <w:numFmt w:val="bullet"/>
      <w:lvlText w:val=""/>
      <w:lvlJc w:val="left"/>
      <w:pPr>
        <w:tabs>
          <w:tab w:val="num" w:pos="360"/>
        </w:tabs>
        <w:ind w:left="360" w:hanging="360"/>
      </w:pPr>
      <w:rPr>
        <w:rFonts w:ascii="Wingdings" w:hAnsi="Wingdings" w:hint="default"/>
      </w:rPr>
    </w:lvl>
    <w:lvl w:ilvl="1">
      <w:start w:val="1"/>
      <w:numFmt w:val="bullet"/>
      <w:lvlText w:val="o"/>
      <w:lvlJc w:val="left"/>
      <w:pPr>
        <w:tabs>
          <w:tab w:val="num" w:pos="360"/>
        </w:tabs>
        <w:ind w:left="360" w:hanging="360"/>
      </w:pPr>
      <w:rPr>
        <w:rFonts w:ascii="Courier New" w:hAnsi="Courier New" w:cs="Courier New"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800"/>
        </w:tabs>
        <w:ind w:left="1800" w:hanging="360"/>
      </w:pPr>
      <w:rPr>
        <w:rFonts w:ascii="Symbol" w:hAnsi="Symbol" w:hint="default"/>
      </w:rPr>
    </w:lvl>
    <w:lvl w:ilvl="4">
      <w:start w:val="1"/>
      <w:numFmt w:val="bullet"/>
      <w:lvlText w:val="o"/>
      <w:lvlJc w:val="left"/>
      <w:pPr>
        <w:tabs>
          <w:tab w:val="num" w:pos="2520"/>
        </w:tabs>
        <w:ind w:left="2520" w:hanging="360"/>
      </w:pPr>
      <w:rPr>
        <w:rFonts w:ascii="Courier New" w:hAnsi="Courier New" w:cs="Courier New" w:hint="default"/>
      </w:rPr>
    </w:lvl>
    <w:lvl w:ilvl="5">
      <w:start w:val="1"/>
      <w:numFmt w:val="bullet"/>
      <w:lvlText w:val=""/>
      <w:lvlJc w:val="left"/>
      <w:pPr>
        <w:tabs>
          <w:tab w:val="num" w:pos="3240"/>
        </w:tabs>
        <w:ind w:left="3240" w:hanging="360"/>
      </w:pPr>
      <w:rPr>
        <w:rFonts w:ascii="Wingdings" w:hAnsi="Wingdings" w:hint="default"/>
      </w:rPr>
    </w:lvl>
    <w:lvl w:ilvl="6">
      <w:start w:val="1"/>
      <w:numFmt w:val="bullet"/>
      <w:lvlText w:val=""/>
      <w:lvlJc w:val="left"/>
      <w:pPr>
        <w:tabs>
          <w:tab w:val="num" w:pos="3960"/>
        </w:tabs>
        <w:ind w:left="3960" w:hanging="360"/>
      </w:pPr>
      <w:rPr>
        <w:rFonts w:ascii="Symbol" w:hAnsi="Symbol" w:hint="default"/>
      </w:rPr>
    </w:lvl>
    <w:lvl w:ilvl="7">
      <w:start w:val="1"/>
      <w:numFmt w:val="bullet"/>
      <w:lvlText w:val="o"/>
      <w:lvlJc w:val="left"/>
      <w:pPr>
        <w:tabs>
          <w:tab w:val="num" w:pos="4680"/>
        </w:tabs>
        <w:ind w:left="4680" w:hanging="360"/>
      </w:pPr>
      <w:rPr>
        <w:rFonts w:ascii="Courier New" w:hAnsi="Courier New" w:cs="Courier New" w:hint="default"/>
      </w:rPr>
    </w:lvl>
    <w:lvl w:ilvl="8">
      <w:start w:val="1"/>
      <w:numFmt w:val="bullet"/>
      <w:lvlText w:val=""/>
      <w:lvlJc w:val="left"/>
      <w:pPr>
        <w:tabs>
          <w:tab w:val="num" w:pos="5400"/>
        </w:tabs>
        <w:ind w:left="5400" w:hanging="360"/>
      </w:pPr>
      <w:rPr>
        <w:rFonts w:ascii="Wingdings" w:hAnsi="Wingdings" w:hint="default"/>
      </w:rPr>
    </w:lvl>
  </w:abstractNum>
  <w:abstractNum w:abstractNumId="23">
    <w:nsid w:val="53C339E8"/>
    <w:multiLevelType w:val="singleLevel"/>
    <w:tmpl w:val="4D261396"/>
    <w:lvl w:ilvl="0">
      <w:start w:val="1"/>
      <w:numFmt w:val="decimal"/>
      <w:lvlText w:val="%1."/>
      <w:lvlJc w:val="left"/>
      <w:pPr>
        <w:tabs>
          <w:tab w:val="num" w:pos="360"/>
        </w:tabs>
        <w:ind w:left="360" w:hanging="360"/>
      </w:pPr>
      <w:rPr>
        <w:rFonts w:hint="default"/>
      </w:rPr>
    </w:lvl>
  </w:abstractNum>
  <w:abstractNum w:abstractNumId="24">
    <w:nsid w:val="542B3EF1"/>
    <w:multiLevelType w:val="singleLevel"/>
    <w:tmpl w:val="B98CB33C"/>
    <w:lvl w:ilvl="0">
      <w:start w:val="1"/>
      <w:numFmt w:val="bullet"/>
      <w:lvlText w:val=""/>
      <w:lvlJc w:val="left"/>
      <w:pPr>
        <w:tabs>
          <w:tab w:val="num" w:pos="1008"/>
        </w:tabs>
        <w:ind w:left="1008" w:hanging="504"/>
      </w:pPr>
      <w:rPr>
        <w:rFonts w:ascii="Symbol" w:hAnsi="Symbol" w:hint="default"/>
      </w:rPr>
    </w:lvl>
  </w:abstractNum>
  <w:abstractNum w:abstractNumId="25">
    <w:nsid w:val="56DF6008"/>
    <w:multiLevelType w:val="singleLevel"/>
    <w:tmpl w:val="0178B63E"/>
    <w:lvl w:ilvl="0">
      <w:start w:val="1"/>
      <w:numFmt w:val="bullet"/>
      <w:lvlText w:val=""/>
      <w:lvlJc w:val="left"/>
      <w:pPr>
        <w:tabs>
          <w:tab w:val="num" w:pos="720"/>
        </w:tabs>
        <w:ind w:left="720" w:hanging="360"/>
      </w:pPr>
      <w:rPr>
        <w:rFonts w:ascii="Symbol" w:hAnsi="Symbol" w:hint="default"/>
      </w:rPr>
    </w:lvl>
  </w:abstractNum>
  <w:abstractNum w:abstractNumId="26">
    <w:nsid w:val="58A91EB4"/>
    <w:multiLevelType w:val="singleLevel"/>
    <w:tmpl w:val="2EDC24D0"/>
    <w:lvl w:ilvl="0">
      <w:start w:val="1"/>
      <w:numFmt w:val="bullet"/>
      <w:lvlText w:val=""/>
      <w:lvlJc w:val="left"/>
      <w:pPr>
        <w:tabs>
          <w:tab w:val="num" w:pos="504"/>
        </w:tabs>
        <w:ind w:left="504" w:hanging="504"/>
      </w:pPr>
      <w:rPr>
        <w:rFonts w:ascii="Symbol" w:hAnsi="Symbol" w:hint="default"/>
      </w:rPr>
    </w:lvl>
  </w:abstractNum>
  <w:abstractNum w:abstractNumId="27">
    <w:nsid w:val="5A582580"/>
    <w:multiLevelType w:val="hybridMultilevel"/>
    <w:tmpl w:val="9600F7DC"/>
    <w:lvl w:ilvl="0">
      <w:start w:val="1"/>
      <w:numFmt w:val="upperLetter"/>
      <w:lvlText w:val="(%1)"/>
      <w:lvlJc w:val="left"/>
      <w:pPr>
        <w:ind w:left="864" w:hanging="432"/>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8">
    <w:nsid w:val="61F52E20"/>
    <w:multiLevelType w:val="singleLevel"/>
    <w:tmpl w:val="FB628842"/>
    <w:lvl w:ilvl="0">
      <w:start w:val="1"/>
      <w:numFmt w:val="bullet"/>
      <w:lvlText w:val=""/>
      <w:lvlJc w:val="left"/>
      <w:pPr>
        <w:tabs>
          <w:tab w:val="num" w:pos="360"/>
        </w:tabs>
        <w:ind w:left="360" w:hanging="360"/>
      </w:pPr>
      <w:rPr>
        <w:rFonts w:ascii="Symbol" w:hAnsi="Symbol" w:hint="default"/>
      </w:rPr>
    </w:lvl>
  </w:abstractNum>
  <w:abstractNum w:abstractNumId="29">
    <w:nsid w:val="622311BD"/>
    <w:multiLevelType w:val="singleLevel"/>
    <w:tmpl w:val="785E5116"/>
    <w:lvl w:ilvl="0">
      <w:start w:val="1"/>
      <w:numFmt w:val="lowerLetter"/>
      <w:lvlText w:val="(%1)"/>
      <w:lvlJc w:val="left"/>
      <w:pPr>
        <w:tabs>
          <w:tab w:val="num" w:pos="504"/>
        </w:tabs>
        <w:ind w:left="504" w:hanging="504"/>
      </w:pPr>
    </w:lvl>
  </w:abstractNum>
  <w:abstractNum w:abstractNumId="30">
    <w:nsid w:val="6271465F"/>
    <w:multiLevelType w:val="singleLevel"/>
    <w:tmpl w:val="5A4A1B5A"/>
    <w:lvl w:ilvl="0">
      <w:start w:val="1"/>
      <w:numFmt w:val="bullet"/>
      <w:lvlText w:val=""/>
      <w:lvlJc w:val="left"/>
      <w:pPr>
        <w:tabs>
          <w:tab w:val="num" w:pos="720"/>
        </w:tabs>
        <w:ind w:left="720" w:hanging="360"/>
      </w:pPr>
      <w:rPr>
        <w:rFonts w:ascii="Symbol" w:hAnsi="Symbol" w:hint="default"/>
        <w:sz w:val="28"/>
      </w:rPr>
    </w:lvl>
  </w:abstractNum>
  <w:abstractNum w:abstractNumId="31">
    <w:nsid w:val="66E53EC7"/>
    <w:multiLevelType w:val="singleLevel"/>
    <w:tmpl w:val="2E9C911A"/>
    <w:lvl w:ilvl="0">
      <w:start w:val="1"/>
      <w:numFmt w:val="bullet"/>
      <w:lvlText w:val=""/>
      <w:lvlJc w:val="left"/>
      <w:pPr>
        <w:tabs>
          <w:tab w:val="num" w:pos="504"/>
        </w:tabs>
        <w:ind w:left="504" w:hanging="504"/>
      </w:pPr>
      <w:rPr>
        <w:rFonts w:ascii="Symbol" w:hAnsi="Symbol" w:hint="default"/>
      </w:rPr>
    </w:lvl>
  </w:abstractNum>
  <w:abstractNum w:abstractNumId="32">
    <w:nsid w:val="696E6EC1"/>
    <w:multiLevelType w:val="singleLevel"/>
    <w:tmpl w:val="996C6E2A"/>
    <w:lvl w:ilvl="0">
      <w:start w:val="1"/>
      <w:numFmt w:val="bullet"/>
      <w:lvlText w:val=""/>
      <w:lvlJc w:val="left"/>
      <w:pPr>
        <w:tabs>
          <w:tab w:val="num" w:pos="720"/>
        </w:tabs>
        <w:ind w:left="720" w:hanging="360"/>
      </w:pPr>
      <w:rPr>
        <w:rFonts w:ascii="Symbol" w:hAnsi="Symbol" w:hint="default"/>
      </w:rPr>
    </w:lvl>
  </w:abstractNum>
  <w:abstractNum w:abstractNumId="33">
    <w:nsid w:val="6BEA395D"/>
    <w:multiLevelType w:val="singleLevel"/>
    <w:tmpl w:val="1486BF14"/>
    <w:lvl w:ilvl="0">
      <w:start w:val="1"/>
      <w:numFmt w:val="decimal"/>
      <w:lvlText w:val="%1."/>
      <w:lvlJc w:val="left"/>
      <w:pPr>
        <w:tabs>
          <w:tab w:val="num" w:pos="360"/>
        </w:tabs>
        <w:ind w:left="360" w:hanging="360"/>
      </w:pPr>
      <w:rPr>
        <w:rFonts w:ascii="Times New Roman" w:hAnsi="Times New Roman" w:hint="default"/>
        <w:b w:val="0"/>
        <w:i w:val="0"/>
        <w:sz w:val="24"/>
        <w:u w:val="none"/>
      </w:rPr>
    </w:lvl>
  </w:abstractNum>
  <w:abstractNum w:abstractNumId="34">
    <w:nsid w:val="6F666DD0"/>
    <w:multiLevelType w:val="singleLevel"/>
    <w:tmpl w:val="AA82C2B2"/>
    <w:lvl w:ilvl="0">
      <w:start w:val="1"/>
      <w:numFmt w:val="bullet"/>
      <w:lvlText w:val=""/>
      <w:lvlJc w:val="left"/>
      <w:pPr>
        <w:tabs>
          <w:tab w:val="num" w:pos="720"/>
        </w:tabs>
        <w:ind w:left="720" w:hanging="360"/>
      </w:pPr>
      <w:rPr>
        <w:rFonts w:ascii="Symbol" w:hAnsi="Symbol" w:hint="default"/>
      </w:rPr>
    </w:lvl>
  </w:abstractNum>
  <w:abstractNum w:abstractNumId="35">
    <w:nsid w:val="714F26CE"/>
    <w:multiLevelType w:val="singleLevel"/>
    <w:tmpl w:val="ABEAC916"/>
    <w:lvl w:ilvl="0">
      <w:start w:val="1"/>
      <w:numFmt w:val="bullet"/>
      <w:lvlText w:val=""/>
      <w:lvlJc w:val="left"/>
      <w:pPr>
        <w:tabs>
          <w:tab w:val="num" w:pos="360"/>
        </w:tabs>
        <w:ind w:left="360" w:hanging="360"/>
      </w:pPr>
      <w:rPr>
        <w:rFonts w:ascii="Symbol" w:hAnsi="Symbol" w:hint="default"/>
      </w:rPr>
    </w:lvl>
  </w:abstractNum>
  <w:abstractNum w:abstractNumId="36">
    <w:nsid w:val="73D45D15"/>
    <w:multiLevelType w:val="multilevel"/>
    <w:tmpl w:val="25D498EC"/>
    <w:lvl w:ilvl="0">
      <w:start w:val="1"/>
      <w:numFmt w:val="lowerLetter"/>
      <w:lvlText w:val="(%1)"/>
      <w:lvlJc w:val="left"/>
      <w:pPr>
        <w:ind w:firstLine="720"/>
      </w:pPr>
      <w:rPr>
        <w:rFonts w:cs="Times New Roman" w:hint="default"/>
        <w:b w:val="0"/>
      </w:rPr>
    </w:lvl>
    <w:lvl w:ilvl="1">
      <w:start w:val="1"/>
      <w:numFmt w:val="decimal"/>
      <w:lvlText w:val="(%2)"/>
      <w:lvlJc w:val="left"/>
      <w:pPr>
        <w:ind w:firstLine="720"/>
      </w:pPr>
      <w:rPr>
        <w:rFonts w:cs="Times New Roman" w:hint="default"/>
        <w:b w:val="0"/>
      </w:rPr>
    </w:lvl>
    <w:lvl w:ilvl="2">
      <w:start w:val="1"/>
      <w:numFmt w:val="lowerRoman"/>
      <w:lvlText w:val="(%3)"/>
      <w:lvlJc w:val="left"/>
      <w:pPr>
        <w:ind w:firstLine="720"/>
      </w:pPr>
      <w:rPr>
        <w:rFonts w:cs="Times New Roman" w:hint="default"/>
      </w:rPr>
    </w:lvl>
    <w:lvl w:ilvl="3">
      <w:start w:val="1"/>
      <w:numFmt w:val="lowerLetter"/>
      <w:lvlText w:val="(%4)"/>
      <w:lvlJc w:val="left"/>
      <w:pPr>
        <w:ind w:firstLine="720"/>
      </w:pPr>
      <w:rPr>
        <w:rFonts w:ascii="Times New Roman" w:eastAsia="Times New Roman" w:hAnsi="Times New Roman" w:cs="Times New Roman"/>
      </w:rPr>
    </w:lvl>
    <w:lvl w:ilvl="4">
      <w:start w:val="1"/>
      <w:numFmt w:val="decimal"/>
      <w:lvlText w:val="(%5)"/>
      <w:lvlJc w:val="left"/>
      <w:pPr>
        <w:ind w:firstLine="720"/>
      </w:pPr>
      <w:rPr>
        <w:rFonts w:cs="Times New Roman" w:hint="default"/>
        <w:u w:val="words"/>
      </w:rPr>
    </w:lvl>
    <w:lvl w:ilvl="5">
      <w:start w:val="1"/>
      <w:numFmt w:val="lowerRoman"/>
      <w:lvlText w:val="(%6)"/>
      <w:lvlJc w:val="left"/>
      <w:pPr>
        <w:ind w:firstLine="720"/>
      </w:pPr>
      <w:rPr>
        <w:rFonts w:cs="Times New Roman" w:hint="default"/>
        <w:u w:val="words"/>
      </w:rPr>
    </w:lvl>
    <w:lvl w:ilvl="6">
      <w:start w:val="1"/>
      <w:numFmt w:val="decimal"/>
      <w:lvlText w:val="%7."/>
      <w:lvlJc w:val="left"/>
      <w:pPr>
        <w:ind w:firstLine="720"/>
      </w:pPr>
      <w:rPr>
        <w:rFonts w:cs="Times New Roman" w:hint="default"/>
      </w:rPr>
    </w:lvl>
    <w:lvl w:ilvl="7">
      <w:start w:val="1"/>
      <w:numFmt w:val="lowerLetter"/>
      <w:lvlText w:val="%8."/>
      <w:lvlJc w:val="left"/>
      <w:pPr>
        <w:ind w:firstLine="720"/>
      </w:pPr>
      <w:rPr>
        <w:rFonts w:cs="Times New Roman" w:hint="default"/>
      </w:rPr>
    </w:lvl>
    <w:lvl w:ilvl="8">
      <w:start w:val="1"/>
      <w:numFmt w:val="lowerRoman"/>
      <w:lvlText w:val="%9."/>
      <w:lvlJc w:val="right"/>
      <w:pPr>
        <w:ind w:firstLine="720"/>
      </w:pPr>
      <w:rPr>
        <w:rFonts w:cs="Times New Roman" w:hint="default"/>
      </w:rPr>
    </w:lvl>
  </w:abstractNum>
  <w:abstractNum w:abstractNumId="37">
    <w:nsid w:val="761856C9"/>
    <w:multiLevelType w:val="hybridMultilevel"/>
    <w:tmpl w:val="46BA9928"/>
    <w:lvl w:ilvl="0">
      <w:start w:val="1"/>
      <w:numFmt w:val="bullet"/>
      <w:lvlText w:val=""/>
      <w:lvlJc w:val="left"/>
      <w:pPr>
        <w:tabs>
          <w:tab w:val="num" w:pos="360"/>
        </w:tabs>
        <w:ind w:left="360" w:hanging="360"/>
      </w:pPr>
      <w:rPr>
        <w:rFonts w:ascii="Symbol" w:hAnsi="Symbol" w:hint="default"/>
        <w:color w:val="auto"/>
      </w:rPr>
    </w:lvl>
    <w:lvl w:ilvl="1" w:tentative="1">
      <w:start w:val="1"/>
      <w:numFmt w:val="bullet"/>
      <w:lvlText w:val="o"/>
      <w:lvlJc w:val="left"/>
      <w:pPr>
        <w:tabs>
          <w:tab w:val="num" w:pos="360"/>
        </w:tabs>
        <w:ind w:left="360" w:hanging="360"/>
      </w:pPr>
      <w:rPr>
        <w:rFonts w:ascii="Courier New" w:hAnsi="Courier New" w:cs="Courier New" w:hint="default"/>
      </w:rPr>
    </w:lvl>
    <w:lvl w:ilvl="2" w:tentative="1">
      <w:start w:val="1"/>
      <w:numFmt w:val="bullet"/>
      <w:lvlText w:val=""/>
      <w:lvlJc w:val="left"/>
      <w:pPr>
        <w:tabs>
          <w:tab w:val="num" w:pos="1080"/>
        </w:tabs>
        <w:ind w:left="1080" w:hanging="360"/>
      </w:pPr>
      <w:rPr>
        <w:rFonts w:ascii="Wingdings" w:hAnsi="Wingdings" w:hint="default"/>
      </w:rPr>
    </w:lvl>
    <w:lvl w:ilvl="3" w:tentative="1">
      <w:start w:val="1"/>
      <w:numFmt w:val="bullet"/>
      <w:lvlText w:val=""/>
      <w:lvlJc w:val="left"/>
      <w:pPr>
        <w:tabs>
          <w:tab w:val="num" w:pos="1800"/>
        </w:tabs>
        <w:ind w:left="1800" w:hanging="360"/>
      </w:pPr>
      <w:rPr>
        <w:rFonts w:ascii="Symbol" w:hAnsi="Symbol" w:hint="default"/>
      </w:rPr>
    </w:lvl>
    <w:lvl w:ilvl="4" w:tentative="1">
      <w:start w:val="1"/>
      <w:numFmt w:val="bullet"/>
      <w:lvlText w:val="o"/>
      <w:lvlJc w:val="left"/>
      <w:pPr>
        <w:tabs>
          <w:tab w:val="num" w:pos="2520"/>
        </w:tabs>
        <w:ind w:left="2520" w:hanging="360"/>
      </w:pPr>
      <w:rPr>
        <w:rFonts w:ascii="Courier New" w:hAnsi="Courier New" w:cs="Courier New" w:hint="default"/>
      </w:rPr>
    </w:lvl>
    <w:lvl w:ilvl="5" w:tentative="1">
      <w:start w:val="1"/>
      <w:numFmt w:val="bullet"/>
      <w:lvlText w:val=""/>
      <w:lvlJc w:val="left"/>
      <w:pPr>
        <w:tabs>
          <w:tab w:val="num" w:pos="3240"/>
        </w:tabs>
        <w:ind w:left="3240" w:hanging="360"/>
      </w:pPr>
      <w:rPr>
        <w:rFonts w:ascii="Wingdings" w:hAnsi="Wingdings" w:hint="default"/>
      </w:rPr>
    </w:lvl>
    <w:lvl w:ilvl="6" w:tentative="1">
      <w:start w:val="1"/>
      <w:numFmt w:val="bullet"/>
      <w:lvlText w:val=""/>
      <w:lvlJc w:val="left"/>
      <w:pPr>
        <w:tabs>
          <w:tab w:val="num" w:pos="3960"/>
        </w:tabs>
        <w:ind w:left="3960" w:hanging="360"/>
      </w:pPr>
      <w:rPr>
        <w:rFonts w:ascii="Symbol" w:hAnsi="Symbol" w:hint="default"/>
      </w:rPr>
    </w:lvl>
    <w:lvl w:ilvl="7" w:tentative="1">
      <w:start w:val="1"/>
      <w:numFmt w:val="bullet"/>
      <w:lvlText w:val="o"/>
      <w:lvlJc w:val="left"/>
      <w:pPr>
        <w:tabs>
          <w:tab w:val="num" w:pos="4680"/>
        </w:tabs>
        <w:ind w:left="4680" w:hanging="360"/>
      </w:pPr>
      <w:rPr>
        <w:rFonts w:ascii="Courier New" w:hAnsi="Courier New" w:cs="Courier New" w:hint="default"/>
      </w:rPr>
    </w:lvl>
    <w:lvl w:ilvl="8" w:tentative="1">
      <w:start w:val="1"/>
      <w:numFmt w:val="bullet"/>
      <w:lvlText w:val=""/>
      <w:lvlJc w:val="left"/>
      <w:pPr>
        <w:tabs>
          <w:tab w:val="num" w:pos="5400"/>
        </w:tabs>
        <w:ind w:left="5400" w:hanging="360"/>
      </w:pPr>
      <w:rPr>
        <w:rFonts w:ascii="Wingdings" w:hAnsi="Wingdings" w:hint="default"/>
      </w:rPr>
    </w:lvl>
  </w:abstractNum>
  <w:abstractNum w:abstractNumId="38">
    <w:nsid w:val="79EF0DA0"/>
    <w:multiLevelType w:val="singleLevel"/>
    <w:tmpl w:val="B6928DDE"/>
    <w:lvl w:ilvl="0">
      <w:start w:val="1"/>
      <w:numFmt w:val="bullet"/>
      <w:lvlText w:val=""/>
      <w:lvlJc w:val="left"/>
      <w:pPr>
        <w:tabs>
          <w:tab w:val="num" w:pos="504"/>
        </w:tabs>
        <w:ind w:left="504" w:hanging="504"/>
      </w:pPr>
      <w:rPr>
        <w:rFonts w:ascii="Symbol" w:hAnsi="Symbol" w:hint="default"/>
      </w:rPr>
    </w:lvl>
  </w:abstractNum>
  <w:num w:numId="1" w16cid:durableId="981271036">
    <w:abstractNumId w:val="9"/>
  </w:num>
  <w:num w:numId="2" w16cid:durableId="353001844">
    <w:abstractNumId w:val="26"/>
  </w:num>
  <w:num w:numId="3" w16cid:durableId="1136020610">
    <w:abstractNumId w:val="3"/>
  </w:num>
  <w:num w:numId="4" w16cid:durableId="3173076">
    <w:abstractNumId w:val="38"/>
  </w:num>
  <w:num w:numId="5" w16cid:durableId="263198972">
    <w:abstractNumId w:val="10"/>
  </w:num>
  <w:num w:numId="6" w16cid:durableId="129830656">
    <w:abstractNumId w:val="29"/>
  </w:num>
  <w:num w:numId="7" w16cid:durableId="1809517190">
    <w:abstractNumId w:val="19"/>
  </w:num>
  <w:num w:numId="8" w16cid:durableId="480462734">
    <w:abstractNumId w:val="8"/>
  </w:num>
  <w:num w:numId="9" w16cid:durableId="345789207">
    <w:abstractNumId w:val="14"/>
  </w:num>
  <w:num w:numId="10" w16cid:durableId="1803766570">
    <w:abstractNumId w:val="5"/>
  </w:num>
  <w:num w:numId="11" w16cid:durableId="62332988">
    <w:abstractNumId w:val="31"/>
  </w:num>
  <w:num w:numId="12" w16cid:durableId="1680304795">
    <w:abstractNumId w:val="24"/>
  </w:num>
  <w:num w:numId="13" w16cid:durableId="2083331576">
    <w:abstractNumId w:val="30"/>
  </w:num>
  <w:num w:numId="14" w16cid:durableId="484903711">
    <w:abstractNumId w:val="15"/>
  </w:num>
  <w:num w:numId="15" w16cid:durableId="1514607379">
    <w:abstractNumId w:val="33"/>
  </w:num>
  <w:num w:numId="16" w16cid:durableId="232396448">
    <w:abstractNumId w:val="23"/>
  </w:num>
  <w:num w:numId="17" w16cid:durableId="119613802">
    <w:abstractNumId w:val="28"/>
  </w:num>
  <w:num w:numId="18" w16cid:durableId="1515874063">
    <w:abstractNumId w:val="32"/>
  </w:num>
  <w:num w:numId="19" w16cid:durableId="1148590218">
    <w:abstractNumId w:val="34"/>
  </w:num>
  <w:num w:numId="20" w16cid:durableId="1994987034">
    <w:abstractNumId w:val="25"/>
  </w:num>
  <w:num w:numId="21" w16cid:durableId="8723041">
    <w:abstractNumId w:val="13"/>
  </w:num>
  <w:num w:numId="22" w16cid:durableId="1962227765">
    <w:abstractNumId w:val="17"/>
  </w:num>
  <w:num w:numId="23" w16cid:durableId="376205325">
    <w:abstractNumId w:val="35"/>
  </w:num>
  <w:num w:numId="24" w16cid:durableId="1385636702">
    <w:abstractNumId w:val="2"/>
  </w:num>
  <w:num w:numId="25" w16cid:durableId="1525561236">
    <w:abstractNumId w:val="20"/>
  </w:num>
  <w:num w:numId="26" w16cid:durableId="1113984797">
    <w:abstractNumId w:val="22"/>
  </w:num>
  <w:num w:numId="27" w16cid:durableId="1974173473">
    <w:abstractNumId w:val="37"/>
  </w:num>
  <w:num w:numId="28" w16cid:durableId="1123229045">
    <w:abstractNumId w:val="11"/>
  </w:num>
  <w:num w:numId="29" w16cid:durableId="871724450">
    <w:abstractNumId w:val="1"/>
  </w:num>
  <w:num w:numId="30" w16cid:durableId="1128157526">
    <w:abstractNumId w:val="4"/>
  </w:num>
  <w:num w:numId="31" w16cid:durableId="1948925310">
    <w:abstractNumId w:val="36"/>
  </w:num>
  <w:num w:numId="32" w16cid:durableId="1087383071">
    <w:abstractNumId w:val="0"/>
  </w:num>
  <w:num w:numId="33" w16cid:durableId="290600912">
    <w:abstractNumId w:val="6"/>
  </w:num>
  <w:num w:numId="34" w16cid:durableId="1109157912">
    <w:abstractNumId w:val="12"/>
  </w:num>
  <w:num w:numId="35" w16cid:durableId="210962247">
    <w:abstractNumId w:val="27"/>
  </w:num>
  <w:num w:numId="36" w16cid:durableId="1576473506">
    <w:abstractNumId w:val="21"/>
  </w:num>
  <w:num w:numId="37" w16cid:durableId="482891762">
    <w:abstractNumId w:val="18"/>
  </w:num>
  <w:num w:numId="38" w16cid:durableId="215747760">
    <w:abstractNumId w:val="16"/>
  </w:num>
  <w:num w:numId="39" w16cid:durableId="10985662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isplayBackgroundShape/>
  <w:embedSystemFont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95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 w:id="0"/>
    <w:endnote w:id="1"/>
    <w:endnote w:id="2"/>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4316"/>
    <w:rsid w:val="00004316"/>
    <w:rsid w:val="000102CB"/>
    <w:rsid w:val="00020B00"/>
    <w:rsid w:val="000243D0"/>
    <w:rsid w:val="00036F1E"/>
    <w:rsid w:val="00044397"/>
    <w:rsid w:val="0005550F"/>
    <w:rsid w:val="00061D09"/>
    <w:rsid w:val="00065281"/>
    <w:rsid w:val="000705EB"/>
    <w:rsid w:val="00075BCF"/>
    <w:rsid w:val="00087063"/>
    <w:rsid w:val="000977ED"/>
    <w:rsid w:val="000A2BC9"/>
    <w:rsid w:val="000B3A8E"/>
    <w:rsid w:val="000B53AF"/>
    <w:rsid w:val="000C467D"/>
    <w:rsid w:val="000C5028"/>
    <w:rsid w:val="000C64F2"/>
    <w:rsid w:val="000E0C09"/>
    <w:rsid w:val="000E7445"/>
    <w:rsid w:val="001026B0"/>
    <w:rsid w:val="00102F54"/>
    <w:rsid w:val="00106B05"/>
    <w:rsid w:val="00112AA8"/>
    <w:rsid w:val="00117C2A"/>
    <w:rsid w:val="00120FB3"/>
    <w:rsid w:val="00127DCC"/>
    <w:rsid w:val="00151018"/>
    <w:rsid w:val="00154CF9"/>
    <w:rsid w:val="001644A7"/>
    <w:rsid w:val="00170141"/>
    <w:rsid w:val="001724C0"/>
    <w:rsid w:val="001739AA"/>
    <w:rsid w:val="00180C79"/>
    <w:rsid w:val="00182769"/>
    <w:rsid w:val="001A0A2D"/>
    <w:rsid w:val="001A125A"/>
    <w:rsid w:val="001A3550"/>
    <w:rsid w:val="001B247D"/>
    <w:rsid w:val="001B40E9"/>
    <w:rsid w:val="001B59A3"/>
    <w:rsid w:val="001D2DAB"/>
    <w:rsid w:val="001F7DAF"/>
    <w:rsid w:val="00201A6C"/>
    <w:rsid w:val="00206869"/>
    <w:rsid w:val="00211015"/>
    <w:rsid w:val="00217329"/>
    <w:rsid w:val="00230374"/>
    <w:rsid w:val="00235FB8"/>
    <w:rsid w:val="00246817"/>
    <w:rsid w:val="00246ABD"/>
    <w:rsid w:val="00261A35"/>
    <w:rsid w:val="0026290E"/>
    <w:rsid w:val="002638D9"/>
    <w:rsid w:val="0027751C"/>
    <w:rsid w:val="00280932"/>
    <w:rsid w:val="002913DD"/>
    <w:rsid w:val="002A2790"/>
    <w:rsid w:val="002A7D53"/>
    <w:rsid w:val="002C5C2B"/>
    <w:rsid w:val="002C7D41"/>
    <w:rsid w:val="002D3F64"/>
    <w:rsid w:val="002D4ADA"/>
    <w:rsid w:val="002E7C5A"/>
    <w:rsid w:val="002F0579"/>
    <w:rsid w:val="003135B4"/>
    <w:rsid w:val="00333BEC"/>
    <w:rsid w:val="00341D10"/>
    <w:rsid w:val="00345E3C"/>
    <w:rsid w:val="00346A53"/>
    <w:rsid w:val="0035271D"/>
    <w:rsid w:val="003801BA"/>
    <w:rsid w:val="00380857"/>
    <w:rsid w:val="003A39AC"/>
    <w:rsid w:val="003A5277"/>
    <w:rsid w:val="003C6C91"/>
    <w:rsid w:val="003D016B"/>
    <w:rsid w:val="003D18A0"/>
    <w:rsid w:val="003D25C8"/>
    <w:rsid w:val="003D4A9E"/>
    <w:rsid w:val="003E6285"/>
    <w:rsid w:val="003F30D9"/>
    <w:rsid w:val="00401049"/>
    <w:rsid w:val="0040375A"/>
    <w:rsid w:val="00404D95"/>
    <w:rsid w:val="00416500"/>
    <w:rsid w:val="00431CBE"/>
    <w:rsid w:val="00435E11"/>
    <w:rsid w:val="00436854"/>
    <w:rsid w:val="00436E88"/>
    <w:rsid w:val="00437E1C"/>
    <w:rsid w:val="00441380"/>
    <w:rsid w:val="00441D8E"/>
    <w:rsid w:val="00443989"/>
    <w:rsid w:val="00454ED7"/>
    <w:rsid w:val="00467D4F"/>
    <w:rsid w:val="0047674C"/>
    <w:rsid w:val="004833E8"/>
    <w:rsid w:val="00487E80"/>
    <w:rsid w:val="004A1801"/>
    <w:rsid w:val="004A652B"/>
    <w:rsid w:val="004B1FF4"/>
    <w:rsid w:val="004B7B81"/>
    <w:rsid w:val="004C1DE1"/>
    <w:rsid w:val="004C3D13"/>
    <w:rsid w:val="004C5FC1"/>
    <w:rsid w:val="004D1988"/>
    <w:rsid w:val="004F2C12"/>
    <w:rsid w:val="00504B46"/>
    <w:rsid w:val="00511133"/>
    <w:rsid w:val="005206E7"/>
    <w:rsid w:val="00524F65"/>
    <w:rsid w:val="0054517E"/>
    <w:rsid w:val="005456B0"/>
    <w:rsid w:val="00545E74"/>
    <w:rsid w:val="0055072A"/>
    <w:rsid w:val="0057370A"/>
    <w:rsid w:val="00576B06"/>
    <w:rsid w:val="00595EE3"/>
    <w:rsid w:val="005C69CF"/>
    <w:rsid w:val="00602E98"/>
    <w:rsid w:val="00603C9B"/>
    <w:rsid w:val="00605F5C"/>
    <w:rsid w:val="00606DE6"/>
    <w:rsid w:val="00617199"/>
    <w:rsid w:val="00626E9C"/>
    <w:rsid w:val="006319DF"/>
    <w:rsid w:val="00644530"/>
    <w:rsid w:val="00646520"/>
    <w:rsid w:val="00651DBD"/>
    <w:rsid w:val="00656F26"/>
    <w:rsid w:val="00664F37"/>
    <w:rsid w:val="00665B37"/>
    <w:rsid w:val="00667E7D"/>
    <w:rsid w:val="006748FD"/>
    <w:rsid w:val="00675997"/>
    <w:rsid w:val="00680511"/>
    <w:rsid w:val="00681E2F"/>
    <w:rsid w:val="0068360A"/>
    <w:rsid w:val="006856AE"/>
    <w:rsid w:val="006962AD"/>
    <w:rsid w:val="006A541D"/>
    <w:rsid w:val="006B42FD"/>
    <w:rsid w:val="006E0017"/>
    <w:rsid w:val="00703158"/>
    <w:rsid w:val="00703966"/>
    <w:rsid w:val="00712987"/>
    <w:rsid w:val="00720912"/>
    <w:rsid w:val="00742942"/>
    <w:rsid w:val="00743B5D"/>
    <w:rsid w:val="00746897"/>
    <w:rsid w:val="007661A2"/>
    <w:rsid w:val="00774539"/>
    <w:rsid w:val="0077518F"/>
    <w:rsid w:val="007878BE"/>
    <w:rsid w:val="007A5111"/>
    <w:rsid w:val="007A7E98"/>
    <w:rsid w:val="007E147E"/>
    <w:rsid w:val="00807FB3"/>
    <w:rsid w:val="0081285F"/>
    <w:rsid w:val="00815655"/>
    <w:rsid w:val="008656FD"/>
    <w:rsid w:val="00875FBA"/>
    <w:rsid w:val="008D50E4"/>
    <w:rsid w:val="008D6FBE"/>
    <w:rsid w:val="008E6E65"/>
    <w:rsid w:val="009009BC"/>
    <w:rsid w:val="009064CE"/>
    <w:rsid w:val="00910596"/>
    <w:rsid w:val="00924289"/>
    <w:rsid w:val="009247A8"/>
    <w:rsid w:val="00951D20"/>
    <w:rsid w:val="00966E68"/>
    <w:rsid w:val="009701A0"/>
    <w:rsid w:val="009716D9"/>
    <w:rsid w:val="00975CAE"/>
    <w:rsid w:val="00984EBB"/>
    <w:rsid w:val="009862EE"/>
    <w:rsid w:val="00994A2E"/>
    <w:rsid w:val="009969F0"/>
    <w:rsid w:val="00997C4B"/>
    <w:rsid w:val="009B7539"/>
    <w:rsid w:val="009D5AB6"/>
    <w:rsid w:val="009E021D"/>
    <w:rsid w:val="009E240C"/>
    <w:rsid w:val="009E6FD7"/>
    <w:rsid w:val="009F02BF"/>
    <w:rsid w:val="009F31A6"/>
    <w:rsid w:val="00A1440E"/>
    <w:rsid w:val="00A31874"/>
    <w:rsid w:val="00A40A9D"/>
    <w:rsid w:val="00A45C73"/>
    <w:rsid w:val="00A61C73"/>
    <w:rsid w:val="00A63019"/>
    <w:rsid w:val="00A714AF"/>
    <w:rsid w:val="00A8603E"/>
    <w:rsid w:val="00A924E7"/>
    <w:rsid w:val="00AA3B03"/>
    <w:rsid w:val="00AA3BDD"/>
    <w:rsid w:val="00AD2E0D"/>
    <w:rsid w:val="00AE2484"/>
    <w:rsid w:val="00AF0223"/>
    <w:rsid w:val="00AF1EBB"/>
    <w:rsid w:val="00B0133E"/>
    <w:rsid w:val="00B0148D"/>
    <w:rsid w:val="00B15375"/>
    <w:rsid w:val="00B42DB4"/>
    <w:rsid w:val="00B4536A"/>
    <w:rsid w:val="00B51941"/>
    <w:rsid w:val="00B960AF"/>
    <w:rsid w:val="00B970F9"/>
    <w:rsid w:val="00B973CE"/>
    <w:rsid w:val="00BA339B"/>
    <w:rsid w:val="00BA6960"/>
    <w:rsid w:val="00BA6CDF"/>
    <w:rsid w:val="00BA6E5C"/>
    <w:rsid w:val="00BB0A68"/>
    <w:rsid w:val="00BB4636"/>
    <w:rsid w:val="00BB546C"/>
    <w:rsid w:val="00BD1176"/>
    <w:rsid w:val="00BD6A08"/>
    <w:rsid w:val="00BD74B8"/>
    <w:rsid w:val="00BE0E1E"/>
    <w:rsid w:val="00BF33A9"/>
    <w:rsid w:val="00BF674E"/>
    <w:rsid w:val="00C03279"/>
    <w:rsid w:val="00C11579"/>
    <w:rsid w:val="00C147A0"/>
    <w:rsid w:val="00C21ABC"/>
    <w:rsid w:val="00C30330"/>
    <w:rsid w:val="00C32BF5"/>
    <w:rsid w:val="00C37DF1"/>
    <w:rsid w:val="00C42565"/>
    <w:rsid w:val="00C47009"/>
    <w:rsid w:val="00C5516F"/>
    <w:rsid w:val="00C623F7"/>
    <w:rsid w:val="00C6596B"/>
    <w:rsid w:val="00C7295C"/>
    <w:rsid w:val="00C735CE"/>
    <w:rsid w:val="00C745B4"/>
    <w:rsid w:val="00C83030"/>
    <w:rsid w:val="00C85E24"/>
    <w:rsid w:val="00C92C5B"/>
    <w:rsid w:val="00CB1D9A"/>
    <w:rsid w:val="00CC489C"/>
    <w:rsid w:val="00CD7D1B"/>
    <w:rsid w:val="00CF6CAD"/>
    <w:rsid w:val="00CF6D64"/>
    <w:rsid w:val="00D03DD4"/>
    <w:rsid w:val="00D04A91"/>
    <w:rsid w:val="00D05355"/>
    <w:rsid w:val="00D078CA"/>
    <w:rsid w:val="00D14D43"/>
    <w:rsid w:val="00D15ABA"/>
    <w:rsid w:val="00D1738F"/>
    <w:rsid w:val="00D17EBF"/>
    <w:rsid w:val="00D20384"/>
    <w:rsid w:val="00D24132"/>
    <w:rsid w:val="00D40209"/>
    <w:rsid w:val="00D44666"/>
    <w:rsid w:val="00D504E0"/>
    <w:rsid w:val="00D51EF9"/>
    <w:rsid w:val="00D5303F"/>
    <w:rsid w:val="00D5791C"/>
    <w:rsid w:val="00D61F9B"/>
    <w:rsid w:val="00D65585"/>
    <w:rsid w:val="00D74B80"/>
    <w:rsid w:val="00D74F58"/>
    <w:rsid w:val="00D80DE5"/>
    <w:rsid w:val="00D815DA"/>
    <w:rsid w:val="00D84C13"/>
    <w:rsid w:val="00D95B8D"/>
    <w:rsid w:val="00DB212C"/>
    <w:rsid w:val="00DB5920"/>
    <w:rsid w:val="00DC7416"/>
    <w:rsid w:val="00DD7DAB"/>
    <w:rsid w:val="00DF354D"/>
    <w:rsid w:val="00E15BD9"/>
    <w:rsid w:val="00E20E0A"/>
    <w:rsid w:val="00E50605"/>
    <w:rsid w:val="00E62566"/>
    <w:rsid w:val="00E6604B"/>
    <w:rsid w:val="00E74BBA"/>
    <w:rsid w:val="00E76D46"/>
    <w:rsid w:val="00E76F02"/>
    <w:rsid w:val="00E82DEB"/>
    <w:rsid w:val="00E86F92"/>
    <w:rsid w:val="00E878DC"/>
    <w:rsid w:val="00E915B7"/>
    <w:rsid w:val="00EA17EF"/>
    <w:rsid w:val="00EA1C67"/>
    <w:rsid w:val="00EB3EC2"/>
    <w:rsid w:val="00EC1969"/>
    <w:rsid w:val="00EE548B"/>
    <w:rsid w:val="00EF2B59"/>
    <w:rsid w:val="00EF5909"/>
    <w:rsid w:val="00F1037F"/>
    <w:rsid w:val="00F27C13"/>
    <w:rsid w:val="00F4063A"/>
    <w:rsid w:val="00F52B12"/>
    <w:rsid w:val="00F776E5"/>
    <w:rsid w:val="00F806EC"/>
    <w:rsid w:val="00F92998"/>
    <w:rsid w:val="00F9420A"/>
    <w:rsid w:val="00FC45D8"/>
    <w:rsid w:val="00FD219E"/>
    <w:rsid w:val="00FD7332"/>
    <w:rsid w:val="00FE0283"/>
    <w:rsid w:val="00FE2592"/>
    <w:rsid w:val="00FE6814"/>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3839EC7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qFormat="1"/>
    <w:lsdException w:name="footnote reference" w:uiPriority="99"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pPr>
    <w:rPr>
      <w:rFonts w:ascii="Courier" w:hAnsi="Courier"/>
      <w:snapToGrid w:val="0"/>
      <w:sz w:val="24"/>
    </w:rPr>
  </w:style>
  <w:style w:type="paragraph" w:styleId="Heading1">
    <w:name w:val="heading 1"/>
    <w:basedOn w:val="Normal"/>
    <w:next w:val="Normal"/>
    <w:qFormat/>
    <w:pPr>
      <w:keepNext/>
      <w:tabs>
        <w:tab w:val="left" w:pos="-1440"/>
        <w:tab w:val="left" w:pos="-720"/>
        <w:tab w:val="left" w:pos="0"/>
        <w:tab w:val="left" w:pos="432"/>
        <w:tab w:val="left" w:pos="720"/>
        <w:tab w:val="left" w:pos="1008"/>
        <w:tab w:val="left" w:pos="1440"/>
      </w:tabs>
      <w:suppressAutoHyphens/>
      <w:outlineLvl w:val="0"/>
    </w:pPr>
    <w:rPr>
      <w:rFonts w:ascii="CG Times" w:hAnsi="CG Times"/>
      <w:sz w:val="22"/>
      <w:u w:val="single"/>
    </w:rPr>
  </w:style>
  <w:style w:type="paragraph" w:styleId="Heading2">
    <w:name w:val="heading 2"/>
    <w:basedOn w:val="Normal"/>
    <w:next w:val="Normal"/>
    <w:qFormat/>
    <w:pPr>
      <w:keepNext/>
      <w:tabs>
        <w:tab w:val="left" w:pos="-1440"/>
        <w:tab w:val="left" w:pos="-720"/>
        <w:tab w:val="left" w:pos="0"/>
        <w:tab w:val="left" w:pos="432"/>
        <w:tab w:val="left" w:pos="720"/>
        <w:tab w:val="left" w:pos="1008"/>
        <w:tab w:val="left" w:pos="1440"/>
      </w:tabs>
      <w:suppressAutoHyphens/>
      <w:outlineLvl w:val="1"/>
    </w:pPr>
    <w:rPr>
      <w:rFonts w:ascii="CG Times" w:hAnsi="CG Times"/>
      <w:b/>
      <w:sz w:val="22"/>
      <w:u w:val="single"/>
    </w:rPr>
  </w:style>
  <w:style w:type="paragraph" w:styleId="Heading3">
    <w:name w:val="heading 3"/>
    <w:basedOn w:val="Normal"/>
    <w:next w:val="Normal"/>
    <w:qFormat/>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style>
  <w:style w:type="character" w:styleId="EndnoteReference">
    <w:name w:val="endnote reference"/>
    <w:semiHidden/>
    <w:rPr>
      <w:vertAlign w:val="superscript"/>
    </w:rPr>
  </w:style>
  <w:style w:type="paragraph" w:styleId="FootnoteText">
    <w:name w:val="footnote text"/>
    <w:aliases w:val="Footnote Text Char Char,ft"/>
    <w:basedOn w:val="Normal"/>
    <w:link w:val="FootnoteTextChar"/>
    <w:uiPriority w:val="99"/>
    <w:semiHidden/>
  </w:style>
  <w:style w:type="character" w:styleId="FootnoteReference">
    <w:name w:val="footnote reference"/>
    <w:aliases w:val="(Footnote Reference),12,BVI fnr,EN Footnote Reference,Exposant 3 Point,Footnote,Footnote Reference Superscript,Footnote reference number,Footnote symbol,SUPERS,Style 16,Style 19,Style 35,Times 10 Point,Voetnootverwijzing,fr,note TESI"/>
    <w:uiPriority w:val="99"/>
    <w:qFormat/>
    <w:rPr>
      <w:vertAlign w:val="superscript"/>
    </w:rPr>
  </w:style>
  <w:style w:type="character" w:customStyle="1" w:styleId="MEMO-FROM">
    <w:name w:val="MEMO-FROM"/>
    <w:rPr>
      <w:rFonts w:ascii="Courier" w:hAnsi="Courier"/>
      <w:noProof w:val="0"/>
      <w:sz w:val="24"/>
      <w:lang w:val="en-US"/>
    </w:rPr>
  </w:style>
  <w:style w:type="character" w:customStyle="1" w:styleId="MEMO-SUBJ">
    <w:name w:val="MEMO-SUBJ"/>
    <w:rPr>
      <w:rFonts w:ascii="Courier" w:hAnsi="Courier"/>
      <w:noProof w:val="0"/>
      <w:sz w:val="24"/>
      <w:lang w:val="en-US"/>
    </w:rPr>
  </w:style>
  <w:style w:type="character" w:customStyle="1" w:styleId="MEMO-TO">
    <w:name w:val="MEMO-TO"/>
    <w:rPr>
      <w:rFonts w:ascii="Courier" w:hAnsi="Courier"/>
      <w:noProof w:val="0"/>
      <w:sz w:val="24"/>
      <w:lang w:val="en-US"/>
    </w:rPr>
  </w:style>
  <w:style w:type="character" w:customStyle="1" w:styleId="MEMO-TEXT">
    <w:name w:val="MEMO-TEXT"/>
    <w:rPr>
      <w:rFonts w:ascii="Courier" w:hAnsi="Courier"/>
      <w:noProof w:val="0"/>
      <w:sz w:val="24"/>
      <w:lang w:val="en-US"/>
    </w:rPr>
  </w:style>
  <w:style w:type="character" w:customStyle="1" w:styleId="Document8">
    <w:name w:val="Document 8"/>
    <w:basedOn w:val="DefaultParagraphFont"/>
  </w:style>
  <w:style w:type="character" w:customStyle="1" w:styleId="Document4">
    <w:name w:val="Document 4"/>
    <w:rPr>
      <w:b/>
      <w:i/>
      <w:sz w:val="24"/>
    </w:rPr>
  </w:style>
  <w:style w:type="character" w:customStyle="1" w:styleId="Document6">
    <w:name w:val="Document 6"/>
    <w:basedOn w:val="DefaultParagraphFont"/>
  </w:style>
  <w:style w:type="character" w:customStyle="1" w:styleId="Document5">
    <w:name w:val="Document 5"/>
    <w:basedOn w:val="DefaultParagraphFont"/>
  </w:style>
  <w:style w:type="character" w:customStyle="1" w:styleId="Document2">
    <w:name w:val="Document 2"/>
    <w:rPr>
      <w:rFonts w:ascii="Courier" w:hAnsi="Courier"/>
      <w:noProof w:val="0"/>
      <w:sz w:val="24"/>
      <w:lang w:val="en-US"/>
    </w:rPr>
  </w:style>
  <w:style w:type="character" w:customStyle="1" w:styleId="Document7">
    <w:name w:val="Document 7"/>
    <w:basedOn w:val="DefaultParagraphFont"/>
  </w:style>
  <w:style w:type="character" w:customStyle="1" w:styleId="Bibliogrphy">
    <w:name w:val="Bibliogrphy"/>
    <w:basedOn w:val="DefaultParagraphFont"/>
  </w:style>
  <w:style w:type="character" w:customStyle="1" w:styleId="RightPar1">
    <w:name w:val="Right Par 1"/>
    <w:basedOn w:val="DefaultParagraphFont"/>
  </w:style>
  <w:style w:type="character" w:customStyle="1" w:styleId="RightPar2">
    <w:name w:val="Right Par 2"/>
    <w:basedOn w:val="DefaultParagraphFont"/>
  </w:style>
  <w:style w:type="character" w:customStyle="1" w:styleId="Document3">
    <w:name w:val="Document 3"/>
    <w:rPr>
      <w:rFonts w:ascii="Courier" w:hAnsi="Courier"/>
      <w:noProof w:val="0"/>
      <w:sz w:val="24"/>
      <w:lang w:val="en-US"/>
    </w:rPr>
  </w:style>
  <w:style w:type="character" w:customStyle="1" w:styleId="RightPar3">
    <w:name w:val="Right Par 3"/>
    <w:basedOn w:val="DefaultParagraphFont"/>
  </w:style>
  <w:style w:type="character" w:customStyle="1" w:styleId="RightPar4">
    <w:name w:val="Right Par 4"/>
    <w:basedOn w:val="DefaultParagraphFont"/>
  </w:style>
  <w:style w:type="character" w:customStyle="1" w:styleId="RightPar5">
    <w:name w:val="Right Par 5"/>
    <w:basedOn w:val="DefaultParagraphFont"/>
  </w:style>
  <w:style w:type="character" w:customStyle="1" w:styleId="RightPar6">
    <w:name w:val="Right Par 6"/>
    <w:basedOn w:val="DefaultParagraphFont"/>
  </w:style>
  <w:style w:type="character" w:customStyle="1" w:styleId="RightPar7">
    <w:name w:val="Right Par 7"/>
    <w:basedOn w:val="DefaultParagraphFont"/>
  </w:style>
  <w:style w:type="character" w:customStyle="1" w:styleId="RightPar8">
    <w:name w:val="Right Par 8"/>
    <w:basedOn w:val="DefaultParagraphFont"/>
  </w:style>
  <w:style w:type="paragraph" w:customStyle="1" w:styleId="Document1">
    <w:name w:val="Document 1"/>
    <w:pPr>
      <w:keepNext/>
      <w:keepLines/>
      <w:widowControl w:val="0"/>
      <w:tabs>
        <w:tab w:val="left" w:pos="-720"/>
      </w:tabs>
      <w:suppressAutoHyphens/>
    </w:pPr>
    <w:rPr>
      <w:rFonts w:ascii="Courier" w:hAnsi="Courier"/>
      <w:snapToGrid w:val="0"/>
      <w:sz w:val="24"/>
    </w:rPr>
  </w:style>
  <w:style w:type="character" w:customStyle="1" w:styleId="DocInit">
    <w:name w:val="Doc Init"/>
    <w:basedOn w:val="DefaultParagraphFont"/>
  </w:style>
  <w:style w:type="character" w:customStyle="1" w:styleId="TechInit">
    <w:name w:val="Tech Init"/>
    <w:rPr>
      <w:rFonts w:ascii="Courier" w:hAnsi="Courier"/>
      <w:noProof w:val="0"/>
      <w:sz w:val="24"/>
      <w:lang w:val="en-US"/>
    </w:rPr>
  </w:style>
  <w:style w:type="character" w:customStyle="1" w:styleId="Technical5">
    <w:name w:val="Technical 5"/>
    <w:basedOn w:val="DefaultParagraphFont"/>
  </w:style>
  <w:style w:type="character" w:customStyle="1" w:styleId="Technical6">
    <w:name w:val="Technical 6"/>
    <w:basedOn w:val="DefaultParagraphFont"/>
  </w:style>
  <w:style w:type="character" w:customStyle="1" w:styleId="Technical2">
    <w:name w:val="Technical 2"/>
    <w:rPr>
      <w:rFonts w:ascii="Courier" w:hAnsi="Courier"/>
      <w:noProof w:val="0"/>
      <w:sz w:val="24"/>
      <w:lang w:val="en-US"/>
    </w:rPr>
  </w:style>
  <w:style w:type="character" w:customStyle="1" w:styleId="Technical3">
    <w:name w:val="Technical 3"/>
    <w:rPr>
      <w:rFonts w:ascii="Courier" w:hAnsi="Courier"/>
      <w:noProof w:val="0"/>
      <w:sz w:val="24"/>
      <w:lang w:val="en-US"/>
    </w:rPr>
  </w:style>
  <w:style w:type="character" w:customStyle="1" w:styleId="Technical4">
    <w:name w:val="Technical 4"/>
    <w:basedOn w:val="DefaultParagraphFont"/>
  </w:style>
  <w:style w:type="character" w:customStyle="1" w:styleId="Technical1">
    <w:name w:val="Technical 1"/>
    <w:rPr>
      <w:rFonts w:ascii="Courier" w:hAnsi="Courier"/>
      <w:noProof w:val="0"/>
      <w:sz w:val="24"/>
      <w:lang w:val="en-US"/>
    </w:rPr>
  </w:style>
  <w:style w:type="character" w:customStyle="1" w:styleId="Technical7">
    <w:name w:val="Technical 7"/>
    <w:basedOn w:val="DefaultParagraphFont"/>
  </w:style>
  <w:style w:type="character" w:customStyle="1" w:styleId="Technical8">
    <w:name w:val="Technical 8"/>
    <w:basedOn w:val="DefaultParagraphFont"/>
  </w:style>
  <w:style w:type="character" w:customStyle="1" w:styleId="text">
    <w:name w:val="text"/>
    <w:rPr>
      <w:rFonts w:ascii="Courier" w:hAnsi="Courier"/>
      <w:noProof w:val="0"/>
      <w:sz w:val="24"/>
      <w:lang w:val="en-US"/>
    </w:rPr>
  </w:style>
  <w:style w:type="character" w:customStyle="1" w:styleId="Header1">
    <w:name w:val="Header1"/>
    <w:rPr>
      <w:rFonts w:ascii="Univers" w:hAnsi="Univers"/>
      <w:b/>
      <w:noProof w:val="0"/>
      <w:color w:val="000000"/>
      <w:sz w:val="28"/>
      <w:lang w:val="en-US"/>
    </w:rPr>
  </w:style>
  <w:style w:type="character" w:customStyle="1" w:styleId="a">
    <w:name w:val="•"/>
    <w:basedOn w:val="DefaultParagraphFont"/>
  </w:style>
  <w:style w:type="character" w:customStyle="1" w:styleId="a0">
    <w:name w:val="_"/>
    <w:basedOn w:val="DefaultParagraphFont"/>
  </w:style>
  <w:style w:type="paragraph" w:customStyle="1" w:styleId="DefaultPara">
    <w:name w:val="Default Para"/>
    <w:pPr>
      <w:widowControl w:val="0"/>
      <w:tabs>
        <w:tab w:val="left" w:pos="-720"/>
      </w:tabs>
      <w:suppressAutoHyphens/>
    </w:pPr>
    <w:rPr>
      <w:rFonts w:ascii="CG Times" w:hAnsi="CG Times"/>
      <w:snapToGrid w:val="0"/>
    </w:rPr>
  </w:style>
  <w:style w:type="paragraph" w:styleId="Title">
    <w:name w:val="Title"/>
    <w:basedOn w:val="Normal"/>
    <w:qFormat/>
    <w:pPr>
      <w:spacing w:before="240" w:after="60"/>
      <w:jc w:val="center"/>
      <w:outlineLvl w:val="0"/>
    </w:pPr>
    <w:rPr>
      <w:rFonts w:ascii="Arial" w:hAnsi="Arial"/>
      <w:b/>
      <w:kern w:val="28"/>
      <w:sz w:val="32"/>
    </w:rPr>
  </w:style>
  <w:style w:type="paragraph" w:customStyle="1" w:styleId="Attachment">
    <w:name w:val="Attachment"/>
    <w:pPr>
      <w:widowControl w:val="0"/>
      <w:tabs>
        <w:tab w:val="left" w:pos="-720"/>
      </w:tabs>
      <w:suppressAutoHyphens/>
      <w:jc w:val="center"/>
    </w:pPr>
    <w:rPr>
      <w:rFonts w:ascii="Courier" w:hAnsi="Courier"/>
      <w:b/>
      <w:snapToGrid w:val="0"/>
      <w:sz w:val="22"/>
    </w:rPr>
  </w:style>
  <w:style w:type="paragraph" w:customStyle="1" w:styleId="AtTitle">
    <w:name w:val="At Title"/>
    <w:pPr>
      <w:widowControl w:val="0"/>
      <w:tabs>
        <w:tab w:val="left" w:pos="-720"/>
      </w:tabs>
      <w:suppressAutoHyphens/>
      <w:jc w:val="center"/>
    </w:pPr>
    <w:rPr>
      <w:rFonts w:ascii="Courier" w:hAnsi="Courier"/>
      <w:b/>
      <w:snapToGrid w:val="0"/>
      <w:sz w:val="26"/>
    </w:rPr>
  </w:style>
  <w:style w:type="character" w:customStyle="1" w:styleId="h1">
    <w:name w:val="h1"/>
    <w:rPr>
      <w:rFonts w:ascii="Courier" w:hAnsi="Courier"/>
      <w:noProof w:val="0"/>
      <w:sz w:val="24"/>
      <w:lang w:val="en-US"/>
    </w:rPr>
  </w:style>
  <w:style w:type="character" w:customStyle="1" w:styleId="h2">
    <w:name w:val="h2"/>
    <w:rPr>
      <w:rFonts w:ascii="Courier" w:hAnsi="Courier"/>
      <w:noProof w:val="0"/>
      <w:sz w:val="24"/>
      <w:lang w:val="en-US"/>
    </w:rPr>
  </w:style>
  <w:style w:type="character" w:customStyle="1" w:styleId="BulletList">
    <w:name w:val="Bullet List"/>
    <w:basedOn w:val="DefaultParagraphFont"/>
  </w:style>
  <w:style w:type="character" w:customStyle="1" w:styleId="Draft">
    <w:name w:val="Draft"/>
    <w:basedOn w:val="DefaultParagraphFont"/>
  </w:style>
  <w:style w:type="character" w:customStyle="1" w:styleId="memohdr">
    <w:name w:val="memohdr"/>
    <w:rPr>
      <w:rFonts w:ascii="Courier" w:hAnsi="Courier"/>
      <w:noProof w:val="0"/>
      <w:sz w:val="24"/>
      <w:lang w:val="en-US"/>
    </w:rPr>
  </w:style>
  <w:style w:type="paragraph" w:customStyle="1" w:styleId="memo">
    <w:name w:val="memo"/>
    <w:pPr>
      <w:widowControl w:val="0"/>
      <w:tabs>
        <w:tab w:val="left" w:pos="-1440"/>
        <w:tab w:val="left" w:pos="-720"/>
      </w:tabs>
      <w:suppressAutoHyphens/>
    </w:pPr>
    <w:rPr>
      <w:rFonts w:ascii="Courier" w:hAnsi="Courier"/>
      <w:snapToGrid w:val="0"/>
      <w:sz w:val="24"/>
    </w:rPr>
  </w:style>
  <w:style w:type="paragraph" w:customStyle="1" w:styleId="letter">
    <w:name w:val="letter"/>
    <w:pPr>
      <w:widowControl w:val="0"/>
      <w:tabs>
        <w:tab w:val="left" w:pos="-1440"/>
        <w:tab w:val="left" w:pos="-720"/>
      </w:tabs>
      <w:suppressAutoHyphens/>
    </w:pPr>
    <w:rPr>
      <w:rFonts w:ascii="Courier" w:hAnsi="Courier"/>
      <w:snapToGrid w:val="0"/>
      <w:sz w:val="24"/>
    </w:rPr>
  </w:style>
  <w:style w:type="character" w:customStyle="1" w:styleId="1">
    <w:name w:val="1"/>
    <w:rPr>
      <w:rFonts w:ascii="Courier" w:hAnsi="Courier"/>
      <w:noProof w:val="0"/>
      <w:sz w:val="24"/>
      <w:lang w:val="en-US"/>
    </w:rPr>
  </w:style>
  <w:style w:type="character" w:customStyle="1" w:styleId="HEADING">
    <w:name w:val="HEADING"/>
    <w:rPr>
      <w:rFonts w:ascii="Courier" w:hAnsi="Courier"/>
      <w:noProof w:val="0"/>
      <w:sz w:val="24"/>
      <w:lang w:val="en-US"/>
    </w:rPr>
  </w:style>
  <w:style w:type="character" w:customStyle="1" w:styleId="memo-head-en">
    <w:name w:val="memo-head-en"/>
    <w:rPr>
      <w:rFonts w:ascii="Courier" w:hAnsi="Courier"/>
      <w:noProof w:val="0"/>
      <w:sz w:val="24"/>
      <w:lang w:val="en-US"/>
    </w:rPr>
  </w:style>
  <w:style w:type="paragraph" w:customStyle="1" w:styleId="memo-date">
    <w:name w:val="memo-date"/>
    <w:pPr>
      <w:widowControl w:val="0"/>
      <w:tabs>
        <w:tab w:val="left" w:pos="-1440"/>
        <w:tab w:val="left" w:pos="-720"/>
        <w:tab w:val="left" w:pos="1152"/>
      </w:tabs>
      <w:suppressAutoHyphens/>
      <w:ind w:left="1152" w:hanging="1152"/>
    </w:pPr>
    <w:rPr>
      <w:rFonts w:ascii="CG Times" w:hAnsi="CG Times"/>
      <w:snapToGrid w:val="0"/>
      <w:sz w:val="24"/>
    </w:rPr>
  </w:style>
  <w:style w:type="character" w:customStyle="1" w:styleId="memo-subject">
    <w:name w:val="memo-subject"/>
    <w:rPr>
      <w:rFonts w:ascii="Courier" w:hAnsi="Courier"/>
      <w:noProof w:val="0"/>
      <w:sz w:val="24"/>
      <w:lang w:val="en-US"/>
    </w:rPr>
  </w:style>
  <w:style w:type="paragraph" w:styleId="TOC1">
    <w:name w:val="toc 1"/>
    <w:basedOn w:val="Normal"/>
    <w:next w:val="Normal"/>
    <w:autoRedefine/>
    <w:semiHidden/>
    <w:pPr>
      <w:tabs>
        <w:tab w:val="right" w:leader="dot" w:pos="9360"/>
      </w:tabs>
      <w:suppressAutoHyphens/>
      <w:spacing w:before="480"/>
      <w:ind w:left="720" w:right="720" w:hanging="720"/>
    </w:pPr>
  </w:style>
  <w:style w:type="paragraph" w:styleId="TOC2">
    <w:name w:val="toc 2"/>
    <w:basedOn w:val="Normal"/>
    <w:next w:val="Normal"/>
    <w:autoRedefine/>
    <w:semiHidden/>
    <w:pPr>
      <w:tabs>
        <w:tab w:val="right" w:leader="dot" w:pos="9360"/>
      </w:tabs>
      <w:suppressAutoHyphens/>
      <w:ind w:left="1440" w:right="720" w:hanging="720"/>
    </w:pPr>
  </w:style>
  <w:style w:type="paragraph" w:styleId="TOC3">
    <w:name w:val="toc 3"/>
    <w:basedOn w:val="Normal"/>
    <w:next w:val="Normal"/>
    <w:autoRedefine/>
    <w:semiHidden/>
    <w:pPr>
      <w:tabs>
        <w:tab w:val="right" w:leader="dot" w:pos="9360"/>
      </w:tabs>
      <w:suppressAutoHyphens/>
      <w:ind w:left="2160" w:right="720" w:hanging="720"/>
    </w:pPr>
  </w:style>
  <w:style w:type="paragraph" w:styleId="TOC4">
    <w:name w:val="toc 4"/>
    <w:basedOn w:val="Normal"/>
    <w:next w:val="Normal"/>
    <w:autoRedefine/>
    <w:semiHidden/>
    <w:pPr>
      <w:tabs>
        <w:tab w:val="right" w:leader="dot" w:pos="9360"/>
      </w:tabs>
      <w:suppressAutoHyphens/>
      <w:ind w:left="2880" w:right="720" w:hanging="720"/>
    </w:pPr>
  </w:style>
  <w:style w:type="paragraph" w:styleId="TOC5">
    <w:name w:val="toc 5"/>
    <w:basedOn w:val="Normal"/>
    <w:next w:val="Normal"/>
    <w:autoRedefine/>
    <w:semiHidden/>
    <w:pPr>
      <w:tabs>
        <w:tab w:val="right" w:leader="dot" w:pos="9360"/>
      </w:tabs>
      <w:suppressAutoHyphens/>
      <w:ind w:left="3600" w:right="720" w:hanging="720"/>
    </w:pPr>
  </w:style>
  <w:style w:type="paragraph" w:styleId="TOC6">
    <w:name w:val="toc 6"/>
    <w:basedOn w:val="Normal"/>
    <w:next w:val="Normal"/>
    <w:autoRedefine/>
    <w:semiHidden/>
    <w:pPr>
      <w:tabs>
        <w:tab w:val="right" w:pos="9360"/>
      </w:tabs>
      <w:suppressAutoHyphens/>
      <w:ind w:left="720" w:hanging="720"/>
    </w:pPr>
  </w:style>
  <w:style w:type="paragraph" w:styleId="TOC7">
    <w:name w:val="toc 7"/>
    <w:basedOn w:val="Normal"/>
    <w:next w:val="Normal"/>
    <w:autoRedefine/>
    <w:semiHidden/>
    <w:pPr>
      <w:suppressAutoHyphens/>
      <w:ind w:left="720" w:hanging="720"/>
    </w:pPr>
  </w:style>
  <w:style w:type="paragraph" w:styleId="TOC8">
    <w:name w:val="toc 8"/>
    <w:basedOn w:val="Normal"/>
    <w:next w:val="Normal"/>
    <w:autoRedefine/>
    <w:semiHidden/>
    <w:pPr>
      <w:tabs>
        <w:tab w:val="right" w:pos="9360"/>
      </w:tabs>
      <w:suppressAutoHyphens/>
      <w:ind w:left="720" w:hanging="720"/>
    </w:pPr>
  </w:style>
  <w:style w:type="paragraph" w:styleId="TOC9">
    <w:name w:val="toc 9"/>
    <w:basedOn w:val="Normal"/>
    <w:next w:val="Normal"/>
    <w:autoRedefine/>
    <w:semiHidden/>
    <w:pPr>
      <w:tabs>
        <w:tab w:val="right" w:leader="dot" w:pos="9360"/>
      </w:tabs>
      <w:suppressAutoHyphens/>
      <w:ind w:left="720" w:hanging="720"/>
    </w:pPr>
  </w:style>
  <w:style w:type="paragraph" w:styleId="Index1">
    <w:name w:val="index 1"/>
    <w:basedOn w:val="Normal"/>
    <w:next w:val="Normal"/>
    <w:autoRedefine/>
    <w:semiHidden/>
    <w:pPr>
      <w:tabs>
        <w:tab w:val="right" w:leader="dot" w:pos="9360"/>
      </w:tabs>
      <w:suppressAutoHyphens/>
      <w:ind w:left="1440" w:right="720" w:hanging="1440"/>
    </w:pPr>
  </w:style>
  <w:style w:type="paragraph" w:styleId="Index2">
    <w:name w:val="index 2"/>
    <w:basedOn w:val="Normal"/>
    <w:next w:val="Normal"/>
    <w:autoRedefine/>
    <w:semiHidden/>
    <w:pPr>
      <w:tabs>
        <w:tab w:val="right" w:leader="dot" w:pos="9360"/>
      </w:tabs>
      <w:suppressAutoHyphens/>
      <w:ind w:left="1440" w:right="720" w:hanging="720"/>
    </w:pPr>
  </w:style>
  <w:style w:type="paragraph" w:styleId="TOAHeading">
    <w:name w:val="toa heading"/>
    <w:basedOn w:val="Normal"/>
    <w:next w:val="Normal"/>
    <w:semiHidden/>
    <w:pPr>
      <w:tabs>
        <w:tab w:val="right" w:pos="9360"/>
      </w:tabs>
      <w:suppressAutoHyphens/>
    </w:pPr>
  </w:style>
  <w:style w:type="paragraph" w:styleId="Caption">
    <w:name w:val="caption"/>
    <w:basedOn w:val="Normal"/>
    <w:next w:val="Normal"/>
    <w:qFormat/>
  </w:style>
  <w:style w:type="character" w:customStyle="1" w:styleId="EquationCaption">
    <w:name w:val="_Equation Caption"/>
  </w:style>
  <w:style w:type="character" w:styleId="Hyperlink">
    <w:name w:val="Hyperlink"/>
    <w:uiPriority w:val="99"/>
    <w:rPr>
      <w:color w:val="0000FF"/>
      <w:u w:val="single"/>
    </w:rPr>
  </w:style>
  <w:style w:type="paragraph" w:styleId="BodyText">
    <w:name w:val="Body Text"/>
    <w:basedOn w:val="Normal"/>
    <w:link w:val="BodyTextChar"/>
    <w:pPr>
      <w:tabs>
        <w:tab w:val="left" w:pos="-720"/>
        <w:tab w:val="left" w:pos="0"/>
        <w:tab w:val="left" w:pos="1008"/>
        <w:tab w:val="left" w:pos="2160"/>
        <w:tab w:val="left" w:pos="4176"/>
        <w:tab w:val="left" w:pos="5472"/>
        <w:tab w:val="left" w:pos="6912"/>
      </w:tabs>
      <w:suppressAutoHyphens/>
    </w:pPr>
    <w:rPr>
      <w:rFonts w:ascii="CG Times" w:hAnsi="CG Times"/>
      <w:sz w:val="22"/>
    </w:rPr>
  </w:style>
  <w:style w:type="paragraph" w:styleId="BodyText3">
    <w:name w:val="Body Text 3"/>
    <w:basedOn w:val="Normal"/>
    <w:pPr>
      <w:widowControl/>
      <w:tabs>
        <w:tab w:val="left" w:pos="-1440"/>
        <w:tab w:val="left" w:pos="-720"/>
        <w:tab w:val="left" w:pos="0"/>
        <w:tab w:val="left" w:pos="720"/>
        <w:tab w:val="left" w:pos="1440"/>
        <w:tab w:val="left" w:pos="2592"/>
        <w:tab w:val="left" w:pos="3600"/>
        <w:tab w:val="left" w:pos="4320"/>
        <w:tab w:val="left" w:pos="5040"/>
        <w:tab w:val="left" w:pos="5760"/>
        <w:tab w:val="left" w:pos="6480"/>
        <w:tab w:val="left" w:pos="7200"/>
        <w:tab w:val="left" w:pos="7920"/>
        <w:tab w:val="left" w:pos="8640"/>
        <w:tab w:val="left" w:pos="9360"/>
      </w:tabs>
    </w:pPr>
    <w:rPr>
      <w:rFonts w:ascii="Times New Roman" w:hAnsi="Times New Roman"/>
      <w:sz w:val="22"/>
    </w:rPr>
  </w:style>
  <w:style w:type="paragraph" w:styleId="BodyTextIndent">
    <w:name w:val="Body Text Indent"/>
    <w:basedOn w:val="Normal"/>
    <w:pPr>
      <w:suppressAutoHyphens/>
      <w:spacing w:line="480" w:lineRule="auto"/>
      <w:ind w:firstLine="720"/>
    </w:pPr>
    <w:rPr>
      <w:rFonts w:ascii="CG Times" w:hAnsi="CG Times"/>
    </w:rPr>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styleId="NormalWeb">
    <w:name w:val="Normal (Web)"/>
    <w:basedOn w:val="Normal"/>
    <w:pPr>
      <w:widowControl/>
      <w:spacing w:before="100" w:beforeAutospacing="1" w:after="100" w:afterAutospacing="1"/>
    </w:pPr>
    <w:rPr>
      <w:rFonts w:ascii="Times New Roman" w:hAnsi="Times New Roman"/>
      <w:snapToGrid/>
      <w:color w:val="000000"/>
      <w:szCs w:val="24"/>
    </w:rPr>
  </w:style>
  <w:style w:type="paragraph" w:styleId="BodyTextIndent3">
    <w:name w:val="Body Text Indent 3"/>
    <w:basedOn w:val="Normal"/>
    <w:pPr>
      <w:spacing w:after="120"/>
      <w:ind w:left="360"/>
    </w:pPr>
    <w:rPr>
      <w:sz w:val="16"/>
      <w:szCs w:val="16"/>
    </w:rPr>
  </w:style>
  <w:style w:type="character" w:customStyle="1" w:styleId="BodyTextChar">
    <w:name w:val="Body Text Char"/>
    <w:link w:val="BodyText"/>
    <w:rPr>
      <w:rFonts w:ascii="CG Times" w:hAnsi="CG Times"/>
      <w:snapToGrid w:val="0"/>
      <w:sz w:val="22"/>
      <w:lang w:val="en-US" w:eastAsia="en-US" w:bidi="ar-SA"/>
    </w:rPr>
  </w:style>
  <w:style w:type="paragraph" w:styleId="HTMLPreformatted">
    <w:name w:val="HTML Preformatted"/>
    <w:basedOn w:val="Normal"/>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napToGrid/>
      <w:color w:val="000000"/>
      <w:sz w:val="20"/>
    </w:rPr>
  </w:style>
  <w:style w:type="paragraph" w:styleId="DocumentMap">
    <w:name w:val="Document Map"/>
    <w:basedOn w:val="Normal"/>
    <w:semiHidden/>
    <w:pPr>
      <w:shd w:val="clear" w:color="auto" w:fill="000080"/>
    </w:pPr>
    <w:rPr>
      <w:rFonts w:ascii="Tahoma" w:hAnsi="Tahoma" w:cs="Tahoma"/>
      <w:sz w:val="20"/>
    </w:rPr>
  </w:style>
  <w:style w:type="character" w:styleId="PageNumber">
    <w:name w:val="page number"/>
    <w:basedOn w:val="DefaultParagraphFont"/>
  </w:style>
  <w:style w:type="paragraph" w:styleId="BalloonText">
    <w:name w:val="Balloon Text"/>
    <w:basedOn w:val="Normal"/>
    <w:semiHidden/>
    <w:rPr>
      <w:rFonts w:ascii="Tahoma" w:hAnsi="Tahoma" w:cs="Tahoma"/>
      <w:sz w:val="16"/>
      <w:szCs w:val="16"/>
    </w:rPr>
  </w:style>
  <w:style w:type="character" w:customStyle="1" w:styleId="FootnoteTextChar">
    <w:name w:val="Footnote Text Char"/>
    <w:aliases w:val="Footnote Text Char Char Char,ft Char"/>
    <w:link w:val="FootnoteText"/>
    <w:uiPriority w:val="99"/>
    <w:locked/>
    <w:rPr>
      <w:rFonts w:ascii="Courier" w:hAnsi="Courier"/>
      <w:snapToGrid w:val="0"/>
      <w:sz w:val="24"/>
      <w:lang w:val="en-US" w:eastAsia="en-US" w:bidi="ar-SA"/>
    </w:rPr>
  </w:style>
  <w:style w:type="character" w:customStyle="1" w:styleId="documentbody1">
    <w:name w:val="documentbody1"/>
    <w:rPr>
      <w:rFonts w:ascii="Verdana" w:hAnsi="Verdana"/>
      <w:sz w:val="19"/>
    </w:rPr>
  </w:style>
  <w:style w:type="paragraph" w:styleId="ListParagraph">
    <w:name w:val="List Paragraph"/>
    <w:basedOn w:val="Normal"/>
    <w:qFormat/>
    <w:pPr>
      <w:widowControl/>
      <w:autoSpaceDE w:val="0"/>
      <w:autoSpaceDN w:val="0"/>
      <w:adjustRightInd w:val="0"/>
      <w:ind w:left="720"/>
    </w:pPr>
    <w:rPr>
      <w:rFonts w:ascii="Times New Roman" w:eastAsia="Calibri" w:hAnsi="Times New Roman"/>
      <w:snapToGrid/>
      <w:color w:val="000000"/>
      <w:szCs w:val="24"/>
    </w:rPr>
  </w:style>
  <w:style w:type="character" w:customStyle="1" w:styleId="HeaderChar">
    <w:name w:val="Header Char"/>
    <w:link w:val="Header"/>
    <w:semiHidden/>
    <w:locked/>
    <w:rPr>
      <w:rFonts w:ascii="Courier" w:hAnsi="Courier"/>
      <w:snapToGrid w:val="0"/>
      <w:sz w:val="24"/>
      <w:lang w:val="en-US" w:eastAsia="en-US" w:bidi="ar-SA"/>
    </w:rPr>
  </w:style>
  <w:style w:type="paragraph" w:customStyle="1" w:styleId="Default">
    <w:name w:val="Default"/>
    <w:rsid w:val="00C85E24"/>
    <w:pPr>
      <w:autoSpaceDE w:val="0"/>
      <w:autoSpaceDN w:val="0"/>
      <w:adjustRightInd w:val="0"/>
    </w:pPr>
    <w:rPr>
      <w:color w:val="000000"/>
      <w:sz w:val="24"/>
      <w:szCs w:val="24"/>
    </w:rPr>
  </w:style>
  <w:style w:type="paragraph" w:customStyle="1" w:styleId="CM32">
    <w:name w:val="CM32"/>
    <w:basedOn w:val="Default"/>
    <w:next w:val="Default"/>
    <w:uiPriority w:val="99"/>
    <w:rsid w:val="00743B5D"/>
    <w:pPr>
      <w:spacing w:line="231" w:lineRule="atLeast"/>
    </w:pPr>
    <w:rPr>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endnotes" Target="endnot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customXml" Target="../customXml/item1.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s://www.ecfr.gov/current/title-12/chapter-III/subchapter-B/part-351/subpart-B/section-351.4" TargetMode="External" /><Relationship Id="rId2" Type="http://schemas.openxmlformats.org/officeDocument/2006/relationships/hyperlink" Target="https://www.ecfr.gov/current/title-12/chapter-III/subchapter-B/part-351" TargetMode="External" /><Relationship Id="rId3" Type="http://schemas.openxmlformats.org/officeDocument/2006/relationships/hyperlink" Target="https://www.ecfr.gov/current/title-12/chapter-III/subchapter-B/part-351/subpart-D/section-351.20" TargetMode="External" /><Relationship Id="rId4" Type="http://schemas.openxmlformats.org/officeDocument/2006/relationships/hyperlink" Target="https://www.reginfo.gov/public/do/PRAViewICR?ref_nbr=202001-3064-005" TargetMode="External" /><Relationship Id="rId5" Type="http://schemas.openxmlformats.org/officeDocument/2006/relationships/hyperlink" Target="https://www.reginfo.gov/public/do/PRAViewICR?ref_nbr=202012-7100-005" TargetMode="External" /><Relationship Id="rId6" Type="http://schemas.openxmlformats.org/officeDocument/2006/relationships/hyperlink" Target="https://www.reginfo.gov/public/do/PRAViewICR?ref_nbr=202006-1557-00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84EA96-66D3-44AC-B72A-52B1012CCC8E}">
  <ds:schemaRefs>
    <ds:schemaRef ds:uri="http://schemas.openxmlformats.org/officeDocument/2006/bibliography"/>
  </ds:schemaRefs>
</ds:datastoreItem>
</file>

<file path=docMetadata/LabelInfo.xml><?xml version="1.0" encoding="utf-8"?>
<clbl:labelList xmlns:clbl="http://schemas.microsoft.com/office/2020/mipLabelMetadata">
  <clbl:label id="{e03712f0-ae86-44bd-82ca-deb0d0369377}" enabled="1" method="Privileged" siteId="{26c83bc9-31c1-4d77-a523-0816095aba31}" contentBits="1" removed="0"/>
</clbl:labelList>
</file>

<file path=docProps/app.xml><?xml version="1.0" encoding="utf-8"?>
<Properties xmlns="http://schemas.openxmlformats.org/officeDocument/2006/extended-properties" xmlns:vt="http://schemas.openxmlformats.org/officeDocument/2006/docPropsVTypes">
  <Template>Normal</Template>
  <TotalTime>0</TotalTime>
  <Pages>26</Pages>
  <Words>8157</Words>
  <Characters>46496</Characters>
  <Application>Microsoft Office Word</Application>
  <DocSecurity>0</DocSecurity>
  <Lines>387</Lines>
  <Paragraphs>109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2026-10-14T15:38:00Z</dcterms:created>
  <dcterms:modified xsi:type="dcterms:W3CDTF">2026-10-14T15:38:00Z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03712f0-ae86-44bd-82ca-deb0d0369377_ActionId">
    <vt:lpwstr>fc1c815e-bfd0-41de-b756-393c46683eb3</vt:lpwstr>
  </property>
  <property fmtid="{D5CDD505-2E9C-101B-9397-08002B2CF9AE}" pid="3" name="MSIP_Label_e03712f0-ae86-44bd-82ca-deb0d0369377_ContentBits">
    <vt:lpwstr>1</vt:lpwstr>
  </property>
  <property fmtid="{D5CDD505-2E9C-101B-9397-08002B2CF9AE}" pid="4" name="MSIP_Label_e03712f0-ae86-44bd-82ca-deb0d0369377_Enabled">
    <vt:lpwstr>true</vt:lpwstr>
  </property>
  <property fmtid="{D5CDD505-2E9C-101B-9397-08002B2CF9AE}" pid="5" name="MSIP_Label_e03712f0-ae86-44bd-82ca-deb0d0369377_Method">
    <vt:lpwstr>Privileged</vt:lpwstr>
  </property>
  <property fmtid="{D5CDD505-2E9C-101B-9397-08002B2CF9AE}" pid="6" name="MSIP_Label_e03712f0-ae86-44bd-82ca-deb0d0369377_Name">
    <vt:lpwstr>e03712f0-ae86-44bd-82ca-deb0d0369377</vt:lpwstr>
  </property>
  <property fmtid="{D5CDD505-2E9C-101B-9397-08002B2CF9AE}" pid="7" name="MSIP_Label_e03712f0-ae86-44bd-82ca-deb0d0369377_SetDate">
    <vt:lpwstr>2023-07-11T15:46:41Z</vt:lpwstr>
  </property>
  <property fmtid="{D5CDD505-2E9C-101B-9397-08002B2CF9AE}" pid="8" name="MSIP_Label_e03712f0-ae86-44bd-82ca-deb0d0369377_SiteId">
    <vt:lpwstr>26c83bc9-31c1-4d77-a523-0816095aba31</vt:lpwstr>
  </property>
</Properties>
</file>