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690249" w:rsidRPr="00D22269" w:rsidP="00690249" w14:paraId="3387CAB2" w14:textId="77777777">
      <w:pPr>
        <w:spacing w:after="0" w:line="240" w:lineRule="auto"/>
        <w:jc w:val="center"/>
        <w:rPr>
          <w:rFonts w:ascii="Times New Roman" w:hAnsi="Times New Roman" w:cs="Times New Roman"/>
          <w:b/>
          <w:bCs/>
        </w:rPr>
      </w:pPr>
      <w:r w:rsidRPr="00D22269">
        <w:rPr>
          <w:rFonts w:ascii="Times New Roman" w:hAnsi="Times New Roman" w:cs="Times New Roman"/>
          <w:b/>
          <w:bCs/>
        </w:rPr>
        <w:t>Federal Trade Commission Supporting Statement</w:t>
      </w:r>
    </w:p>
    <w:p w:rsidR="00690249" w:rsidRPr="00D22269" w:rsidP="00690249" w14:paraId="7B77E98C" w14:textId="77777777">
      <w:pPr>
        <w:spacing w:after="0" w:line="240" w:lineRule="auto"/>
        <w:jc w:val="center"/>
        <w:rPr>
          <w:rFonts w:ascii="Times New Roman" w:hAnsi="Times New Roman" w:cs="Times New Roman"/>
          <w:b/>
          <w:bCs/>
        </w:rPr>
      </w:pPr>
      <w:r w:rsidRPr="00D22269">
        <w:rPr>
          <w:rFonts w:ascii="Times New Roman" w:hAnsi="Times New Roman" w:cs="Times New Roman"/>
          <w:b/>
          <w:bCs/>
        </w:rPr>
        <w:t>for the Automotive Fuel Ratings, Certification and Posting Rule</w:t>
      </w:r>
    </w:p>
    <w:p w:rsidR="00690249" w:rsidRPr="00D22269" w:rsidP="00690249" w14:paraId="4247ACBA" w14:textId="77777777">
      <w:pPr>
        <w:spacing w:after="0" w:line="240" w:lineRule="auto"/>
        <w:jc w:val="center"/>
        <w:rPr>
          <w:rFonts w:ascii="Times New Roman" w:hAnsi="Times New Roman" w:cs="Times New Roman"/>
          <w:b/>
          <w:bCs/>
        </w:rPr>
      </w:pPr>
      <w:r w:rsidRPr="00D22269">
        <w:rPr>
          <w:rFonts w:ascii="Times New Roman" w:hAnsi="Times New Roman" w:cs="Times New Roman"/>
          <w:b/>
          <w:bCs/>
        </w:rPr>
        <w:t>(“Fuel Rating Rule”)</w:t>
      </w:r>
    </w:p>
    <w:p w:rsidR="00690249" w:rsidRPr="00D22269" w:rsidP="00690249" w14:paraId="52BA21A1" w14:textId="77777777">
      <w:pPr>
        <w:spacing w:after="0" w:line="240" w:lineRule="auto"/>
        <w:jc w:val="center"/>
        <w:rPr>
          <w:rFonts w:ascii="Times New Roman" w:hAnsi="Times New Roman" w:cs="Times New Roman"/>
          <w:b/>
          <w:bCs/>
        </w:rPr>
      </w:pPr>
      <w:r w:rsidRPr="00D22269">
        <w:rPr>
          <w:rFonts w:ascii="Times New Roman" w:hAnsi="Times New Roman" w:cs="Times New Roman"/>
          <w:b/>
          <w:bCs/>
        </w:rPr>
        <w:t>16 C.F.R. Part 306</w:t>
      </w:r>
    </w:p>
    <w:p w:rsidR="00690249" w:rsidRPr="00D22269" w:rsidP="00690249" w14:paraId="49A8F0F5" w14:textId="77777777">
      <w:pPr>
        <w:spacing w:after="0" w:line="240" w:lineRule="auto"/>
        <w:jc w:val="center"/>
        <w:rPr>
          <w:rFonts w:ascii="Times New Roman" w:hAnsi="Times New Roman" w:cs="Times New Roman"/>
          <w:b/>
          <w:bCs/>
        </w:rPr>
      </w:pPr>
      <w:r w:rsidRPr="00D22269">
        <w:rPr>
          <w:rFonts w:ascii="Times New Roman" w:hAnsi="Times New Roman" w:cs="Times New Roman"/>
          <w:b/>
          <w:bCs/>
        </w:rPr>
        <w:t>OMB Control No. 3084-0068</w:t>
      </w:r>
    </w:p>
    <w:p w:rsidR="00690249" w:rsidRPr="00D22269" w:rsidP="00690249" w14:paraId="7ACCB3DE" w14:textId="77777777">
      <w:pPr>
        <w:spacing w:after="0" w:line="240" w:lineRule="auto"/>
        <w:rPr>
          <w:rFonts w:ascii="Times New Roman" w:hAnsi="Times New Roman" w:cs="Times New Roman"/>
        </w:rPr>
      </w:pPr>
    </w:p>
    <w:p w:rsidR="00690249" w:rsidRPr="00D22269" w:rsidP="00690249" w14:paraId="626C48E8" w14:textId="77777777">
      <w:pPr>
        <w:spacing w:after="0" w:line="240" w:lineRule="auto"/>
        <w:ind w:firstLine="720"/>
        <w:rPr>
          <w:rFonts w:ascii="Times New Roman" w:hAnsi="Times New Roman" w:cs="Times New Roman"/>
        </w:rPr>
      </w:pPr>
      <w:r w:rsidRPr="00D22269">
        <w:rPr>
          <w:rFonts w:ascii="Times New Roman" w:hAnsi="Times New Roman" w:cs="Times New Roman"/>
        </w:rPr>
        <w:t>The Federal Trade Commission (“FTC” or “Commission”) requests approval for a three-year extension of an existing clearance relating to the disclosure and reporting requirements under the Automotive Fuel Ratings, Certification and Posting Rule (“Fuel Rating Rule”). There is no change in the instrument collection.</w:t>
      </w:r>
    </w:p>
    <w:p w:rsidR="00690249" w:rsidRPr="00D22269" w:rsidP="00690249" w14:paraId="4BD1D8E0" w14:textId="77777777">
      <w:pPr>
        <w:spacing w:after="0" w:line="240" w:lineRule="auto"/>
        <w:ind w:firstLine="720"/>
        <w:rPr>
          <w:rFonts w:ascii="Times New Roman" w:hAnsi="Times New Roman" w:cs="Times New Roman"/>
        </w:rPr>
      </w:pPr>
    </w:p>
    <w:p w:rsidR="00690249" w:rsidRPr="00D22269" w:rsidP="00690249" w14:paraId="099146AC" w14:textId="28C984BB">
      <w:pPr>
        <w:pStyle w:val="ListParagraph"/>
        <w:numPr>
          <w:ilvl w:val="0"/>
          <w:numId w:val="2"/>
        </w:numPr>
        <w:tabs>
          <w:tab w:val="left" w:pos="720"/>
        </w:tabs>
        <w:spacing w:after="0" w:line="240" w:lineRule="auto"/>
        <w:ind w:left="720" w:hanging="720"/>
        <w:rPr>
          <w:rFonts w:ascii="Times New Roman" w:hAnsi="Times New Roman" w:cs="Times New Roman"/>
        </w:rPr>
      </w:pPr>
      <w:r w:rsidRPr="00D22269">
        <w:rPr>
          <w:rFonts w:ascii="Times New Roman" w:hAnsi="Times New Roman" w:cs="Times New Roman"/>
          <w:b/>
          <w:bCs/>
        </w:rPr>
        <w:t>Necessity for Collecting the Information</w:t>
      </w:r>
    </w:p>
    <w:p w:rsidR="00690249" w:rsidRPr="00D22269" w:rsidP="00690249" w14:paraId="7C5ED785" w14:textId="77777777">
      <w:pPr>
        <w:pStyle w:val="ListParagraph"/>
        <w:tabs>
          <w:tab w:val="left" w:pos="720"/>
        </w:tabs>
        <w:spacing w:after="0" w:line="240" w:lineRule="auto"/>
        <w:rPr>
          <w:rFonts w:ascii="Times New Roman" w:hAnsi="Times New Roman" w:cs="Times New Roman"/>
        </w:rPr>
      </w:pPr>
    </w:p>
    <w:p w:rsidR="00690249" w:rsidRPr="00D22269" w:rsidP="00690249" w14:paraId="492DFE82" w14:textId="2D58793F">
      <w:pPr>
        <w:spacing w:after="0" w:line="240" w:lineRule="auto"/>
        <w:ind w:firstLine="720"/>
        <w:rPr>
          <w:rFonts w:ascii="Times New Roman" w:hAnsi="Times New Roman" w:cs="Times New Roman"/>
        </w:rPr>
      </w:pPr>
      <w:r w:rsidRPr="00D22269">
        <w:rPr>
          <w:rFonts w:ascii="Times New Roman" w:hAnsi="Times New Roman" w:cs="Times New Roman"/>
        </w:rPr>
        <w:t>The Fuel Rating Rule establishes standard procedures for determining, certifying, and disclosing the octane rating of automotive gasoline and the automotive fuel rating of alternative liquid automotive fuels, as required by the Petroleum Marketing Practices Act</w:t>
      </w:r>
      <w:r w:rsidR="00315F00">
        <w:rPr>
          <w:rFonts w:ascii="Times New Roman" w:hAnsi="Times New Roman" w:cs="Times New Roman"/>
        </w:rPr>
        <w:t xml:space="preserve"> (“PMPA”)</w:t>
      </w:r>
      <w:r w:rsidRPr="00D22269">
        <w:rPr>
          <w:rFonts w:ascii="Times New Roman" w:hAnsi="Times New Roman" w:cs="Times New Roman"/>
        </w:rPr>
        <w:t>. 15 U.S.C. § 2822(a)-(c). The Rule also requires refiners, producers, importers, distributors, and retailers to retain records showing how the ratings were determined, including delivery tickets or letters of certification.</w:t>
      </w:r>
    </w:p>
    <w:p w:rsidR="00690249" w:rsidRPr="00D22269" w:rsidP="00690249" w14:paraId="6A474B8C" w14:textId="77777777">
      <w:pPr>
        <w:spacing w:after="0" w:line="240" w:lineRule="auto"/>
        <w:ind w:firstLine="720"/>
        <w:rPr>
          <w:rFonts w:ascii="Times New Roman" w:hAnsi="Times New Roman" w:cs="Times New Roman"/>
        </w:rPr>
      </w:pPr>
    </w:p>
    <w:p w:rsidR="00690249" w:rsidRPr="00D22269" w:rsidP="002679F1" w14:paraId="1E4C693B" w14:textId="3CF7964B">
      <w:pPr>
        <w:spacing w:after="0" w:line="240" w:lineRule="auto"/>
        <w:ind w:firstLine="720"/>
        <w:rPr>
          <w:rFonts w:ascii="Times New Roman" w:hAnsi="Times New Roman" w:cs="Times New Roman"/>
        </w:rPr>
      </w:pPr>
      <w:r w:rsidRPr="00D22269">
        <w:rPr>
          <w:rFonts w:ascii="Times New Roman" w:hAnsi="Times New Roman" w:cs="Times New Roman"/>
        </w:rPr>
        <w:t>The Rule further requires producers, importers, distributors, and retailers of alternative</w:t>
      </w:r>
      <w:r w:rsidR="002679F1">
        <w:rPr>
          <w:rFonts w:ascii="Times New Roman" w:hAnsi="Times New Roman" w:cs="Times New Roman"/>
        </w:rPr>
        <w:t xml:space="preserve"> </w:t>
      </w:r>
      <w:r w:rsidRPr="00D22269">
        <w:rPr>
          <w:rFonts w:ascii="Times New Roman" w:hAnsi="Times New Roman" w:cs="Times New Roman"/>
        </w:rPr>
        <w:t>fuels to keep for one year records of any delivery tickets, letters of certification, or tests upon</w:t>
      </w:r>
      <w:r w:rsidR="002679F1">
        <w:rPr>
          <w:rFonts w:ascii="Times New Roman" w:hAnsi="Times New Roman" w:cs="Times New Roman"/>
        </w:rPr>
        <w:t xml:space="preserve"> </w:t>
      </w:r>
      <w:r w:rsidRPr="00D22269">
        <w:rPr>
          <w:rFonts w:ascii="Times New Roman" w:hAnsi="Times New Roman" w:cs="Times New Roman"/>
        </w:rPr>
        <w:t>which they based the automotive fuel ratings that they certified or posted. These records must be</w:t>
      </w:r>
      <w:r w:rsidR="002679F1">
        <w:rPr>
          <w:rFonts w:ascii="Times New Roman" w:hAnsi="Times New Roman" w:cs="Times New Roman"/>
        </w:rPr>
        <w:t xml:space="preserve"> </w:t>
      </w:r>
      <w:r w:rsidRPr="00D22269">
        <w:rPr>
          <w:rFonts w:ascii="Times New Roman" w:hAnsi="Times New Roman" w:cs="Times New Roman"/>
        </w:rPr>
        <w:t>available for inspection by Commission and Environmental Protection Agency (“EPA”) staff</w:t>
      </w:r>
      <w:r w:rsidR="002679F1">
        <w:rPr>
          <w:rFonts w:ascii="Times New Roman" w:hAnsi="Times New Roman" w:cs="Times New Roman"/>
        </w:rPr>
        <w:t xml:space="preserve"> </w:t>
      </w:r>
      <w:r w:rsidRPr="00D22269">
        <w:rPr>
          <w:rFonts w:ascii="Times New Roman" w:hAnsi="Times New Roman" w:cs="Times New Roman"/>
        </w:rPr>
        <w:t>members or by persons authorized by the Commission or EPA.</w:t>
      </w:r>
    </w:p>
    <w:p w:rsidR="00690249" w:rsidRPr="00D22269" w:rsidP="00690249" w14:paraId="06BB1AC3" w14:textId="77777777">
      <w:pPr>
        <w:spacing w:after="0" w:line="240" w:lineRule="auto"/>
        <w:rPr>
          <w:rFonts w:ascii="Times New Roman" w:hAnsi="Times New Roman" w:cs="Times New Roman"/>
        </w:rPr>
      </w:pPr>
    </w:p>
    <w:p w:rsidR="00690249" w:rsidRPr="00D22269" w:rsidP="00690249" w14:paraId="746DC57C" w14:textId="0BF66379">
      <w:pPr>
        <w:pStyle w:val="ListParagraph"/>
        <w:numPr>
          <w:ilvl w:val="0"/>
          <w:numId w:val="2"/>
        </w:numPr>
        <w:tabs>
          <w:tab w:val="left" w:pos="720"/>
        </w:tabs>
        <w:spacing w:after="0" w:line="240" w:lineRule="auto"/>
        <w:ind w:left="720" w:hanging="720"/>
        <w:rPr>
          <w:rFonts w:ascii="Times New Roman" w:hAnsi="Times New Roman" w:cs="Times New Roman"/>
          <w:b/>
          <w:bCs/>
        </w:rPr>
      </w:pPr>
      <w:r w:rsidRPr="00D22269">
        <w:rPr>
          <w:rFonts w:ascii="Times New Roman" w:hAnsi="Times New Roman" w:cs="Times New Roman"/>
          <w:b/>
          <w:bCs/>
        </w:rPr>
        <w:t>Use of the Information</w:t>
      </w:r>
    </w:p>
    <w:p w:rsidR="00690249" w:rsidRPr="00D22269" w:rsidP="00690249" w14:paraId="03FFAE35" w14:textId="77777777">
      <w:pPr>
        <w:pStyle w:val="ListParagraph"/>
        <w:tabs>
          <w:tab w:val="left" w:pos="720"/>
        </w:tabs>
        <w:spacing w:after="0" w:line="240" w:lineRule="auto"/>
        <w:rPr>
          <w:rFonts w:ascii="Times New Roman" w:hAnsi="Times New Roman" w:cs="Times New Roman"/>
          <w:b/>
          <w:bCs/>
        </w:rPr>
      </w:pPr>
    </w:p>
    <w:p w:rsidR="00690249" w:rsidRPr="00D22269" w:rsidP="002679F1" w14:paraId="6AC6C8F8" w14:textId="2766F5A3">
      <w:pPr>
        <w:spacing w:after="0" w:line="240" w:lineRule="auto"/>
        <w:ind w:firstLine="720"/>
        <w:rPr>
          <w:rFonts w:ascii="Times New Roman" w:hAnsi="Times New Roman" w:cs="Times New Roman"/>
        </w:rPr>
      </w:pPr>
      <w:r w:rsidRPr="00D22269">
        <w:rPr>
          <w:rFonts w:ascii="Times New Roman" w:hAnsi="Times New Roman" w:cs="Times New Roman"/>
        </w:rPr>
        <w:t>By knowing as accurately as possible both the octane or fuel rating requirements of their</w:t>
      </w:r>
      <w:r w:rsidR="002679F1">
        <w:rPr>
          <w:rFonts w:ascii="Times New Roman" w:hAnsi="Times New Roman" w:cs="Times New Roman"/>
        </w:rPr>
        <w:t xml:space="preserve"> </w:t>
      </w:r>
      <w:r w:rsidRPr="00D22269">
        <w:rPr>
          <w:rFonts w:ascii="Times New Roman" w:hAnsi="Times New Roman" w:cs="Times New Roman"/>
        </w:rPr>
        <w:t>cars and the associated rating of what they buy at the pump, consumers simultaneously can save</w:t>
      </w:r>
      <w:r w:rsidR="002679F1">
        <w:rPr>
          <w:rFonts w:ascii="Times New Roman" w:hAnsi="Times New Roman" w:cs="Times New Roman"/>
        </w:rPr>
        <w:t xml:space="preserve"> </w:t>
      </w:r>
      <w:r w:rsidRPr="00D22269">
        <w:rPr>
          <w:rFonts w:ascii="Times New Roman" w:hAnsi="Times New Roman" w:cs="Times New Roman"/>
        </w:rPr>
        <w:t>money, conserve energy, reduce air pollution, and protect their cars against possible engine</w:t>
      </w:r>
      <w:r w:rsidR="002679F1">
        <w:rPr>
          <w:rFonts w:ascii="Times New Roman" w:hAnsi="Times New Roman" w:cs="Times New Roman"/>
        </w:rPr>
        <w:t xml:space="preserve"> </w:t>
      </w:r>
      <w:r w:rsidRPr="00D22269">
        <w:rPr>
          <w:rFonts w:ascii="Times New Roman" w:hAnsi="Times New Roman" w:cs="Times New Roman"/>
        </w:rPr>
        <w:t>damage.</w:t>
      </w:r>
    </w:p>
    <w:p w:rsidR="00690249" w:rsidRPr="00D22269" w:rsidP="00690249" w14:paraId="3A785224" w14:textId="77777777">
      <w:pPr>
        <w:spacing w:after="0" w:line="240" w:lineRule="auto"/>
        <w:rPr>
          <w:rFonts w:ascii="Times New Roman" w:hAnsi="Times New Roman" w:cs="Times New Roman"/>
        </w:rPr>
      </w:pPr>
    </w:p>
    <w:p w:rsidR="00690249" w:rsidRPr="00D22269" w:rsidP="002679F1" w14:paraId="62B2BE22" w14:textId="7080384E">
      <w:pPr>
        <w:spacing w:after="0" w:line="240" w:lineRule="auto"/>
        <w:ind w:firstLine="720"/>
        <w:rPr>
          <w:rFonts w:ascii="Times New Roman" w:hAnsi="Times New Roman" w:cs="Times New Roman"/>
        </w:rPr>
      </w:pPr>
      <w:r w:rsidRPr="00D22269">
        <w:rPr>
          <w:rFonts w:ascii="Times New Roman" w:hAnsi="Times New Roman" w:cs="Times New Roman"/>
        </w:rPr>
        <w:t>The information that must be kept under the Rule’s recordkeeping requirements is used</w:t>
      </w:r>
      <w:r w:rsidR="002679F1">
        <w:rPr>
          <w:rFonts w:ascii="Times New Roman" w:hAnsi="Times New Roman" w:cs="Times New Roman"/>
        </w:rPr>
        <w:t xml:space="preserve"> </w:t>
      </w:r>
      <w:r w:rsidRPr="00D22269">
        <w:rPr>
          <w:rFonts w:ascii="Times New Roman" w:hAnsi="Times New Roman" w:cs="Times New Roman"/>
        </w:rPr>
        <w:t>by Commission or EPA staff, or by persons authorized by the FTC or EPA. Authorized persons</w:t>
      </w:r>
      <w:r w:rsidR="002679F1">
        <w:rPr>
          <w:rFonts w:ascii="Times New Roman" w:hAnsi="Times New Roman" w:cs="Times New Roman"/>
        </w:rPr>
        <w:t xml:space="preserve"> </w:t>
      </w:r>
      <w:r w:rsidRPr="00D22269">
        <w:rPr>
          <w:rFonts w:ascii="Times New Roman" w:hAnsi="Times New Roman" w:cs="Times New Roman"/>
        </w:rPr>
        <w:t>check the records for enforcement purposes to ensure the accuracy of automotive fuel rating</w:t>
      </w:r>
      <w:r w:rsidR="002679F1">
        <w:rPr>
          <w:rFonts w:ascii="Times New Roman" w:hAnsi="Times New Roman" w:cs="Times New Roman"/>
        </w:rPr>
        <w:t xml:space="preserve"> </w:t>
      </w:r>
      <w:r w:rsidRPr="00D22269">
        <w:rPr>
          <w:rFonts w:ascii="Times New Roman" w:hAnsi="Times New Roman" w:cs="Times New Roman"/>
        </w:rPr>
        <w:t>representations. The information is sought on a case-by-case or spot check basis.</w:t>
      </w:r>
    </w:p>
    <w:p w:rsidR="00690249" w:rsidRPr="00D22269" w:rsidP="00690249" w14:paraId="3A0023AC" w14:textId="77777777">
      <w:pPr>
        <w:spacing w:after="0" w:line="240" w:lineRule="auto"/>
        <w:rPr>
          <w:rFonts w:ascii="Times New Roman" w:hAnsi="Times New Roman" w:cs="Times New Roman"/>
        </w:rPr>
      </w:pPr>
    </w:p>
    <w:p w:rsidR="00690249" w:rsidP="002679F1" w14:paraId="5FABED20" w14:textId="566A29C9">
      <w:pPr>
        <w:spacing w:after="0" w:line="240" w:lineRule="auto"/>
        <w:ind w:firstLine="720"/>
        <w:rPr>
          <w:rFonts w:ascii="Times New Roman" w:hAnsi="Times New Roman" w:cs="Times New Roman"/>
        </w:rPr>
      </w:pPr>
      <w:r w:rsidRPr="00D22269">
        <w:rPr>
          <w:rFonts w:ascii="Times New Roman" w:hAnsi="Times New Roman" w:cs="Times New Roman"/>
        </w:rPr>
        <w:t>The primary purpose of the recordkeeping requirement is to preserve evidence of</w:t>
      </w:r>
      <w:r w:rsidR="002679F1">
        <w:rPr>
          <w:rFonts w:ascii="Times New Roman" w:hAnsi="Times New Roman" w:cs="Times New Roman"/>
        </w:rPr>
        <w:t xml:space="preserve"> </w:t>
      </w:r>
      <w:r w:rsidRPr="00D22269">
        <w:rPr>
          <w:rFonts w:ascii="Times New Roman" w:hAnsi="Times New Roman" w:cs="Times New Roman"/>
        </w:rPr>
        <w:t>automotive fuel rating certification from refiners through the chain of distribution. Without</w:t>
      </w:r>
      <w:r w:rsidR="002679F1">
        <w:rPr>
          <w:rFonts w:ascii="Times New Roman" w:hAnsi="Times New Roman" w:cs="Times New Roman"/>
        </w:rPr>
        <w:t xml:space="preserve"> </w:t>
      </w:r>
      <w:r w:rsidRPr="00D22269">
        <w:rPr>
          <w:rFonts w:ascii="Times New Roman" w:hAnsi="Times New Roman" w:cs="Times New Roman"/>
        </w:rPr>
        <w:t>records of how the rating of the automotive fuel was represented when the transfer was made, it</w:t>
      </w:r>
      <w:r w:rsidR="002679F1">
        <w:rPr>
          <w:rFonts w:ascii="Times New Roman" w:hAnsi="Times New Roman" w:cs="Times New Roman"/>
        </w:rPr>
        <w:t xml:space="preserve"> </w:t>
      </w:r>
      <w:r w:rsidRPr="00D22269">
        <w:rPr>
          <w:rFonts w:ascii="Times New Roman" w:hAnsi="Times New Roman" w:cs="Times New Roman"/>
        </w:rPr>
        <w:t>would be impossible to trace cases of a rating overstatement from the point of detection at the</w:t>
      </w:r>
      <w:r w:rsidR="002679F1">
        <w:rPr>
          <w:rFonts w:ascii="Times New Roman" w:hAnsi="Times New Roman" w:cs="Times New Roman"/>
        </w:rPr>
        <w:t xml:space="preserve"> </w:t>
      </w:r>
      <w:r w:rsidRPr="00D22269">
        <w:rPr>
          <w:rFonts w:ascii="Times New Roman" w:hAnsi="Times New Roman" w:cs="Times New Roman"/>
        </w:rPr>
        <w:t>retail level back upstream to an offending distributor or refiner.</w:t>
      </w:r>
    </w:p>
    <w:p w:rsidR="0096143B" w:rsidP="00690249" w14:paraId="23007300" w14:textId="77777777">
      <w:pPr>
        <w:spacing w:after="0" w:line="240" w:lineRule="auto"/>
        <w:rPr>
          <w:rFonts w:ascii="Times New Roman" w:hAnsi="Times New Roman" w:cs="Times New Roman"/>
        </w:rPr>
      </w:pPr>
    </w:p>
    <w:p w:rsidR="0096143B" w:rsidRPr="00D22269" w:rsidP="00690249" w14:paraId="13C2B4AD" w14:textId="77777777">
      <w:pPr>
        <w:spacing w:after="0" w:line="240" w:lineRule="auto"/>
        <w:rPr>
          <w:rFonts w:ascii="Times New Roman" w:hAnsi="Times New Roman" w:cs="Times New Roman"/>
        </w:rPr>
      </w:pPr>
    </w:p>
    <w:p w:rsidR="00690249" w:rsidRPr="00D22269" w:rsidP="00690249" w14:paraId="76972884" w14:textId="77777777">
      <w:pPr>
        <w:spacing w:after="0" w:line="240" w:lineRule="auto"/>
        <w:rPr>
          <w:rFonts w:ascii="Times New Roman" w:hAnsi="Times New Roman" w:cs="Times New Roman"/>
        </w:rPr>
      </w:pPr>
    </w:p>
    <w:p w:rsidR="00690249" w:rsidRPr="00D22269" w:rsidP="00690249" w14:paraId="61B4BE3D" w14:textId="5912DD58">
      <w:pPr>
        <w:pStyle w:val="ListParagraph"/>
        <w:numPr>
          <w:ilvl w:val="0"/>
          <w:numId w:val="2"/>
        </w:numPr>
        <w:tabs>
          <w:tab w:val="left" w:pos="720"/>
        </w:tabs>
        <w:spacing w:after="0" w:line="240" w:lineRule="auto"/>
        <w:ind w:left="720" w:hanging="720"/>
        <w:rPr>
          <w:rFonts w:ascii="Times New Roman" w:hAnsi="Times New Roman" w:cs="Times New Roman"/>
        </w:rPr>
      </w:pPr>
      <w:r w:rsidRPr="00D22269">
        <w:rPr>
          <w:rFonts w:ascii="Times New Roman" w:hAnsi="Times New Roman" w:cs="Times New Roman"/>
          <w:b/>
          <w:bCs/>
        </w:rPr>
        <w:t>Consideration of the Use of Improved Information Technology to Reduce Burden</w:t>
      </w:r>
    </w:p>
    <w:p w:rsidR="00690249" w:rsidRPr="00D22269" w:rsidP="00690249" w14:paraId="305CFCCD" w14:textId="77777777">
      <w:pPr>
        <w:spacing w:after="0" w:line="240" w:lineRule="auto"/>
        <w:rPr>
          <w:rFonts w:ascii="Times New Roman" w:hAnsi="Times New Roman" w:cs="Times New Roman"/>
        </w:rPr>
      </w:pPr>
    </w:p>
    <w:p w:rsidR="00690249" w:rsidRPr="00D22269" w:rsidP="002679F1" w14:paraId="50186A2A" w14:textId="7D53B359">
      <w:pPr>
        <w:spacing w:after="0" w:line="240" w:lineRule="auto"/>
        <w:ind w:firstLine="720"/>
        <w:rPr>
          <w:rFonts w:ascii="Times New Roman" w:hAnsi="Times New Roman" w:cs="Times New Roman"/>
        </w:rPr>
      </w:pPr>
      <w:r w:rsidRPr="00D22269">
        <w:rPr>
          <w:rFonts w:ascii="Times New Roman" w:hAnsi="Times New Roman" w:cs="Times New Roman"/>
        </w:rPr>
        <w:t>The Rule permits the use of any technologies that industry members may wish to employ</w:t>
      </w:r>
      <w:r w:rsidR="002679F1">
        <w:rPr>
          <w:rFonts w:ascii="Times New Roman" w:hAnsi="Times New Roman" w:cs="Times New Roman"/>
        </w:rPr>
        <w:t xml:space="preserve"> </w:t>
      </w:r>
      <w:r w:rsidRPr="00D22269">
        <w:rPr>
          <w:rFonts w:ascii="Times New Roman" w:hAnsi="Times New Roman" w:cs="Times New Roman"/>
        </w:rPr>
        <w:t>and that may reduce the burden of information collection. The Rule’s certification and posting</w:t>
      </w:r>
      <w:r w:rsidR="002679F1">
        <w:rPr>
          <w:rFonts w:ascii="Times New Roman" w:hAnsi="Times New Roman" w:cs="Times New Roman"/>
        </w:rPr>
        <w:t xml:space="preserve"> </w:t>
      </w:r>
      <w:r w:rsidRPr="00D22269">
        <w:rPr>
          <w:rFonts w:ascii="Times New Roman" w:hAnsi="Times New Roman" w:cs="Times New Roman"/>
        </w:rPr>
        <w:t>requirements are tailored to take advantage of existing industry practices in order to minimize the</w:t>
      </w:r>
      <w:r w:rsidR="002679F1">
        <w:rPr>
          <w:rFonts w:ascii="Times New Roman" w:hAnsi="Times New Roman" w:cs="Times New Roman"/>
        </w:rPr>
        <w:t xml:space="preserve"> </w:t>
      </w:r>
      <w:r w:rsidRPr="00D22269">
        <w:rPr>
          <w:rFonts w:ascii="Times New Roman" w:hAnsi="Times New Roman" w:cs="Times New Roman"/>
        </w:rPr>
        <w:t>compliance burden. Certifications can be made on computer-generated delivery documents,</w:t>
      </w:r>
      <w:r w:rsidR="002679F1">
        <w:rPr>
          <w:rFonts w:ascii="Times New Roman" w:hAnsi="Times New Roman" w:cs="Times New Roman"/>
        </w:rPr>
        <w:t xml:space="preserve"> </w:t>
      </w:r>
      <w:r w:rsidRPr="00D22269">
        <w:rPr>
          <w:rFonts w:ascii="Times New Roman" w:hAnsi="Times New Roman" w:cs="Times New Roman"/>
        </w:rPr>
        <w:t>resulting in savings of considerable time and labor. As noted above, certification can be</w:t>
      </w:r>
      <w:r w:rsidR="002679F1">
        <w:rPr>
          <w:rFonts w:ascii="Times New Roman" w:hAnsi="Times New Roman" w:cs="Times New Roman"/>
        </w:rPr>
        <w:t xml:space="preserve"> </w:t>
      </w:r>
      <w:r w:rsidRPr="00D22269">
        <w:rPr>
          <w:rFonts w:ascii="Times New Roman" w:hAnsi="Times New Roman" w:cs="Times New Roman"/>
        </w:rPr>
        <w:t>accomplished in either of two ways: on a delivery ticket with each transfer of fuel or by a</w:t>
      </w:r>
      <w:r w:rsidR="002679F1">
        <w:rPr>
          <w:rFonts w:ascii="Times New Roman" w:hAnsi="Times New Roman" w:cs="Times New Roman"/>
        </w:rPr>
        <w:t xml:space="preserve"> </w:t>
      </w:r>
      <w:r w:rsidRPr="00D22269">
        <w:rPr>
          <w:rFonts w:ascii="Times New Roman" w:hAnsi="Times New Roman" w:cs="Times New Roman"/>
        </w:rPr>
        <w:t>certification letter or other written statement, which may be sent and stored electronically.</w:t>
      </w:r>
    </w:p>
    <w:p w:rsidR="00690249" w:rsidRPr="00D22269" w:rsidP="00690249" w14:paraId="668DA453" w14:textId="77777777">
      <w:pPr>
        <w:spacing w:after="0" w:line="240" w:lineRule="auto"/>
        <w:rPr>
          <w:rFonts w:ascii="Times New Roman" w:hAnsi="Times New Roman" w:cs="Times New Roman"/>
        </w:rPr>
      </w:pPr>
    </w:p>
    <w:p w:rsidR="00690249" w:rsidRPr="00D22269" w:rsidP="00D3782A" w14:paraId="6CA2D84C" w14:textId="3AAF1BBC">
      <w:pPr>
        <w:spacing w:after="0" w:line="240" w:lineRule="auto"/>
        <w:ind w:firstLine="720"/>
        <w:rPr>
          <w:rFonts w:ascii="Times New Roman" w:hAnsi="Times New Roman" w:cs="Times New Roman"/>
        </w:rPr>
      </w:pPr>
      <w:r w:rsidRPr="00D22269">
        <w:rPr>
          <w:rFonts w:ascii="Times New Roman" w:hAnsi="Times New Roman" w:cs="Times New Roman"/>
        </w:rPr>
        <w:t>Although nothing in the Rule requires that these certifications contain any signature (see</w:t>
      </w:r>
      <w:r w:rsidR="00D3782A">
        <w:rPr>
          <w:rFonts w:ascii="Times New Roman" w:hAnsi="Times New Roman" w:cs="Times New Roman"/>
        </w:rPr>
        <w:t xml:space="preserve"> </w:t>
      </w:r>
      <w:r w:rsidRPr="00D22269">
        <w:rPr>
          <w:rFonts w:ascii="Times New Roman" w:hAnsi="Times New Roman" w:cs="Times New Roman"/>
        </w:rPr>
        <w:t>§ 306.6), to the extent such a certification may typically involve a signature, the Rule leaves</w:t>
      </w:r>
      <w:r w:rsidR="00D3782A">
        <w:rPr>
          <w:rFonts w:ascii="Times New Roman" w:hAnsi="Times New Roman" w:cs="Times New Roman"/>
        </w:rPr>
        <w:t xml:space="preserve"> </w:t>
      </w:r>
      <w:r w:rsidRPr="00D22269">
        <w:rPr>
          <w:rFonts w:ascii="Times New Roman" w:hAnsi="Times New Roman" w:cs="Times New Roman"/>
        </w:rPr>
        <w:t>certifying parties free to use whatever technology they deem appropriate to identify and</w:t>
      </w:r>
      <w:r w:rsidR="00D3782A">
        <w:rPr>
          <w:rFonts w:ascii="Times New Roman" w:hAnsi="Times New Roman" w:cs="Times New Roman"/>
        </w:rPr>
        <w:t xml:space="preserve"> </w:t>
      </w:r>
      <w:r w:rsidRPr="00D22269">
        <w:rPr>
          <w:rFonts w:ascii="Times New Roman" w:hAnsi="Times New Roman" w:cs="Times New Roman"/>
        </w:rPr>
        <w:t>authenticate such signatures, consistent with the Government Paperwork Elimination Act, P.L.</w:t>
      </w:r>
      <w:r w:rsidR="00D3782A">
        <w:rPr>
          <w:rFonts w:ascii="Times New Roman" w:hAnsi="Times New Roman" w:cs="Times New Roman"/>
        </w:rPr>
        <w:t xml:space="preserve"> </w:t>
      </w:r>
      <w:r w:rsidRPr="00D22269">
        <w:rPr>
          <w:rFonts w:ascii="Times New Roman" w:hAnsi="Times New Roman" w:cs="Times New Roman"/>
        </w:rPr>
        <w:t>105-277, Title XVII, 112 Stat. 2681-749 (</w:t>
      </w:r>
      <w:r w:rsidR="00045398">
        <w:rPr>
          <w:rFonts w:ascii="Times New Roman" w:hAnsi="Times New Roman" w:cs="Times New Roman"/>
        </w:rPr>
        <w:t>“</w:t>
      </w:r>
      <w:r w:rsidRPr="00D22269">
        <w:rPr>
          <w:rFonts w:ascii="Times New Roman" w:hAnsi="Times New Roman" w:cs="Times New Roman"/>
        </w:rPr>
        <w:t>GPEA</w:t>
      </w:r>
      <w:r w:rsidR="00045398">
        <w:rPr>
          <w:rFonts w:ascii="Times New Roman" w:hAnsi="Times New Roman" w:cs="Times New Roman"/>
        </w:rPr>
        <w:t>”</w:t>
      </w:r>
      <w:r w:rsidRPr="00D22269">
        <w:rPr>
          <w:rFonts w:ascii="Times New Roman" w:hAnsi="Times New Roman" w:cs="Times New Roman"/>
        </w:rPr>
        <w:t>). Likewise, the Rule complies with GPEA by</w:t>
      </w:r>
      <w:r w:rsidR="00D3782A">
        <w:rPr>
          <w:rFonts w:ascii="Times New Roman" w:hAnsi="Times New Roman" w:cs="Times New Roman"/>
        </w:rPr>
        <w:t xml:space="preserve"> </w:t>
      </w:r>
      <w:r w:rsidRPr="00D22269">
        <w:rPr>
          <w:rFonts w:ascii="Times New Roman" w:hAnsi="Times New Roman" w:cs="Times New Roman"/>
        </w:rPr>
        <w:t>permitting certain disclosures to be made (see § 306.5) and necessary records to be kept (see §§</w:t>
      </w:r>
      <w:r w:rsidR="00D3782A">
        <w:rPr>
          <w:rFonts w:ascii="Times New Roman" w:hAnsi="Times New Roman" w:cs="Times New Roman"/>
        </w:rPr>
        <w:t> </w:t>
      </w:r>
      <w:r w:rsidRPr="00D22269">
        <w:rPr>
          <w:rFonts w:ascii="Times New Roman" w:hAnsi="Times New Roman" w:cs="Times New Roman"/>
        </w:rPr>
        <w:t>306.7, 306.9, 306.11) without regard to format, so that a regulated entity, if it chooses, may</w:t>
      </w:r>
      <w:r w:rsidR="00D3782A">
        <w:rPr>
          <w:rFonts w:ascii="Times New Roman" w:hAnsi="Times New Roman" w:cs="Times New Roman"/>
        </w:rPr>
        <w:t xml:space="preserve"> </w:t>
      </w:r>
      <w:r w:rsidRPr="00D22269">
        <w:rPr>
          <w:rFonts w:ascii="Times New Roman" w:hAnsi="Times New Roman" w:cs="Times New Roman"/>
        </w:rPr>
        <w:t>conduct these activities electronically.</w:t>
      </w:r>
    </w:p>
    <w:p w:rsidR="00690249" w:rsidRPr="00D22269" w:rsidP="00690249" w14:paraId="2B593EB8" w14:textId="77777777">
      <w:pPr>
        <w:spacing w:after="0" w:line="240" w:lineRule="auto"/>
        <w:rPr>
          <w:rFonts w:ascii="Times New Roman" w:hAnsi="Times New Roman" w:cs="Times New Roman"/>
        </w:rPr>
      </w:pPr>
    </w:p>
    <w:p w:rsidR="00690249" w:rsidRPr="00D22269" w:rsidP="00D3782A" w14:paraId="3D7E37C4" w14:textId="2F4BC59B">
      <w:pPr>
        <w:spacing w:after="0" w:line="240" w:lineRule="auto"/>
        <w:ind w:firstLine="720"/>
        <w:rPr>
          <w:rFonts w:ascii="Times New Roman" w:hAnsi="Times New Roman" w:cs="Times New Roman"/>
        </w:rPr>
      </w:pPr>
      <w:r w:rsidRPr="00D22269">
        <w:rPr>
          <w:rFonts w:ascii="Times New Roman" w:hAnsi="Times New Roman" w:cs="Times New Roman"/>
        </w:rPr>
        <w:t>Notwithstanding the GPEA, it would be impracticable and incompatible with the purpose</w:t>
      </w:r>
      <w:r w:rsidR="00D3782A">
        <w:rPr>
          <w:rFonts w:ascii="Times New Roman" w:hAnsi="Times New Roman" w:cs="Times New Roman"/>
        </w:rPr>
        <w:t xml:space="preserve"> </w:t>
      </w:r>
      <w:r w:rsidRPr="00D22269">
        <w:rPr>
          <w:rFonts w:ascii="Times New Roman" w:hAnsi="Times New Roman" w:cs="Times New Roman"/>
        </w:rPr>
        <w:t>of the Rule to permit the use of electronic mail or other electronic option to substitute for the</w:t>
      </w:r>
      <w:r w:rsidR="00D3782A">
        <w:rPr>
          <w:rFonts w:ascii="Times New Roman" w:hAnsi="Times New Roman" w:cs="Times New Roman"/>
        </w:rPr>
        <w:t xml:space="preserve"> </w:t>
      </w:r>
      <w:r w:rsidRPr="00D22269">
        <w:rPr>
          <w:rFonts w:ascii="Times New Roman" w:hAnsi="Times New Roman" w:cs="Times New Roman"/>
        </w:rPr>
        <w:t>automotive fuel rating labels (see §</w:t>
      </w:r>
      <w:r w:rsidR="002679F1">
        <w:rPr>
          <w:rFonts w:ascii="Times New Roman" w:hAnsi="Times New Roman" w:cs="Times New Roman"/>
        </w:rPr>
        <w:t> </w:t>
      </w:r>
      <w:r w:rsidRPr="00D22269">
        <w:rPr>
          <w:rFonts w:ascii="Times New Roman" w:hAnsi="Times New Roman" w:cs="Times New Roman"/>
        </w:rPr>
        <w:t>306.12) that retailers must post on the face of each fuel pump.</w:t>
      </w:r>
      <w:r w:rsidR="002679F1">
        <w:rPr>
          <w:rFonts w:ascii="Times New Roman" w:hAnsi="Times New Roman" w:cs="Times New Roman"/>
        </w:rPr>
        <w:t xml:space="preserve"> </w:t>
      </w:r>
      <w:r w:rsidRPr="00D22269">
        <w:rPr>
          <w:rFonts w:ascii="Times New Roman" w:hAnsi="Times New Roman" w:cs="Times New Roman"/>
        </w:rPr>
        <w:t>These disclosures must be made to the consumer at the pump. Nothing in this labeling</w:t>
      </w:r>
      <w:r w:rsidR="00D3782A">
        <w:rPr>
          <w:rFonts w:ascii="Times New Roman" w:hAnsi="Times New Roman" w:cs="Times New Roman"/>
        </w:rPr>
        <w:t xml:space="preserve"> </w:t>
      </w:r>
      <w:r w:rsidRPr="00D22269">
        <w:rPr>
          <w:rFonts w:ascii="Times New Roman" w:hAnsi="Times New Roman" w:cs="Times New Roman"/>
        </w:rPr>
        <w:t>requirement, however, expressly prohibits the label itself from being electronically displayed if it</w:t>
      </w:r>
      <w:r w:rsidR="00D3782A">
        <w:rPr>
          <w:rFonts w:ascii="Times New Roman" w:hAnsi="Times New Roman" w:cs="Times New Roman"/>
        </w:rPr>
        <w:t xml:space="preserve"> </w:t>
      </w:r>
      <w:r w:rsidRPr="00D22269">
        <w:rPr>
          <w:rFonts w:ascii="Times New Roman" w:hAnsi="Times New Roman" w:cs="Times New Roman"/>
        </w:rPr>
        <w:t>otherwise satisfies the typeface, color, size, and durability requirements of the Rule.</w:t>
      </w:r>
    </w:p>
    <w:p w:rsidR="00690249" w:rsidRPr="00D22269" w:rsidP="00690249" w14:paraId="226626E9" w14:textId="77777777">
      <w:pPr>
        <w:spacing w:after="0" w:line="240" w:lineRule="auto"/>
        <w:rPr>
          <w:rFonts w:ascii="Times New Roman" w:hAnsi="Times New Roman" w:cs="Times New Roman"/>
        </w:rPr>
      </w:pPr>
    </w:p>
    <w:p w:rsidR="00690249" w:rsidRPr="00D22269" w:rsidP="00690249" w14:paraId="2E2E3FBB" w14:textId="56DFC6F7">
      <w:pPr>
        <w:pStyle w:val="ListParagraph"/>
        <w:numPr>
          <w:ilvl w:val="0"/>
          <w:numId w:val="2"/>
        </w:numPr>
        <w:tabs>
          <w:tab w:val="left" w:pos="720"/>
        </w:tabs>
        <w:spacing w:after="0" w:line="240" w:lineRule="auto"/>
        <w:ind w:left="720" w:hanging="720"/>
        <w:rPr>
          <w:rFonts w:ascii="Times New Roman" w:hAnsi="Times New Roman" w:cs="Times New Roman"/>
        </w:rPr>
      </w:pPr>
      <w:r w:rsidRPr="00D22269">
        <w:rPr>
          <w:rFonts w:ascii="Times New Roman" w:hAnsi="Times New Roman" w:cs="Times New Roman"/>
          <w:b/>
          <w:bCs/>
        </w:rPr>
        <w:t>Efforts to Identify Duplication</w:t>
      </w:r>
    </w:p>
    <w:p w:rsidR="00690249" w:rsidRPr="00D22269" w:rsidP="00690249" w14:paraId="0A38D755" w14:textId="77777777">
      <w:pPr>
        <w:spacing w:after="0" w:line="240" w:lineRule="auto"/>
        <w:rPr>
          <w:rFonts w:ascii="Times New Roman" w:hAnsi="Times New Roman" w:cs="Times New Roman"/>
        </w:rPr>
      </w:pPr>
    </w:p>
    <w:p w:rsidR="00690249" w:rsidRPr="00D22269" w:rsidP="00D3782A" w14:paraId="72A50F74" w14:textId="3C7F8362">
      <w:pPr>
        <w:spacing w:after="0" w:line="240" w:lineRule="auto"/>
        <w:ind w:firstLine="720"/>
        <w:rPr>
          <w:rFonts w:ascii="Times New Roman" w:hAnsi="Times New Roman" w:cs="Times New Roman"/>
        </w:rPr>
      </w:pPr>
      <w:r w:rsidRPr="00D22269">
        <w:rPr>
          <w:rFonts w:ascii="Times New Roman" w:hAnsi="Times New Roman" w:cs="Times New Roman"/>
        </w:rPr>
        <w:t>Commission staff has not identified any other federal statutes, rules, or policies that</w:t>
      </w:r>
      <w:r w:rsidR="00D3782A">
        <w:rPr>
          <w:rFonts w:ascii="Times New Roman" w:hAnsi="Times New Roman" w:cs="Times New Roman"/>
        </w:rPr>
        <w:t xml:space="preserve"> </w:t>
      </w:r>
      <w:r w:rsidRPr="00D22269">
        <w:rPr>
          <w:rFonts w:ascii="Times New Roman" w:hAnsi="Times New Roman" w:cs="Times New Roman"/>
        </w:rPr>
        <w:t>would duplicate the Rule.</w:t>
      </w:r>
    </w:p>
    <w:p w:rsidR="00690249" w:rsidRPr="00D22269" w:rsidP="00690249" w14:paraId="20C12ED1" w14:textId="77777777">
      <w:pPr>
        <w:spacing w:after="0" w:line="240" w:lineRule="auto"/>
        <w:rPr>
          <w:rFonts w:ascii="Times New Roman" w:hAnsi="Times New Roman" w:cs="Times New Roman"/>
        </w:rPr>
      </w:pPr>
    </w:p>
    <w:p w:rsidR="00690249" w:rsidRPr="00D22269" w:rsidP="00690249" w14:paraId="414EB772" w14:textId="0ADC0103">
      <w:pPr>
        <w:pStyle w:val="ListParagraph"/>
        <w:numPr>
          <w:ilvl w:val="0"/>
          <w:numId w:val="2"/>
        </w:numPr>
        <w:tabs>
          <w:tab w:val="left" w:pos="720"/>
        </w:tabs>
        <w:spacing w:after="0" w:line="240" w:lineRule="auto"/>
        <w:ind w:left="720" w:hanging="720"/>
        <w:rPr>
          <w:rFonts w:ascii="Times New Roman" w:hAnsi="Times New Roman" w:cs="Times New Roman"/>
        </w:rPr>
      </w:pPr>
      <w:r w:rsidRPr="00D22269">
        <w:rPr>
          <w:rFonts w:ascii="Times New Roman" w:hAnsi="Times New Roman" w:cs="Times New Roman"/>
          <w:b/>
          <w:bCs/>
        </w:rPr>
        <w:t>Efforts to Minimize Burden on Small Organizations</w:t>
      </w:r>
    </w:p>
    <w:p w:rsidR="00690249" w:rsidRPr="00D22269" w:rsidP="00690249" w14:paraId="16EA0DA0" w14:textId="77777777">
      <w:pPr>
        <w:spacing w:after="0" w:line="240" w:lineRule="auto"/>
        <w:rPr>
          <w:rFonts w:ascii="Times New Roman" w:hAnsi="Times New Roman" w:cs="Times New Roman"/>
        </w:rPr>
      </w:pPr>
    </w:p>
    <w:p w:rsidR="00690249" w:rsidP="00D3782A" w14:paraId="7C5471D8" w14:textId="4F53E259">
      <w:pPr>
        <w:spacing w:after="0" w:line="240" w:lineRule="auto"/>
        <w:ind w:firstLine="720"/>
        <w:rPr>
          <w:rFonts w:ascii="Times New Roman" w:hAnsi="Times New Roman" w:cs="Times New Roman"/>
        </w:rPr>
      </w:pPr>
      <w:r w:rsidRPr="00D22269">
        <w:rPr>
          <w:rFonts w:ascii="Times New Roman" w:hAnsi="Times New Roman" w:cs="Times New Roman"/>
        </w:rPr>
        <w:t>The Rule’s rating certification requirements are designed to impose the minimum</w:t>
      </w:r>
      <w:r w:rsidR="00D3782A">
        <w:rPr>
          <w:rFonts w:ascii="Times New Roman" w:hAnsi="Times New Roman" w:cs="Times New Roman"/>
        </w:rPr>
        <w:t xml:space="preserve"> </w:t>
      </w:r>
      <w:r w:rsidRPr="00D22269">
        <w:rPr>
          <w:rFonts w:ascii="Times New Roman" w:hAnsi="Times New Roman" w:cs="Times New Roman"/>
        </w:rPr>
        <w:t>possible burden on industry members. The certification of an automotive fuel rating by a refiner</w:t>
      </w:r>
      <w:r w:rsidR="00D3782A">
        <w:rPr>
          <w:rFonts w:ascii="Times New Roman" w:hAnsi="Times New Roman" w:cs="Times New Roman"/>
        </w:rPr>
        <w:t xml:space="preserve"> </w:t>
      </w:r>
      <w:r w:rsidRPr="00D22269">
        <w:rPr>
          <w:rFonts w:ascii="Times New Roman" w:hAnsi="Times New Roman" w:cs="Times New Roman"/>
        </w:rPr>
        <w:t>to a distributor or by a distributor to a retailer may be made on any document that is used as</w:t>
      </w:r>
      <w:r w:rsidR="00D3782A">
        <w:rPr>
          <w:rFonts w:ascii="Times New Roman" w:hAnsi="Times New Roman" w:cs="Times New Roman"/>
        </w:rPr>
        <w:t xml:space="preserve"> </w:t>
      </w:r>
      <w:r w:rsidRPr="00D22269">
        <w:rPr>
          <w:rFonts w:ascii="Times New Roman" w:hAnsi="Times New Roman" w:cs="Times New Roman"/>
        </w:rPr>
        <w:t>written proof of transfer or a letter or any other written statement. These fuel transfer documents</w:t>
      </w:r>
      <w:r w:rsidR="00D3782A">
        <w:rPr>
          <w:rFonts w:ascii="Times New Roman" w:hAnsi="Times New Roman" w:cs="Times New Roman"/>
        </w:rPr>
        <w:t xml:space="preserve"> </w:t>
      </w:r>
      <w:r w:rsidRPr="00D22269">
        <w:rPr>
          <w:rFonts w:ascii="Times New Roman" w:hAnsi="Times New Roman" w:cs="Times New Roman"/>
        </w:rPr>
        <w:t>were already retained by refiners, distributors, and retailers in the ordinary course of business.</w:t>
      </w:r>
      <w:r w:rsidR="00D3782A">
        <w:rPr>
          <w:rFonts w:ascii="Times New Roman" w:hAnsi="Times New Roman" w:cs="Times New Roman"/>
        </w:rPr>
        <w:t xml:space="preserve"> </w:t>
      </w:r>
      <w:r w:rsidRPr="00D22269">
        <w:rPr>
          <w:rFonts w:ascii="Times New Roman" w:hAnsi="Times New Roman" w:cs="Times New Roman"/>
        </w:rPr>
        <w:t>To further minimize the certification and recordkeeping requirements, the Rule permits an</w:t>
      </w:r>
      <w:r w:rsidR="00D3782A">
        <w:rPr>
          <w:rFonts w:ascii="Times New Roman" w:hAnsi="Times New Roman" w:cs="Times New Roman"/>
        </w:rPr>
        <w:t xml:space="preserve"> </w:t>
      </w:r>
      <w:r w:rsidRPr="00D22269">
        <w:rPr>
          <w:rFonts w:ascii="Times New Roman" w:hAnsi="Times New Roman" w:cs="Times New Roman"/>
        </w:rPr>
        <w:t>automotive fuel rating certification to be provided by means of a one-time letter of certification,</w:t>
      </w:r>
      <w:r w:rsidR="00D3782A">
        <w:rPr>
          <w:rFonts w:ascii="Times New Roman" w:hAnsi="Times New Roman" w:cs="Times New Roman"/>
        </w:rPr>
        <w:t xml:space="preserve"> </w:t>
      </w:r>
      <w:r w:rsidRPr="00D22269">
        <w:rPr>
          <w:rFonts w:ascii="Times New Roman" w:hAnsi="Times New Roman" w:cs="Times New Roman"/>
        </w:rPr>
        <w:t>obviating the need for individual certifications on each delivery ticket. This one-time letter</w:t>
      </w:r>
      <w:r w:rsidR="00D3782A">
        <w:rPr>
          <w:rFonts w:ascii="Times New Roman" w:hAnsi="Times New Roman" w:cs="Times New Roman"/>
        </w:rPr>
        <w:t xml:space="preserve"> </w:t>
      </w:r>
      <w:r w:rsidRPr="00D22269">
        <w:rPr>
          <w:rFonts w:ascii="Times New Roman" w:hAnsi="Times New Roman" w:cs="Times New Roman"/>
        </w:rPr>
        <w:t>could remain effective for a number of years, and its retention would constitute compliance with</w:t>
      </w:r>
      <w:r w:rsidR="00D3782A">
        <w:rPr>
          <w:rFonts w:ascii="Times New Roman" w:hAnsi="Times New Roman" w:cs="Times New Roman"/>
        </w:rPr>
        <w:t xml:space="preserve"> </w:t>
      </w:r>
      <w:r w:rsidRPr="00D22269">
        <w:rPr>
          <w:rFonts w:ascii="Times New Roman" w:hAnsi="Times New Roman" w:cs="Times New Roman"/>
        </w:rPr>
        <w:t>the Rule’s recordkeeping requirements.</w:t>
      </w:r>
    </w:p>
    <w:p w:rsidR="0096143B" w:rsidP="00690249" w14:paraId="3F885989" w14:textId="77777777">
      <w:pPr>
        <w:spacing w:after="0" w:line="240" w:lineRule="auto"/>
        <w:rPr>
          <w:rFonts w:ascii="Times New Roman" w:hAnsi="Times New Roman" w:cs="Times New Roman"/>
        </w:rPr>
      </w:pPr>
    </w:p>
    <w:p w:rsidR="0096143B" w:rsidRPr="00D22269" w:rsidP="00690249" w14:paraId="2ABF6623" w14:textId="77777777">
      <w:pPr>
        <w:spacing w:after="0" w:line="240" w:lineRule="auto"/>
        <w:rPr>
          <w:rFonts w:ascii="Times New Roman" w:hAnsi="Times New Roman" w:cs="Times New Roman"/>
        </w:rPr>
      </w:pPr>
    </w:p>
    <w:p w:rsidR="00690249" w:rsidRPr="00D22269" w:rsidP="00690249" w14:paraId="652BB77F" w14:textId="77777777">
      <w:pPr>
        <w:spacing w:after="0" w:line="240" w:lineRule="auto"/>
        <w:rPr>
          <w:rFonts w:ascii="Times New Roman" w:hAnsi="Times New Roman" w:cs="Times New Roman"/>
        </w:rPr>
      </w:pPr>
    </w:p>
    <w:p w:rsidR="00690249" w:rsidRPr="00D22269" w:rsidP="00690249" w14:paraId="4EA07663" w14:textId="4F73B368">
      <w:pPr>
        <w:pStyle w:val="ListParagraph"/>
        <w:numPr>
          <w:ilvl w:val="0"/>
          <w:numId w:val="2"/>
        </w:numPr>
        <w:tabs>
          <w:tab w:val="left" w:pos="720"/>
        </w:tabs>
        <w:spacing w:after="0" w:line="240" w:lineRule="auto"/>
        <w:ind w:left="720" w:hanging="720"/>
        <w:rPr>
          <w:rFonts w:ascii="Times New Roman" w:hAnsi="Times New Roman" w:cs="Times New Roman"/>
          <w:b/>
          <w:bCs/>
        </w:rPr>
      </w:pPr>
      <w:r w:rsidRPr="00D22269">
        <w:rPr>
          <w:rFonts w:ascii="Times New Roman" w:hAnsi="Times New Roman" w:cs="Times New Roman"/>
          <w:b/>
          <w:bCs/>
        </w:rPr>
        <w:t>Consequences of Conducting Collection Less Frequently</w:t>
      </w:r>
    </w:p>
    <w:p w:rsidR="00690249" w:rsidRPr="00D22269" w:rsidP="00690249" w14:paraId="099AC4C9" w14:textId="77777777">
      <w:pPr>
        <w:pStyle w:val="ListParagraph"/>
        <w:tabs>
          <w:tab w:val="left" w:pos="720"/>
        </w:tabs>
        <w:spacing w:after="0" w:line="240" w:lineRule="auto"/>
        <w:rPr>
          <w:rFonts w:ascii="Times New Roman" w:hAnsi="Times New Roman" w:cs="Times New Roman"/>
          <w:b/>
          <w:bCs/>
        </w:rPr>
      </w:pPr>
    </w:p>
    <w:p w:rsidR="00690249" w:rsidRPr="00D22269" w:rsidP="00D3782A" w14:paraId="02951809" w14:textId="5D51846C">
      <w:pPr>
        <w:spacing w:after="0" w:line="240" w:lineRule="auto"/>
        <w:ind w:firstLine="720"/>
        <w:rPr>
          <w:rFonts w:ascii="Times New Roman" w:hAnsi="Times New Roman" w:cs="Times New Roman"/>
        </w:rPr>
      </w:pPr>
      <w:r w:rsidRPr="00D22269">
        <w:rPr>
          <w:rFonts w:ascii="Times New Roman" w:hAnsi="Times New Roman" w:cs="Times New Roman"/>
        </w:rPr>
        <w:t>The fundamental disclosure required by the Rule involves posting the octane rating of</w:t>
      </w:r>
      <w:r w:rsidR="00D3782A">
        <w:rPr>
          <w:rFonts w:ascii="Times New Roman" w:hAnsi="Times New Roman" w:cs="Times New Roman"/>
        </w:rPr>
        <w:t xml:space="preserve"> </w:t>
      </w:r>
      <w:r w:rsidRPr="00D22269">
        <w:rPr>
          <w:rFonts w:ascii="Times New Roman" w:hAnsi="Times New Roman" w:cs="Times New Roman"/>
        </w:rPr>
        <w:t>automotive gasoline and the automotive fuel rating of alternative liquid automotive fuels at retail</w:t>
      </w:r>
      <w:r w:rsidR="00D3782A">
        <w:rPr>
          <w:rFonts w:ascii="Times New Roman" w:hAnsi="Times New Roman" w:cs="Times New Roman"/>
        </w:rPr>
        <w:t xml:space="preserve"> </w:t>
      </w:r>
      <w:r w:rsidRPr="00D22269">
        <w:rPr>
          <w:rFonts w:ascii="Times New Roman" w:hAnsi="Times New Roman" w:cs="Times New Roman"/>
        </w:rPr>
        <w:t>sale. This requires accurate rating and certification of these fuels. To do less would fail to fulfill</w:t>
      </w:r>
      <w:r w:rsidR="00D3782A">
        <w:rPr>
          <w:rFonts w:ascii="Times New Roman" w:hAnsi="Times New Roman" w:cs="Times New Roman"/>
        </w:rPr>
        <w:t xml:space="preserve"> </w:t>
      </w:r>
      <w:r w:rsidRPr="00D22269">
        <w:rPr>
          <w:rFonts w:ascii="Times New Roman" w:hAnsi="Times New Roman" w:cs="Times New Roman"/>
        </w:rPr>
        <w:t>the PMPA’s statutory mandate.</w:t>
      </w:r>
    </w:p>
    <w:p w:rsidR="00690249" w:rsidRPr="00D22269" w:rsidP="00690249" w14:paraId="2CC7D561" w14:textId="117C1ACE">
      <w:pPr>
        <w:spacing w:after="0" w:line="240" w:lineRule="auto"/>
        <w:rPr>
          <w:rFonts w:ascii="Times New Roman" w:hAnsi="Times New Roman" w:cs="Times New Roman"/>
        </w:rPr>
      </w:pPr>
    </w:p>
    <w:p w:rsidR="00690249" w:rsidRPr="00D22269" w:rsidP="00690249" w14:paraId="0951C85B" w14:textId="2196A14E">
      <w:pPr>
        <w:pStyle w:val="ListParagraph"/>
        <w:numPr>
          <w:ilvl w:val="0"/>
          <w:numId w:val="2"/>
        </w:numPr>
        <w:tabs>
          <w:tab w:val="left" w:pos="720"/>
        </w:tabs>
        <w:spacing w:after="0" w:line="240" w:lineRule="auto"/>
        <w:ind w:left="720" w:hanging="720"/>
        <w:rPr>
          <w:rFonts w:ascii="Times New Roman" w:hAnsi="Times New Roman" w:cs="Times New Roman"/>
          <w:b/>
          <w:bCs/>
        </w:rPr>
      </w:pPr>
      <w:r w:rsidRPr="00D22269">
        <w:rPr>
          <w:rFonts w:ascii="Times New Roman" w:hAnsi="Times New Roman" w:cs="Times New Roman"/>
          <w:b/>
          <w:bCs/>
        </w:rPr>
        <w:t>Circumstances Requiring Collection Inconsistent with Guidelines</w:t>
      </w:r>
    </w:p>
    <w:p w:rsidR="00690249" w:rsidRPr="00D22269" w:rsidP="00690249" w14:paraId="48567525" w14:textId="77777777">
      <w:pPr>
        <w:spacing w:after="0" w:line="240" w:lineRule="auto"/>
        <w:rPr>
          <w:rFonts w:ascii="Times New Roman" w:hAnsi="Times New Roman" w:cs="Times New Roman"/>
        </w:rPr>
      </w:pPr>
    </w:p>
    <w:p w:rsidR="00690249" w:rsidRPr="00D22269" w:rsidP="00D3782A" w14:paraId="44D650A4" w14:textId="53D22300">
      <w:pPr>
        <w:spacing w:after="0" w:line="240" w:lineRule="auto"/>
        <w:ind w:firstLine="720"/>
        <w:rPr>
          <w:rFonts w:ascii="Times New Roman" w:hAnsi="Times New Roman" w:cs="Times New Roman"/>
        </w:rPr>
      </w:pPr>
      <w:r w:rsidRPr="00D22269">
        <w:rPr>
          <w:rFonts w:ascii="Times New Roman" w:hAnsi="Times New Roman" w:cs="Times New Roman"/>
        </w:rPr>
        <w:t>The collection of information in this Rule is consistent with the guidelines stated in 5</w:t>
      </w:r>
      <w:r w:rsidR="00D3782A">
        <w:rPr>
          <w:rFonts w:ascii="Times New Roman" w:hAnsi="Times New Roman" w:cs="Times New Roman"/>
        </w:rPr>
        <w:t xml:space="preserve"> </w:t>
      </w:r>
      <w:r w:rsidRPr="00D22269">
        <w:rPr>
          <w:rFonts w:ascii="Times New Roman" w:hAnsi="Times New Roman" w:cs="Times New Roman"/>
        </w:rPr>
        <w:t>C.F.R. § 1320.5(d)(2).</w:t>
      </w:r>
    </w:p>
    <w:p w:rsidR="00690249" w:rsidRPr="00D22269" w:rsidP="00690249" w14:paraId="153B3E86" w14:textId="77777777">
      <w:pPr>
        <w:spacing w:after="0" w:line="240" w:lineRule="auto"/>
        <w:rPr>
          <w:rFonts w:ascii="Times New Roman" w:hAnsi="Times New Roman" w:cs="Times New Roman"/>
        </w:rPr>
      </w:pPr>
    </w:p>
    <w:p w:rsidR="00690249" w:rsidRPr="00D22269" w:rsidP="00690249" w14:paraId="6CE087FB" w14:textId="08FBE1AD">
      <w:pPr>
        <w:pStyle w:val="ListParagraph"/>
        <w:numPr>
          <w:ilvl w:val="0"/>
          <w:numId w:val="2"/>
        </w:numPr>
        <w:tabs>
          <w:tab w:val="left" w:pos="720"/>
        </w:tabs>
        <w:spacing w:after="0" w:line="240" w:lineRule="auto"/>
        <w:ind w:left="720" w:hanging="720"/>
        <w:rPr>
          <w:rFonts w:ascii="Times New Roman" w:hAnsi="Times New Roman" w:cs="Times New Roman"/>
          <w:b/>
          <w:bCs/>
        </w:rPr>
      </w:pPr>
      <w:r w:rsidRPr="00D22269">
        <w:rPr>
          <w:rFonts w:ascii="Times New Roman" w:hAnsi="Times New Roman" w:cs="Times New Roman"/>
          <w:b/>
          <w:bCs/>
        </w:rPr>
        <w:t>Public Comments/Consultation Outside the Agency</w:t>
      </w:r>
    </w:p>
    <w:p w:rsidR="00690249" w:rsidRPr="00D22269" w:rsidP="00690249" w14:paraId="16A8007B" w14:textId="77777777">
      <w:pPr>
        <w:pStyle w:val="ListParagraph"/>
        <w:tabs>
          <w:tab w:val="left" w:pos="720"/>
        </w:tabs>
        <w:spacing w:after="0" w:line="240" w:lineRule="auto"/>
        <w:rPr>
          <w:rFonts w:ascii="Times New Roman" w:hAnsi="Times New Roman" w:cs="Times New Roman"/>
          <w:b/>
          <w:bCs/>
        </w:rPr>
      </w:pPr>
    </w:p>
    <w:p w:rsidR="00690249" w:rsidRPr="00FA2C90" w:rsidP="00D3782A" w14:paraId="0CC7533B" w14:textId="6FB4EE61">
      <w:pPr>
        <w:spacing w:after="0" w:line="240" w:lineRule="auto"/>
        <w:ind w:firstLine="720"/>
        <w:rPr>
          <w:rFonts w:ascii="Times New Roman" w:hAnsi="Times New Roman" w:cs="Times New Roman"/>
        </w:rPr>
      </w:pPr>
      <w:r w:rsidRPr="00D22269">
        <w:rPr>
          <w:rFonts w:ascii="Times New Roman" w:hAnsi="Times New Roman" w:cs="Times New Roman"/>
        </w:rPr>
        <w:t xml:space="preserve">On </w:t>
      </w:r>
      <w:r w:rsidRPr="00D22269" w:rsidR="00AE4C2C">
        <w:rPr>
          <w:rFonts w:ascii="Times New Roman" w:hAnsi="Times New Roman" w:cs="Times New Roman"/>
        </w:rPr>
        <w:t>July 23, 2026</w:t>
      </w:r>
      <w:r w:rsidRPr="00D22269">
        <w:rPr>
          <w:rFonts w:ascii="Times New Roman" w:hAnsi="Times New Roman" w:cs="Times New Roman"/>
        </w:rPr>
        <w:t xml:space="preserve">, the FTC sought public </w:t>
      </w:r>
      <w:r w:rsidRPr="00FA2C90">
        <w:rPr>
          <w:rFonts w:ascii="Times New Roman" w:hAnsi="Times New Roman" w:cs="Times New Roman"/>
        </w:rPr>
        <w:t>comment on the disclosure and recordkeeping</w:t>
      </w:r>
      <w:r w:rsidR="00D3782A">
        <w:rPr>
          <w:rFonts w:ascii="Times New Roman" w:hAnsi="Times New Roman" w:cs="Times New Roman"/>
        </w:rPr>
        <w:t xml:space="preserve"> </w:t>
      </w:r>
      <w:r w:rsidRPr="00FA2C90">
        <w:rPr>
          <w:rFonts w:ascii="Times New Roman" w:hAnsi="Times New Roman" w:cs="Times New Roman"/>
        </w:rPr>
        <w:t xml:space="preserve">requirements associated with the Rule. </w:t>
      </w:r>
      <w:r w:rsidRPr="008E602D" w:rsidR="008E602D">
        <w:rPr>
          <w:rFonts w:ascii="Times New Roman" w:hAnsi="Times New Roman" w:cs="Times New Roman"/>
        </w:rPr>
        <w:t>91 F</w:t>
      </w:r>
      <w:r w:rsidR="008E602D">
        <w:rPr>
          <w:rFonts w:ascii="Times New Roman" w:hAnsi="Times New Roman" w:cs="Times New Roman"/>
        </w:rPr>
        <w:t xml:space="preserve">ed. </w:t>
      </w:r>
      <w:r w:rsidRPr="008E602D" w:rsidR="008E602D">
        <w:rPr>
          <w:rFonts w:ascii="Times New Roman" w:hAnsi="Times New Roman" w:cs="Times New Roman"/>
        </w:rPr>
        <w:t>R</w:t>
      </w:r>
      <w:r w:rsidR="008E602D">
        <w:rPr>
          <w:rFonts w:ascii="Times New Roman" w:hAnsi="Times New Roman" w:cs="Times New Roman"/>
        </w:rPr>
        <w:t>eg.</w:t>
      </w:r>
      <w:r w:rsidRPr="008E602D" w:rsidR="008E602D">
        <w:rPr>
          <w:rFonts w:ascii="Times New Roman" w:hAnsi="Times New Roman" w:cs="Times New Roman"/>
        </w:rPr>
        <w:t xml:space="preserve"> 46439</w:t>
      </w:r>
      <w:r w:rsidR="008E602D">
        <w:rPr>
          <w:rFonts w:ascii="Times New Roman" w:hAnsi="Times New Roman" w:cs="Times New Roman"/>
        </w:rPr>
        <w:t xml:space="preserve">. </w:t>
      </w:r>
      <w:r w:rsidRPr="0096143B" w:rsidR="00FA2C90">
        <w:rPr>
          <w:rFonts w:ascii="Times New Roman" w:eastAsia="Times New Roman" w:hAnsi="Times New Roman" w:cs="Times New Roman"/>
        </w:rPr>
        <w:t>Three commenters submitted germane responses</w:t>
      </w:r>
      <w:r w:rsidRPr="0096143B" w:rsidR="00FA2C90">
        <w:rPr>
          <w:rFonts w:ascii="Times New Roman" w:eastAsia="Times New Roman" w:hAnsi="Times New Roman" w:cs="Times New Roman"/>
          <w:szCs w:val="20"/>
        </w:rPr>
        <w:t>.</w:t>
      </w:r>
      <w:r w:rsidRPr="0096143B" w:rsidR="00FA2C90">
        <w:rPr>
          <w:rFonts w:ascii="Times New Roman" w:eastAsia="Times New Roman" w:hAnsi="Times New Roman" w:cs="Times New Roman"/>
        </w:rPr>
        <w:t xml:space="preserve"> Two of the commenters supported the proposed extension of the OMB clearance for information collection requirements.</w:t>
      </w:r>
      <w:r>
        <w:rPr>
          <w:rStyle w:val="FootnoteReference"/>
          <w:rFonts w:ascii="Times New Roman" w:eastAsia="Times New Roman" w:hAnsi="Times New Roman" w:cs="Times New Roman"/>
        </w:rPr>
        <w:footnoteReference w:id="2"/>
      </w:r>
      <w:r w:rsidRPr="0096143B" w:rsidR="00FA2C90">
        <w:rPr>
          <w:rFonts w:ascii="Times New Roman" w:eastAsia="Times New Roman" w:hAnsi="Times New Roman" w:cs="Times New Roman"/>
        </w:rPr>
        <w:t xml:space="preserve"> A third commenter, The Native Claim Firm (“NCF”), expressed no position on the proposed extension but contested the Commission’s burden estimate.</w:t>
      </w:r>
      <w:r>
        <w:rPr>
          <w:rStyle w:val="FootnoteReference"/>
          <w:rFonts w:ascii="Times New Roman" w:eastAsia="Times New Roman" w:hAnsi="Times New Roman" w:cs="Times New Roman"/>
        </w:rPr>
        <w:footnoteReference w:id="3"/>
      </w:r>
      <w:r w:rsidRPr="0096143B" w:rsidR="00FA2C90">
        <w:rPr>
          <w:rFonts w:ascii="Times New Roman" w:eastAsia="Times New Roman" w:hAnsi="Times New Roman" w:cs="Times New Roman"/>
        </w:rPr>
        <w:t xml:space="preserve"> Specifically, NCF observed that the Commission’s burden estimate provides an average figure across retailers of all sizes and argued that this approach could obscure the relative burden on low-volume retailers. NCF requested the Commission to consider the burden on low-volume retailers and supplement its burden estimate with a breakdown by retailer size or dispenser count. To support its request, NCF estimated that low-volume retailers face a PRA burden of $0.0000077 per gallon, which is higher than the $0.0000057 per gallon that NCF calculated for the Commission’s average figure approach. While the Commission appreciates commenters raising awareness that small entities may face unique compliance burdens, the Commission finds that this difference of two ten-thousandth</w:t>
      </w:r>
      <w:r w:rsidR="00680265">
        <w:rPr>
          <w:rFonts w:ascii="Times New Roman" w:eastAsia="Times New Roman" w:hAnsi="Times New Roman" w:cs="Times New Roman"/>
        </w:rPr>
        <w:t>s</w:t>
      </w:r>
      <w:r w:rsidRPr="0096143B" w:rsidR="00FA2C90">
        <w:rPr>
          <w:rFonts w:ascii="Times New Roman" w:eastAsia="Times New Roman" w:hAnsi="Times New Roman" w:cs="Times New Roman"/>
        </w:rPr>
        <w:t xml:space="preserve"> of a cent per gallon does not warrant modifying the burden estimate in this instance.</w:t>
      </w:r>
    </w:p>
    <w:p w:rsidR="00690249" w:rsidRPr="00D22269" w:rsidP="00690249" w14:paraId="689AF671" w14:textId="77777777">
      <w:pPr>
        <w:spacing w:after="0" w:line="240" w:lineRule="auto"/>
        <w:rPr>
          <w:rFonts w:ascii="Times New Roman" w:hAnsi="Times New Roman" w:cs="Times New Roman"/>
        </w:rPr>
      </w:pPr>
    </w:p>
    <w:p w:rsidR="00690249" w:rsidRPr="00D22269" w:rsidP="00D3782A" w14:paraId="62DE9EEF" w14:textId="3CB5144F">
      <w:pPr>
        <w:spacing w:after="0" w:line="240" w:lineRule="auto"/>
        <w:ind w:firstLine="720"/>
        <w:rPr>
          <w:rFonts w:ascii="Times New Roman" w:hAnsi="Times New Roman" w:cs="Times New Roman"/>
        </w:rPr>
      </w:pPr>
      <w:r w:rsidRPr="00D22269">
        <w:rPr>
          <w:rFonts w:ascii="Times New Roman" w:hAnsi="Times New Roman" w:cs="Times New Roman"/>
        </w:rPr>
        <w:t>Pursuant to the OMB regulations, 5 C.F.R. Part 1320, that implement the PRA, 44 U.S.C.</w:t>
      </w:r>
      <w:r w:rsidR="00D3782A">
        <w:rPr>
          <w:rFonts w:ascii="Times New Roman" w:hAnsi="Times New Roman" w:cs="Times New Roman"/>
        </w:rPr>
        <w:t xml:space="preserve"> </w:t>
      </w:r>
      <w:r w:rsidRPr="00D22269">
        <w:rPr>
          <w:rFonts w:ascii="Times New Roman" w:hAnsi="Times New Roman" w:cs="Times New Roman"/>
        </w:rPr>
        <w:t>§ 3501 et seq., the FTC is providing this second opportunity for public comment while seeking</w:t>
      </w:r>
      <w:r w:rsidR="00D3782A">
        <w:rPr>
          <w:rFonts w:ascii="Times New Roman" w:hAnsi="Times New Roman" w:cs="Times New Roman"/>
        </w:rPr>
        <w:t xml:space="preserve"> </w:t>
      </w:r>
      <w:r w:rsidRPr="00D22269">
        <w:rPr>
          <w:rFonts w:ascii="Times New Roman" w:hAnsi="Times New Roman" w:cs="Times New Roman"/>
        </w:rPr>
        <w:t>OMB approval to renew the pre-existing clearance for the Rule.</w:t>
      </w:r>
    </w:p>
    <w:p w:rsidR="00690249" w:rsidRPr="00D22269" w:rsidP="00690249" w14:paraId="75A3375B" w14:textId="77777777">
      <w:pPr>
        <w:spacing w:after="0" w:line="240" w:lineRule="auto"/>
        <w:rPr>
          <w:rFonts w:ascii="Times New Roman" w:hAnsi="Times New Roman" w:cs="Times New Roman"/>
        </w:rPr>
      </w:pPr>
    </w:p>
    <w:p w:rsidR="00690249" w:rsidRPr="00D22269" w:rsidP="00690249" w14:paraId="118424D2" w14:textId="01A609F5">
      <w:pPr>
        <w:pStyle w:val="ListParagraph"/>
        <w:numPr>
          <w:ilvl w:val="0"/>
          <w:numId w:val="2"/>
        </w:numPr>
        <w:tabs>
          <w:tab w:val="left" w:pos="720"/>
        </w:tabs>
        <w:spacing w:after="0" w:line="240" w:lineRule="auto"/>
        <w:ind w:left="720" w:hanging="720"/>
        <w:rPr>
          <w:rFonts w:ascii="Times New Roman" w:hAnsi="Times New Roman" w:cs="Times New Roman"/>
        </w:rPr>
      </w:pPr>
      <w:r w:rsidRPr="00D22269">
        <w:rPr>
          <w:rFonts w:ascii="Times New Roman" w:hAnsi="Times New Roman" w:cs="Times New Roman"/>
          <w:b/>
          <w:bCs/>
        </w:rPr>
        <w:t>Payments or Gifts to Respondents</w:t>
      </w:r>
    </w:p>
    <w:p w:rsidR="00690249" w:rsidRPr="00D22269" w:rsidP="00690249" w14:paraId="684F792D" w14:textId="77777777">
      <w:pPr>
        <w:pStyle w:val="ListParagraph"/>
        <w:tabs>
          <w:tab w:val="left" w:pos="720"/>
        </w:tabs>
        <w:spacing w:after="0" w:line="240" w:lineRule="auto"/>
        <w:rPr>
          <w:rFonts w:ascii="Times New Roman" w:hAnsi="Times New Roman" w:cs="Times New Roman"/>
        </w:rPr>
      </w:pPr>
    </w:p>
    <w:p w:rsidR="00690249" w:rsidRPr="00D22269" w:rsidP="00690249" w14:paraId="158558A5" w14:textId="55DBDB40">
      <w:pPr>
        <w:spacing w:after="0" w:line="240" w:lineRule="auto"/>
        <w:ind w:firstLine="720"/>
        <w:rPr>
          <w:rFonts w:ascii="Times New Roman" w:hAnsi="Times New Roman" w:cs="Times New Roman"/>
        </w:rPr>
      </w:pPr>
      <w:r w:rsidRPr="00D22269">
        <w:rPr>
          <w:rFonts w:ascii="Times New Roman" w:hAnsi="Times New Roman" w:cs="Times New Roman"/>
        </w:rPr>
        <w:t>Not applicable.</w:t>
      </w:r>
      <w:r w:rsidR="00F962EA">
        <w:rPr>
          <w:rFonts w:ascii="Times New Roman" w:hAnsi="Times New Roman" w:cs="Times New Roman"/>
        </w:rPr>
        <w:t xml:space="preserve"> </w:t>
      </w:r>
      <w:r w:rsidRPr="00F962EA" w:rsidR="00F962EA">
        <w:rPr>
          <w:rFonts w:ascii="Times New Roman" w:hAnsi="Times New Roman" w:cs="Times New Roman"/>
        </w:rPr>
        <w:t xml:space="preserve">There have been no payments or gifts to respondents in connection with </w:t>
      </w:r>
      <w:r w:rsidR="00F962EA">
        <w:rPr>
          <w:rFonts w:ascii="Times New Roman" w:hAnsi="Times New Roman" w:cs="Times New Roman"/>
        </w:rPr>
        <w:t xml:space="preserve">the </w:t>
      </w:r>
      <w:r w:rsidRPr="00F962EA" w:rsidR="00F962EA">
        <w:rPr>
          <w:rFonts w:ascii="Times New Roman" w:hAnsi="Times New Roman" w:cs="Times New Roman"/>
        </w:rPr>
        <w:t>Rule.</w:t>
      </w:r>
    </w:p>
    <w:p w:rsidR="00690249" w:rsidP="00690249" w14:paraId="342F7418" w14:textId="77777777">
      <w:pPr>
        <w:spacing w:after="0" w:line="240" w:lineRule="auto"/>
        <w:rPr>
          <w:rFonts w:ascii="Times New Roman" w:hAnsi="Times New Roman" w:cs="Times New Roman"/>
        </w:rPr>
      </w:pPr>
    </w:p>
    <w:p w:rsidR="00ED4987" w:rsidP="00690249" w14:paraId="621ABE4F" w14:textId="77777777">
      <w:pPr>
        <w:spacing w:after="0" w:line="240" w:lineRule="auto"/>
        <w:rPr>
          <w:rFonts w:ascii="Times New Roman" w:hAnsi="Times New Roman" w:cs="Times New Roman"/>
        </w:rPr>
      </w:pPr>
    </w:p>
    <w:p w:rsidR="00ED4987" w:rsidP="00690249" w14:paraId="270560B5" w14:textId="77777777">
      <w:pPr>
        <w:spacing w:after="0" w:line="240" w:lineRule="auto"/>
        <w:rPr>
          <w:rFonts w:ascii="Times New Roman" w:hAnsi="Times New Roman" w:cs="Times New Roman"/>
        </w:rPr>
      </w:pPr>
    </w:p>
    <w:p w:rsidR="00ED4987" w:rsidRPr="00D22269" w:rsidP="00690249" w14:paraId="21AC19EC" w14:textId="77777777">
      <w:pPr>
        <w:spacing w:after="0" w:line="240" w:lineRule="auto"/>
        <w:rPr>
          <w:rFonts w:ascii="Times New Roman" w:hAnsi="Times New Roman" w:cs="Times New Roman"/>
        </w:rPr>
      </w:pPr>
    </w:p>
    <w:p w:rsidR="00690249" w:rsidRPr="00D22269" w:rsidP="00690249" w14:paraId="37A668F1" w14:textId="08144E9B">
      <w:pPr>
        <w:tabs>
          <w:tab w:val="left" w:pos="720"/>
        </w:tabs>
        <w:spacing w:after="0" w:line="240" w:lineRule="auto"/>
        <w:ind w:left="720" w:hanging="720"/>
        <w:rPr>
          <w:rFonts w:ascii="Times New Roman" w:hAnsi="Times New Roman" w:cs="Times New Roman"/>
        </w:rPr>
      </w:pPr>
      <w:r w:rsidRPr="00D22269">
        <w:rPr>
          <w:rFonts w:ascii="Times New Roman" w:hAnsi="Times New Roman" w:cs="Times New Roman"/>
          <w:b/>
          <w:bCs/>
        </w:rPr>
        <w:t>(10) Assurances of Confidentiality</w:t>
      </w:r>
    </w:p>
    <w:p w:rsidR="00690249" w:rsidRPr="00D22269" w:rsidP="00690249" w14:paraId="5300CDA1" w14:textId="77777777">
      <w:pPr>
        <w:spacing w:after="0" w:line="240" w:lineRule="auto"/>
        <w:rPr>
          <w:rFonts w:ascii="Times New Roman" w:hAnsi="Times New Roman" w:cs="Times New Roman"/>
        </w:rPr>
      </w:pPr>
    </w:p>
    <w:p w:rsidR="00690249" w:rsidRPr="00B90A48" w:rsidP="00D3782A" w14:paraId="611C9DBF" w14:textId="391FC552">
      <w:pPr>
        <w:spacing w:after="0" w:line="240" w:lineRule="auto"/>
        <w:ind w:firstLine="720"/>
        <w:rPr>
          <w:rFonts w:ascii="Times New Roman" w:hAnsi="Times New Roman" w:cs="Times New Roman"/>
        </w:rPr>
      </w:pPr>
      <w:r w:rsidRPr="00D22269">
        <w:rPr>
          <w:rFonts w:ascii="Times New Roman" w:hAnsi="Times New Roman" w:cs="Times New Roman"/>
        </w:rPr>
        <w:t>The Rule requirements for which the Commission seeks OMB approval do not involve</w:t>
      </w:r>
      <w:r w:rsidR="00D3782A">
        <w:rPr>
          <w:rFonts w:ascii="Times New Roman" w:hAnsi="Times New Roman" w:cs="Times New Roman"/>
        </w:rPr>
        <w:t xml:space="preserve"> </w:t>
      </w:r>
      <w:r w:rsidRPr="00D22269">
        <w:rPr>
          <w:rFonts w:ascii="Times New Roman" w:hAnsi="Times New Roman" w:cs="Times New Roman"/>
        </w:rPr>
        <w:t>collection or disclosure of confidential information.</w:t>
      </w:r>
      <w:r w:rsidR="00B90A48">
        <w:rPr>
          <w:rFonts w:ascii="Times New Roman" w:hAnsi="Times New Roman" w:cs="Times New Roman"/>
        </w:rPr>
        <w:t xml:space="preserve"> </w:t>
      </w:r>
      <w:r w:rsidRPr="00B90A48" w:rsidR="00B90A48">
        <w:rPr>
          <w:rFonts w:ascii="Times New Roman" w:hAnsi="Times New Roman" w:cs="Times New Roman"/>
        </w:rPr>
        <w:t>From time to time, the Commission may require a</w:t>
      </w:r>
      <w:r w:rsidR="00B90A48">
        <w:rPr>
          <w:rFonts w:ascii="Times New Roman" w:hAnsi="Times New Roman" w:cs="Times New Roman"/>
        </w:rPr>
        <w:t xml:space="preserve"> covered entity</w:t>
      </w:r>
      <w:r w:rsidRPr="00B90A48" w:rsidR="00B90A48">
        <w:rPr>
          <w:rFonts w:ascii="Times New Roman" w:hAnsi="Times New Roman" w:cs="Times New Roman"/>
        </w:rPr>
        <w:t xml:space="preserve"> to submit information as part of a law enforcement investigation to determine whether </w:t>
      </w:r>
      <w:r w:rsidR="00B90A48">
        <w:rPr>
          <w:rFonts w:ascii="Times New Roman" w:hAnsi="Times New Roman" w:cs="Times New Roman"/>
        </w:rPr>
        <w:t>any entity</w:t>
      </w:r>
      <w:r w:rsidRPr="00B90A48" w:rsidR="00B90A48">
        <w:rPr>
          <w:rFonts w:ascii="Times New Roman" w:hAnsi="Times New Roman" w:cs="Times New Roman"/>
        </w:rPr>
        <w:t xml:space="preserve"> has engaged in any practices that might have violated </w:t>
      </w:r>
      <w:r w:rsidR="00B90A48">
        <w:rPr>
          <w:rFonts w:ascii="Times New Roman" w:hAnsi="Times New Roman" w:cs="Times New Roman"/>
        </w:rPr>
        <w:t xml:space="preserve">the </w:t>
      </w:r>
      <w:r w:rsidRPr="00B90A48" w:rsidR="00B90A48">
        <w:rPr>
          <w:rFonts w:ascii="Times New Roman" w:hAnsi="Times New Roman" w:cs="Times New Roman"/>
        </w:rPr>
        <w:t>Rule.</w:t>
      </w:r>
      <w:r w:rsidR="00B90A48">
        <w:rPr>
          <w:rFonts w:ascii="Times New Roman" w:hAnsi="Times New Roman" w:cs="Times New Roman"/>
        </w:rPr>
        <w:t xml:space="preserve"> </w:t>
      </w:r>
      <w:r w:rsidRPr="00B90A48" w:rsidR="00B90A48">
        <w:rPr>
          <w:rFonts w:ascii="Times New Roman" w:hAnsi="Times New Roman" w:cs="Times New Roman"/>
        </w:rPr>
        <w:t>Any information provided to the Commission in connection with such law enforcement investigations is treated as confidential under Sections 6(f) and 21(f) of the Federal Trade Commission Act, 15 U.S.C. §§ 46(f) and 57b-2(f).</w:t>
      </w:r>
    </w:p>
    <w:p w:rsidR="00B90A48" w:rsidRPr="00B90A48" w:rsidP="00690249" w14:paraId="137E4156" w14:textId="77777777">
      <w:pPr>
        <w:spacing w:after="0" w:line="240" w:lineRule="auto"/>
        <w:rPr>
          <w:rFonts w:ascii="Times New Roman" w:hAnsi="Times New Roman" w:cs="Times New Roman"/>
        </w:rPr>
      </w:pPr>
    </w:p>
    <w:p w:rsidR="00B90A48" w:rsidRPr="0096143B" w:rsidP="0096143B" w14:paraId="0AF41570" w14:textId="3CDDF4B2">
      <w:pPr>
        <w:pStyle w:val="ListParagraph"/>
        <w:numPr>
          <w:ilvl w:val="0"/>
          <w:numId w:val="3"/>
        </w:numPr>
        <w:ind w:left="360"/>
        <w:rPr>
          <w:rFonts w:ascii="Times New Roman" w:hAnsi="Times New Roman" w:cs="Times New Roman"/>
          <w:b/>
          <w:bCs/>
        </w:rPr>
      </w:pPr>
      <w:r w:rsidRPr="0096143B">
        <w:rPr>
          <w:rFonts w:ascii="Times New Roman" w:hAnsi="Times New Roman" w:cs="Times New Roman"/>
          <w:b/>
          <w:bCs/>
        </w:rPr>
        <w:t>Matters of a Sensitive Nature</w:t>
      </w:r>
    </w:p>
    <w:p w:rsidR="00690249" w:rsidRPr="00B90A48" w:rsidP="00B90A48" w14:paraId="2BEBA030" w14:textId="621BC2DD">
      <w:pPr>
        <w:spacing w:after="0" w:line="240" w:lineRule="auto"/>
        <w:ind w:firstLine="720"/>
        <w:rPr>
          <w:rFonts w:ascii="Times New Roman" w:hAnsi="Times New Roman" w:cs="Times New Roman"/>
        </w:rPr>
      </w:pPr>
      <w:r w:rsidRPr="00B90A48">
        <w:rPr>
          <w:rFonts w:ascii="Times New Roman" w:hAnsi="Times New Roman" w:cs="Times New Roman"/>
        </w:rPr>
        <w:t>The Rule does not present any questions of a sensitive nature.</w:t>
      </w:r>
    </w:p>
    <w:p w:rsidR="00B90A48" w:rsidRPr="00D22269" w:rsidP="0096143B" w14:paraId="6643477C" w14:textId="77777777">
      <w:pPr>
        <w:spacing w:after="0" w:line="240" w:lineRule="auto"/>
        <w:ind w:firstLine="720"/>
        <w:rPr>
          <w:rFonts w:ascii="Times New Roman" w:hAnsi="Times New Roman" w:cs="Times New Roman"/>
        </w:rPr>
      </w:pPr>
    </w:p>
    <w:p w:rsidR="00690249" w:rsidRPr="00D22269" w:rsidP="00690249" w14:paraId="21DC8839" w14:textId="1704D3EC">
      <w:pPr>
        <w:pStyle w:val="ListParagraph"/>
        <w:numPr>
          <w:ilvl w:val="0"/>
          <w:numId w:val="3"/>
        </w:numPr>
        <w:tabs>
          <w:tab w:val="left" w:pos="720"/>
        </w:tabs>
        <w:spacing w:after="0" w:line="240" w:lineRule="auto"/>
        <w:ind w:left="720" w:hanging="720"/>
        <w:rPr>
          <w:rFonts w:ascii="Times New Roman" w:hAnsi="Times New Roman" w:cs="Times New Roman"/>
          <w:b/>
          <w:bCs/>
        </w:rPr>
      </w:pPr>
      <w:r w:rsidRPr="00D22269">
        <w:rPr>
          <w:rFonts w:ascii="Times New Roman" w:hAnsi="Times New Roman" w:cs="Times New Roman"/>
          <w:b/>
          <w:bCs/>
        </w:rPr>
        <w:t>Hours of Burden and Associated Labor Costs</w:t>
      </w:r>
    </w:p>
    <w:p w:rsidR="00690249" w:rsidRPr="00D22269" w:rsidP="00690249" w14:paraId="2DB8C042" w14:textId="77777777">
      <w:pPr>
        <w:pStyle w:val="ListParagraph"/>
        <w:tabs>
          <w:tab w:val="left" w:pos="720"/>
        </w:tabs>
        <w:spacing w:after="0" w:line="240" w:lineRule="auto"/>
        <w:rPr>
          <w:rFonts w:ascii="Times New Roman" w:hAnsi="Times New Roman" w:cs="Times New Roman"/>
          <w:b/>
          <w:bCs/>
        </w:rPr>
      </w:pPr>
    </w:p>
    <w:p w:rsidR="00690249" w:rsidRPr="00D22269" w:rsidP="00AE4C2C" w14:paraId="59498647" w14:textId="3AAA0DDA">
      <w:pPr>
        <w:spacing w:after="0" w:line="240" w:lineRule="auto"/>
        <w:ind w:firstLine="720"/>
        <w:rPr>
          <w:rFonts w:ascii="Times New Roman" w:hAnsi="Times New Roman" w:cs="Times New Roman"/>
        </w:rPr>
      </w:pPr>
      <w:r w:rsidRPr="00D22269">
        <w:rPr>
          <w:rFonts w:ascii="Times New Roman" w:hAnsi="Times New Roman" w:cs="Times New Roman"/>
          <w:b/>
          <w:bCs/>
        </w:rPr>
        <w:t>Estimated annual burden hours</w:t>
      </w:r>
      <w:r w:rsidRPr="00D22269">
        <w:rPr>
          <w:rFonts w:ascii="Times New Roman" w:hAnsi="Times New Roman" w:cs="Times New Roman"/>
        </w:rPr>
        <w:t xml:space="preserve">: </w:t>
      </w:r>
      <w:r w:rsidRPr="00D22269" w:rsidR="00AE4C2C">
        <w:rPr>
          <w:rFonts w:ascii="Times New Roman" w:hAnsi="Times New Roman" w:cs="Times New Roman"/>
        </w:rPr>
        <w:t>28,163 (derived from 11,394 recordkeeping hours added to 16,769 disclosure hours).</w:t>
      </w:r>
    </w:p>
    <w:p w:rsidR="00AE4C2C" w:rsidRPr="00D22269" w:rsidP="00AE4C2C" w14:paraId="0908813D" w14:textId="77777777">
      <w:pPr>
        <w:spacing w:after="0" w:line="240" w:lineRule="auto"/>
        <w:ind w:firstLine="720"/>
        <w:rPr>
          <w:rFonts w:ascii="Times New Roman" w:hAnsi="Times New Roman" w:cs="Times New Roman"/>
        </w:rPr>
      </w:pPr>
    </w:p>
    <w:p w:rsidR="00690249" w:rsidRPr="00D22269" w:rsidP="00690249" w14:paraId="7AC8EC43" w14:textId="263C87C5">
      <w:pPr>
        <w:spacing w:after="0" w:line="240" w:lineRule="auto"/>
        <w:ind w:firstLine="720"/>
        <w:rPr>
          <w:rFonts w:ascii="Times New Roman" w:hAnsi="Times New Roman" w:cs="Times New Roman"/>
        </w:rPr>
      </w:pPr>
      <w:r w:rsidRPr="00D22269">
        <w:rPr>
          <w:rFonts w:ascii="Times New Roman" w:hAnsi="Times New Roman" w:cs="Times New Roman"/>
          <w:u w:val="single"/>
        </w:rPr>
        <w:t>Recordkeeping</w:t>
      </w:r>
      <w:r w:rsidRPr="00D22269">
        <w:rPr>
          <w:rFonts w:ascii="Times New Roman" w:hAnsi="Times New Roman" w:cs="Times New Roman"/>
        </w:rPr>
        <w:t xml:space="preserve">: </w:t>
      </w:r>
      <w:r w:rsidRPr="00D22269" w:rsidR="00AE4C2C">
        <w:rPr>
          <w:rFonts w:ascii="Times New Roman" w:hAnsi="Times New Roman" w:cs="Times New Roman"/>
        </w:rPr>
        <w:t>Based on industry sources, staff estimates that approximately 136,727 fuel industry members</w:t>
      </w:r>
      <w:r>
        <w:rPr>
          <w:rStyle w:val="FootnoteReference"/>
          <w:rFonts w:ascii="Times New Roman" w:hAnsi="Times New Roman" w:cs="Times New Roman"/>
        </w:rPr>
        <w:footnoteReference w:id="4"/>
      </w:r>
      <w:r w:rsidRPr="00D22269" w:rsidR="00AE4C2C">
        <w:rPr>
          <w:rFonts w:ascii="Times New Roman" w:hAnsi="Times New Roman" w:cs="Times New Roman"/>
        </w:rPr>
        <w:t xml:space="preserve"> each incur an average annual burden of approximately five minutes to ensure retention of relevant business records</w:t>
      </w:r>
      <w:r>
        <w:rPr>
          <w:rStyle w:val="FootnoteReference"/>
          <w:rFonts w:ascii="Times New Roman" w:hAnsi="Times New Roman" w:cs="Times New Roman"/>
        </w:rPr>
        <w:footnoteReference w:id="5"/>
      </w:r>
      <w:r w:rsidRPr="00D22269" w:rsidR="00AE4C2C">
        <w:rPr>
          <w:rFonts w:ascii="Times New Roman" w:hAnsi="Times New Roman" w:cs="Times New Roman"/>
        </w:rPr>
        <w:t xml:space="preserve"> for the period required by the Rule, resulting in a total of 11,394 hours.</w:t>
      </w:r>
    </w:p>
    <w:p w:rsidR="00690249" w:rsidRPr="00D22269" w:rsidP="00690249" w14:paraId="1BD38F66" w14:textId="77777777">
      <w:pPr>
        <w:spacing w:after="0" w:line="240" w:lineRule="auto"/>
        <w:ind w:firstLine="720"/>
        <w:rPr>
          <w:rFonts w:ascii="Times New Roman" w:hAnsi="Times New Roman" w:cs="Times New Roman"/>
        </w:rPr>
      </w:pPr>
    </w:p>
    <w:p w:rsidR="00B3408C" w:rsidRPr="00D22269" w:rsidP="00D22269" w14:paraId="2D4F50E2" w14:textId="30A33389">
      <w:pPr>
        <w:spacing w:after="0" w:line="240" w:lineRule="auto"/>
        <w:ind w:firstLine="720"/>
        <w:rPr>
          <w:rFonts w:ascii="Times New Roman" w:hAnsi="Times New Roman" w:cs="Times New Roman"/>
        </w:rPr>
      </w:pPr>
      <w:r w:rsidRPr="00D22269">
        <w:rPr>
          <w:rFonts w:ascii="Times New Roman" w:hAnsi="Times New Roman" w:cs="Times New Roman"/>
          <w:u w:val="single"/>
        </w:rPr>
        <w:t>Disclosure</w:t>
      </w:r>
      <w:r w:rsidRPr="00D22269">
        <w:rPr>
          <w:rFonts w:ascii="Times New Roman" w:hAnsi="Times New Roman" w:cs="Times New Roman"/>
        </w:rPr>
        <w:t xml:space="preserve">: </w:t>
      </w:r>
      <w:r w:rsidRPr="00D22269" w:rsidR="00D22269">
        <w:rPr>
          <w:rFonts w:ascii="Times New Roman" w:hAnsi="Times New Roman" w:cs="Times New Roman"/>
        </w:rPr>
        <w:t>Staff estimates that affected industry members incur an average burden of approximately one hour to produce, distribute, and post octane rating labels. Because the labels are durable, only about one of every eight industry member retailers (16,769 of 134,146 industry member retailers) incur this burden each year, resulting in a total annual burden of 16,769 hours.</w:t>
      </w:r>
    </w:p>
    <w:p w:rsidR="00D22269" w:rsidP="00D22269" w14:paraId="252C7212" w14:textId="77777777">
      <w:pPr>
        <w:spacing w:after="0" w:line="240" w:lineRule="auto"/>
        <w:ind w:firstLine="720"/>
        <w:rPr>
          <w:rFonts w:ascii="Times New Roman" w:hAnsi="Times New Roman" w:cs="Times New Roman"/>
        </w:rPr>
      </w:pPr>
    </w:p>
    <w:p w:rsidR="00ED4987" w:rsidP="00D22269" w14:paraId="438618B6" w14:textId="77777777">
      <w:pPr>
        <w:spacing w:after="0" w:line="240" w:lineRule="auto"/>
        <w:ind w:firstLine="720"/>
        <w:rPr>
          <w:rFonts w:ascii="Times New Roman" w:hAnsi="Times New Roman" w:cs="Times New Roman"/>
        </w:rPr>
      </w:pPr>
    </w:p>
    <w:p w:rsidR="00ED4987" w:rsidP="00D22269" w14:paraId="5A59B86C" w14:textId="77777777">
      <w:pPr>
        <w:spacing w:after="0" w:line="240" w:lineRule="auto"/>
        <w:ind w:firstLine="720"/>
        <w:rPr>
          <w:rFonts w:ascii="Times New Roman" w:hAnsi="Times New Roman" w:cs="Times New Roman"/>
        </w:rPr>
      </w:pPr>
    </w:p>
    <w:p w:rsidR="00ED4987" w:rsidRPr="00D22269" w:rsidP="00D22269" w14:paraId="3CED1D07" w14:textId="77777777">
      <w:pPr>
        <w:spacing w:after="0" w:line="240" w:lineRule="auto"/>
        <w:ind w:firstLine="720"/>
        <w:rPr>
          <w:rFonts w:ascii="Times New Roman" w:hAnsi="Times New Roman" w:cs="Times New Roman"/>
        </w:rPr>
      </w:pPr>
    </w:p>
    <w:p w:rsidR="00690249" w:rsidRPr="00D22269" w:rsidP="00B3408C" w14:paraId="662F24F9" w14:textId="2826E9B7">
      <w:pPr>
        <w:spacing w:after="0" w:line="240" w:lineRule="auto"/>
        <w:ind w:firstLine="720"/>
        <w:rPr>
          <w:rFonts w:ascii="Times New Roman" w:hAnsi="Times New Roman" w:cs="Times New Roman"/>
        </w:rPr>
      </w:pPr>
      <w:r w:rsidRPr="00D22269">
        <w:rPr>
          <w:rFonts w:ascii="Times New Roman" w:hAnsi="Times New Roman" w:cs="Times New Roman"/>
          <w:b/>
          <w:bCs/>
        </w:rPr>
        <w:t>Estimated annual labor costs</w:t>
      </w:r>
      <w:r w:rsidRPr="00D22269">
        <w:rPr>
          <w:rFonts w:ascii="Times New Roman" w:hAnsi="Times New Roman" w:cs="Times New Roman"/>
        </w:rPr>
        <w:t>: $</w:t>
      </w:r>
      <w:r w:rsidRPr="00D22269" w:rsidR="00D22269">
        <w:rPr>
          <w:rFonts w:ascii="Times New Roman" w:hAnsi="Times New Roman" w:cs="Times New Roman"/>
        </w:rPr>
        <w:t>455,731.</w:t>
      </w:r>
    </w:p>
    <w:p w:rsidR="00B3408C" w:rsidRPr="00D22269" w:rsidP="00B3408C" w14:paraId="3D32608A" w14:textId="77777777">
      <w:pPr>
        <w:spacing w:after="0" w:line="240" w:lineRule="auto"/>
        <w:ind w:firstLine="720"/>
        <w:rPr>
          <w:rFonts w:ascii="Times New Roman" w:hAnsi="Times New Roman" w:cs="Times New Roman"/>
        </w:rPr>
      </w:pPr>
    </w:p>
    <w:p w:rsidR="00D22269" w:rsidRPr="00D22269" w:rsidP="00D22269" w14:paraId="70581D9B" w14:textId="6933974A">
      <w:pPr>
        <w:spacing w:after="0" w:line="240" w:lineRule="auto"/>
        <w:ind w:firstLine="720"/>
        <w:rPr>
          <w:rFonts w:ascii="Times New Roman" w:hAnsi="Times New Roman" w:cs="Times New Roman"/>
        </w:rPr>
      </w:pPr>
      <w:r w:rsidRPr="00D22269">
        <w:rPr>
          <w:rFonts w:ascii="Times New Roman" w:hAnsi="Times New Roman" w:cs="Times New Roman"/>
        </w:rPr>
        <w:t>Labor costs are derived by applying appropriate hourly cost figures to the burden hours described above. Here, the average hourly wages of refiners, producers, distributors, and importers is $45.03.</w:t>
      </w:r>
      <w:r>
        <w:rPr>
          <w:rFonts w:ascii="Times New Roman" w:hAnsi="Times New Roman" w:cs="Times New Roman"/>
          <w:vertAlign w:val="superscript"/>
        </w:rPr>
        <w:footnoteReference w:id="6"/>
      </w:r>
      <w:r w:rsidRPr="00D22269">
        <w:rPr>
          <w:rFonts w:ascii="Times New Roman" w:hAnsi="Times New Roman" w:cs="Times New Roman"/>
        </w:rPr>
        <w:t xml:space="preserve"> The average hourly wages of retailers is $15.96.</w:t>
      </w:r>
      <w:r>
        <w:rPr>
          <w:rFonts w:ascii="Times New Roman" w:hAnsi="Times New Roman" w:cs="Times New Roman"/>
          <w:vertAlign w:val="superscript"/>
        </w:rPr>
        <w:footnoteReference w:id="7"/>
      </w:r>
      <w:r w:rsidRPr="00D22269">
        <w:rPr>
          <w:rFonts w:ascii="Times New Roman" w:hAnsi="Times New Roman" w:cs="Times New Roman"/>
        </w:rPr>
        <w:t xml:space="preserve"> </w:t>
      </w:r>
      <w:r w:rsidRPr="00D22269" w:rsidR="00690249">
        <w:rPr>
          <w:rFonts w:ascii="Times New Roman" w:hAnsi="Times New Roman" w:cs="Times New Roman"/>
        </w:rPr>
        <w:t>The recordkeeping component,</w:t>
      </w:r>
      <w:r w:rsidRPr="00D22269" w:rsidR="00B3408C">
        <w:rPr>
          <w:rFonts w:ascii="Times New Roman" w:hAnsi="Times New Roman" w:cs="Times New Roman"/>
        </w:rPr>
        <w:t xml:space="preserve"> </w:t>
      </w:r>
      <w:r w:rsidRPr="00D22269">
        <w:rPr>
          <w:rFonts w:ascii="Times New Roman" w:hAnsi="Times New Roman" w:cs="Times New Roman"/>
        </w:rPr>
        <w:t xml:space="preserve">11,394 hours, consists of approximately 215 hours for producers, distributors, and importers; and 11,179 hours for retailers. Thus, the total annual labor cost for recordkeeping is $188,098 </w:t>
      </w:r>
      <w:r>
        <w:rPr>
          <w:rFonts w:ascii="Times New Roman" w:hAnsi="Times New Roman" w:cs="Times New Roman"/>
        </w:rPr>
        <w:t>(</w:t>
      </w:r>
      <w:r w:rsidRPr="00D22269">
        <w:rPr>
          <w:rFonts w:ascii="Times New Roman" w:hAnsi="Times New Roman" w:cs="Times New Roman"/>
        </w:rPr>
        <w:t>(215 hours x $45.03/hour) + (11,179 hours x $15.96/hour)). The disclosure component, which concerns retailers, is approximately 16,769 hours. Thus, total annual labor cost for disclosure is $267,633 (16,769 hours x $15.96/hour).</w:t>
      </w:r>
    </w:p>
    <w:p w:rsidR="00B3408C" w:rsidRPr="00D22269" w:rsidP="00D22269" w14:paraId="416163DF" w14:textId="7F74A3AA">
      <w:pPr>
        <w:spacing w:after="0" w:line="240" w:lineRule="auto"/>
        <w:ind w:firstLine="720"/>
        <w:rPr>
          <w:rFonts w:ascii="Times New Roman" w:hAnsi="Times New Roman" w:cs="Times New Roman"/>
        </w:rPr>
      </w:pPr>
    </w:p>
    <w:p w:rsidR="00690249" w:rsidRPr="00D22269" w:rsidP="00B3408C" w14:paraId="7CA57029" w14:textId="34CF7884">
      <w:pPr>
        <w:pStyle w:val="ListParagraph"/>
        <w:numPr>
          <w:ilvl w:val="0"/>
          <w:numId w:val="3"/>
        </w:numPr>
        <w:tabs>
          <w:tab w:val="left" w:pos="720"/>
        </w:tabs>
        <w:spacing w:after="0" w:line="240" w:lineRule="auto"/>
        <w:ind w:left="720" w:hanging="720"/>
        <w:rPr>
          <w:rFonts w:ascii="Times New Roman" w:hAnsi="Times New Roman" w:cs="Times New Roman"/>
        </w:rPr>
      </w:pPr>
      <w:r w:rsidRPr="00D22269">
        <w:rPr>
          <w:rFonts w:ascii="Times New Roman" w:hAnsi="Times New Roman" w:cs="Times New Roman"/>
          <w:b/>
          <w:bCs/>
        </w:rPr>
        <w:t>Estimated Annual Capital and/or Other Non-labor Related Costs</w:t>
      </w:r>
    </w:p>
    <w:p w:rsidR="00B3408C" w:rsidRPr="00D22269" w:rsidP="00B3408C" w14:paraId="74E25B06" w14:textId="77777777">
      <w:pPr>
        <w:pStyle w:val="ListParagraph"/>
        <w:tabs>
          <w:tab w:val="left" w:pos="720"/>
        </w:tabs>
        <w:spacing w:after="0" w:line="240" w:lineRule="auto"/>
        <w:rPr>
          <w:rFonts w:ascii="Times New Roman" w:hAnsi="Times New Roman" w:cs="Times New Roman"/>
        </w:rPr>
      </w:pPr>
    </w:p>
    <w:p w:rsidR="00AE4C2C" w:rsidP="00D22269" w14:paraId="4C756B53" w14:textId="4ABFAB90">
      <w:pPr>
        <w:spacing w:after="0" w:line="240" w:lineRule="auto"/>
        <w:ind w:firstLine="720"/>
        <w:rPr>
          <w:rFonts w:ascii="Times New Roman" w:hAnsi="Times New Roman" w:cs="Times New Roman"/>
        </w:rPr>
      </w:pPr>
      <w:r w:rsidRPr="00D22269">
        <w:rPr>
          <w:rFonts w:ascii="Times New Roman" w:hAnsi="Times New Roman" w:cs="Times New Roman"/>
        </w:rPr>
        <w:t>Staff believes that the Rule does not impose any capital costs for producers, importers, or distributors of fuels. Retailers, however, incur the cost of procuring and replacing fuel dispenser labels to comply with the Rule. Staff conservatively estimates that the price per automotive fuel label is $3.06 and that the average automotive fuel retailer has six dispensers; thus, $18.36 labeling cost per retailer at inception and each time a retailer must replace labels.</w:t>
      </w:r>
      <w:r>
        <w:rPr>
          <w:rStyle w:val="FootnoteReference"/>
          <w:rFonts w:ascii="Times New Roman" w:hAnsi="Times New Roman" w:cs="Times New Roman"/>
        </w:rPr>
        <w:footnoteReference w:id="8"/>
      </w:r>
      <w:r w:rsidRPr="00D22269">
        <w:rPr>
          <w:rFonts w:ascii="Times New Roman" w:hAnsi="Times New Roman" w:cs="Times New Roman"/>
        </w:rPr>
        <w:t xml:space="preserve"> Staff has previously estimated a dispenser useful life range of 6 to 10 years and based on that, assumed a useful life of 8 years for labels, the mean of that range. Annualizing the $18.36 labeling cost per retailer over a label’s average useful life yields $2.30. Cumulative annual labeling cost would thus be $308,536 (134,146 retailers × $2.30 per year).</w:t>
      </w:r>
    </w:p>
    <w:p w:rsidR="00D22269" w:rsidRPr="00D22269" w:rsidP="00D22269" w14:paraId="04339A5A" w14:textId="77777777">
      <w:pPr>
        <w:spacing w:after="0" w:line="240" w:lineRule="auto"/>
        <w:ind w:firstLine="720"/>
        <w:rPr>
          <w:rFonts w:ascii="Times New Roman" w:hAnsi="Times New Roman" w:cs="Times New Roman"/>
        </w:rPr>
      </w:pPr>
    </w:p>
    <w:p w:rsidR="00690249" w:rsidRPr="00D22269" w:rsidP="00AE4C2C" w14:paraId="4D0A407B" w14:textId="764A1BE0">
      <w:pPr>
        <w:pStyle w:val="ListParagraph"/>
        <w:numPr>
          <w:ilvl w:val="0"/>
          <w:numId w:val="3"/>
        </w:numPr>
        <w:tabs>
          <w:tab w:val="left" w:pos="720"/>
        </w:tabs>
        <w:spacing w:after="0" w:line="240" w:lineRule="auto"/>
        <w:ind w:left="720" w:hanging="720"/>
        <w:rPr>
          <w:rFonts w:ascii="Times New Roman" w:hAnsi="Times New Roman" w:cs="Times New Roman"/>
          <w:b/>
          <w:bCs/>
        </w:rPr>
      </w:pPr>
      <w:r w:rsidRPr="00D22269">
        <w:rPr>
          <w:rFonts w:ascii="Times New Roman" w:hAnsi="Times New Roman" w:cs="Times New Roman"/>
          <w:b/>
          <w:bCs/>
        </w:rPr>
        <w:t>Estimate of Cost to Federal Government</w:t>
      </w:r>
    </w:p>
    <w:p w:rsidR="00AE4C2C" w:rsidRPr="00D22269" w:rsidP="00AE4C2C" w14:paraId="4D1BE8D8" w14:textId="77777777">
      <w:pPr>
        <w:pStyle w:val="ListParagraph"/>
        <w:tabs>
          <w:tab w:val="left" w:pos="720"/>
        </w:tabs>
        <w:spacing w:after="0" w:line="240" w:lineRule="auto"/>
        <w:rPr>
          <w:rFonts w:ascii="Times New Roman" w:hAnsi="Times New Roman" w:cs="Times New Roman"/>
          <w:b/>
          <w:bCs/>
        </w:rPr>
      </w:pPr>
    </w:p>
    <w:p w:rsidR="00690249" w:rsidRPr="00D22269" w:rsidP="0096143B" w14:paraId="10208063" w14:textId="74DF9DD1">
      <w:pPr>
        <w:spacing w:after="0" w:line="240" w:lineRule="auto"/>
        <w:ind w:firstLine="720"/>
        <w:rPr>
          <w:rFonts w:ascii="Times New Roman" w:hAnsi="Times New Roman" w:cs="Times New Roman"/>
        </w:rPr>
      </w:pPr>
      <w:r w:rsidRPr="00B90A48">
        <w:rPr>
          <w:rFonts w:ascii="Times New Roman" w:hAnsi="Times New Roman" w:cs="Times New Roman"/>
        </w:rPr>
        <w:t>Staff estimates that the yearly cost to the Federal Government to administer the Rule’s requirements is approximately $</w:t>
      </w:r>
      <w:r w:rsidR="00400556">
        <w:rPr>
          <w:rFonts w:ascii="Times New Roman" w:hAnsi="Times New Roman" w:cs="Times New Roman"/>
        </w:rPr>
        <w:t>40,22</w:t>
      </w:r>
      <w:r w:rsidR="00777027">
        <w:rPr>
          <w:rFonts w:ascii="Times New Roman" w:hAnsi="Times New Roman" w:cs="Times New Roman"/>
        </w:rPr>
        <w:t>9</w:t>
      </w:r>
      <w:r w:rsidRPr="00B90A48">
        <w:rPr>
          <w:rFonts w:ascii="Times New Roman" w:hAnsi="Times New Roman" w:cs="Times New Roman"/>
        </w:rPr>
        <w:t xml:space="preserve">, which is the cost of </w:t>
      </w:r>
      <w:r>
        <w:rPr>
          <w:rFonts w:ascii="Times New Roman" w:hAnsi="Times New Roman" w:cs="Times New Roman"/>
        </w:rPr>
        <w:t>0.15</w:t>
      </w:r>
      <w:r w:rsidRPr="00B90A48">
        <w:rPr>
          <w:rFonts w:ascii="Times New Roman" w:hAnsi="Times New Roman" w:cs="Times New Roman"/>
        </w:rPr>
        <w:t xml:space="preserve"> of an attorney</w:t>
      </w:r>
      <w:r>
        <w:rPr>
          <w:rFonts w:ascii="Times New Roman" w:hAnsi="Times New Roman" w:cs="Times New Roman"/>
        </w:rPr>
        <w:t>/economist</w:t>
      </w:r>
      <w:r w:rsidRPr="00B90A48">
        <w:rPr>
          <w:rFonts w:ascii="Times New Roman" w:hAnsi="Times New Roman" w:cs="Times New Roman"/>
        </w:rPr>
        <w:t xml:space="preserve"> work year at GS-</w:t>
      </w:r>
      <w:r w:rsidR="001703D8">
        <w:rPr>
          <w:rFonts w:ascii="Times New Roman" w:hAnsi="Times New Roman" w:cs="Times New Roman"/>
        </w:rPr>
        <w:t>15</w:t>
      </w:r>
      <w:r w:rsidRPr="00B90A48">
        <w:rPr>
          <w:rFonts w:ascii="Times New Roman" w:hAnsi="Times New Roman" w:cs="Times New Roman"/>
        </w:rPr>
        <w:t xml:space="preserve">, step </w:t>
      </w:r>
      <w:r w:rsidR="003D0360">
        <w:rPr>
          <w:rFonts w:ascii="Times New Roman" w:hAnsi="Times New Roman" w:cs="Times New Roman"/>
        </w:rPr>
        <w:t>10</w:t>
      </w:r>
      <w:r w:rsidRPr="00B90A48">
        <w:rPr>
          <w:rFonts w:ascii="Times New Roman" w:hAnsi="Times New Roman" w:cs="Times New Roman"/>
        </w:rPr>
        <w:t>, under the locality pay scale for the Washington, DC area.  Fringe benefits are calculated at 36% of the salary for FTC officials and are included within the overall estimate of $</w:t>
      </w:r>
      <w:r w:rsidR="00777027">
        <w:rPr>
          <w:rFonts w:ascii="Times New Roman" w:hAnsi="Times New Roman" w:cs="Times New Roman"/>
        </w:rPr>
        <w:t>40,229</w:t>
      </w:r>
      <w:r w:rsidRPr="00B90A48">
        <w:rPr>
          <w:rFonts w:ascii="Times New Roman" w:hAnsi="Times New Roman" w:cs="Times New Roman"/>
        </w:rPr>
        <w:t>.</w:t>
      </w:r>
      <w:r>
        <w:rPr>
          <w:rFonts w:ascii="Times New Roman" w:hAnsi="Times New Roman" w:cs="Times New Roman"/>
        </w:rPr>
        <w:t xml:space="preserve"> </w:t>
      </w:r>
    </w:p>
    <w:p w:rsidR="00AE4C2C" w:rsidRPr="00D22269" w:rsidP="00AE4C2C" w14:paraId="41F8344B" w14:textId="77777777">
      <w:pPr>
        <w:spacing w:after="0" w:line="240" w:lineRule="auto"/>
        <w:rPr>
          <w:rFonts w:ascii="Times New Roman" w:hAnsi="Times New Roman" w:cs="Times New Roman"/>
        </w:rPr>
      </w:pPr>
    </w:p>
    <w:p w:rsidR="00690249" w:rsidRPr="00D22269" w:rsidP="00AE4C2C" w14:paraId="49EA0ACA" w14:textId="5DC83FAA">
      <w:pPr>
        <w:pStyle w:val="ListParagraph"/>
        <w:numPr>
          <w:ilvl w:val="0"/>
          <w:numId w:val="3"/>
        </w:numPr>
        <w:tabs>
          <w:tab w:val="left" w:pos="720"/>
        </w:tabs>
        <w:spacing w:after="0" w:line="240" w:lineRule="auto"/>
        <w:ind w:left="720" w:hanging="720"/>
        <w:rPr>
          <w:rFonts w:ascii="Times New Roman" w:hAnsi="Times New Roman" w:cs="Times New Roman"/>
          <w:b/>
          <w:bCs/>
        </w:rPr>
      </w:pPr>
      <w:r w:rsidRPr="00D22269">
        <w:rPr>
          <w:rFonts w:ascii="Times New Roman" w:hAnsi="Times New Roman" w:cs="Times New Roman"/>
          <w:b/>
          <w:bCs/>
        </w:rPr>
        <w:t>Adjustments/Changes in Burden</w:t>
      </w:r>
    </w:p>
    <w:p w:rsidR="00AE4C2C" w:rsidRPr="00D22269" w:rsidP="00AE4C2C" w14:paraId="2477223A" w14:textId="77777777">
      <w:pPr>
        <w:pStyle w:val="ListParagraph"/>
        <w:tabs>
          <w:tab w:val="left" w:pos="720"/>
        </w:tabs>
        <w:spacing w:after="0" w:line="240" w:lineRule="auto"/>
        <w:rPr>
          <w:rFonts w:ascii="Times New Roman" w:hAnsi="Times New Roman" w:cs="Times New Roman"/>
          <w:b/>
          <w:bCs/>
        </w:rPr>
      </w:pPr>
    </w:p>
    <w:p w:rsidR="00690249" w:rsidRPr="00D22269" w:rsidP="00D22269" w14:paraId="6EA05674" w14:textId="5398E483">
      <w:pPr>
        <w:spacing w:after="0" w:line="240" w:lineRule="auto"/>
        <w:ind w:firstLine="720"/>
        <w:rPr>
          <w:rFonts w:ascii="Times New Roman" w:hAnsi="Times New Roman" w:cs="Times New Roman"/>
        </w:rPr>
      </w:pPr>
      <w:r w:rsidRPr="00D22269">
        <w:rPr>
          <w:rFonts w:ascii="Times New Roman" w:hAnsi="Times New Roman" w:cs="Times New Roman"/>
        </w:rPr>
        <w:t xml:space="preserve">There is slight adjustment downward for </w:t>
      </w:r>
      <w:r w:rsidR="00D22269">
        <w:rPr>
          <w:rFonts w:ascii="Times New Roman" w:hAnsi="Times New Roman" w:cs="Times New Roman"/>
        </w:rPr>
        <w:t xml:space="preserve">both </w:t>
      </w:r>
      <w:r w:rsidRPr="00D22269">
        <w:rPr>
          <w:rFonts w:ascii="Times New Roman" w:hAnsi="Times New Roman" w:cs="Times New Roman"/>
        </w:rPr>
        <w:t>the estimated annual hours of burden (</w:t>
      </w:r>
      <w:r w:rsidRPr="00D22269" w:rsidR="00D22269">
        <w:rPr>
          <w:rFonts w:ascii="Times New Roman" w:hAnsi="Times New Roman" w:cs="Times New Roman"/>
        </w:rPr>
        <w:t>28,163</w:t>
      </w:r>
      <w:r w:rsidR="00D22269">
        <w:rPr>
          <w:rFonts w:ascii="Times New Roman" w:hAnsi="Times New Roman" w:cs="Times New Roman"/>
        </w:rPr>
        <w:t xml:space="preserve"> </w:t>
      </w:r>
      <w:r w:rsidRPr="00D22269">
        <w:rPr>
          <w:rFonts w:ascii="Times New Roman" w:hAnsi="Times New Roman" w:cs="Times New Roman"/>
        </w:rPr>
        <w:t>hours in 202</w:t>
      </w:r>
      <w:r w:rsidR="00D22269">
        <w:rPr>
          <w:rFonts w:ascii="Times New Roman" w:hAnsi="Times New Roman" w:cs="Times New Roman"/>
        </w:rPr>
        <w:t>6</w:t>
      </w:r>
      <w:r w:rsidRPr="00D22269">
        <w:rPr>
          <w:rFonts w:ascii="Times New Roman" w:hAnsi="Times New Roman" w:cs="Times New Roman"/>
        </w:rPr>
        <w:t xml:space="preserve"> and</w:t>
      </w:r>
      <w:r w:rsidR="00EF255A">
        <w:rPr>
          <w:rFonts w:ascii="Times New Roman" w:hAnsi="Times New Roman" w:cs="Times New Roman"/>
        </w:rPr>
        <w:t xml:space="preserve"> 31,976</w:t>
      </w:r>
      <w:r w:rsidRPr="00D22269">
        <w:rPr>
          <w:rFonts w:ascii="Times New Roman" w:hAnsi="Times New Roman" w:cs="Times New Roman"/>
        </w:rPr>
        <w:t xml:space="preserve"> hours in 202</w:t>
      </w:r>
      <w:r w:rsidR="00D22269">
        <w:rPr>
          <w:rFonts w:ascii="Times New Roman" w:hAnsi="Times New Roman" w:cs="Times New Roman"/>
        </w:rPr>
        <w:t>3</w:t>
      </w:r>
      <w:r w:rsidRPr="00D22269">
        <w:rPr>
          <w:rFonts w:ascii="Times New Roman" w:hAnsi="Times New Roman" w:cs="Times New Roman"/>
        </w:rPr>
        <w:t>) and the annual labor costs</w:t>
      </w:r>
      <w:r w:rsidR="00D22269">
        <w:rPr>
          <w:rFonts w:ascii="Times New Roman" w:hAnsi="Times New Roman" w:cs="Times New Roman"/>
        </w:rPr>
        <w:t xml:space="preserve"> </w:t>
      </w:r>
      <w:r w:rsidRPr="00D22269">
        <w:rPr>
          <w:rFonts w:ascii="Times New Roman" w:hAnsi="Times New Roman" w:cs="Times New Roman"/>
        </w:rPr>
        <w:t>(</w:t>
      </w:r>
      <w:r w:rsidRPr="00D22269" w:rsidR="00D22269">
        <w:rPr>
          <w:rFonts w:ascii="Times New Roman" w:hAnsi="Times New Roman" w:cs="Times New Roman"/>
        </w:rPr>
        <w:t>$455,731</w:t>
      </w:r>
      <w:r w:rsidRPr="00D22269">
        <w:rPr>
          <w:rFonts w:ascii="Times New Roman" w:hAnsi="Times New Roman" w:cs="Times New Roman"/>
        </w:rPr>
        <w:t xml:space="preserve"> in 202</w:t>
      </w:r>
      <w:r w:rsidR="00D22269">
        <w:rPr>
          <w:rFonts w:ascii="Times New Roman" w:hAnsi="Times New Roman" w:cs="Times New Roman"/>
        </w:rPr>
        <w:t>6</w:t>
      </w:r>
      <w:r w:rsidRPr="00D22269">
        <w:rPr>
          <w:rFonts w:ascii="Times New Roman" w:hAnsi="Times New Roman" w:cs="Times New Roman"/>
        </w:rPr>
        <w:t xml:space="preserve"> and $</w:t>
      </w:r>
      <w:r w:rsidR="00D22269">
        <w:rPr>
          <w:rFonts w:ascii="Times New Roman" w:hAnsi="Times New Roman" w:cs="Times New Roman"/>
        </w:rPr>
        <w:t>481,374</w:t>
      </w:r>
      <w:r w:rsidRPr="00D22269">
        <w:rPr>
          <w:rFonts w:ascii="Times New Roman" w:hAnsi="Times New Roman" w:cs="Times New Roman"/>
        </w:rPr>
        <w:t xml:space="preserve"> in 202</w:t>
      </w:r>
      <w:r w:rsidR="00D22269">
        <w:rPr>
          <w:rFonts w:ascii="Times New Roman" w:hAnsi="Times New Roman" w:cs="Times New Roman"/>
        </w:rPr>
        <w:t>3</w:t>
      </w:r>
      <w:r w:rsidRPr="00D22269">
        <w:rPr>
          <w:rFonts w:ascii="Times New Roman" w:hAnsi="Times New Roman" w:cs="Times New Roman"/>
        </w:rPr>
        <w:t>).</w:t>
      </w:r>
    </w:p>
    <w:p w:rsidR="00AE4C2C" w:rsidP="00690249" w14:paraId="15794EF8" w14:textId="77777777">
      <w:pPr>
        <w:spacing w:after="0" w:line="240" w:lineRule="auto"/>
        <w:rPr>
          <w:rFonts w:ascii="Times New Roman" w:hAnsi="Times New Roman" w:cs="Times New Roman"/>
        </w:rPr>
      </w:pPr>
    </w:p>
    <w:p w:rsidR="00ED4987" w:rsidRPr="00D22269" w:rsidP="00690249" w14:paraId="04D88BAF" w14:textId="77777777">
      <w:pPr>
        <w:spacing w:after="0" w:line="240" w:lineRule="auto"/>
        <w:rPr>
          <w:rFonts w:ascii="Times New Roman" w:hAnsi="Times New Roman" w:cs="Times New Roman"/>
        </w:rPr>
      </w:pPr>
    </w:p>
    <w:p w:rsidR="00690249" w:rsidRPr="00D22269" w:rsidP="00AE4C2C" w14:paraId="18219F99" w14:textId="013CC387">
      <w:pPr>
        <w:pStyle w:val="ListParagraph"/>
        <w:numPr>
          <w:ilvl w:val="0"/>
          <w:numId w:val="3"/>
        </w:numPr>
        <w:tabs>
          <w:tab w:val="left" w:pos="720"/>
        </w:tabs>
        <w:spacing w:after="0" w:line="240" w:lineRule="auto"/>
        <w:ind w:left="720" w:hanging="720"/>
        <w:rPr>
          <w:rFonts w:ascii="Times New Roman" w:hAnsi="Times New Roman" w:cs="Times New Roman"/>
          <w:b/>
          <w:bCs/>
        </w:rPr>
      </w:pPr>
      <w:r w:rsidRPr="00D22269">
        <w:rPr>
          <w:rFonts w:ascii="Times New Roman" w:hAnsi="Times New Roman" w:cs="Times New Roman"/>
          <w:b/>
          <w:bCs/>
        </w:rPr>
        <w:t>Statistical Use of Information</w:t>
      </w:r>
    </w:p>
    <w:p w:rsidR="00AE4C2C" w:rsidRPr="00D22269" w:rsidP="00AE4C2C" w14:paraId="2C480348" w14:textId="77777777">
      <w:pPr>
        <w:pStyle w:val="ListParagraph"/>
        <w:tabs>
          <w:tab w:val="left" w:pos="720"/>
        </w:tabs>
        <w:spacing w:after="0" w:line="240" w:lineRule="auto"/>
        <w:rPr>
          <w:rFonts w:ascii="Times New Roman" w:hAnsi="Times New Roman" w:cs="Times New Roman"/>
          <w:b/>
          <w:bCs/>
        </w:rPr>
      </w:pPr>
    </w:p>
    <w:p w:rsidR="00690249" w:rsidRPr="00D22269" w:rsidP="00AE4C2C" w14:paraId="5CF46302" w14:textId="77777777">
      <w:pPr>
        <w:spacing w:after="0" w:line="240" w:lineRule="auto"/>
        <w:ind w:firstLine="720"/>
        <w:rPr>
          <w:rFonts w:ascii="Times New Roman" w:hAnsi="Times New Roman" w:cs="Times New Roman"/>
        </w:rPr>
      </w:pPr>
      <w:r w:rsidRPr="00D22269">
        <w:rPr>
          <w:rFonts w:ascii="Times New Roman" w:hAnsi="Times New Roman" w:cs="Times New Roman"/>
        </w:rPr>
        <w:t>There are no plans to publish for statistical use any information the Rule requires.</w:t>
      </w:r>
    </w:p>
    <w:p w:rsidR="00AE4C2C" w:rsidP="00AE4C2C" w14:paraId="202B70D7" w14:textId="77777777">
      <w:pPr>
        <w:spacing w:after="0" w:line="240" w:lineRule="auto"/>
        <w:ind w:firstLine="720"/>
        <w:rPr>
          <w:rFonts w:ascii="Times New Roman" w:hAnsi="Times New Roman" w:cs="Times New Roman"/>
        </w:rPr>
      </w:pPr>
    </w:p>
    <w:p w:rsidR="0096143B" w:rsidRPr="00D22269" w:rsidP="00AE4C2C" w14:paraId="28F1A7A3" w14:textId="77777777">
      <w:pPr>
        <w:spacing w:after="0" w:line="240" w:lineRule="auto"/>
        <w:ind w:firstLine="720"/>
        <w:rPr>
          <w:rFonts w:ascii="Times New Roman" w:hAnsi="Times New Roman" w:cs="Times New Roman"/>
        </w:rPr>
      </w:pPr>
    </w:p>
    <w:p w:rsidR="00690249" w:rsidRPr="00D22269" w:rsidP="00AE4C2C" w14:paraId="268726EF" w14:textId="7190C20E">
      <w:pPr>
        <w:pStyle w:val="ListParagraph"/>
        <w:numPr>
          <w:ilvl w:val="0"/>
          <w:numId w:val="3"/>
        </w:numPr>
        <w:tabs>
          <w:tab w:val="left" w:pos="720"/>
        </w:tabs>
        <w:spacing w:after="0" w:line="240" w:lineRule="auto"/>
        <w:ind w:left="720" w:hanging="720"/>
        <w:rPr>
          <w:rFonts w:ascii="Times New Roman" w:hAnsi="Times New Roman" w:cs="Times New Roman"/>
          <w:b/>
          <w:bCs/>
        </w:rPr>
      </w:pPr>
      <w:r w:rsidRPr="00D22269">
        <w:rPr>
          <w:rFonts w:ascii="Times New Roman" w:hAnsi="Times New Roman" w:cs="Times New Roman"/>
          <w:b/>
          <w:bCs/>
        </w:rPr>
        <w:t>Requested Permission Not to Display the Expiration Date for OMB Approval</w:t>
      </w:r>
    </w:p>
    <w:p w:rsidR="00AE4C2C" w:rsidRPr="00D22269" w:rsidP="00690249" w14:paraId="71217E2F" w14:textId="77777777">
      <w:pPr>
        <w:spacing w:after="0" w:line="240" w:lineRule="auto"/>
        <w:rPr>
          <w:rFonts w:ascii="Times New Roman" w:hAnsi="Times New Roman" w:cs="Times New Roman"/>
        </w:rPr>
      </w:pPr>
    </w:p>
    <w:p w:rsidR="00AE4C2C" w:rsidP="00AE4C2C" w14:paraId="796A8D16" w14:textId="4FA42F93">
      <w:pPr>
        <w:spacing w:after="0" w:line="240" w:lineRule="auto"/>
        <w:ind w:firstLine="720"/>
        <w:rPr>
          <w:rFonts w:ascii="Times New Roman" w:hAnsi="Times New Roman" w:cs="Times New Roman"/>
        </w:rPr>
      </w:pPr>
      <w:r w:rsidRPr="00B90A48">
        <w:rPr>
          <w:rFonts w:ascii="Times New Roman" w:hAnsi="Times New Roman" w:cs="Times New Roman"/>
        </w:rPr>
        <w:t xml:space="preserve">The OMB control number and expiration date associated with this PRA submission will be displayed on the Federal </w:t>
      </w:r>
      <w:r w:rsidR="00EC0DD9">
        <w:rPr>
          <w:rFonts w:ascii="Times New Roman" w:hAnsi="Times New Roman" w:cs="Times New Roman"/>
        </w:rPr>
        <w:t>G</w:t>
      </w:r>
      <w:r w:rsidRPr="00B90A48">
        <w:rPr>
          <w:rFonts w:ascii="Times New Roman" w:hAnsi="Times New Roman" w:cs="Times New Roman"/>
        </w:rPr>
        <w:t>overnment’s electronic PRA docket at www.reginfo.gov.</w:t>
      </w:r>
      <w:r>
        <w:rPr>
          <w:rFonts w:ascii="Times New Roman" w:hAnsi="Times New Roman" w:cs="Times New Roman"/>
        </w:rPr>
        <w:t xml:space="preserve"> </w:t>
      </w:r>
      <w:r w:rsidRPr="00B90A48">
        <w:rPr>
          <w:rFonts w:ascii="Times New Roman" w:hAnsi="Times New Roman" w:cs="Times New Roman"/>
        </w:rPr>
        <w:t>The OMB control number for current information collections is also found at 16 C.F.R. § 1.101 in the Code of Federal Regulations. There are no required forms or other documents upon which display of the control number and expiration date would be appropriate.</w:t>
      </w:r>
    </w:p>
    <w:p w:rsidR="0096143B" w:rsidRPr="00D22269" w:rsidP="00AE4C2C" w14:paraId="0706C10E" w14:textId="77777777">
      <w:pPr>
        <w:spacing w:after="0" w:line="240" w:lineRule="auto"/>
        <w:ind w:firstLine="720"/>
        <w:rPr>
          <w:rFonts w:ascii="Times New Roman" w:hAnsi="Times New Roman" w:cs="Times New Roman"/>
        </w:rPr>
      </w:pPr>
    </w:p>
    <w:p w:rsidR="00690249" w:rsidRPr="00D22269" w:rsidP="00AE4C2C" w14:paraId="134F850F" w14:textId="6CE585EE">
      <w:pPr>
        <w:pStyle w:val="ListParagraph"/>
        <w:numPr>
          <w:ilvl w:val="0"/>
          <w:numId w:val="3"/>
        </w:numPr>
        <w:tabs>
          <w:tab w:val="left" w:pos="720"/>
        </w:tabs>
        <w:spacing w:after="0" w:line="240" w:lineRule="auto"/>
        <w:ind w:left="720" w:hanging="720"/>
        <w:rPr>
          <w:rFonts w:ascii="Times New Roman" w:hAnsi="Times New Roman" w:cs="Times New Roman"/>
          <w:b/>
          <w:bCs/>
        </w:rPr>
      </w:pPr>
      <w:r w:rsidRPr="00D22269">
        <w:rPr>
          <w:rFonts w:ascii="Times New Roman" w:hAnsi="Times New Roman" w:cs="Times New Roman"/>
          <w:b/>
          <w:bCs/>
        </w:rPr>
        <w:t>Exceptions to the Certification for Paperwork Reduction Act Submission</w:t>
      </w:r>
      <w:r w:rsidRPr="00D22269" w:rsidR="00AE4C2C">
        <w:rPr>
          <w:rFonts w:ascii="Times New Roman" w:hAnsi="Times New Roman" w:cs="Times New Roman"/>
          <w:b/>
          <w:bCs/>
        </w:rPr>
        <w:t>s</w:t>
      </w:r>
    </w:p>
    <w:p w:rsidR="00AE4C2C" w:rsidRPr="00D22269" w:rsidP="00AE4C2C" w14:paraId="618DD07D" w14:textId="77777777">
      <w:pPr>
        <w:pStyle w:val="ListParagraph"/>
        <w:tabs>
          <w:tab w:val="left" w:pos="720"/>
        </w:tabs>
        <w:spacing w:after="0" w:line="240" w:lineRule="auto"/>
        <w:rPr>
          <w:rFonts w:ascii="Times New Roman" w:hAnsi="Times New Roman" w:cs="Times New Roman"/>
          <w:b/>
          <w:bCs/>
        </w:rPr>
      </w:pPr>
    </w:p>
    <w:p w:rsidR="00DC330C" w:rsidRPr="00D22269" w:rsidP="00AE4C2C" w14:paraId="4DB851D9" w14:textId="4FC38520">
      <w:pPr>
        <w:spacing w:after="0" w:line="240" w:lineRule="auto"/>
        <w:ind w:firstLine="720"/>
        <w:rPr>
          <w:rFonts w:ascii="Times New Roman" w:hAnsi="Times New Roman" w:cs="Times New Roman"/>
        </w:rPr>
      </w:pPr>
      <w:r w:rsidRPr="00D22269">
        <w:rPr>
          <w:rFonts w:ascii="Times New Roman" w:hAnsi="Times New Roman" w:cs="Times New Roman"/>
        </w:rPr>
        <w:t>Not applicable.</w:t>
      </w:r>
      <w:r w:rsidRPr="00B90A48" w:rsidR="00B90A48">
        <w:t xml:space="preserve"> </w:t>
      </w:r>
      <w:r w:rsidRPr="00B90A48" w:rsidR="00B90A48">
        <w:rPr>
          <w:rFonts w:ascii="Times New Roman" w:hAnsi="Times New Roman" w:cs="Times New Roman"/>
        </w:rPr>
        <w:t>The Commission certifies that the collection of information encompassed by this request complies with 5 C.F.R. § 1320.9 and the related provisions of 5 C.F.R. § 1320.8(b)(3). There is no certification for the use of effective and efficient statistical survey methodology pursuant to 5 C.F.R. § 1320.9(i) because that is not applicable to this collection.</w:t>
      </w:r>
    </w:p>
    <w:p w:rsidR="00D22269" w:rsidRPr="00D22269" w14:paraId="77978E5A" w14:textId="77777777">
      <w:pPr>
        <w:spacing w:after="0" w:line="240" w:lineRule="auto"/>
        <w:ind w:firstLine="720"/>
        <w:rPr>
          <w:rFonts w:ascii="Times New Roman" w:hAnsi="Times New Roman" w:cs="Times New Roman"/>
        </w:rPr>
      </w:pPr>
    </w:p>
    <w:sectPr>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D452C4" w:rsidP="00690249" w14:paraId="7F7E2126" w14:textId="77777777">
      <w:pPr>
        <w:spacing w:after="0" w:line="240" w:lineRule="auto"/>
      </w:pPr>
      <w:r>
        <w:separator/>
      </w:r>
    </w:p>
  </w:footnote>
  <w:footnote w:type="continuationSeparator" w:id="1">
    <w:p w:rsidR="00D452C4" w:rsidP="00690249" w14:paraId="0E27575F" w14:textId="77777777">
      <w:pPr>
        <w:spacing w:after="0" w:line="240" w:lineRule="auto"/>
      </w:pPr>
      <w:r>
        <w:continuationSeparator/>
      </w:r>
    </w:p>
  </w:footnote>
  <w:footnote w:id="2">
    <w:p w:rsidR="00FA2C90" w:rsidRPr="0096143B" w:rsidP="00FA2C90" w14:paraId="1E1D69CB" w14:textId="30D1AC1C">
      <w:pPr>
        <w:pStyle w:val="FootnoteText"/>
        <w:rPr>
          <w:rFonts w:ascii="Times New Roman" w:hAnsi="Times New Roman" w:cs="Times New Roman"/>
        </w:rPr>
      </w:pPr>
      <w:r w:rsidRPr="0096143B">
        <w:rPr>
          <w:rStyle w:val="FootnoteReference"/>
          <w:rFonts w:ascii="Times New Roman" w:hAnsi="Times New Roman" w:cs="Times New Roman"/>
        </w:rPr>
        <w:footnoteRef/>
      </w:r>
      <w:r w:rsidRPr="0096143B">
        <w:rPr>
          <w:rFonts w:ascii="Times New Roman" w:hAnsi="Times New Roman" w:cs="Times New Roman"/>
        </w:rPr>
        <w:t xml:space="preserve"> J</w:t>
      </w:r>
      <w:r w:rsidR="00B26340">
        <w:rPr>
          <w:rFonts w:ascii="Times New Roman" w:hAnsi="Times New Roman" w:cs="Times New Roman"/>
        </w:rPr>
        <w:t>.</w:t>
      </w:r>
      <w:r w:rsidRPr="0096143B">
        <w:rPr>
          <w:rFonts w:ascii="Times New Roman" w:hAnsi="Times New Roman" w:cs="Times New Roman"/>
        </w:rPr>
        <w:t xml:space="preserve"> Lee, </w:t>
      </w:r>
      <w:r w:rsidR="001B6457">
        <w:rPr>
          <w:rFonts w:ascii="Times New Roman" w:hAnsi="Times New Roman" w:cs="Times New Roman"/>
        </w:rPr>
        <w:t xml:space="preserve">Cmt. on </w:t>
      </w:r>
      <w:r w:rsidR="00CA03F1">
        <w:rPr>
          <w:rFonts w:ascii="Times New Roman" w:hAnsi="Times New Roman" w:cs="Times New Roman"/>
        </w:rPr>
        <w:t>Notice (</w:t>
      </w:r>
      <w:r w:rsidR="00DF0449">
        <w:rPr>
          <w:rFonts w:ascii="Times New Roman" w:hAnsi="Times New Roman" w:cs="Times New Roman"/>
        </w:rPr>
        <w:t xml:space="preserve">Aug. 22, 2026), </w:t>
      </w:r>
      <w:hyperlink r:id="rId1" w:history="1">
        <w:r w:rsidRPr="0096143B" w:rsidR="00FB0467">
          <w:rPr>
            <w:rStyle w:val="Hyperlink"/>
            <w:rFonts w:ascii="Times New Roman" w:hAnsi="Times New Roman" w:cs="Times New Roman"/>
          </w:rPr>
          <w:t>https://www.regulations.gov/comment/FTC-2026-0991-0003</w:t>
        </w:r>
      </w:hyperlink>
      <w:r w:rsidRPr="0096143B">
        <w:rPr>
          <w:rFonts w:ascii="Times New Roman" w:hAnsi="Times New Roman" w:cs="Times New Roman"/>
        </w:rPr>
        <w:t xml:space="preserve">; Comment from Tyshae Lewis, </w:t>
      </w:r>
      <w:r w:rsidR="00FB0467">
        <w:rPr>
          <w:rFonts w:ascii="Times New Roman" w:hAnsi="Times New Roman" w:cs="Times New Roman"/>
        </w:rPr>
        <w:t xml:space="preserve">Cmt. on Notice (Sep. 8, 2026), </w:t>
      </w:r>
      <w:hyperlink r:id="rId2" w:history="1">
        <w:r w:rsidRPr="00A27A7B" w:rsidR="006F3234">
          <w:rPr>
            <w:rStyle w:val="Hyperlink"/>
            <w:rFonts w:ascii="Times New Roman" w:hAnsi="Times New Roman" w:cs="Times New Roman"/>
          </w:rPr>
          <w:t>https://www.regulations.gov/comment/FTC-2026-0991-0004</w:t>
        </w:r>
      </w:hyperlink>
      <w:r w:rsidR="006F3234">
        <w:rPr>
          <w:rFonts w:ascii="Times New Roman" w:hAnsi="Times New Roman" w:cs="Times New Roman"/>
        </w:rPr>
        <w:t>.</w:t>
      </w:r>
    </w:p>
  </w:footnote>
  <w:footnote w:id="3">
    <w:p w:rsidR="00FA2C90" w:rsidRPr="0096143B" w:rsidP="00FA2C90" w14:paraId="6970481E" w14:textId="015BCE3E">
      <w:pPr>
        <w:pStyle w:val="FootnoteText"/>
        <w:rPr>
          <w:rFonts w:ascii="Times New Roman" w:hAnsi="Times New Roman" w:cs="Times New Roman"/>
        </w:rPr>
      </w:pPr>
      <w:r w:rsidRPr="0096143B">
        <w:rPr>
          <w:rStyle w:val="FootnoteReference"/>
          <w:rFonts w:ascii="Times New Roman" w:hAnsi="Times New Roman" w:cs="Times New Roman"/>
        </w:rPr>
        <w:footnoteRef/>
      </w:r>
      <w:r w:rsidRPr="0096143B">
        <w:rPr>
          <w:rFonts w:ascii="Times New Roman" w:hAnsi="Times New Roman" w:cs="Times New Roman"/>
        </w:rPr>
        <w:t xml:space="preserve"> The Native Claim Firm, </w:t>
      </w:r>
      <w:r w:rsidR="001C6C10">
        <w:rPr>
          <w:rFonts w:ascii="Times New Roman" w:hAnsi="Times New Roman" w:cs="Times New Roman"/>
        </w:rPr>
        <w:t>Cmt. on Notice (</w:t>
      </w:r>
      <w:r w:rsidR="00D3035A">
        <w:rPr>
          <w:rFonts w:ascii="Times New Roman" w:hAnsi="Times New Roman" w:cs="Times New Roman"/>
        </w:rPr>
        <w:t xml:space="preserve">Sep. 13, 2026), </w:t>
      </w:r>
      <w:hyperlink r:id="rId3" w:history="1">
        <w:r w:rsidRPr="00A27A7B" w:rsidR="006F3234">
          <w:rPr>
            <w:rStyle w:val="Hyperlink"/>
            <w:rFonts w:ascii="Times New Roman" w:hAnsi="Times New Roman" w:cs="Times New Roman"/>
          </w:rPr>
          <w:t>https://www.regulations.gov/comment/FTC-2026-0991-0005</w:t>
        </w:r>
      </w:hyperlink>
      <w:r w:rsidR="006F3234">
        <w:rPr>
          <w:rFonts w:ascii="Times New Roman" w:hAnsi="Times New Roman" w:cs="Times New Roman"/>
        </w:rPr>
        <w:t>.</w:t>
      </w:r>
    </w:p>
  </w:footnote>
  <w:footnote w:id="4">
    <w:p w:rsidR="00D22269" w:rsidRPr="00D22269" w14:paraId="092DA6BC" w14:textId="2388253A">
      <w:pPr>
        <w:pStyle w:val="FootnoteText"/>
        <w:rPr>
          <w:rFonts w:ascii="Times New Roman" w:hAnsi="Times New Roman" w:cs="Times New Roman"/>
        </w:rPr>
      </w:pPr>
      <w:r w:rsidRPr="00D22269">
        <w:rPr>
          <w:rStyle w:val="FootnoteReference"/>
          <w:rFonts w:ascii="Times New Roman" w:hAnsi="Times New Roman" w:cs="Times New Roman"/>
        </w:rPr>
        <w:footnoteRef/>
      </w:r>
      <w:r w:rsidRPr="00D22269">
        <w:rPr>
          <w:rFonts w:ascii="Times New Roman" w:hAnsi="Times New Roman" w:cs="Times New Roman"/>
        </w:rPr>
        <w:t xml:space="preserve"> Staff derived the number of fuel industry members by adding the number of refiners, producers, importers, distributors, and retailers of these types of fuel. Staff consulted government agencies and industry sources in estimating a population of approximately 136,727 fuel industry members, including 134,146 retailers of automotive fuel. Some of the government and industry websites reviewed to update these numbers include: http://www.eia.gov/dnav/pet/pet_pnp_cap1_dcu_nus_a.htm (Gasoline Producers); https://www.eia.gov/biofuels/biodiesel/capacity/ (Biodiesel Producers); https://www.eia.gov/biofuels/biomass/ (Biomass Fuel Producers); https://www.eia.gov/petroleum/ethanolcapacity/ (Ethanol Producers); https://www.eia.gov/petroleum/imports/companylevel/ (Importers); https://www.usfueldistributors.com/ (Distributors); https://afdc.energy.gov/stations#/analyze?tab=fuel&amp;fuel=BD&amp;fuel=LPG&amp;fuel=E85&amp;fuel=RD&amp;lpg_secondary=true (Alternative Fuel Stations); https://www.convenience.org/Research/Convenience-Store-Fast-Facts-and-Stats/FactSheets/IndustryStoreCount (Petroleum Stations).</w:t>
      </w:r>
    </w:p>
  </w:footnote>
  <w:footnote w:id="5">
    <w:p w:rsidR="00D22269" w:rsidRPr="00D22269" w14:paraId="7B315BDE" w14:textId="44DB3D6D">
      <w:pPr>
        <w:pStyle w:val="FootnoteText"/>
        <w:rPr>
          <w:rFonts w:ascii="Times New Roman" w:hAnsi="Times New Roman" w:cs="Times New Roman"/>
        </w:rPr>
      </w:pPr>
      <w:r w:rsidRPr="00D22269">
        <w:rPr>
          <w:rStyle w:val="FootnoteReference"/>
          <w:rFonts w:ascii="Times New Roman" w:hAnsi="Times New Roman" w:cs="Times New Roman"/>
        </w:rPr>
        <w:footnoteRef/>
      </w:r>
      <w:r w:rsidRPr="00D22269">
        <w:rPr>
          <w:rFonts w:ascii="Times New Roman" w:hAnsi="Times New Roman" w:cs="Times New Roman"/>
        </w:rPr>
        <w:t xml:space="preserve"> Under the Fuel Rating Rule, refiners, producers, importers, distributors, and retailers of automotive fuel must retain, for one year, records of any delivery tickets, letters of certification, or tests upon which they based the automotive fuel ratings that they certify or post.</w:t>
      </w:r>
      <w:r w:rsidRPr="00D22269">
        <w:rPr>
          <w:rFonts w:ascii="Times New Roman" w:hAnsi="Times New Roman" w:cs="Times New Roman"/>
        </w:rPr>
        <w:t xml:space="preserve"> </w:t>
      </w:r>
      <w:r w:rsidRPr="00D22269">
        <w:rPr>
          <w:rFonts w:ascii="Times New Roman" w:hAnsi="Times New Roman" w:cs="Times New Roman"/>
          <w:i/>
        </w:rPr>
        <w:t>See</w:t>
      </w:r>
      <w:r w:rsidRPr="00D22269">
        <w:rPr>
          <w:rFonts w:ascii="Times New Roman" w:hAnsi="Times New Roman" w:cs="Times New Roman"/>
        </w:rPr>
        <w:t xml:space="preserve"> the Fuel Rating Rule’s recordkeeping requirements, 16 C</w:t>
      </w:r>
      <w:r w:rsidR="00AE0FBE">
        <w:rPr>
          <w:rFonts w:ascii="Times New Roman" w:hAnsi="Times New Roman" w:cs="Times New Roman"/>
        </w:rPr>
        <w:t>.</w:t>
      </w:r>
      <w:r w:rsidRPr="00D22269">
        <w:rPr>
          <w:rFonts w:ascii="Times New Roman" w:hAnsi="Times New Roman" w:cs="Times New Roman"/>
        </w:rPr>
        <w:t>F</w:t>
      </w:r>
      <w:r w:rsidR="00AE0FBE">
        <w:rPr>
          <w:rFonts w:ascii="Times New Roman" w:hAnsi="Times New Roman" w:cs="Times New Roman"/>
        </w:rPr>
        <w:t>.</w:t>
      </w:r>
      <w:r w:rsidRPr="00D22269">
        <w:rPr>
          <w:rFonts w:ascii="Times New Roman" w:hAnsi="Times New Roman" w:cs="Times New Roman"/>
        </w:rPr>
        <w:t>R</w:t>
      </w:r>
      <w:r w:rsidR="00AE0FBE">
        <w:rPr>
          <w:rFonts w:ascii="Times New Roman" w:hAnsi="Times New Roman" w:cs="Times New Roman"/>
        </w:rPr>
        <w:t>.</w:t>
      </w:r>
      <w:r w:rsidRPr="00D22269">
        <w:rPr>
          <w:rFonts w:ascii="Times New Roman" w:hAnsi="Times New Roman" w:cs="Times New Roman"/>
        </w:rPr>
        <w:t xml:space="preserve"> </w:t>
      </w:r>
      <w:r w:rsidR="00AE0FBE">
        <w:rPr>
          <w:rFonts w:ascii="Times New Roman" w:hAnsi="Times New Roman" w:cs="Times New Roman"/>
        </w:rPr>
        <w:t>§§ </w:t>
      </w:r>
      <w:r w:rsidRPr="00D22269">
        <w:rPr>
          <w:rFonts w:ascii="Times New Roman" w:hAnsi="Times New Roman" w:cs="Times New Roman"/>
        </w:rPr>
        <w:t>306.7; 306.9; and 306.11.</w:t>
      </w:r>
    </w:p>
  </w:footnote>
  <w:footnote w:id="6">
    <w:p w:rsidR="00D22269" w:rsidRPr="00D22269" w:rsidP="00D22269" w14:paraId="3A19B908" w14:textId="77777777">
      <w:pPr>
        <w:pStyle w:val="FootnoteText"/>
        <w:rPr>
          <w:rFonts w:ascii="Times New Roman" w:hAnsi="Times New Roman" w:cs="Times New Roman"/>
        </w:rPr>
      </w:pPr>
      <w:r w:rsidRPr="00D22269">
        <w:rPr>
          <w:rStyle w:val="FootnoteReference"/>
          <w:rFonts w:ascii="Times New Roman" w:hAnsi="Times New Roman" w:cs="Times New Roman"/>
        </w:rPr>
        <w:footnoteRef/>
      </w:r>
      <w:r w:rsidRPr="00D22269">
        <w:rPr>
          <w:rFonts w:ascii="Times New Roman" w:hAnsi="Times New Roman" w:cs="Times New Roman"/>
        </w:rPr>
        <w:t xml:space="preserve"> </w:t>
      </w:r>
      <w:r w:rsidRPr="00D22269">
        <w:rPr>
          <w:rFonts w:ascii="Times New Roman" w:hAnsi="Times New Roman" w:cs="Times New Roman"/>
          <w:i/>
          <w:iCs/>
        </w:rPr>
        <w:t xml:space="preserve">See </w:t>
      </w:r>
      <w:r w:rsidRPr="00D22269">
        <w:rPr>
          <w:rFonts w:ascii="Times New Roman" w:hAnsi="Times New Roman" w:cs="Times New Roman"/>
        </w:rPr>
        <w:t>the hourly mean wages for petroleum pump system operators, refinery operators, and gaugers released on May 15, 2026, by the Bureau of Labor Statistics, Occupational Employment and Wage Statistics (May 2025</w:t>
      </w:r>
      <w:r w:rsidRPr="00D22269">
        <w:rPr>
          <w:rFonts w:ascii="Times New Roman" w:hAnsi="Times New Roman" w:cs="Times New Roman"/>
          <w:i/>
          <w:iCs/>
        </w:rPr>
        <w:t xml:space="preserve">), available at </w:t>
      </w:r>
      <w:r w:rsidRPr="0096143B">
        <w:rPr>
          <w:rFonts w:ascii="Times New Roman" w:hAnsi="Times New Roman" w:cs="Times New Roman"/>
        </w:rPr>
        <w:t>https://www.bls.gov/iag/tgs/iag211.htm#earnings</w:t>
      </w:r>
      <w:r w:rsidRPr="00D22269">
        <w:rPr>
          <w:rFonts w:ascii="Times New Roman" w:hAnsi="Times New Roman" w:cs="Times New Roman"/>
        </w:rPr>
        <w:t>.</w:t>
      </w:r>
    </w:p>
  </w:footnote>
  <w:footnote w:id="7">
    <w:p w:rsidR="00D22269" w:rsidRPr="00D22269" w:rsidP="00D22269" w14:paraId="1C02390E" w14:textId="77777777">
      <w:pPr>
        <w:pStyle w:val="FootnoteText"/>
        <w:rPr>
          <w:rFonts w:ascii="Times New Roman" w:hAnsi="Times New Roman" w:cs="Times New Roman"/>
        </w:rPr>
      </w:pPr>
      <w:r w:rsidRPr="00D22269">
        <w:rPr>
          <w:rStyle w:val="FootnoteReference"/>
          <w:rFonts w:ascii="Times New Roman" w:hAnsi="Times New Roman" w:cs="Times New Roman"/>
        </w:rPr>
        <w:footnoteRef/>
      </w:r>
      <w:r w:rsidRPr="00D22269">
        <w:rPr>
          <w:rFonts w:ascii="Times New Roman" w:hAnsi="Times New Roman" w:cs="Times New Roman"/>
        </w:rPr>
        <w:t xml:space="preserve"> </w:t>
      </w:r>
      <w:r w:rsidRPr="00D22269">
        <w:rPr>
          <w:rFonts w:ascii="Times New Roman" w:hAnsi="Times New Roman" w:cs="Times New Roman"/>
          <w:i/>
          <w:iCs/>
        </w:rPr>
        <w:t>See</w:t>
      </w:r>
      <w:r w:rsidRPr="00D22269">
        <w:rPr>
          <w:rFonts w:ascii="Times New Roman" w:hAnsi="Times New Roman" w:cs="Times New Roman"/>
        </w:rPr>
        <w:t xml:space="preserve"> the hourly mean wages for service station attendants released on May 15, 2026, by the Bureau of Labor Statistics, Occupational Employment and Wage Statistics (May 2025), </w:t>
      </w:r>
      <w:r w:rsidRPr="00D22269">
        <w:rPr>
          <w:rFonts w:ascii="Times New Roman" w:hAnsi="Times New Roman" w:cs="Times New Roman"/>
          <w:i/>
          <w:iCs/>
        </w:rPr>
        <w:t xml:space="preserve">available at </w:t>
      </w:r>
      <w:r w:rsidRPr="0096143B">
        <w:rPr>
          <w:rFonts w:ascii="Times New Roman" w:hAnsi="Times New Roman" w:cs="Times New Roman"/>
        </w:rPr>
        <w:t>https://www.bls.gov/iag/tgs/iag447.htm</w:t>
      </w:r>
      <w:r w:rsidRPr="00D22269">
        <w:rPr>
          <w:rFonts w:ascii="Times New Roman" w:hAnsi="Times New Roman" w:cs="Times New Roman"/>
        </w:rPr>
        <w:t>.</w:t>
      </w:r>
    </w:p>
  </w:footnote>
  <w:footnote w:id="8">
    <w:p w:rsidR="00D22269" w:rsidRPr="00D22269" w14:paraId="36258A74" w14:textId="0B29F21B">
      <w:pPr>
        <w:pStyle w:val="FootnoteText"/>
        <w:rPr>
          <w:rFonts w:ascii="Times New Roman" w:hAnsi="Times New Roman" w:cs="Times New Roman"/>
        </w:rPr>
      </w:pPr>
      <w:r w:rsidRPr="00D22269">
        <w:rPr>
          <w:rStyle w:val="FootnoteReference"/>
          <w:rFonts w:ascii="Times New Roman" w:hAnsi="Times New Roman" w:cs="Times New Roman"/>
        </w:rPr>
        <w:footnoteRef/>
      </w:r>
      <w:r w:rsidRPr="00D22269">
        <w:rPr>
          <w:rFonts w:ascii="Times New Roman" w:hAnsi="Times New Roman" w:cs="Times New Roman"/>
        </w:rPr>
        <w:t xml:space="preserve"> </w:t>
      </w:r>
      <w:r w:rsidRPr="00D22269">
        <w:rPr>
          <w:rFonts w:ascii="Times New Roman" w:hAnsi="Times New Roman" w:cs="Times New Roman"/>
          <w:i/>
          <w:iCs/>
        </w:rPr>
        <w:t xml:space="preserve">See </w:t>
      </w:r>
      <w:r w:rsidRPr="00D22269">
        <w:rPr>
          <w:rFonts w:ascii="Times New Roman" w:hAnsi="Times New Roman" w:cs="Times New Roman"/>
        </w:rPr>
        <w:t xml:space="preserve">75 FR 12,470, 12,477 (Mar. 16, 2010) (proposed rulemaking) (estimating the price range per pump to be one to two dollars). The cost of a $2.00 label is $3.06 </w:t>
      </w:r>
      <w:r w:rsidR="0075739D">
        <w:rPr>
          <w:rFonts w:ascii="Times New Roman" w:hAnsi="Times New Roman" w:cs="Times New Roman"/>
        </w:rPr>
        <w:t xml:space="preserve">after </w:t>
      </w:r>
      <w:r w:rsidRPr="00D22269">
        <w:rPr>
          <w:rFonts w:ascii="Times New Roman" w:hAnsi="Times New Roman" w:cs="Times New Roman"/>
        </w:rPr>
        <w:t>factor</w:t>
      </w:r>
      <w:r w:rsidR="0075739D">
        <w:rPr>
          <w:rFonts w:ascii="Times New Roman" w:hAnsi="Times New Roman" w:cs="Times New Roman"/>
        </w:rPr>
        <w:t>ing</w:t>
      </w:r>
      <w:r w:rsidRPr="00D22269">
        <w:rPr>
          <w:rFonts w:ascii="Times New Roman" w:hAnsi="Times New Roman" w:cs="Times New Roman"/>
        </w:rPr>
        <w:t xml:space="preserve"> in inflation since 2010. </w:t>
      </w:r>
      <w:r w:rsidRPr="00D22269">
        <w:rPr>
          <w:rFonts w:ascii="Times New Roman" w:hAnsi="Times New Roman" w:cs="Times New Roman"/>
          <w:i/>
          <w:iCs/>
        </w:rPr>
        <w:t>See</w:t>
      </w:r>
      <w:r w:rsidRPr="00D22269">
        <w:rPr>
          <w:rFonts w:ascii="Times New Roman" w:hAnsi="Times New Roman" w:cs="Times New Roman"/>
        </w:rPr>
        <w:t xml:space="preserve"> </w:t>
      </w:r>
      <w:r w:rsidRPr="00217BB5" w:rsidR="00E82322">
        <w:rPr>
          <w:rFonts w:ascii="Times New Roman" w:hAnsi="Times New Roman" w:cs="Times New Roman"/>
        </w:rPr>
        <w:t>https://www.bls.gov/data/inflation calculator.htm</w:t>
      </w:r>
      <w:r w:rsidRPr="0075739D">
        <w:rPr>
          <w:rFonts w:ascii="Times New Roman" w:hAnsi="Times New Roman" w:cs="Times New Roman"/>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1E15521D"/>
    <w:multiLevelType w:val="hybridMultilevel"/>
    <w:tmpl w:val="7996CD9E"/>
    <w:lvl w:ilvl="0">
      <w:start w:val="11"/>
      <w:numFmt w:val="decimal"/>
      <w:lvlText w:val="(%1)"/>
      <w:lvlJc w:val="left"/>
      <w:pPr>
        <w:ind w:left="1440" w:hanging="360"/>
      </w:pPr>
      <w:rPr>
        <w:rFonts w:hint="default"/>
        <w:b/>
        <w:bCs/>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55F552AC"/>
    <w:multiLevelType w:val="hybridMultilevel"/>
    <w:tmpl w:val="59ACB58C"/>
    <w:lvl w:ilvl="0">
      <w:start w:val="1"/>
      <w:numFmt w:val="decimal"/>
      <w:lvlText w:val="(%1)"/>
      <w:lvlJc w:val="left"/>
      <w:pPr>
        <w:ind w:left="1080" w:hanging="360"/>
      </w:pPr>
      <w:rPr>
        <w:rFonts w:hint="default"/>
        <w:b/>
        <w:bCs/>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2">
    <w:nsid w:val="7BEA0B7C"/>
    <w:multiLevelType w:val="hybridMultilevel"/>
    <w:tmpl w:val="3B1E483E"/>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nsid w:val="7D2C55C9"/>
    <w:multiLevelType w:val="hybridMultilevel"/>
    <w:tmpl w:val="A3D6E116"/>
    <w:lvl w:ilvl="0">
      <w:start w:val="1"/>
      <w:numFmt w:val="decimal"/>
      <w:lvlText w:val="(%1)"/>
      <w:lvlJc w:val="left"/>
      <w:pPr>
        <w:ind w:left="1440" w:hanging="360"/>
      </w:pPr>
      <w:rPr>
        <w:rFonts w:hint="default"/>
        <w:b/>
        <w:bCs/>
      </w:r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num w:numId="1" w16cid:durableId="1605458955">
    <w:abstractNumId w:val="1"/>
  </w:num>
  <w:num w:numId="2" w16cid:durableId="1369144347">
    <w:abstractNumId w:val="3"/>
  </w:num>
  <w:num w:numId="3" w16cid:durableId="640227903">
    <w:abstractNumId w:val="0"/>
  </w:num>
  <w:num w:numId="4" w16cid:durableId="43733234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defaultTabStop w:val="720"/>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0249"/>
    <w:rsid w:val="00045398"/>
    <w:rsid w:val="00057D9A"/>
    <w:rsid w:val="00064953"/>
    <w:rsid w:val="000A6CF8"/>
    <w:rsid w:val="000B15C5"/>
    <w:rsid w:val="00117CF0"/>
    <w:rsid w:val="00165E55"/>
    <w:rsid w:val="001703D8"/>
    <w:rsid w:val="00175EAC"/>
    <w:rsid w:val="001929FB"/>
    <w:rsid w:val="001B6457"/>
    <w:rsid w:val="001C6C10"/>
    <w:rsid w:val="001F3AB7"/>
    <w:rsid w:val="00217BB5"/>
    <w:rsid w:val="002679F1"/>
    <w:rsid w:val="002921FC"/>
    <w:rsid w:val="002B7A4E"/>
    <w:rsid w:val="002C2D38"/>
    <w:rsid w:val="002D6F62"/>
    <w:rsid w:val="002F44A4"/>
    <w:rsid w:val="00315F00"/>
    <w:rsid w:val="003323F1"/>
    <w:rsid w:val="00391ECA"/>
    <w:rsid w:val="003A4BEF"/>
    <w:rsid w:val="003A5D96"/>
    <w:rsid w:val="003D0360"/>
    <w:rsid w:val="00400556"/>
    <w:rsid w:val="00437220"/>
    <w:rsid w:val="0049035A"/>
    <w:rsid w:val="004F7800"/>
    <w:rsid w:val="00601958"/>
    <w:rsid w:val="00617BB6"/>
    <w:rsid w:val="00680265"/>
    <w:rsid w:val="00684511"/>
    <w:rsid w:val="00690249"/>
    <w:rsid w:val="006E5847"/>
    <w:rsid w:val="006F3234"/>
    <w:rsid w:val="00701421"/>
    <w:rsid w:val="0072164F"/>
    <w:rsid w:val="0075739D"/>
    <w:rsid w:val="00767B1F"/>
    <w:rsid w:val="00777027"/>
    <w:rsid w:val="0079577D"/>
    <w:rsid w:val="007E3766"/>
    <w:rsid w:val="008156DC"/>
    <w:rsid w:val="00862E5B"/>
    <w:rsid w:val="008E31EB"/>
    <w:rsid w:val="008E602D"/>
    <w:rsid w:val="00954111"/>
    <w:rsid w:val="0095715B"/>
    <w:rsid w:val="0096143B"/>
    <w:rsid w:val="009B1266"/>
    <w:rsid w:val="009D4224"/>
    <w:rsid w:val="00A27A7B"/>
    <w:rsid w:val="00A94C7F"/>
    <w:rsid w:val="00AE0FBE"/>
    <w:rsid w:val="00AE4C2C"/>
    <w:rsid w:val="00B26340"/>
    <w:rsid w:val="00B3408C"/>
    <w:rsid w:val="00B90A48"/>
    <w:rsid w:val="00CA03F1"/>
    <w:rsid w:val="00CD543E"/>
    <w:rsid w:val="00D22269"/>
    <w:rsid w:val="00D3035A"/>
    <w:rsid w:val="00D3782A"/>
    <w:rsid w:val="00D452C4"/>
    <w:rsid w:val="00D75730"/>
    <w:rsid w:val="00DC238D"/>
    <w:rsid w:val="00DC330C"/>
    <w:rsid w:val="00DF0449"/>
    <w:rsid w:val="00E13CFA"/>
    <w:rsid w:val="00E21C66"/>
    <w:rsid w:val="00E506C1"/>
    <w:rsid w:val="00E558B6"/>
    <w:rsid w:val="00E82322"/>
    <w:rsid w:val="00EC0DD9"/>
    <w:rsid w:val="00EC3171"/>
    <w:rsid w:val="00ED4987"/>
    <w:rsid w:val="00EF255A"/>
    <w:rsid w:val="00EF2B9C"/>
    <w:rsid w:val="00F16494"/>
    <w:rsid w:val="00F37FE6"/>
    <w:rsid w:val="00F962EA"/>
    <w:rsid w:val="00FA1B55"/>
    <w:rsid w:val="00FA2C90"/>
    <w:rsid w:val="00FB0467"/>
    <w:rsid w:val="00FC014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5038203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9024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9024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9024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9024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9024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9024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9024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9024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9024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9024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9024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9024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9024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9024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9024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9024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9024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90249"/>
    <w:rPr>
      <w:rFonts w:eastAsiaTheme="majorEastAsia" w:cstheme="majorBidi"/>
      <w:color w:val="272727" w:themeColor="text1" w:themeTint="D8"/>
    </w:rPr>
  </w:style>
  <w:style w:type="paragraph" w:styleId="Title">
    <w:name w:val="Title"/>
    <w:basedOn w:val="Normal"/>
    <w:next w:val="Normal"/>
    <w:link w:val="TitleChar"/>
    <w:uiPriority w:val="10"/>
    <w:qFormat/>
    <w:rsid w:val="0069024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9024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9024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9024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90249"/>
    <w:pPr>
      <w:spacing w:before="160"/>
      <w:jc w:val="center"/>
    </w:pPr>
    <w:rPr>
      <w:i/>
      <w:iCs/>
      <w:color w:val="404040" w:themeColor="text1" w:themeTint="BF"/>
    </w:rPr>
  </w:style>
  <w:style w:type="character" w:customStyle="1" w:styleId="QuoteChar">
    <w:name w:val="Quote Char"/>
    <w:basedOn w:val="DefaultParagraphFont"/>
    <w:link w:val="Quote"/>
    <w:uiPriority w:val="29"/>
    <w:rsid w:val="00690249"/>
    <w:rPr>
      <w:i/>
      <w:iCs/>
      <w:color w:val="404040" w:themeColor="text1" w:themeTint="BF"/>
    </w:rPr>
  </w:style>
  <w:style w:type="paragraph" w:styleId="ListParagraph">
    <w:name w:val="List Paragraph"/>
    <w:basedOn w:val="Normal"/>
    <w:uiPriority w:val="34"/>
    <w:qFormat/>
    <w:rsid w:val="00690249"/>
    <w:pPr>
      <w:ind w:left="720"/>
      <w:contextualSpacing/>
    </w:pPr>
  </w:style>
  <w:style w:type="character" w:styleId="IntenseEmphasis">
    <w:name w:val="Intense Emphasis"/>
    <w:basedOn w:val="DefaultParagraphFont"/>
    <w:uiPriority w:val="21"/>
    <w:qFormat/>
    <w:rsid w:val="00690249"/>
    <w:rPr>
      <w:i/>
      <w:iCs/>
      <w:color w:val="0F4761" w:themeColor="accent1" w:themeShade="BF"/>
    </w:rPr>
  </w:style>
  <w:style w:type="paragraph" w:styleId="IntenseQuote">
    <w:name w:val="Intense Quote"/>
    <w:basedOn w:val="Normal"/>
    <w:next w:val="Normal"/>
    <w:link w:val="IntenseQuoteChar"/>
    <w:uiPriority w:val="30"/>
    <w:qFormat/>
    <w:rsid w:val="0069024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90249"/>
    <w:rPr>
      <w:i/>
      <w:iCs/>
      <w:color w:val="0F4761" w:themeColor="accent1" w:themeShade="BF"/>
    </w:rPr>
  </w:style>
  <w:style w:type="character" w:styleId="IntenseReference">
    <w:name w:val="Intense Reference"/>
    <w:basedOn w:val="DefaultParagraphFont"/>
    <w:uiPriority w:val="32"/>
    <w:qFormat/>
    <w:rsid w:val="00690249"/>
    <w:rPr>
      <w:b/>
      <w:bCs/>
      <w:smallCaps/>
      <w:color w:val="0F4761" w:themeColor="accent1" w:themeShade="BF"/>
      <w:spacing w:val="5"/>
    </w:rPr>
  </w:style>
  <w:style w:type="paragraph" w:styleId="FootnoteText">
    <w:name w:val="footnote text"/>
    <w:aliases w:val="Brief_Footnote_Text"/>
    <w:basedOn w:val="Normal"/>
    <w:link w:val="FootnoteTextChar"/>
    <w:uiPriority w:val="99"/>
    <w:unhideWhenUsed/>
    <w:qFormat/>
    <w:rsid w:val="00690249"/>
    <w:pPr>
      <w:spacing w:after="0" w:line="240" w:lineRule="auto"/>
    </w:pPr>
    <w:rPr>
      <w:sz w:val="20"/>
      <w:szCs w:val="20"/>
    </w:rPr>
  </w:style>
  <w:style w:type="character" w:customStyle="1" w:styleId="FootnoteTextChar">
    <w:name w:val="Footnote Text Char"/>
    <w:aliases w:val="Brief_Footnote_Text Char"/>
    <w:basedOn w:val="DefaultParagraphFont"/>
    <w:link w:val="FootnoteText"/>
    <w:uiPriority w:val="99"/>
    <w:rsid w:val="00690249"/>
    <w:rPr>
      <w:sz w:val="20"/>
      <w:szCs w:val="20"/>
    </w:rPr>
  </w:style>
  <w:style w:type="character" w:styleId="FootnoteReference">
    <w:name w:val="footnote reference"/>
    <w:basedOn w:val="DefaultParagraphFont"/>
    <w:unhideWhenUsed/>
    <w:rsid w:val="00690249"/>
    <w:rPr>
      <w:vertAlign w:val="superscript"/>
    </w:rPr>
  </w:style>
  <w:style w:type="character" w:styleId="Hyperlink">
    <w:name w:val="Hyperlink"/>
    <w:basedOn w:val="DefaultParagraphFont"/>
    <w:uiPriority w:val="99"/>
    <w:unhideWhenUsed/>
    <w:rsid w:val="00B3408C"/>
    <w:rPr>
      <w:color w:val="467886" w:themeColor="hyperlink"/>
      <w:u w:val="single"/>
    </w:rPr>
  </w:style>
  <w:style w:type="character" w:styleId="UnresolvedMention">
    <w:name w:val="Unresolved Mention"/>
    <w:basedOn w:val="DefaultParagraphFont"/>
    <w:uiPriority w:val="99"/>
    <w:semiHidden/>
    <w:unhideWhenUsed/>
    <w:rsid w:val="00B3408C"/>
    <w:rPr>
      <w:color w:val="605E5C"/>
      <w:shd w:val="clear" w:color="auto" w:fill="E1DFDD"/>
    </w:rPr>
  </w:style>
  <w:style w:type="character" w:styleId="CommentReference">
    <w:name w:val="annotation reference"/>
    <w:basedOn w:val="DefaultParagraphFont"/>
    <w:uiPriority w:val="99"/>
    <w:semiHidden/>
    <w:unhideWhenUsed/>
    <w:rsid w:val="00AE4C2C"/>
    <w:rPr>
      <w:sz w:val="16"/>
      <w:szCs w:val="16"/>
    </w:rPr>
  </w:style>
  <w:style w:type="paragraph" w:styleId="CommentText">
    <w:name w:val="annotation text"/>
    <w:basedOn w:val="Normal"/>
    <w:link w:val="CommentTextChar"/>
    <w:uiPriority w:val="99"/>
    <w:unhideWhenUsed/>
    <w:rsid w:val="00AE4C2C"/>
    <w:pPr>
      <w:spacing w:line="240" w:lineRule="auto"/>
    </w:pPr>
    <w:rPr>
      <w:sz w:val="20"/>
      <w:szCs w:val="20"/>
    </w:rPr>
  </w:style>
  <w:style w:type="character" w:customStyle="1" w:styleId="CommentTextChar">
    <w:name w:val="Comment Text Char"/>
    <w:basedOn w:val="DefaultParagraphFont"/>
    <w:link w:val="CommentText"/>
    <w:uiPriority w:val="99"/>
    <w:rsid w:val="00AE4C2C"/>
    <w:rPr>
      <w:sz w:val="20"/>
      <w:szCs w:val="20"/>
    </w:rPr>
  </w:style>
  <w:style w:type="paragraph" w:styleId="CommentSubject">
    <w:name w:val="annotation subject"/>
    <w:basedOn w:val="CommentText"/>
    <w:next w:val="CommentText"/>
    <w:link w:val="CommentSubjectChar"/>
    <w:uiPriority w:val="99"/>
    <w:semiHidden/>
    <w:unhideWhenUsed/>
    <w:rsid w:val="00AE4C2C"/>
    <w:rPr>
      <w:b/>
      <w:bCs/>
    </w:rPr>
  </w:style>
  <w:style w:type="character" w:customStyle="1" w:styleId="CommentSubjectChar">
    <w:name w:val="Comment Subject Char"/>
    <w:basedOn w:val="CommentTextChar"/>
    <w:link w:val="CommentSubject"/>
    <w:uiPriority w:val="99"/>
    <w:semiHidden/>
    <w:rsid w:val="00AE4C2C"/>
    <w:rPr>
      <w:b/>
      <w:bCs/>
      <w:sz w:val="20"/>
      <w:szCs w:val="20"/>
    </w:rPr>
  </w:style>
  <w:style w:type="paragraph" w:styleId="Revision">
    <w:name w:val="Revision"/>
    <w:hidden/>
    <w:uiPriority w:val="99"/>
    <w:semiHidden/>
    <w:rsid w:val="0049035A"/>
    <w:pPr>
      <w:spacing w:after="0" w:line="240" w:lineRule="auto"/>
    </w:pPr>
  </w:style>
  <w:style w:type="character" w:styleId="Mention">
    <w:name w:val="Mention"/>
    <w:basedOn w:val="DefaultParagraphFont"/>
    <w:uiPriority w:val="99"/>
    <w:unhideWhenUsed/>
    <w:rsid w:val="00954111"/>
    <w:rPr>
      <w:color w:val="2B579A"/>
      <w:shd w:val="clear" w:color="auto" w:fill="E1DFDD"/>
    </w:rPr>
  </w:style>
  <w:style w:type="paragraph" w:styleId="Header">
    <w:name w:val="header"/>
    <w:basedOn w:val="Normal"/>
    <w:link w:val="HeaderChar"/>
    <w:uiPriority w:val="99"/>
    <w:unhideWhenUsed/>
    <w:rsid w:val="00ED4987"/>
    <w:pPr>
      <w:tabs>
        <w:tab w:val="center" w:pos="4680"/>
        <w:tab w:val="right" w:pos="9360"/>
      </w:tabs>
      <w:spacing w:after="0" w:line="240" w:lineRule="auto"/>
    </w:pPr>
  </w:style>
  <w:style w:type="character" w:customStyle="1" w:styleId="HeaderChar">
    <w:name w:val="Header Char"/>
    <w:basedOn w:val="DefaultParagraphFont"/>
    <w:link w:val="Header"/>
    <w:uiPriority w:val="99"/>
    <w:rsid w:val="00ED4987"/>
  </w:style>
  <w:style w:type="paragraph" w:styleId="Footer">
    <w:name w:val="footer"/>
    <w:basedOn w:val="Normal"/>
    <w:link w:val="FooterChar"/>
    <w:uiPriority w:val="99"/>
    <w:unhideWhenUsed/>
    <w:rsid w:val="00ED4987"/>
    <w:pPr>
      <w:tabs>
        <w:tab w:val="center" w:pos="4680"/>
        <w:tab w:val="right" w:pos="9360"/>
      </w:tabs>
      <w:spacing w:after="0" w:line="240" w:lineRule="auto"/>
    </w:pPr>
  </w:style>
  <w:style w:type="character" w:customStyle="1" w:styleId="FooterChar">
    <w:name w:val="Footer Char"/>
    <w:basedOn w:val="DefaultParagraphFont"/>
    <w:link w:val="Footer"/>
    <w:uiPriority w:val="99"/>
    <w:rsid w:val="00ED498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styles" Target="styles.xml" /></Relationships>
</file>

<file path=word/_rels/footnotes.xml.rels><?xml version="1.0" encoding="utf-8" standalone="yes"?><Relationships xmlns="http://schemas.openxmlformats.org/package/2006/relationships"><Relationship Id="rId1" Type="http://schemas.openxmlformats.org/officeDocument/2006/relationships/hyperlink" Target="https://www.regulations.gov/comment/FTC-2026-0991-0003" TargetMode="External" /><Relationship Id="rId2" Type="http://schemas.openxmlformats.org/officeDocument/2006/relationships/hyperlink" Target="https://www.regulations.gov/comment/FTC-2026-0991-0004" TargetMode="External" /><Relationship Id="rId3" Type="http://schemas.openxmlformats.org/officeDocument/2006/relationships/hyperlink" Target="https://www.regulations.gov/comment/FTC-2026-0991-0005"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1920</Words>
  <Characters>10945</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2026-10-26T14:59:00Z</dcterms:created>
  <dcterms:modified xsi:type="dcterms:W3CDTF">2026-10-26T14:59:00Z</dcterms:modified>
</cp:coreProperties>
</file>