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C2D5B" w:rsidRPr="002C2D5B" w:rsidP="002C2D5B" w14:paraId="39F07AD1" w14:textId="77777777">
      <w:r w:rsidRPr="002C2D5B">
        <w:t>Keep the requirement of labeling. If it is a burden on retailers, shift the cost to the producer of the fuel, and have them pay for the labels. Consumers need to know what they are getting.</w:t>
      </w:r>
    </w:p>
    <w:p w:rsidR="00DC330C" w14:paraId="379D67C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5B"/>
    <w:rsid w:val="002C2D5B"/>
    <w:rsid w:val="00617BB6"/>
    <w:rsid w:val="006E5847"/>
    <w:rsid w:val="00DC330C"/>
    <w:rsid w:val="00E21C6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9889A1"/>
  <w15:chartTrackingRefBased/>
  <w15:docId w15:val="{E4875C3C-E990-4AD5-BA5B-734EB408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Federal Trade Commission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Kristin Burr</dc:creator>
  <cp:lastModifiedBy>Hill, Kristin Burr</cp:lastModifiedBy>
  <cp:revision>1</cp:revision>
  <dcterms:created xsi:type="dcterms:W3CDTF">2026-10-22T21:00:00Z</dcterms:created>
  <dcterms:modified xsi:type="dcterms:W3CDTF">2026-10-22T21:00:00Z</dcterms:modified>
</cp:coreProperties>
</file>