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9410E" w:rsidP="00C9410E" w14:paraId="342411AC" w14:textId="77777777">
      <w:pPr>
        <w:jc w:val="center"/>
        <w:rPr>
          <w:rFonts w:ascii="Arial" w:hAnsi="Arial" w:eastAsiaTheme="majorEastAsia" w:cs="Arial"/>
          <w:b/>
          <w:kern w:val="0"/>
          <w:sz w:val="26"/>
          <w:szCs w:val="28"/>
          <w14:ligatures w14:val="none"/>
        </w:rPr>
      </w:pPr>
      <w:bookmarkStart w:id="0" w:name="_Toc241709963"/>
      <w:r>
        <w:rPr>
          <w:rFonts w:ascii="Arial" w:hAnsi="Arial" w:eastAsiaTheme="majorEastAsia" w:cs="Arial"/>
          <w:b/>
          <w:kern w:val="0"/>
          <w:sz w:val="26"/>
          <w:szCs w:val="28"/>
          <w14:ligatures w14:val="none"/>
        </w:rPr>
        <w:t xml:space="preserve">National Science Foundation </w:t>
      </w:r>
    </w:p>
    <w:p w:rsidR="00C9410E" w:rsidP="00C9410E" w14:paraId="57F0E7EA" w14:textId="5E45BB02">
      <w:pPr>
        <w:jc w:val="center"/>
        <w:rPr>
          <w:rFonts w:ascii="Arial" w:hAnsi="Arial" w:eastAsiaTheme="majorEastAsia" w:cs="Arial"/>
          <w:b/>
          <w:kern w:val="0"/>
          <w:sz w:val="26"/>
          <w:szCs w:val="28"/>
          <w14:ligatures w14:val="none"/>
        </w:rPr>
      </w:pPr>
      <w:r>
        <w:rPr>
          <w:rFonts w:ascii="Arial" w:hAnsi="Arial" w:eastAsiaTheme="majorEastAsia" w:cs="Arial"/>
          <w:b/>
          <w:kern w:val="0"/>
          <w:sz w:val="26"/>
          <w:szCs w:val="28"/>
          <w14:ligatures w14:val="none"/>
        </w:rPr>
        <w:t>Guidance on Financial Assistance (GFA)</w:t>
      </w:r>
    </w:p>
    <w:p w:rsidR="00C9410E" w:rsidP="00C9410E" w14:paraId="52CFDD1B" w14:textId="77777777">
      <w:pPr>
        <w:rPr>
          <w:rFonts w:ascii="Arial" w:hAnsi="Arial" w:eastAsiaTheme="majorEastAsia" w:cs="Arial"/>
          <w:b/>
          <w:kern w:val="0"/>
          <w:sz w:val="26"/>
          <w:szCs w:val="28"/>
          <w14:ligatures w14:val="none"/>
        </w:rPr>
      </w:pPr>
    </w:p>
    <w:p w:rsidR="00C9410E" w:rsidRPr="00C9410E" w:rsidP="00C9410E" w14:paraId="008823D6" w14:textId="41221015">
      <w:pPr>
        <w:keepNext/>
        <w:keepLines/>
        <w:tabs>
          <w:tab w:val="left" w:pos="720"/>
          <w:tab w:val="left" w:pos="1440"/>
        </w:tabs>
        <w:spacing w:after="0" w:line="240" w:lineRule="auto"/>
        <w:outlineLvl w:val="0"/>
        <w:rPr>
          <w:rFonts w:ascii="Arial" w:hAnsi="Arial" w:eastAsiaTheme="majorEastAsia" w:cs="Arial"/>
          <w:b/>
          <w:kern w:val="0"/>
          <w:sz w:val="26"/>
          <w:szCs w:val="28"/>
          <w14:ligatures w14:val="none"/>
        </w:rPr>
      </w:pPr>
      <w:r w:rsidRPr="00C9410E">
        <w:rPr>
          <w:rFonts w:ascii="Arial" w:hAnsi="Arial" w:eastAsiaTheme="majorEastAsia" w:cs="Arial"/>
          <w:b/>
          <w:kern w:val="0"/>
          <w:sz w:val="26"/>
          <w:szCs w:val="28"/>
          <w14:ligatures w14:val="none"/>
        </w:rPr>
        <w:t>Summary of Changes</w:t>
      </w:r>
      <w:bookmarkEnd w:id="0"/>
    </w:p>
    <w:p w:rsidR="00C9410E" w:rsidRPr="00C9410E" w:rsidP="00C9410E" w14:paraId="01D38C42" w14:textId="77777777">
      <w:pPr>
        <w:tabs>
          <w:tab w:val="left" w:pos="720"/>
          <w:tab w:val="left" w:pos="1440"/>
        </w:tabs>
        <w:spacing w:after="0" w:line="240" w:lineRule="auto"/>
        <w:rPr>
          <w:rFonts w:ascii="Arial" w:eastAsia="Times New Roman" w:hAnsi="Arial" w:cs="Open Sans"/>
          <w:bCs/>
          <w:kern w:val="0"/>
          <w:sz w:val="22"/>
          <w:szCs w:val="22"/>
          <w14:ligatures w14:val="none"/>
        </w:rPr>
      </w:pPr>
    </w:p>
    <w:p w:rsidR="00C9410E" w:rsidRPr="00C9410E" w:rsidP="00C9410E" w14:paraId="2BB86658" w14:textId="77777777">
      <w:pPr>
        <w:tabs>
          <w:tab w:val="left" w:pos="720"/>
          <w:tab w:val="left" w:pos="1440"/>
        </w:tabs>
        <w:spacing w:after="0" w:line="240" w:lineRule="auto"/>
        <w:rPr>
          <w:rFonts w:ascii="Arial" w:eastAsia="Times New Roman" w:hAnsi="Arial" w:cs="Open Sans"/>
          <w:bCs/>
          <w:kern w:val="0"/>
          <w:sz w:val="22"/>
          <w:szCs w:val="22"/>
          <w14:ligatures w14:val="none"/>
        </w:rPr>
      </w:pPr>
      <w:r w:rsidRPr="00C9410E">
        <w:rPr>
          <w:rFonts w:ascii="Arial" w:eastAsia="Times New Roman" w:hAnsi="Arial" w:cs="Open Sans"/>
          <w:bCs/>
          <w:kern w:val="0"/>
          <w:sz w:val="22"/>
          <w:szCs w:val="22"/>
          <w14:ligatures w14:val="none"/>
        </w:rPr>
        <w:t xml:space="preserve">The key changes to the U.S. National Science Foundation (NSF) financial assistance policies and procedures </w:t>
      </w:r>
      <w:r w:rsidRPr="00C9410E">
        <w:rPr>
          <w:rFonts w:ascii="Arial" w:eastAsia="Times New Roman" w:hAnsi="Arial" w:cs="Open Sans"/>
          <w:kern w:val="0"/>
          <w:sz w:val="22"/>
          <w:szCs w:val="22"/>
          <w14:ligatures w14:val="none"/>
        </w:rPr>
        <w:t xml:space="preserve">from the </w:t>
      </w:r>
      <w:hyperlink r:id="rId8">
        <w:r w:rsidRPr="00C9410E">
          <w:rPr>
            <w:rFonts w:ascii="Arial" w:eastAsia="Times New Roman" w:hAnsi="Arial" w:cs="Open Sans"/>
            <w:color w:val="0000FF"/>
            <w:kern w:val="0"/>
            <w:sz w:val="22"/>
            <w:szCs w:val="22"/>
            <w:u w:val="single"/>
            <w14:ligatures w14:val="none"/>
          </w:rPr>
          <w:t>PAPPG 24-1</w:t>
        </w:r>
      </w:hyperlink>
      <w:r w:rsidRPr="00C9410E">
        <w:rPr>
          <w:rFonts w:ascii="Arial" w:eastAsia="Times New Roman" w:hAnsi="Arial" w:cs="Open Sans"/>
          <w:kern w:val="0"/>
          <w:sz w:val="22"/>
          <w:szCs w:val="22"/>
          <w14:ligatures w14:val="none"/>
        </w:rPr>
        <w:t xml:space="preserve"> </w:t>
      </w:r>
      <w:r w:rsidRPr="00C9410E">
        <w:rPr>
          <w:rFonts w:ascii="Arial" w:eastAsia="Times New Roman" w:hAnsi="Arial" w:cs="Open Sans"/>
          <w:bCs/>
          <w:kern w:val="0"/>
          <w:sz w:val="22"/>
          <w:szCs w:val="22"/>
          <w14:ligatures w14:val="none"/>
        </w:rPr>
        <w:t>can be found below.</w:t>
      </w:r>
    </w:p>
    <w:p w:rsidR="00C9410E" w:rsidRPr="00C9410E" w:rsidP="00C9410E" w14:paraId="5C3AFCF1" w14:textId="77777777">
      <w:pPr>
        <w:tabs>
          <w:tab w:val="left" w:pos="720"/>
          <w:tab w:val="left" w:pos="1440"/>
        </w:tabs>
        <w:spacing w:after="0" w:line="240" w:lineRule="auto"/>
        <w:rPr>
          <w:rFonts w:ascii="Arial" w:eastAsia="Times New Roman" w:hAnsi="Arial" w:cs="Open Sans"/>
          <w:b/>
          <w:kern w:val="0"/>
          <w:sz w:val="22"/>
          <w:szCs w:val="22"/>
          <w14:ligatures w14:val="none"/>
        </w:rPr>
      </w:pPr>
    </w:p>
    <w:p w:rsidR="00C9410E" w:rsidRPr="00C9410E" w:rsidP="00C9410E" w14:paraId="5E06993B" w14:textId="77777777">
      <w:pPr>
        <w:keepNext/>
        <w:keepLines/>
        <w:spacing w:after="0" w:line="240" w:lineRule="auto"/>
        <w:outlineLvl w:val="1"/>
        <w:rPr>
          <w:rFonts w:ascii="Arial" w:hAnsi="Arial" w:eastAsiaTheme="majorEastAsia" w:cs="Arial"/>
          <w:color w:val="000000" w:themeColor="text1"/>
          <w:sz w:val="22"/>
          <w:szCs w:val="22"/>
        </w:rPr>
      </w:pPr>
      <w:bookmarkStart w:id="1" w:name="_Toc241709964"/>
      <w:r w:rsidRPr="00C9410E">
        <w:rPr>
          <w:rFonts w:ascii="Arial" w:hAnsi="Arial" w:eastAsiaTheme="majorEastAsia" w:cs="Arial"/>
          <w:b/>
          <w:color w:val="000000" w:themeColor="text1"/>
          <w:sz w:val="22"/>
          <w:szCs w:val="22"/>
        </w:rPr>
        <w:t>Overall Document Changes</w:t>
      </w:r>
      <w:bookmarkEnd w:id="1"/>
    </w:p>
    <w:p w:rsidR="00C9410E" w:rsidRPr="00C9410E" w:rsidP="00C9410E" w14:paraId="3E314F57" w14:textId="77777777">
      <w:pPr>
        <w:tabs>
          <w:tab w:val="left" w:pos="720"/>
          <w:tab w:val="left" w:pos="1440"/>
        </w:tabs>
        <w:spacing w:after="0" w:line="240" w:lineRule="auto"/>
        <w:rPr>
          <w:rFonts w:ascii="Arial" w:eastAsia="Times New Roman" w:hAnsi="Arial" w:cs="Open Sans"/>
          <w:b/>
          <w:bCs/>
          <w:kern w:val="0"/>
          <w:sz w:val="22"/>
          <w:szCs w:val="22"/>
          <w14:ligatures w14:val="none"/>
        </w:rPr>
      </w:pPr>
    </w:p>
    <w:p w:rsidR="00C9410E" w:rsidRPr="00C9410E" w:rsidP="00C9410E" w14:paraId="04BD8D75" w14:textId="57326B2C">
      <w:pPr>
        <w:tabs>
          <w:tab w:val="left" w:pos="720"/>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 xml:space="preserve">The </w:t>
      </w:r>
      <w:r w:rsidRPr="00C9410E">
        <w:rPr>
          <w:rFonts w:ascii="Arial" w:eastAsia="Times New Roman" w:hAnsi="Arial" w:cs="Open Sans"/>
          <w:i/>
          <w:kern w:val="0"/>
          <w:sz w:val="22"/>
          <w:szCs w:val="22"/>
          <w14:ligatures w14:val="none"/>
        </w:rPr>
        <w:t>NSF Guidance on Financial Assistance</w:t>
      </w:r>
      <w:r w:rsidRPr="00C9410E">
        <w:rPr>
          <w:rFonts w:ascii="Arial" w:eastAsia="Times New Roman" w:hAnsi="Arial" w:cs="Open Sans"/>
          <w:kern w:val="0"/>
          <w:sz w:val="22"/>
          <w:szCs w:val="22"/>
          <w14:ligatures w14:val="none"/>
        </w:rPr>
        <w:t xml:space="preserve"> (GFA) replaces the NSF </w:t>
      </w:r>
      <w:r w:rsidRPr="00C9410E">
        <w:rPr>
          <w:rFonts w:ascii="Arial" w:eastAsia="Times New Roman" w:hAnsi="Arial" w:cs="Open Sans"/>
          <w:i/>
          <w:kern w:val="0"/>
          <w:sz w:val="22"/>
          <w:szCs w:val="22"/>
          <w14:ligatures w14:val="none"/>
        </w:rPr>
        <w:t>Proposal and Award Policies and Procedures Guide</w:t>
      </w:r>
      <w:r w:rsidRPr="00C9410E">
        <w:rPr>
          <w:rFonts w:ascii="Arial" w:eastAsia="Times New Roman" w:hAnsi="Arial" w:cs="Open Sans"/>
          <w:kern w:val="0"/>
          <w:sz w:val="22"/>
          <w:szCs w:val="22"/>
          <w14:ligatures w14:val="none"/>
        </w:rPr>
        <w:t xml:space="preserve"> (PAPPG) (version 24-1). The GFA enhances use for proposers and recipients of NSF grants and cooperative agreements by:</w:t>
      </w:r>
    </w:p>
    <w:p w:rsidR="00C9410E" w:rsidRPr="00C9410E" w:rsidP="00C9410E" w14:paraId="76E8749A" w14:textId="77777777">
      <w:pPr>
        <w:numPr>
          <w:ilvl w:val="0"/>
          <w:numId w:val="1"/>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 xml:space="preserve">Aligning NSF policy with applicable Executive Orders, including EO 14222, </w:t>
      </w:r>
      <w:r w:rsidRPr="00C9410E">
        <w:rPr>
          <w:rFonts w:ascii="Arial" w:eastAsia="Times New Roman" w:hAnsi="Arial" w:cs="Open Sans"/>
          <w:i/>
          <w:kern w:val="0"/>
          <w:sz w:val="22"/>
          <w:szCs w:val="22"/>
          <w14:ligatures w14:val="none"/>
        </w:rPr>
        <w:t xml:space="preserve">Implementing the </w:t>
      </w:r>
      <w:r w:rsidRPr="00C9410E">
        <w:rPr>
          <w:rFonts w:ascii="Arial" w:eastAsia="Times New Roman" w:hAnsi="Arial" w:cs="Open Sans"/>
          <w:i/>
          <w:iCs/>
          <w:kern w:val="0"/>
          <w:sz w:val="22"/>
          <w:szCs w:val="22"/>
          <w14:ligatures w14:val="none"/>
        </w:rPr>
        <w:t>President's "</w:t>
      </w:r>
      <w:r w:rsidRPr="00C9410E">
        <w:rPr>
          <w:rFonts w:ascii="Arial" w:eastAsia="Times New Roman" w:hAnsi="Arial" w:cs="Open Sans"/>
          <w:i/>
          <w:kern w:val="0"/>
          <w:sz w:val="22"/>
          <w:szCs w:val="22"/>
          <w14:ligatures w14:val="none"/>
        </w:rPr>
        <w:t>Department of Government Efficiency</w:t>
      </w:r>
      <w:r w:rsidRPr="00C9410E">
        <w:rPr>
          <w:rFonts w:ascii="Arial" w:eastAsia="Times New Roman" w:hAnsi="Arial" w:cs="Open Sans"/>
          <w:i/>
          <w:iCs/>
          <w:kern w:val="0"/>
          <w:sz w:val="22"/>
          <w:szCs w:val="22"/>
          <w14:ligatures w14:val="none"/>
        </w:rPr>
        <w:t>"</w:t>
      </w:r>
      <w:r w:rsidRPr="00C9410E">
        <w:rPr>
          <w:rFonts w:ascii="Arial" w:eastAsia="Times New Roman" w:hAnsi="Arial" w:cs="Open Sans"/>
          <w:i/>
          <w:kern w:val="0"/>
          <w:sz w:val="22"/>
          <w:szCs w:val="22"/>
          <w14:ligatures w14:val="none"/>
        </w:rPr>
        <w:t xml:space="preserve"> Cost Efficiency Initiative</w:t>
      </w:r>
      <w:r w:rsidRPr="00C9410E">
        <w:rPr>
          <w:rFonts w:ascii="Arial" w:eastAsia="Times New Roman" w:hAnsi="Arial" w:cs="Open Sans"/>
          <w:kern w:val="0"/>
          <w:sz w:val="22"/>
          <w:szCs w:val="22"/>
          <w14:ligatures w14:val="none"/>
        </w:rPr>
        <w:t xml:space="preserve">; EO 14332, </w:t>
      </w:r>
      <w:r w:rsidRPr="00C9410E">
        <w:rPr>
          <w:rFonts w:ascii="Arial" w:eastAsia="Times New Roman" w:hAnsi="Arial" w:cs="Open Sans"/>
          <w:i/>
          <w:kern w:val="0"/>
          <w:sz w:val="22"/>
          <w:szCs w:val="22"/>
          <w14:ligatures w14:val="none"/>
        </w:rPr>
        <w:t>Improving Oversight of Federal Grantmaking</w:t>
      </w:r>
      <w:r w:rsidRPr="00C9410E">
        <w:rPr>
          <w:rFonts w:ascii="Arial" w:eastAsia="Times New Roman" w:hAnsi="Arial" w:cs="Open Sans"/>
          <w:kern w:val="0"/>
          <w:sz w:val="22"/>
          <w:szCs w:val="22"/>
          <w14:ligatures w14:val="none"/>
        </w:rPr>
        <w:t xml:space="preserve">; and EO 14303, </w:t>
      </w:r>
      <w:r w:rsidRPr="00C9410E">
        <w:rPr>
          <w:rFonts w:ascii="Arial" w:eastAsia="Times New Roman" w:hAnsi="Arial" w:cs="Open Sans"/>
          <w:i/>
          <w:iCs/>
          <w:kern w:val="0"/>
          <w:sz w:val="22"/>
          <w:szCs w:val="22"/>
          <w14:ligatures w14:val="none"/>
        </w:rPr>
        <w:t>Restoring Gold Standard Science</w:t>
      </w:r>
      <w:r w:rsidRPr="00C9410E">
        <w:rPr>
          <w:rFonts w:ascii="Arial" w:eastAsia="Times New Roman" w:hAnsi="Arial" w:cs="Open Sans"/>
          <w:kern w:val="0"/>
          <w:sz w:val="22"/>
          <w:szCs w:val="22"/>
          <w14:ligatures w14:val="none"/>
        </w:rPr>
        <w:t>.</w:t>
      </w:r>
    </w:p>
    <w:p w:rsidR="00C9410E" w:rsidRPr="00C9410E" w:rsidP="00C9410E" w14:paraId="4ECE3380" w14:textId="77777777">
      <w:pPr>
        <w:numPr>
          <w:ilvl w:val="0"/>
          <w:numId w:val="1"/>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Streamlining financial assistance policies and procedures to reduce administrative burden and eliminate duplicative content.</w:t>
      </w:r>
    </w:p>
    <w:p w:rsidR="00C9410E" w:rsidRPr="00C9410E" w:rsidP="00C9410E" w14:paraId="579AA392" w14:textId="77777777">
      <w:pPr>
        <w:numPr>
          <w:ilvl w:val="0"/>
          <w:numId w:val="1"/>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Distinguishing policies from procedures to improve clarity and usability.</w:t>
      </w:r>
    </w:p>
    <w:p w:rsidR="00C9410E" w:rsidRPr="00C9410E" w:rsidP="00C9410E" w14:paraId="6281EB5C" w14:textId="77777777">
      <w:pPr>
        <w:numPr>
          <w:ilvl w:val="0"/>
          <w:numId w:val="1"/>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Organizing content by topic rather than by chapter to improve access to information.</w:t>
      </w:r>
    </w:p>
    <w:p w:rsidR="00C9410E" w:rsidRPr="00C9410E" w:rsidP="00C9410E" w14:paraId="2D2F01AA" w14:textId="77777777">
      <w:pPr>
        <w:numPr>
          <w:ilvl w:val="0"/>
          <w:numId w:val="1"/>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Using plain language to improve readability and accessibility.</w:t>
      </w:r>
    </w:p>
    <w:p w:rsidR="00C9410E" w:rsidRPr="00C9410E" w:rsidP="00C9410E" w14:paraId="7F5F970B" w14:textId="77777777">
      <w:pPr>
        <w:numPr>
          <w:ilvl w:val="0"/>
          <w:numId w:val="1"/>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Distinguishing responsibilities for different users (e.g., Principal Investigators, Authorized Organizational Representatives, and Sponsored Project Offices).</w:t>
      </w:r>
    </w:p>
    <w:p w:rsidR="00C9410E" w:rsidRPr="00C9410E" w:rsidP="00C9410E" w14:paraId="11327B5B" w14:textId="77777777">
      <w:pPr>
        <w:tabs>
          <w:tab w:val="left" w:pos="720"/>
          <w:tab w:val="left" w:pos="1440"/>
        </w:tabs>
        <w:spacing w:after="0" w:line="240" w:lineRule="auto"/>
        <w:rPr>
          <w:rFonts w:ascii="Arial" w:eastAsia="Times New Roman" w:hAnsi="Arial" w:cs="Open Sans"/>
          <w:b/>
          <w:bCs/>
          <w:kern w:val="0"/>
          <w:sz w:val="22"/>
          <w:szCs w:val="22"/>
          <w14:ligatures w14:val="none"/>
        </w:rPr>
      </w:pPr>
    </w:p>
    <w:p w:rsidR="00C9410E" w:rsidRPr="00C9410E" w:rsidP="00C9410E" w14:paraId="58B31D5C" w14:textId="77777777">
      <w:pPr>
        <w:keepNext/>
        <w:keepLines/>
        <w:spacing w:after="0" w:line="240" w:lineRule="auto"/>
        <w:outlineLvl w:val="1"/>
        <w:rPr>
          <w:rFonts w:ascii="Arial" w:hAnsi="Arial" w:eastAsiaTheme="majorEastAsia" w:cs="Arial"/>
          <w:b/>
          <w:color w:val="000000" w:themeColor="text1"/>
          <w:sz w:val="22"/>
          <w:szCs w:val="22"/>
        </w:rPr>
      </w:pPr>
      <w:bookmarkStart w:id="2" w:name="_Toc241709965"/>
      <w:r w:rsidRPr="00C9410E">
        <w:rPr>
          <w:rFonts w:ascii="Arial" w:hAnsi="Arial" w:eastAsiaTheme="majorEastAsia" w:cs="Arial"/>
          <w:b/>
          <w:color w:val="000000" w:themeColor="text1"/>
          <w:sz w:val="22"/>
          <w:szCs w:val="22"/>
        </w:rPr>
        <w:t>Guide-Specific Changes</w:t>
      </w:r>
      <w:bookmarkEnd w:id="2"/>
    </w:p>
    <w:p w:rsidR="00C9410E" w:rsidRPr="00C9410E" w:rsidP="00C9410E" w14:paraId="6A7A4150" w14:textId="77777777">
      <w:pPr>
        <w:tabs>
          <w:tab w:val="left" w:pos="720"/>
          <w:tab w:val="left" w:pos="1440"/>
        </w:tabs>
        <w:spacing w:after="0" w:line="240" w:lineRule="auto"/>
        <w:rPr>
          <w:rFonts w:ascii="Arial" w:eastAsia="Times New Roman" w:hAnsi="Arial" w:cs="Open Sans"/>
          <w:kern w:val="0"/>
          <w:sz w:val="22"/>
          <w:szCs w:val="22"/>
          <w14:ligatures w14:val="none"/>
        </w:rPr>
      </w:pPr>
    </w:p>
    <w:p w:rsidR="00C9410E" w:rsidRPr="00C9410E" w:rsidP="00C9410E" w14:paraId="6F2893AB" w14:textId="77777777">
      <w:pPr>
        <w:tabs>
          <w:tab w:val="left" w:pos="720"/>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 xml:space="preserve">All guides include financial assistance policy updates issued during Fiscal Year 2026 to the 24-1 version of the PAPPG via Policy Notices, NSF 26-200, Supplement 1 and NSF 26-202, Supplement 2 as appropriate. </w:t>
      </w:r>
    </w:p>
    <w:p w:rsidR="00C9410E" w:rsidRPr="00C9410E" w:rsidP="00C9410E" w14:paraId="02B5FFC2" w14:textId="77777777">
      <w:pPr>
        <w:tabs>
          <w:tab w:val="left" w:pos="720"/>
          <w:tab w:val="left" w:pos="1440"/>
        </w:tabs>
        <w:spacing w:after="0" w:line="240" w:lineRule="auto"/>
        <w:rPr>
          <w:rFonts w:ascii="Arial" w:eastAsia="Times New Roman" w:hAnsi="Arial" w:cs="Open Sans"/>
          <w:b/>
          <w:bCs/>
          <w:kern w:val="0"/>
          <w:sz w:val="22"/>
          <w:szCs w:val="22"/>
          <w14:ligatures w14:val="none"/>
        </w:rPr>
      </w:pPr>
    </w:p>
    <w:p w:rsidR="00C9410E" w:rsidRPr="00C9410E" w:rsidP="00C9410E" w14:paraId="1B217A0A" w14:textId="77777777">
      <w:pPr>
        <w:tabs>
          <w:tab w:val="left" w:pos="720"/>
          <w:tab w:val="left" w:pos="1440"/>
        </w:tabs>
        <w:spacing w:after="0" w:line="240" w:lineRule="auto"/>
        <w:rPr>
          <w:rFonts w:ascii="Arial" w:eastAsia="Times New Roman" w:hAnsi="Arial" w:cs="Open Sans"/>
          <w:b/>
          <w:bCs/>
          <w:kern w:val="0"/>
          <w:sz w:val="22"/>
          <w:szCs w:val="22"/>
          <w14:ligatures w14:val="none"/>
        </w:rPr>
      </w:pPr>
      <w:r w:rsidRPr="00C9410E">
        <w:rPr>
          <w:rFonts w:ascii="Arial" w:eastAsia="Times New Roman" w:hAnsi="Arial" w:cs="Open Sans"/>
          <w:b/>
          <w:bCs/>
          <w:kern w:val="0"/>
          <w:sz w:val="22"/>
          <w:szCs w:val="22"/>
          <w14:ligatures w14:val="none"/>
        </w:rPr>
        <w:t>Guide 1: Introduction to NSF and Financial Assistance Concepts</w:t>
      </w:r>
    </w:p>
    <w:p w:rsidR="00C9410E" w:rsidRPr="00C9410E" w:rsidP="00C9410E" w14:paraId="6E538CD3" w14:textId="77777777">
      <w:pPr>
        <w:numPr>
          <w:ilvl w:val="0"/>
          <w:numId w:val="2"/>
        </w:numPr>
        <w:tabs>
          <w:tab w:val="left" w:pos="1440"/>
        </w:tabs>
        <w:spacing w:after="0" w:line="240" w:lineRule="auto"/>
        <w:rPr>
          <w:rFonts w:ascii="Arial" w:eastAsia="Times New Roman" w:hAnsi="Arial" w:cs="Open Sans"/>
          <w:b/>
          <w:kern w:val="0"/>
          <w:sz w:val="22"/>
          <w:szCs w:val="22"/>
          <w14:ligatures w14:val="none"/>
        </w:rPr>
      </w:pPr>
      <w:r w:rsidRPr="00C9410E">
        <w:rPr>
          <w:rFonts w:ascii="Arial" w:eastAsia="Times New Roman" w:hAnsi="Arial" w:cs="Open Sans"/>
          <w:kern w:val="0"/>
          <w:sz w:val="22"/>
          <w:szCs w:val="22"/>
          <w14:ligatures w14:val="none"/>
        </w:rPr>
        <w:t>Replaces directorate and office descriptions with links to NSF webpages to provide more current organizational structures and allow for more timely updates.</w:t>
      </w:r>
    </w:p>
    <w:p w:rsidR="00C9410E" w:rsidRPr="00C9410E" w:rsidP="00C9410E" w14:paraId="164E7E87" w14:textId="77777777">
      <w:pPr>
        <w:numPr>
          <w:ilvl w:val="0"/>
          <w:numId w:val="2"/>
        </w:numPr>
        <w:tabs>
          <w:tab w:val="left" w:pos="1440"/>
        </w:tabs>
        <w:spacing w:after="0" w:line="240" w:lineRule="auto"/>
        <w:rPr>
          <w:rFonts w:ascii="Arial" w:eastAsia="Times New Roman" w:hAnsi="Arial" w:cs="Open Sans"/>
          <w:b/>
          <w:bCs/>
          <w:kern w:val="0"/>
          <w:sz w:val="22"/>
          <w:szCs w:val="22"/>
          <w14:ligatures w14:val="none"/>
        </w:rPr>
      </w:pPr>
      <w:r w:rsidRPr="00C9410E">
        <w:rPr>
          <w:rFonts w:ascii="Arial" w:eastAsia="Times New Roman" w:hAnsi="Arial" w:cs="Open Sans"/>
          <w:kern w:val="0"/>
          <w:sz w:val="22"/>
          <w:szCs w:val="22"/>
          <w14:ligatures w14:val="none"/>
        </w:rPr>
        <w:t xml:space="preserve">Incorporates the Privacy Act Statement and the public burden estimates in the front section with revised estimates providing a range based on complexity of proposal types. </w:t>
      </w:r>
    </w:p>
    <w:p w:rsidR="00C9410E" w:rsidRPr="00C9410E" w:rsidP="00C9410E" w14:paraId="5C58CEE4" w14:textId="77777777">
      <w:pPr>
        <w:tabs>
          <w:tab w:val="left" w:pos="720"/>
          <w:tab w:val="left" w:pos="1440"/>
        </w:tabs>
        <w:spacing w:after="0" w:line="240" w:lineRule="auto"/>
        <w:rPr>
          <w:rFonts w:ascii="Arial" w:eastAsia="Times New Roman" w:hAnsi="Arial" w:cs="Open Sans"/>
          <w:b/>
          <w:bCs/>
          <w:kern w:val="0"/>
          <w:sz w:val="22"/>
          <w:szCs w:val="22"/>
          <w14:ligatures w14:val="none"/>
        </w:rPr>
      </w:pPr>
    </w:p>
    <w:p w:rsidR="00C9410E" w:rsidRPr="00C9410E" w:rsidP="00C9410E" w14:paraId="5605F677" w14:textId="77777777">
      <w:pPr>
        <w:tabs>
          <w:tab w:val="left" w:pos="720"/>
          <w:tab w:val="left" w:pos="1440"/>
        </w:tabs>
        <w:spacing w:after="0" w:line="240" w:lineRule="auto"/>
        <w:rPr>
          <w:rFonts w:ascii="Arial" w:eastAsia="Times New Roman" w:hAnsi="Arial" w:cs="Open Sans"/>
          <w:b/>
          <w:bCs/>
          <w:kern w:val="0"/>
          <w:sz w:val="22"/>
          <w:szCs w:val="22"/>
          <w14:ligatures w14:val="none"/>
        </w:rPr>
      </w:pPr>
      <w:r w:rsidRPr="00C9410E">
        <w:rPr>
          <w:rFonts w:ascii="Arial" w:eastAsia="Times New Roman" w:hAnsi="Arial" w:cs="Open Sans"/>
          <w:b/>
          <w:bCs/>
          <w:kern w:val="0"/>
          <w:sz w:val="22"/>
          <w:szCs w:val="22"/>
          <w14:ligatures w14:val="none"/>
        </w:rPr>
        <w:t>Guide 2: Getting Ready to Apply for NSF Funding</w:t>
      </w:r>
    </w:p>
    <w:p w:rsidR="00C9410E" w:rsidRPr="00C9410E" w:rsidP="00C9410E" w14:paraId="3DCD13D0" w14:textId="77777777">
      <w:pPr>
        <w:numPr>
          <w:ilvl w:val="0"/>
          <w:numId w:val="3"/>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 xml:space="preserve">Adds the terms Broad </w:t>
      </w:r>
      <w:r w:rsidRPr="00C9410E">
        <w:rPr>
          <w:rFonts w:ascii="Arial" w:eastAsia="Times New Roman" w:hAnsi="Arial" w:cs="Open Sans"/>
          <w:kern w:val="0"/>
          <w:sz w:val="22"/>
          <w:szCs w:val="22"/>
          <w14:ligatures w14:val="none"/>
        </w:rPr>
        <w:t xml:space="preserve">Program </w:t>
      </w:r>
      <w:r w:rsidRPr="00C9410E">
        <w:rPr>
          <w:rFonts w:ascii="Arial" w:eastAsia="Times New Roman" w:hAnsi="Arial" w:cs="Open Sans"/>
          <w:kern w:val="0"/>
          <w:sz w:val="22"/>
          <w:szCs w:val="22"/>
          <w14:ligatures w14:val="none"/>
        </w:rPr>
        <w:t>Solicitation and Targeted Solicitation and retires the</w:t>
      </w:r>
      <w:r w:rsidRPr="00C9410E">
        <w:rPr>
          <w:rFonts w:ascii="Arial" w:eastAsia="Times New Roman" w:hAnsi="Arial" w:cs="Open Sans"/>
          <w:kern w:val="0"/>
          <w:sz w:val="22"/>
          <w:szCs w:val="22"/>
          <w14:ligatures w14:val="none"/>
        </w:rPr>
        <w:t xml:space="preserve"> terms Program Description and Program Announcement.</w:t>
      </w:r>
    </w:p>
    <w:p w:rsidR="00C9410E" w:rsidRPr="00C9410E" w:rsidP="00C9410E" w14:paraId="7F7DF191" w14:textId="77777777">
      <w:pPr>
        <w:numPr>
          <w:ilvl w:val="0"/>
          <w:numId w:val="3"/>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Adds the definition of Small Business Innovation Research/Small Business Technology Transfer (SBIR/STTR) Project Pitch.</w:t>
      </w:r>
    </w:p>
    <w:p w:rsidR="00C9410E" w:rsidRPr="00C9410E" w:rsidP="00C9410E" w14:paraId="1DA9542B" w14:textId="77777777">
      <w:pPr>
        <w:numPr>
          <w:ilvl w:val="0"/>
          <w:numId w:val="3"/>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Expands the definition of Senior/Key Personnel and adds a definition for Faculty Associates to support research security requirements.</w:t>
      </w:r>
    </w:p>
    <w:p w:rsidR="00C9410E" w:rsidRPr="00C9410E" w:rsidP="00C9410E" w14:paraId="040EBF48" w14:textId="77777777">
      <w:pPr>
        <w:numPr>
          <w:ilvl w:val="0"/>
          <w:numId w:val="3"/>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Replaces the term Tribal Nations with Indian Tribes and revises the definition to align with the current 2 CFR 200.</w:t>
      </w:r>
    </w:p>
    <w:p w:rsidR="00C9410E" w:rsidRPr="00C9410E" w:rsidP="00C9410E" w14:paraId="44CCCF79" w14:textId="77777777">
      <w:pPr>
        <w:numPr>
          <w:ilvl w:val="0"/>
          <w:numId w:val="3"/>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Clarifies that institutions of higher education with a Confucius Institute agreement are ineligible for NSF funding, consistent with the CHIPS and Science Act.</w:t>
      </w:r>
    </w:p>
    <w:p w:rsidR="00C9410E" w:rsidRPr="00C9410E" w:rsidP="00C9410E" w14:paraId="00403625" w14:textId="77777777">
      <w:pPr>
        <w:tabs>
          <w:tab w:val="left" w:pos="720"/>
          <w:tab w:val="left" w:pos="1440"/>
        </w:tabs>
        <w:spacing w:after="0" w:line="240" w:lineRule="auto"/>
        <w:ind w:left="720"/>
        <w:rPr>
          <w:rFonts w:ascii="Arial" w:eastAsia="Times New Roman" w:hAnsi="Arial" w:cs="Open Sans"/>
          <w:kern w:val="0"/>
          <w:sz w:val="22"/>
          <w:szCs w:val="22"/>
          <w14:ligatures w14:val="none"/>
        </w:rPr>
      </w:pPr>
    </w:p>
    <w:p w:rsidR="00C9410E" w:rsidRPr="00C9410E" w:rsidP="00C9410E" w14:paraId="3A69CD1C" w14:textId="77777777">
      <w:pPr>
        <w:tabs>
          <w:tab w:val="left" w:pos="720"/>
          <w:tab w:val="left" w:pos="1440"/>
        </w:tabs>
        <w:spacing w:after="0" w:line="240" w:lineRule="auto"/>
        <w:rPr>
          <w:rFonts w:ascii="Arial" w:eastAsia="Times New Roman" w:hAnsi="Arial" w:cs="Open Sans"/>
          <w:b/>
          <w:bCs/>
          <w:kern w:val="0"/>
          <w:sz w:val="22"/>
          <w:szCs w:val="22"/>
          <w14:ligatures w14:val="none"/>
        </w:rPr>
      </w:pPr>
      <w:r w:rsidRPr="00C9410E">
        <w:rPr>
          <w:rFonts w:ascii="Arial" w:eastAsia="Times New Roman" w:hAnsi="Arial" w:cs="Open Sans"/>
          <w:b/>
          <w:bCs/>
          <w:kern w:val="0"/>
          <w:sz w:val="22"/>
          <w:szCs w:val="22"/>
          <w14:ligatures w14:val="none"/>
        </w:rPr>
        <w:t>Guide 3: Preparing Your Proposal – Formatting and Disclosures</w:t>
      </w:r>
    </w:p>
    <w:p w:rsidR="00C9410E" w:rsidRPr="00C9410E" w:rsidP="00C9410E" w14:paraId="07EE7056" w14:textId="77777777">
      <w:pPr>
        <w:numPr>
          <w:ilvl w:val="0"/>
          <w:numId w:val="4"/>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Removes the restriction that prohibited duplicate submissions to the Biological Sciences Directorate and another federal agency for simultaneous consideration.</w:t>
      </w:r>
    </w:p>
    <w:p w:rsidR="00C9410E" w:rsidRPr="00C9410E" w:rsidP="00C9410E" w14:paraId="615847D7" w14:textId="77777777">
      <w:pPr>
        <w:numPr>
          <w:ilvl w:val="0"/>
          <w:numId w:val="4"/>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 xml:space="preserve">Updates the certification for the former Dual Use Research of Concern to align with </w:t>
      </w:r>
      <w:r w:rsidRPr="00C9410E">
        <w:rPr>
          <w:rFonts w:ascii="Arial" w:eastAsia="Times New Roman" w:hAnsi="Arial" w:cs="Arial"/>
          <w:i/>
          <w:iCs/>
          <w:kern w:val="0"/>
          <w:sz w:val="22"/>
          <w:szCs w:val="22"/>
          <w14:ligatures w14:val="none"/>
        </w:rPr>
        <w:t>the United States Government Policy for Stopping High-Risk Life Sciences Research</w:t>
      </w:r>
      <w:r w:rsidRPr="00C9410E">
        <w:rPr>
          <w:rFonts w:ascii="Arial" w:eastAsia="Times New Roman" w:hAnsi="Arial" w:cs="Open Sans"/>
          <w:b/>
          <w:bCs/>
          <w:kern w:val="0"/>
          <w:sz w:val="22"/>
          <w:szCs w:val="22"/>
          <w14:ligatures w14:val="none"/>
        </w:rPr>
        <w:t>.</w:t>
      </w:r>
    </w:p>
    <w:p w:rsidR="00C9410E" w:rsidRPr="00C9410E" w:rsidP="00C9410E" w14:paraId="12C8F094" w14:textId="77777777">
      <w:pPr>
        <w:tabs>
          <w:tab w:val="left" w:pos="720"/>
          <w:tab w:val="left" w:pos="1440"/>
        </w:tabs>
        <w:spacing w:after="0" w:line="240" w:lineRule="auto"/>
        <w:rPr>
          <w:rFonts w:ascii="Arial" w:eastAsia="Times New Roman" w:hAnsi="Arial" w:cs="Open Sans"/>
          <w:b/>
          <w:bCs/>
          <w:kern w:val="0"/>
          <w:sz w:val="22"/>
          <w:szCs w:val="22"/>
          <w14:ligatures w14:val="none"/>
        </w:rPr>
      </w:pPr>
    </w:p>
    <w:p w:rsidR="00C9410E" w:rsidRPr="00C9410E" w:rsidP="00C9410E" w14:paraId="41C21FB4" w14:textId="77777777">
      <w:pPr>
        <w:tabs>
          <w:tab w:val="left" w:pos="720"/>
          <w:tab w:val="left" w:pos="1440"/>
        </w:tabs>
        <w:spacing w:after="0" w:line="240" w:lineRule="auto"/>
        <w:rPr>
          <w:rFonts w:ascii="Arial" w:eastAsia="Times New Roman" w:hAnsi="Arial" w:cs="Open Sans"/>
          <w:b/>
          <w:bCs/>
          <w:kern w:val="0"/>
          <w:sz w:val="22"/>
          <w:szCs w:val="22"/>
          <w14:ligatures w14:val="none"/>
        </w:rPr>
      </w:pPr>
      <w:r w:rsidRPr="00C9410E">
        <w:rPr>
          <w:rFonts w:ascii="Arial" w:eastAsia="Times New Roman" w:hAnsi="Arial" w:cs="Open Sans"/>
          <w:b/>
          <w:bCs/>
          <w:kern w:val="0"/>
          <w:sz w:val="22"/>
          <w:szCs w:val="22"/>
          <w14:ligatures w14:val="none"/>
        </w:rPr>
        <w:t>Guide 4: Preparing Your Proposal – Budgets</w:t>
      </w:r>
    </w:p>
    <w:p w:rsidR="00C9410E" w:rsidRPr="00C9410E" w:rsidP="00C9410E" w14:paraId="4F47103C" w14:textId="77777777">
      <w:pPr>
        <w:numPr>
          <w:ilvl w:val="0"/>
          <w:numId w:val="5"/>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Adds coverage of the American Security Drone Act of 2023, which prohibits the use of NSF funds for certain covered drones and services beginning December 22, 2025.</w:t>
      </w:r>
    </w:p>
    <w:p w:rsidR="00C9410E" w:rsidRPr="00C9410E" w:rsidP="00C9410E" w14:paraId="7446B173" w14:textId="77777777">
      <w:pPr>
        <w:tabs>
          <w:tab w:val="left" w:pos="720"/>
          <w:tab w:val="left" w:pos="1440"/>
        </w:tabs>
        <w:spacing w:after="0" w:line="240" w:lineRule="auto"/>
        <w:rPr>
          <w:rFonts w:ascii="Arial" w:eastAsia="Times New Roman" w:hAnsi="Arial" w:cs="Open Sans"/>
          <w:b/>
          <w:bCs/>
          <w:kern w:val="0"/>
          <w:sz w:val="22"/>
          <w:szCs w:val="22"/>
          <w14:ligatures w14:val="none"/>
        </w:rPr>
      </w:pPr>
    </w:p>
    <w:p w:rsidR="00C9410E" w:rsidRPr="00C9410E" w:rsidP="00C9410E" w14:paraId="571278F2" w14:textId="77777777">
      <w:pPr>
        <w:tabs>
          <w:tab w:val="left" w:pos="720"/>
          <w:tab w:val="left" w:pos="1440"/>
        </w:tabs>
        <w:spacing w:after="0" w:line="240" w:lineRule="auto"/>
        <w:rPr>
          <w:rFonts w:ascii="Arial" w:eastAsia="Times New Roman" w:hAnsi="Arial" w:cs="Open Sans"/>
          <w:b/>
          <w:bCs/>
          <w:kern w:val="0"/>
          <w:sz w:val="22"/>
          <w:szCs w:val="22"/>
          <w14:ligatures w14:val="none"/>
        </w:rPr>
      </w:pPr>
      <w:r w:rsidRPr="00C9410E">
        <w:rPr>
          <w:rFonts w:ascii="Arial" w:eastAsia="Times New Roman" w:hAnsi="Arial" w:cs="Open Sans"/>
          <w:b/>
          <w:bCs/>
          <w:kern w:val="0"/>
          <w:sz w:val="22"/>
          <w:szCs w:val="22"/>
          <w14:ligatures w14:val="none"/>
        </w:rPr>
        <w:t>Guide 5: Preparing Your Proposal – Facilities, Equipment, Personnel, Data Management, and Other Supporting Documents</w:t>
      </w:r>
    </w:p>
    <w:p w:rsidR="00C9410E" w:rsidRPr="00C9410E" w:rsidP="00C9410E" w14:paraId="7AB6B29A" w14:textId="77777777">
      <w:pPr>
        <w:numPr>
          <w:ilvl w:val="0"/>
          <w:numId w:val="6"/>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Updates Individual Development Plan requirements for postdoctoral scholars and graduate students by adding a definition of "substantial support."</w:t>
      </w:r>
    </w:p>
    <w:p w:rsidR="00C9410E" w:rsidRPr="00C9410E" w:rsidP="00C9410E" w14:paraId="4DEEC437" w14:textId="77777777">
      <w:pPr>
        <w:numPr>
          <w:ilvl w:val="0"/>
          <w:numId w:val="6"/>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Clarifies that proposers must include a mentoring plan when requesting salary or stipend support for postdoctoral scholars or graduate students.</w:t>
      </w:r>
    </w:p>
    <w:p w:rsidR="00C9410E" w:rsidRPr="00C9410E" w:rsidP="00C9410E" w14:paraId="5BEA5F00" w14:textId="77777777">
      <w:pPr>
        <w:numPr>
          <w:ilvl w:val="0"/>
          <w:numId w:val="6"/>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Further implements public access requirements through revisions to Data Management and Sharing Plan requirements that align with NSF's Gold Standard Science Implementation Plan.</w:t>
      </w:r>
    </w:p>
    <w:p w:rsidR="00C9410E" w:rsidRPr="00C9410E" w:rsidP="00C9410E" w14:paraId="494B67DA" w14:textId="77777777">
      <w:pPr>
        <w:tabs>
          <w:tab w:val="left" w:pos="720"/>
          <w:tab w:val="left" w:pos="1440"/>
        </w:tabs>
        <w:spacing w:after="0" w:line="240" w:lineRule="auto"/>
        <w:ind w:left="720"/>
        <w:rPr>
          <w:rFonts w:ascii="Arial" w:eastAsia="Times New Roman" w:hAnsi="Arial" w:cs="Open Sans"/>
          <w:kern w:val="0"/>
          <w:sz w:val="22"/>
          <w:szCs w:val="22"/>
          <w14:ligatures w14:val="none"/>
        </w:rPr>
      </w:pPr>
    </w:p>
    <w:p w:rsidR="00C9410E" w:rsidRPr="00C9410E" w:rsidP="00C9410E" w14:paraId="6CDC02C4" w14:textId="77777777">
      <w:pPr>
        <w:tabs>
          <w:tab w:val="left" w:pos="720"/>
          <w:tab w:val="left" w:pos="1440"/>
        </w:tabs>
        <w:spacing w:after="0" w:line="240" w:lineRule="auto"/>
        <w:rPr>
          <w:rFonts w:ascii="Arial" w:eastAsia="Times New Roman" w:hAnsi="Arial" w:cs="Open Sans"/>
          <w:b/>
          <w:kern w:val="0"/>
          <w:sz w:val="22"/>
          <w:szCs w:val="22"/>
          <w14:ligatures w14:val="none"/>
        </w:rPr>
      </w:pPr>
      <w:r w:rsidRPr="00C9410E">
        <w:rPr>
          <w:rFonts w:ascii="Arial" w:eastAsia="Times New Roman" w:hAnsi="Arial" w:cs="Open Sans"/>
          <w:b/>
          <w:kern w:val="0"/>
          <w:sz w:val="22"/>
          <w:szCs w:val="22"/>
          <w14:ligatures w14:val="none"/>
        </w:rPr>
        <w:t xml:space="preserve">Guide 6: </w:t>
      </w:r>
      <w:r w:rsidRPr="00C9410E">
        <w:rPr>
          <w:rFonts w:ascii="Arial" w:eastAsia="Times New Roman" w:hAnsi="Arial" w:cs="Open Sans"/>
          <w:b/>
          <w:bCs/>
          <w:kern w:val="0"/>
          <w:sz w:val="22"/>
          <w:szCs w:val="22"/>
          <w14:ligatures w14:val="none"/>
        </w:rPr>
        <w:t xml:space="preserve">Preparing Your Proposal – </w:t>
      </w:r>
      <w:r w:rsidRPr="00C9410E">
        <w:rPr>
          <w:rFonts w:ascii="Arial" w:eastAsia="Times New Roman" w:hAnsi="Arial" w:cs="Open Sans"/>
          <w:b/>
          <w:kern w:val="0"/>
          <w:sz w:val="22"/>
          <w:szCs w:val="22"/>
          <w14:ligatures w14:val="none"/>
        </w:rPr>
        <w:t>Special Processing and Compliance Topics</w:t>
      </w:r>
    </w:p>
    <w:p w:rsidR="00C9410E" w:rsidRPr="00C9410E" w:rsidP="00C9410E" w14:paraId="4F62FA9C" w14:textId="77777777">
      <w:pPr>
        <w:numPr>
          <w:ilvl w:val="0"/>
          <w:numId w:val="7"/>
        </w:numPr>
        <w:tabs>
          <w:tab w:val="left" w:pos="1440"/>
        </w:tabs>
        <w:spacing w:after="0" w:line="240" w:lineRule="auto"/>
        <w:rPr>
          <w:rFonts w:ascii="Arial" w:eastAsia="Times New Roman" w:hAnsi="Arial" w:cs="Open Sans"/>
          <w:b/>
          <w:kern w:val="0"/>
          <w:sz w:val="22"/>
          <w:szCs w:val="22"/>
          <w14:ligatures w14:val="none"/>
        </w:rPr>
      </w:pPr>
      <w:r w:rsidRPr="00C9410E">
        <w:rPr>
          <w:rFonts w:ascii="Arial" w:eastAsia="Times New Roman" w:hAnsi="Arial" w:cs="Open Sans"/>
          <w:kern w:val="0"/>
          <w:sz w:val="22"/>
          <w:szCs w:val="22"/>
          <w14:ligatures w14:val="none"/>
        </w:rPr>
        <w:t xml:space="preserve">Replaces NSF's implementation of the U.S. Government Policy for Oversight of Dual Use Research of Concern and Pathogens with Enhanced Pandemic Potential with requirements for Dangerous Gain of Function set forth in </w:t>
      </w:r>
      <w:r w:rsidRPr="00C9410E">
        <w:rPr>
          <w:rFonts w:ascii="Arial" w:eastAsia="Times New Roman" w:hAnsi="Arial" w:cs="Arial"/>
          <w:kern w:val="0"/>
          <w:sz w:val="22"/>
          <w:szCs w:val="22"/>
          <w14:ligatures w14:val="none"/>
        </w:rPr>
        <w:t xml:space="preserve">Executive Order 14292, </w:t>
      </w:r>
      <w:r w:rsidRPr="00C9410E">
        <w:rPr>
          <w:rFonts w:ascii="Arial" w:eastAsia="Times New Roman" w:hAnsi="Arial" w:cs="Arial"/>
          <w:i/>
          <w:iCs/>
          <w:kern w:val="0"/>
          <w:sz w:val="22"/>
          <w:szCs w:val="22"/>
          <w14:ligatures w14:val="none"/>
        </w:rPr>
        <w:t>Improving the Safety and Security of Biological Research and the United States Government Policy for Stopping High-Risk Life Sciences Research</w:t>
      </w:r>
      <w:r w:rsidRPr="00C9410E">
        <w:rPr>
          <w:rFonts w:ascii="Arial" w:eastAsia="Times New Roman" w:hAnsi="Arial" w:cs="Open Sans"/>
          <w:b/>
          <w:bCs/>
          <w:kern w:val="0"/>
          <w:sz w:val="22"/>
          <w:szCs w:val="22"/>
          <w14:ligatures w14:val="none"/>
        </w:rPr>
        <w:t>.</w:t>
      </w:r>
    </w:p>
    <w:p w:rsidR="00C9410E" w:rsidRPr="00C9410E" w:rsidP="00C9410E" w14:paraId="2335119C" w14:textId="77777777">
      <w:pPr>
        <w:numPr>
          <w:ilvl w:val="0"/>
          <w:numId w:val="7"/>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Updates the policy for foreign performance sites of vertebrate animal work to align with the National Institutes of Health (NIH) Office of Laboratory Animal Welfare policy.</w:t>
      </w:r>
    </w:p>
    <w:p w:rsidR="00C9410E" w:rsidRPr="00C9410E" w:rsidP="00C9410E" w14:paraId="45F14678" w14:textId="77777777">
      <w:pPr>
        <w:numPr>
          <w:ilvl w:val="0"/>
          <w:numId w:val="7"/>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Adds a requirement for a “Vertebrate Animals Plan” to be uploaded to Research.gov.</w:t>
      </w:r>
    </w:p>
    <w:p w:rsidR="00C9410E" w:rsidRPr="00C9410E" w:rsidP="00C9410E" w14:paraId="5429374B" w14:textId="77777777">
      <w:pPr>
        <w:tabs>
          <w:tab w:val="left" w:pos="720"/>
          <w:tab w:val="left" w:pos="1440"/>
        </w:tabs>
        <w:spacing w:after="0" w:line="240" w:lineRule="auto"/>
        <w:ind w:left="360"/>
        <w:rPr>
          <w:rFonts w:ascii="Arial" w:eastAsia="Times New Roman" w:hAnsi="Arial" w:cs="Open Sans"/>
          <w:kern w:val="0"/>
          <w:sz w:val="22"/>
          <w:szCs w:val="22"/>
          <w14:ligatures w14:val="none"/>
        </w:rPr>
      </w:pPr>
    </w:p>
    <w:p w:rsidR="00C9410E" w:rsidRPr="00C9410E" w:rsidP="00C9410E" w14:paraId="4C3B1FF2" w14:textId="77777777">
      <w:pPr>
        <w:tabs>
          <w:tab w:val="left" w:pos="720"/>
          <w:tab w:val="left" w:pos="1440"/>
        </w:tabs>
        <w:spacing w:after="0" w:line="240" w:lineRule="auto"/>
        <w:rPr>
          <w:rFonts w:ascii="Arial" w:eastAsia="Times New Roman" w:hAnsi="Arial" w:cs="Open Sans"/>
          <w:b/>
          <w:kern w:val="0"/>
          <w:sz w:val="22"/>
          <w:szCs w:val="22"/>
          <w14:ligatures w14:val="none"/>
        </w:rPr>
      </w:pPr>
      <w:r w:rsidRPr="00C9410E">
        <w:rPr>
          <w:rFonts w:ascii="Arial" w:eastAsia="Times New Roman" w:hAnsi="Arial" w:cs="Open Sans"/>
          <w:b/>
          <w:kern w:val="0"/>
          <w:sz w:val="22"/>
          <w:szCs w:val="22"/>
          <w14:ligatures w14:val="none"/>
        </w:rPr>
        <w:t xml:space="preserve">Guide 7: </w:t>
      </w:r>
      <w:r w:rsidRPr="00C9410E">
        <w:rPr>
          <w:rFonts w:ascii="Arial" w:eastAsia="Times New Roman" w:hAnsi="Arial" w:cs="Open Sans"/>
          <w:b/>
          <w:bCs/>
          <w:kern w:val="0"/>
          <w:sz w:val="22"/>
          <w:szCs w:val="22"/>
          <w14:ligatures w14:val="none"/>
        </w:rPr>
        <w:t xml:space="preserve">Preparing Your Proposal – </w:t>
      </w:r>
      <w:r w:rsidRPr="00C9410E">
        <w:rPr>
          <w:rFonts w:ascii="Arial" w:eastAsia="Times New Roman" w:hAnsi="Arial" w:cs="Open Sans"/>
          <w:b/>
          <w:kern w:val="0"/>
          <w:sz w:val="22"/>
          <w:szCs w:val="22"/>
          <w14:ligatures w14:val="none"/>
        </w:rPr>
        <w:t>Other Proposal and Supplemental Funding Types</w:t>
      </w:r>
    </w:p>
    <w:p w:rsidR="00C9410E" w:rsidRPr="00C9410E" w:rsidP="00C9410E" w14:paraId="13456FBE" w14:textId="77777777">
      <w:pPr>
        <w:numPr>
          <w:ilvl w:val="0"/>
          <w:numId w:val="8"/>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Increases funding thresholds for selected proposal types:</w:t>
      </w:r>
    </w:p>
    <w:p w:rsidR="00C9410E" w:rsidRPr="00C9410E" w:rsidP="00C9410E" w14:paraId="69DC83EB" w14:textId="77777777">
      <w:pPr>
        <w:numPr>
          <w:ilvl w:val="1"/>
          <w:numId w:val="8"/>
        </w:numPr>
        <w:tabs>
          <w:tab w:val="left" w:pos="72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Planning Proposals: up to $200,000.</w:t>
      </w:r>
    </w:p>
    <w:p w:rsidR="00C9410E" w:rsidRPr="00C9410E" w:rsidP="00C9410E" w14:paraId="4BBDBB8B" w14:textId="77777777">
      <w:pPr>
        <w:numPr>
          <w:ilvl w:val="1"/>
          <w:numId w:val="8"/>
        </w:numPr>
        <w:tabs>
          <w:tab w:val="left" w:pos="72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RAPID Proposals: up to $300,000.</w:t>
      </w:r>
    </w:p>
    <w:p w:rsidR="00C9410E" w:rsidRPr="00C9410E" w:rsidP="00C9410E" w14:paraId="48D08FEC" w14:textId="77777777">
      <w:pPr>
        <w:numPr>
          <w:ilvl w:val="1"/>
          <w:numId w:val="8"/>
        </w:numPr>
        <w:tabs>
          <w:tab w:val="left" w:pos="72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EAGER Proposals: up to $400,000.</w:t>
      </w:r>
    </w:p>
    <w:p w:rsidR="00C9410E" w:rsidRPr="00C9410E" w:rsidP="00C9410E" w14:paraId="042E3511" w14:textId="77777777">
      <w:pPr>
        <w:tabs>
          <w:tab w:val="left" w:pos="720"/>
          <w:tab w:val="left" w:pos="1440"/>
        </w:tabs>
        <w:spacing w:after="0" w:line="240" w:lineRule="auto"/>
        <w:rPr>
          <w:rFonts w:ascii="Arial" w:eastAsia="Times New Roman" w:hAnsi="Arial" w:cs="Open Sans"/>
          <w:b/>
          <w:bCs/>
          <w:kern w:val="0"/>
          <w:sz w:val="22"/>
          <w:szCs w:val="22"/>
          <w14:ligatures w14:val="none"/>
        </w:rPr>
      </w:pPr>
    </w:p>
    <w:p w:rsidR="00C9410E" w:rsidRPr="00C9410E" w:rsidP="00C9410E" w14:paraId="7BB688F7" w14:textId="77777777">
      <w:pPr>
        <w:tabs>
          <w:tab w:val="left" w:pos="720"/>
          <w:tab w:val="left" w:pos="1440"/>
        </w:tabs>
        <w:spacing w:after="0" w:line="240" w:lineRule="auto"/>
        <w:rPr>
          <w:rFonts w:ascii="Arial" w:eastAsia="Times New Roman" w:hAnsi="Arial" w:cs="Open Sans"/>
          <w:b/>
          <w:bCs/>
          <w:kern w:val="0"/>
          <w:sz w:val="22"/>
          <w:szCs w:val="22"/>
          <w14:ligatures w14:val="none"/>
        </w:rPr>
      </w:pPr>
      <w:r w:rsidRPr="00C9410E">
        <w:rPr>
          <w:rFonts w:ascii="Arial" w:eastAsia="Times New Roman" w:hAnsi="Arial" w:cs="Open Sans"/>
          <w:b/>
          <w:bCs/>
          <w:kern w:val="0"/>
          <w:sz w:val="22"/>
          <w:szCs w:val="22"/>
          <w14:ligatures w14:val="none"/>
        </w:rPr>
        <w:t>Guide 8: Proposal Processing and Merit Review</w:t>
      </w:r>
    </w:p>
    <w:p w:rsidR="00C9410E" w:rsidRPr="00C9410E" w:rsidP="00C9410E" w14:paraId="24B169FD" w14:textId="77777777">
      <w:pPr>
        <w:numPr>
          <w:ilvl w:val="0"/>
          <w:numId w:val="9"/>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Clarifies that NSF leadership official includes Section Chiefs, Deputy Directorate/ Office Heads, and Directorate/ Office Heads who can commit program funds. This position was formerly known as the “Division Director.”</w:t>
      </w:r>
    </w:p>
    <w:p w:rsidR="00C9410E" w:rsidRPr="00C9410E" w:rsidP="00C9410E" w14:paraId="453BC4EF" w14:textId="77777777">
      <w:pPr>
        <w:tabs>
          <w:tab w:val="left" w:pos="720"/>
          <w:tab w:val="left" w:pos="1440"/>
        </w:tabs>
        <w:spacing w:after="0" w:line="240" w:lineRule="auto"/>
        <w:rPr>
          <w:rFonts w:ascii="Arial" w:eastAsia="Times New Roman" w:hAnsi="Arial" w:cs="Open Sans"/>
          <w:b/>
          <w:kern w:val="0"/>
          <w:sz w:val="22"/>
          <w:szCs w:val="22"/>
          <w14:ligatures w14:val="none"/>
        </w:rPr>
      </w:pPr>
    </w:p>
    <w:p w:rsidR="00C9410E" w:rsidRPr="00C9410E" w:rsidP="00C9410E" w14:paraId="20FEDD3E" w14:textId="77777777">
      <w:pPr>
        <w:tabs>
          <w:tab w:val="left" w:pos="720"/>
          <w:tab w:val="left" w:pos="1440"/>
        </w:tabs>
        <w:spacing w:after="0" w:line="240" w:lineRule="auto"/>
        <w:rPr>
          <w:rFonts w:ascii="Arial" w:eastAsia="Times New Roman" w:hAnsi="Arial" w:cs="Open Sans"/>
          <w:b/>
          <w:kern w:val="0"/>
          <w:sz w:val="22"/>
          <w:szCs w:val="22"/>
          <w14:ligatures w14:val="none"/>
        </w:rPr>
      </w:pPr>
      <w:r w:rsidRPr="00C9410E">
        <w:rPr>
          <w:rFonts w:ascii="Arial" w:eastAsia="Times New Roman" w:hAnsi="Arial" w:cs="Open Sans"/>
          <w:b/>
          <w:kern w:val="0"/>
          <w:sz w:val="22"/>
          <w:szCs w:val="22"/>
          <w14:ligatures w14:val="none"/>
        </w:rPr>
        <w:t>Guide 9: Proposal Withdrawals and Declinations</w:t>
      </w:r>
    </w:p>
    <w:p w:rsidR="00C9410E" w:rsidRPr="00C9410E" w:rsidP="00C9410E" w14:paraId="6C7A53E2" w14:textId="77777777">
      <w:pPr>
        <w:numPr>
          <w:ilvl w:val="0"/>
          <w:numId w:val="10"/>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Removes the rationale to return a proposal without review solely because it presents a potential research security concern based on credible national security information. It pilots the Trusted Research Using Safeguards and Transparency (TRUST) framework as an alternative risk mitigation approach.</w:t>
      </w:r>
    </w:p>
    <w:p w:rsidR="00C9410E" w:rsidRPr="00C9410E" w:rsidP="00C9410E" w14:paraId="2BF1066E" w14:textId="77777777">
      <w:pPr>
        <w:tabs>
          <w:tab w:val="left" w:pos="720"/>
          <w:tab w:val="left" w:pos="1440"/>
        </w:tabs>
        <w:spacing w:after="0" w:line="240" w:lineRule="auto"/>
        <w:rPr>
          <w:rFonts w:ascii="Arial" w:eastAsia="Times New Roman" w:hAnsi="Arial" w:cs="Open Sans"/>
          <w:b/>
          <w:bCs/>
          <w:kern w:val="0"/>
          <w:sz w:val="22"/>
          <w:szCs w:val="22"/>
          <w14:ligatures w14:val="none"/>
        </w:rPr>
      </w:pPr>
    </w:p>
    <w:p w:rsidR="00C9410E" w:rsidRPr="00C9410E" w:rsidP="00C9410E" w14:paraId="58907137" w14:textId="77777777">
      <w:pPr>
        <w:tabs>
          <w:tab w:val="left" w:pos="720"/>
          <w:tab w:val="left" w:pos="1440"/>
        </w:tabs>
        <w:spacing w:after="0" w:line="240" w:lineRule="auto"/>
        <w:rPr>
          <w:rFonts w:ascii="Arial" w:eastAsia="Times New Roman" w:hAnsi="Arial" w:cs="Open Sans"/>
          <w:b/>
          <w:bCs/>
          <w:kern w:val="0"/>
          <w:sz w:val="22"/>
          <w:szCs w:val="22"/>
          <w14:ligatures w14:val="none"/>
        </w:rPr>
      </w:pPr>
      <w:r w:rsidRPr="00C9410E">
        <w:rPr>
          <w:rFonts w:ascii="Arial" w:eastAsia="Times New Roman" w:hAnsi="Arial" w:cs="Open Sans"/>
          <w:b/>
          <w:bCs/>
          <w:kern w:val="0"/>
          <w:sz w:val="22"/>
          <w:szCs w:val="22"/>
          <w14:ligatures w14:val="none"/>
        </w:rPr>
        <w:t>Guide 11:</w:t>
      </w:r>
      <w:r w:rsidRPr="00C9410E">
        <w:rPr>
          <w:rFonts w:ascii="Arial" w:eastAsia="Times New Roman" w:hAnsi="Arial" w:cs="Open Sans"/>
          <w:b/>
          <w:bCs/>
          <w:kern w:val="0"/>
          <w:sz w:val="22"/>
          <w:szCs w:val="22"/>
          <w14:ligatures w14:val="none"/>
        </w:rPr>
        <w:t xml:space="preserve"> </w:t>
      </w:r>
      <w:r w:rsidRPr="00C9410E">
        <w:rPr>
          <w:rFonts w:ascii="Arial" w:eastAsia="Times New Roman" w:hAnsi="Arial" w:cs="Open Sans"/>
          <w:b/>
          <w:bCs/>
          <w:kern w:val="0"/>
          <w:sz w:val="22"/>
          <w:szCs w:val="22"/>
          <w14:ligatures w14:val="none"/>
        </w:rPr>
        <w:t>Monitoring Project Performance and Changes in Project Direction</w:t>
      </w:r>
    </w:p>
    <w:p w:rsidR="00C9410E" w:rsidRPr="00C9410E" w:rsidP="00C9410E" w14:paraId="38544138" w14:textId="77777777">
      <w:pPr>
        <w:numPr>
          <w:ilvl w:val="0"/>
          <w:numId w:val="11"/>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Removes Special Creativity Extensions with requests allowed for no-cost extensions and supplements when appropriate.</w:t>
      </w:r>
    </w:p>
    <w:p w:rsidR="00C9410E" w:rsidRPr="00C9410E" w:rsidP="00C9410E" w14:paraId="1356CCF3" w14:textId="77777777">
      <w:pPr>
        <w:tabs>
          <w:tab w:val="left" w:pos="720"/>
          <w:tab w:val="left" w:pos="1440"/>
        </w:tabs>
        <w:spacing w:after="0" w:line="240" w:lineRule="auto"/>
        <w:rPr>
          <w:rFonts w:ascii="Arial" w:eastAsia="Times New Roman" w:hAnsi="Arial" w:cs="Open Sans"/>
          <w:b/>
          <w:kern w:val="0"/>
          <w:sz w:val="22"/>
          <w:szCs w:val="22"/>
          <w14:ligatures w14:val="none"/>
        </w:rPr>
      </w:pPr>
    </w:p>
    <w:p w:rsidR="00C9410E" w:rsidRPr="00C9410E" w:rsidP="00C9410E" w14:paraId="04014452" w14:textId="77777777">
      <w:pPr>
        <w:tabs>
          <w:tab w:val="left" w:pos="720"/>
          <w:tab w:val="left" w:pos="1440"/>
        </w:tabs>
        <w:spacing w:after="0" w:line="240" w:lineRule="auto"/>
        <w:rPr>
          <w:rFonts w:ascii="Arial" w:eastAsia="Times New Roman" w:hAnsi="Arial" w:cs="Open Sans"/>
          <w:b/>
          <w:kern w:val="0"/>
          <w:sz w:val="22"/>
          <w:szCs w:val="22"/>
          <w14:ligatures w14:val="none"/>
        </w:rPr>
      </w:pPr>
      <w:r w:rsidRPr="00C9410E">
        <w:rPr>
          <w:rFonts w:ascii="Arial" w:eastAsia="Times New Roman" w:hAnsi="Arial" w:cs="Open Sans"/>
          <w:b/>
          <w:kern w:val="0"/>
          <w:sz w:val="22"/>
          <w:szCs w:val="22"/>
          <w14:ligatures w14:val="none"/>
        </w:rPr>
        <w:t>Guide 12: Cost Principles and Allowability</w:t>
      </w:r>
    </w:p>
    <w:p w:rsidR="00C9410E" w:rsidRPr="00C9410E" w:rsidP="00C9410E" w14:paraId="3FA6C08D" w14:textId="77777777">
      <w:pPr>
        <w:numPr>
          <w:ilvl w:val="0"/>
          <w:numId w:val="12"/>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Updates the Prior Approval Matrix to align with NSF's implementation of 2 CFR 200.</w:t>
      </w:r>
    </w:p>
    <w:p w:rsidR="00C9410E" w:rsidRPr="00C9410E" w:rsidP="00C9410E" w14:paraId="7B35B4FD" w14:textId="77777777">
      <w:pPr>
        <w:numPr>
          <w:ilvl w:val="0"/>
          <w:numId w:val="12"/>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Updates Build America, Buy America and Made in America requirements to align with 2 CFR 184.</w:t>
      </w:r>
    </w:p>
    <w:p w:rsidR="00C9410E" w:rsidRPr="00C9410E" w:rsidP="00C9410E" w14:paraId="566D50F5" w14:textId="77777777">
      <w:pPr>
        <w:numPr>
          <w:ilvl w:val="0"/>
          <w:numId w:val="12"/>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Revises the de minimis indirect cost rate to 15% consistent with 2 CFR 200.</w:t>
      </w:r>
    </w:p>
    <w:p w:rsidR="00C9410E" w:rsidRPr="00C9410E" w:rsidP="00C9410E" w14:paraId="3AC7BB5E" w14:textId="77777777">
      <w:pPr>
        <w:tabs>
          <w:tab w:val="left" w:pos="720"/>
          <w:tab w:val="left" w:pos="1440"/>
        </w:tabs>
        <w:spacing w:after="0" w:line="240" w:lineRule="auto"/>
        <w:ind w:left="720"/>
        <w:rPr>
          <w:rFonts w:ascii="Arial" w:eastAsia="Times New Roman" w:hAnsi="Arial" w:cs="Open Sans"/>
          <w:kern w:val="0"/>
          <w:sz w:val="22"/>
          <w:szCs w:val="22"/>
          <w14:ligatures w14:val="none"/>
        </w:rPr>
      </w:pPr>
    </w:p>
    <w:p w:rsidR="00C9410E" w:rsidRPr="00C9410E" w:rsidP="00C9410E" w14:paraId="1B6BE25D" w14:textId="77777777">
      <w:pPr>
        <w:tabs>
          <w:tab w:val="left" w:pos="720"/>
          <w:tab w:val="left" w:pos="1440"/>
        </w:tabs>
        <w:spacing w:after="0" w:line="240" w:lineRule="auto"/>
        <w:rPr>
          <w:rFonts w:ascii="Arial" w:eastAsia="Times New Roman" w:hAnsi="Arial" w:cs="Open Sans"/>
          <w:b/>
          <w:bCs/>
          <w:kern w:val="0"/>
          <w:sz w:val="22"/>
          <w:szCs w:val="22"/>
          <w14:ligatures w14:val="none"/>
        </w:rPr>
      </w:pPr>
      <w:r w:rsidRPr="00C9410E">
        <w:rPr>
          <w:rFonts w:ascii="Arial" w:eastAsia="Times New Roman" w:hAnsi="Arial" w:cs="Open Sans"/>
          <w:b/>
          <w:bCs/>
          <w:kern w:val="0"/>
          <w:sz w:val="22"/>
          <w:szCs w:val="22"/>
          <w14:ligatures w14:val="none"/>
        </w:rPr>
        <w:t>Guide 13: Conflicts of Interest, Responsible Conduct of Research, and Scientific Integrity</w:t>
      </w:r>
    </w:p>
    <w:p w:rsidR="00C9410E" w:rsidRPr="00C9410E" w:rsidP="00C9410E" w14:paraId="14D7BBC4" w14:textId="77777777">
      <w:pPr>
        <w:numPr>
          <w:ilvl w:val="0"/>
          <w:numId w:val="13"/>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Expands Responsible Conduct of Research training requirements to include research security awareness, export controls, disclosure obligations, and federal reporting requirements, and preventing and reporting research misconduct.</w:t>
      </w:r>
    </w:p>
    <w:p w:rsidR="00C9410E" w:rsidRPr="00C9410E" w:rsidP="00C9410E" w14:paraId="334B0799" w14:textId="77777777">
      <w:pPr>
        <w:tabs>
          <w:tab w:val="left" w:pos="720"/>
          <w:tab w:val="left" w:pos="1440"/>
        </w:tabs>
        <w:spacing w:after="0" w:line="240" w:lineRule="auto"/>
        <w:ind w:left="720"/>
        <w:rPr>
          <w:rFonts w:ascii="Arial" w:eastAsia="Times New Roman" w:hAnsi="Arial" w:cs="Open Sans"/>
          <w:kern w:val="0"/>
          <w:sz w:val="22"/>
          <w:szCs w:val="22"/>
          <w14:ligatures w14:val="none"/>
        </w:rPr>
      </w:pPr>
    </w:p>
    <w:p w:rsidR="00C9410E" w:rsidRPr="00C9410E" w:rsidP="00C9410E" w14:paraId="606F57AA" w14:textId="77777777">
      <w:pPr>
        <w:tabs>
          <w:tab w:val="left" w:pos="720"/>
          <w:tab w:val="left" w:pos="1440"/>
        </w:tabs>
        <w:spacing w:after="0" w:line="240" w:lineRule="auto"/>
        <w:rPr>
          <w:rFonts w:ascii="Arial" w:eastAsia="Times New Roman" w:hAnsi="Arial" w:cs="Open Sans"/>
          <w:b/>
          <w:kern w:val="0"/>
          <w:sz w:val="22"/>
          <w:szCs w:val="22"/>
          <w14:ligatures w14:val="none"/>
        </w:rPr>
      </w:pPr>
      <w:r w:rsidRPr="00C9410E">
        <w:rPr>
          <w:rFonts w:ascii="Arial" w:eastAsia="Times New Roman" w:hAnsi="Arial" w:cs="Open Sans"/>
          <w:b/>
          <w:kern w:val="0"/>
          <w:sz w:val="22"/>
          <w:szCs w:val="22"/>
          <w14:ligatures w14:val="none"/>
        </w:rPr>
        <w:t>Guide 14: Research Security</w:t>
      </w:r>
    </w:p>
    <w:p w:rsidR="00C9410E" w:rsidRPr="00C9410E" w:rsidP="00C9410E" w14:paraId="2A8301DB" w14:textId="77777777">
      <w:pPr>
        <w:numPr>
          <w:ilvl w:val="0"/>
          <w:numId w:val="14"/>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Clarifies disclosure, reporting, and documentation requirements.</w:t>
      </w:r>
    </w:p>
    <w:p w:rsidR="00C9410E" w:rsidRPr="00C9410E" w:rsidP="00C9410E" w14:paraId="7EEAF403" w14:textId="77777777">
      <w:pPr>
        <w:numPr>
          <w:ilvl w:val="0"/>
          <w:numId w:val="14"/>
        </w:numPr>
        <w:tabs>
          <w:tab w:val="left" w:pos="1440"/>
        </w:tabs>
        <w:spacing w:after="0" w:line="240" w:lineRule="auto"/>
        <w:contextualSpacing/>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Codifies NSF's research security training and risk assessment authorities.</w:t>
      </w:r>
    </w:p>
    <w:p w:rsidR="00C9410E" w:rsidRPr="00C9410E" w:rsidP="00C9410E" w14:paraId="16A025E8" w14:textId="77777777">
      <w:pPr>
        <w:numPr>
          <w:ilvl w:val="0"/>
          <w:numId w:val="14"/>
        </w:numPr>
        <w:tabs>
          <w:tab w:val="left" w:pos="1440"/>
        </w:tabs>
        <w:spacing w:after="0" w:line="240" w:lineRule="auto"/>
        <w:contextualSpacing/>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Updates restrictions related to Malign Foreign Talent Recruitment Programs.</w:t>
      </w:r>
    </w:p>
    <w:p w:rsidR="00C9410E" w:rsidRPr="00C9410E" w:rsidP="00C9410E" w14:paraId="18DAF0DA" w14:textId="77777777">
      <w:pPr>
        <w:numPr>
          <w:ilvl w:val="0"/>
          <w:numId w:val="14"/>
        </w:numPr>
        <w:tabs>
          <w:tab w:val="left" w:pos="1440"/>
        </w:tabs>
        <w:spacing w:after="0" w:line="240" w:lineRule="auto"/>
        <w:contextualSpacing/>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Incorporate foreign financial disclosure requirements involving foreign countries of concern.</w:t>
      </w:r>
    </w:p>
    <w:p w:rsidR="00C9410E" w:rsidRPr="00C9410E" w:rsidP="00C9410E" w14:paraId="22569E2F" w14:textId="77777777">
      <w:pPr>
        <w:numPr>
          <w:ilvl w:val="0"/>
          <w:numId w:val="14"/>
        </w:numPr>
        <w:tabs>
          <w:tab w:val="left" w:pos="1440"/>
        </w:tabs>
        <w:spacing w:after="0" w:line="240" w:lineRule="auto"/>
        <w:contextualSpacing/>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Prohibits collaboration, within the context of an NSF award, with entities on U.S. restricted-party lists and restricts senior/key personnel from holding appointments and positions with or receiving research support from those entities.</w:t>
      </w:r>
    </w:p>
    <w:p w:rsidR="00C9410E" w:rsidRPr="00C9410E" w:rsidP="00C9410E" w14:paraId="6FFF3362" w14:textId="77777777">
      <w:pPr>
        <w:numPr>
          <w:ilvl w:val="0"/>
          <w:numId w:val="14"/>
        </w:numPr>
        <w:tabs>
          <w:tab w:val="left" w:pos="1440"/>
        </w:tabs>
        <w:spacing w:after="0" w:line="240" w:lineRule="auto"/>
        <w:contextualSpacing/>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Clarifies permissibility of funding life sciences research that involve either countries or entities of concern, or other high risk international research involving entities of concern.</w:t>
      </w:r>
    </w:p>
    <w:p w:rsidR="00C9410E" w:rsidRPr="00C9410E" w:rsidP="00C9410E" w14:paraId="2C632D4A" w14:textId="77777777">
      <w:pPr>
        <w:tabs>
          <w:tab w:val="left" w:pos="720"/>
        </w:tabs>
        <w:spacing w:after="0" w:line="240" w:lineRule="auto"/>
        <w:ind w:left="720"/>
        <w:rPr>
          <w:rFonts w:ascii="Arial" w:eastAsia="Times New Roman" w:hAnsi="Arial" w:cs="Open Sans"/>
          <w:kern w:val="0"/>
          <w:sz w:val="22"/>
          <w:szCs w:val="22"/>
          <w14:ligatures w14:val="none"/>
        </w:rPr>
      </w:pPr>
    </w:p>
    <w:p w:rsidR="00C9410E" w:rsidRPr="00C9410E" w:rsidP="00C9410E" w14:paraId="73CD3EEE" w14:textId="77777777">
      <w:pPr>
        <w:tabs>
          <w:tab w:val="left" w:pos="720"/>
          <w:tab w:val="left" w:pos="1440"/>
        </w:tabs>
        <w:spacing w:after="0" w:line="240" w:lineRule="auto"/>
        <w:rPr>
          <w:rFonts w:ascii="Arial" w:eastAsia="Times New Roman" w:hAnsi="Arial" w:cs="Open Sans"/>
          <w:b/>
          <w:bCs/>
          <w:kern w:val="0"/>
          <w:sz w:val="22"/>
          <w:szCs w:val="22"/>
          <w14:ligatures w14:val="none"/>
        </w:rPr>
      </w:pPr>
      <w:r w:rsidRPr="00C9410E">
        <w:rPr>
          <w:rFonts w:ascii="Arial" w:eastAsia="Times New Roman" w:hAnsi="Arial" w:cs="Open Sans"/>
          <w:b/>
          <w:bCs/>
          <w:kern w:val="0"/>
          <w:sz w:val="22"/>
          <w:szCs w:val="22"/>
          <w14:ligatures w14:val="none"/>
        </w:rPr>
        <w:t>Guide 15: Property Management</w:t>
      </w:r>
    </w:p>
    <w:p w:rsidR="00C9410E" w:rsidRPr="00C9410E" w:rsidP="00C9410E" w14:paraId="23F42281" w14:textId="77777777">
      <w:pPr>
        <w:numPr>
          <w:ilvl w:val="0"/>
          <w:numId w:val="15"/>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Revises property management requirements to align with changes to equipment title provisions in current 2 CFR 200.313.</w:t>
      </w:r>
    </w:p>
    <w:p w:rsidR="00C9410E" w:rsidRPr="00C9410E" w:rsidP="00C9410E" w14:paraId="67DC7405" w14:textId="77777777">
      <w:pPr>
        <w:numPr>
          <w:ilvl w:val="0"/>
          <w:numId w:val="15"/>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Updates requirements for Excess Government Personal Property to reflect current federal requirements.</w:t>
      </w:r>
    </w:p>
    <w:p w:rsidR="00C9410E" w:rsidRPr="00C9410E" w:rsidP="00C9410E" w14:paraId="0F5BD6C2" w14:textId="77777777">
      <w:pPr>
        <w:tabs>
          <w:tab w:val="left" w:pos="720"/>
          <w:tab w:val="left" w:pos="1440"/>
        </w:tabs>
        <w:spacing w:after="0" w:line="240" w:lineRule="auto"/>
        <w:rPr>
          <w:rFonts w:ascii="Arial" w:eastAsia="Times New Roman" w:hAnsi="Arial" w:cs="Open Sans"/>
          <w:b/>
          <w:bCs/>
          <w:kern w:val="0"/>
          <w:sz w:val="22"/>
          <w:szCs w:val="22"/>
          <w14:ligatures w14:val="none"/>
        </w:rPr>
      </w:pPr>
    </w:p>
    <w:p w:rsidR="00C9410E" w:rsidRPr="00C9410E" w:rsidP="00C9410E" w14:paraId="514A9C61" w14:textId="77777777">
      <w:pPr>
        <w:tabs>
          <w:tab w:val="left" w:pos="720"/>
          <w:tab w:val="left" w:pos="1440"/>
        </w:tabs>
        <w:spacing w:after="0" w:line="240" w:lineRule="auto"/>
        <w:rPr>
          <w:rFonts w:ascii="Arial" w:eastAsia="Times New Roman" w:hAnsi="Arial" w:cs="Open Sans"/>
          <w:b/>
          <w:bCs/>
          <w:kern w:val="0"/>
          <w:sz w:val="22"/>
          <w:szCs w:val="22"/>
          <w14:ligatures w14:val="none"/>
        </w:rPr>
      </w:pPr>
      <w:r w:rsidRPr="00C9410E">
        <w:rPr>
          <w:rFonts w:ascii="Arial" w:eastAsia="Times New Roman" w:hAnsi="Arial" w:cs="Open Sans"/>
          <w:b/>
          <w:bCs/>
          <w:kern w:val="0"/>
          <w:sz w:val="22"/>
          <w:szCs w:val="22"/>
          <w14:ligatures w14:val="none"/>
        </w:rPr>
        <w:t>Guide 16: Financial Management and Payments</w:t>
      </w:r>
    </w:p>
    <w:p w:rsidR="00C9410E" w:rsidRPr="00C9410E" w:rsidP="00C9410E" w14:paraId="365E0F27" w14:textId="77777777">
      <w:pPr>
        <w:numPr>
          <w:ilvl w:val="0"/>
          <w:numId w:val="16"/>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 xml:space="preserve">Eliminates references to paper checks to align with Executive Order 14247, </w:t>
      </w:r>
      <w:r w:rsidRPr="00C9410E">
        <w:rPr>
          <w:rFonts w:ascii="Arial" w:eastAsia="Times New Roman" w:hAnsi="Arial" w:cs="Open Sans"/>
          <w:i/>
          <w:iCs/>
          <w:kern w:val="0"/>
          <w:sz w:val="22"/>
          <w:szCs w:val="22"/>
          <w14:ligatures w14:val="none"/>
        </w:rPr>
        <w:t>Modernizing Payments To and From America's Bank Account</w:t>
      </w:r>
      <w:r w:rsidRPr="00C9410E">
        <w:rPr>
          <w:rFonts w:ascii="Arial" w:eastAsia="Times New Roman" w:hAnsi="Arial" w:cs="Open Sans"/>
          <w:kern w:val="0"/>
          <w:sz w:val="22"/>
          <w:szCs w:val="22"/>
          <w14:ligatures w14:val="none"/>
        </w:rPr>
        <w:t>.</w:t>
      </w:r>
    </w:p>
    <w:p w:rsidR="00C9410E" w:rsidRPr="00C9410E" w:rsidP="00C9410E" w14:paraId="517823CF" w14:textId="77777777">
      <w:pPr>
        <w:tabs>
          <w:tab w:val="left" w:pos="720"/>
          <w:tab w:val="left" w:pos="1440"/>
        </w:tabs>
        <w:spacing w:after="0" w:line="240" w:lineRule="auto"/>
        <w:rPr>
          <w:rFonts w:ascii="Arial" w:eastAsia="Times New Roman" w:hAnsi="Arial" w:cs="Open Sans"/>
          <w:b/>
          <w:bCs/>
          <w:kern w:val="0"/>
          <w:sz w:val="22"/>
          <w:szCs w:val="22"/>
          <w14:ligatures w14:val="none"/>
        </w:rPr>
      </w:pPr>
    </w:p>
    <w:p w:rsidR="00C9410E" w:rsidRPr="00C9410E" w:rsidP="00C9410E" w14:paraId="09029179" w14:textId="77777777">
      <w:pPr>
        <w:tabs>
          <w:tab w:val="left" w:pos="720"/>
          <w:tab w:val="left" w:pos="1440"/>
        </w:tabs>
        <w:spacing w:after="0" w:line="240" w:lineRule="auto"/>
        <w:rPr>
          <w:rFonts w:ascii="Arial" w:eastAsia="Times New Roman" w:hAnsi="Arial" w:cs="Open Sans"/>
          <w:b/>
          <w:bCs/>
          <w:kern w:val="0"/>
          <w:sz w:val="22"/>
          <w:szCs w:val="22"/>
          <w14:ligatures w14:val="none"/>
        </w:rPr>
      </w:pPr>
      <w:r w:rsidRPr="00C9410E">
        <w:rPr>
          <w:rFonts w:ascii="Arial" w:eastAsia="Times New Roman" w:hAnsi="Arial" w:cs="Open Sans"/>
          <w:b/>
          <w:bCs/>
          <w:kern w:val="0"/>
          <w:sz w:val="22"/>
          <w:szCs w:val="22"/>
          <w14:ligatures w14:val="none"/>
        </w:rPr>
        <w:t>Guide 17: Renewal and Supplemental Funding Support</w:t>
      </w:r>
    </w:p>
    <w:p w:rsidR="00C9410E" w:rsidRPr="00C9410E" w:rsidP="00C9410E" w14:paraId="42937732" w14:textId="77777777">
      <w:pPr>
        <w:numPr>
          <w:ilvl w:val="0"/>
          <w:numId w:val="17"/>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Removes accomplishment-based renewals and refocuses recipients to request renewal funding through existing renewal processes.</w:t>
      </w:r>
    </w:p>
    <w:p w:rsidR="00C9410E" w:rsidRPr="00C9410E" w:rsidP="00C9410E" w14:paraId="2E508165" w14:textId="77777777">
      <w:pPr>
        <w:tabs>
          <w:tab w:val="left" w:pos="720"/>
          <w:tab w:val="left" w:pos="1440"/>
        </w:tabs>
        <w:spacing w:after="0" w:line="240" w:lineRule="auto"/>
        <w:rPr>
          <w:rFonts w:ascii="Arial" w:eastAsia="Times New Roman" w:hAnsi="Arial" w:cs="Open Sans"/>
          <w:b/>
          <w:bCs/>
          <w:kern w:val="0"/>
          <w:sz w:val="22"/>
          <w:szCs w:val="22"/>
          <w14:ligatures w14:val="none"/>
        </w:rPr>
      </w:pPr>
    </w:p>
    <w:p w:rsidR="00C9410E" w:rsidRPr="00C9410E" w:rsidP="00C9410E" w14:paraId="6180DD6D" w14:textId="77777777">
      <w:pPr>
        <w:tabs>
          <w:tab w:val="left" w:pos="720"/>
          <w:tab w:val="left" w:pos="1440"/>
        </w:tabs>
        <w:spacing w:after="0" w:line="240" w:lineRule="auto"/>
        <w:rPr>
          <w:rFonts w:ascii="Arial" w:eastAsia="Times New Roman" w:hAnsi="Arial" w:cs="Open Sans"/>
          <w:b/>
          <w:bCs/>
          <w:kern w:val="0"/>
          <w:sz w:val="22"/>
          <w:szCs w:val="22"/>
          <w14:ligatures w14:val="none"/>
        </w:rPr>
      </w:pPr>
      <w:r w:rsidRPr="00C9410E">
        <w:rPr>
          <w:rFonts w:ascii="Arial" w:eastAsia="Times New Roman" w:hAnsi="Arial" w:cs="Open Sans"/>
          <w:b/>
          <w:bCs/>
          <w:kern w:val="0"/>
          <w:sz w:val="22"/>
          <w:szCs w:val="22"/>
          <w14:ligatures w14:val="none"/>
        </w:rPr>
        <w:t>Guide 18: Award Reporting and Closeout</w:t>
      </w:r>
    </w:p>
    <w:p w:rsidR="00C9410E" w:rsidRPr="00C9410E" w:rsidP="00C9410E" w14:paraId="27BB815B" w14:textId="77777777">
      <w:pPr>
        <w:numPr>
          <w:ilvl w:val="0"/>
          <w:numId w:val="18"/>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Revises Foreign Financial Disclosure Report requirements based on implementation experience, including the addition of new definitions to improve clarity, updates reporting requirements related to tuition, and alignment with reporting dates to the federal fiscal year.</w:t>
      </w:r>
    </w:p>
    <w:p w:rsidR="00C9410E" w:rsidRPr="00C9410E" w:rsidP="00C9410E" w14:paraId="5F5E42F8" w14:textId="77777777">
      <w:pPr>
        <w:tabs>
          <w:tab w:val="left" w:pos="720"/>
          <w:tab w:val="left" w:pos="1440"/>
        </w:tabs>
        <w:spacing w:after="0" w:line="240" w:lineRule="auto"/>
        <w:rPr>
          <w:rFonts w:ascii="Arial" w:eastAsia="Times New Roman" w:hAnsi="Arial" w:cs="Open Sans"/>
          <w:b/>
          <w:bCs/>
          <w:kern w:val="0"/>
          <w:sz w:val="22"/>
          <w:szCs w:val="22"/>
          <w14:ligatures w14:val="none"/>
        </w:rPr>
      </w:pPr>
    </w:p>
    <w:p w:rsidR="00C9410E" w:rsidRPr="00C9410E" w:rsidP="00C9410E" w14:paraId="3E3C05CD" w14:textId="77777777">
      <w:pPr>
        <w:tabs>
          <w:tab w:val="left" w:pos="720"/>
          <w:tab w:val="left" w:pos="1440"/>
        </w:tabs>
        <w:spacing w:after="0" w:line="240" w:lineRule="auto"/>
        <w:rPr>
          <w:rFonts w:ascii="Arial" w:eastAsia="Times New Roman" w:hAnsi="Arial" w:cs="Open Sans"/>
          <w:b/>
          <w:bCs/>
          <w:kern w:val="0"/>
          <w:sz w:val="22"/>
          <w:szCs w:val="22"/>
          <w14:ligatures w14:val="none"/>
        </w:rPr>
      </w:pPr>
      <w:r w:rsidRPr="00C9410E">
        <w:rPr>
          <w:rFonts w:ascii="Arial" w:eastAsia="Times New Roman" w:hAnsi="Arial" w:cs="Open Sans"/>
          <w:b/>
          <w:bCs/>
          <w:kern w:val="0"/>
          <w:sz w:val="22"/>
          <w:szCs w:val="22"/>
          <w14:ligatures w14:val="none"/>
        </w:rPr>
        <w:t>Guide 19: Discrimination, Sexual Harassment, and Assault</w:t>
      </w:r>
    </w:p>
    <w:p w:rsidR="00C9410E" w:rsidRPr="00C9410E" w:rsidP="00C9410E" w14:paraId="1FB75DEB" w14:textId="77777777">
      <w:pPr>
        <w:numPr>
          <w:ilvl w:val="0"/>
          <w:numId w:val="19"/>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Removes references and requirements to revoked executive orders, including certain non-discrimination, limited English proficiency, and environmental justice requirements.</w:t>
      </w:r>
    </w:p>
    <w:p w:rsidR="00C9410E" w:rsidRPr="00C9410E" w:rsidP="00C9410E" w14:paraId="589ACF0B" w14:textId="77777777">
      <w:pPr>
        <w:numPr>
          <w:ilvl w:val="0"/>
          <w:numId w:val="19"/>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 xml:space="preserve">Removes references to U.S. Department of Education requirements for institutions of higher education to maintain Section 504 coordinators, Title IX coordinators, and age discrimination evaluations. These policies and legal requirements are implemented by other federal agencies and independently applicable without discussion in the GFA. </w:t>
      </w:r>
      <w:r w:rsidRPr="00C9410E">
        <w:rPr>
          <w:rFonts w:ascii="Arial" w:eastAsia="Times New Roman" w:hAnsi="Arial" w:cs="Open Sans"/>
          <w:kern w:val="0"/>
          <w:sz w:val="22"/>
          <w:szCs w:val="22"/>
          <w14:ligatures w14:val="none"/>
        </w:rPr>
        <w:t xml:space="preserve">Removal of GFA discussion does not affect their applicability to recipients or implementation by other agencies.  </w:t>
      </w:r>
    </w:p>
    <w:p w:rsidR="00C9410E" w:rsidRPr="00C9410E" w:rsidP="00C9410E" w14:paraId="4605CE8F" w14:textId="77777777">
      <w:pPr>
        <w:tabs>
          <w:tab w:val="left" w:pos="720"/>
          <w:tab w:val="left" w:pos="1440"/>
        </w:tabs>
        <w:spacing w:after="0" w:line="240" w:lineRule="auto"/>
        <w:rPr>
          <w:rFonts w:ascii="Arial" w:eastAsia="Times New Roman" w:hAnsi="Arial" w:cs="Open Sans"/>
          <w:b/>
          <w:kern w:val="0"/>
          <w:sz w:val="22"/>
          <w:szCs w:val="22"/>
          <w14:ligatures w14:val="none"/>
        </w:rPr>
      </w:pPr>
    </w:p>
    <w:p w:rsidR="00C9410E" w:rsidRPr="00C9410E" w:rsidP="00C9410E" w14:paraId="67D21D90" w14:textId="77777777">
      <w:pPr>
        <w:tabs>
          <w:tab w:val="left" w:pos="720"/>
          <w:tab w:val="left" w:pos="1440"/>
        </w:tabs>
        <w:spacing w:after="0" w:line="240" w:lineRule="auto"/>
        <w:rPr>
          <w:rFonts w:ascii="Arial" w:eastAsia="Times New Roman" w:hAnsi="Arial" w:cs="Open Sans"/>
          <w:b/>
          <w:kern w:val="0"/>
          <w:sz w:val="22"/>
          <w:szCs w:val="22"/>
          <w14:ligatures w14:val="none"/>
        </w:rPr>
      </w:pPr>
      <w:r w:rsidRPr="00C9410E">
        <w:rPr>
          <w:rFonts w:ascii="Arial" w:eastAsia="Times New Roman" w:hAnsi="Arial" w:cs="Open Sans"/>
          <w:b/>
          <w:kern w:val="0"/>
          <w:sz w:val="22"/>
          <w:szCs w:val="22"/>
          <w14:ligatures w14:val="none"/>
        </w:rPr>
        <w:t>Guide 20: Research Safety and Protection of Living Organisms</w:t>
      </w:r>
    </w:p>
    <w:p w:rsidR="00C9410E" w:rsidRPr="00C9410E" w:rsidP="00C9410E" w14:paraId="02C50072" w14:textId="77777777">
      <w:pPr>
        <w:numPr>
          <w:ilvl w:val="0"/>
          <w:numId w:val="20"/>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Replaces references to and policies covering Potential Life Sciences Dual Use Research of Concern with USG Policy for Stopping High-Risk Life Sciences Research.</w:t>
      </w:r>
    </w:p>
    <w:p w:rsidR="00C9410E" w:rsidRPr="00C9410E" w:rsidP="00C9410E" w14:paraId="5AAED4CD" w14:textId="77777777">
      <w:pPr>
        <w:numPr>
          <w:ilvl w:val="0"/>
          <w:numId w:val="20"/>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Adds a requirement for Principal Investigators to attest before proposal submission of Life Sciences research that the proposed research meets the definition for Dangerous Gain of Function (DGOF) or potential DGOF.</w:t>
      </w:r>
    </w:p>
    <w:p w:rsidR="00C9410E" w:rsidRPr="00C9410E" w:rsidP="00C9410E" w14:paraId="0026AFF2" w14:textId="77777777">
      <w:pPr>
        <w:tabs>
          <w:tab w:val="left" w:pos="720"/>
          <w:tab w:val="left" w:pos="1440"/>
        </w:tabs>
        <w:spacing w:after="0" w:line="240" w:lineRule="auto"/>
        <w:rPr>
          <w:rFonts w:ascii="Arial" w:eastAsia="Times New Roman" w:hAnsi="Arial" w:cs="Open Sans"/>
          <w:b/>
          <w:bCs/>
          <w:kern w:val="0"/>
          <w:sz w:val="22"/>
          <w:szCs w:val="22"/>
          <w14:ligatures w14:val="none"/>
        </w:rPr>
      </w:pPr>
    </w:p>
    <w:p w:rsidR="00C9410E" w:rsidRPr="00C9410E" w:rsidP="00C9410E" w14:paraId="67387781" w14:textId="77777777">
      <w:pPr>
        <w:tabs>
          <w:tab w:val="left" w:pos="720"/>
          <w:tab w:val="left" w:pos="1440"/>
        </w:tabs>
        <w:spacing w:after="0" w:line="240" w:lineRule="auto"/>
        <w:rPr>
          <w:rFonts w:ascii="Arial" w:eastAsia="Times New Roman" w:hAnsi="Arial" w:cs="Open Sans"/>
          <w:b/>
          <w:bCs/>
          <w:kern w:val="0"/>
          <w:sz w:val="22"/>
          <w:szCs w:val="22"/>
          <w14:ligatures w14:val="none"/>
        </w:rPr>
      </w:pPr>
      <w:r w:rsidRPr="00C9410E">
        <w:rPr>
          <w:rFonts w:ascii="Arial" w:eastAsia="Times New Roman" w:hAnsi="Arial" w:cs="Open Sans"/>
          <w:b/>
          <w:bCs/>
          <w:kern w:val="0"/>
          <w:sz w:val="22"/>
          <w:szCs w:val="22"/>
          <w14:ligatures w14:val="none"/>
        </w:rPr>
        <w:t>Guide 21: Intellectual Property</w:t>
      </w:r>
    </w:p>
    <w:p w:rsidR="00C9410E" w:rsidRPr="00C9410E" w:rsidP="00C9410E" w14:paraId="7C4D9097" w14:textId="77777777">
      <w:pPr>
        <w:numPr>
          <w:ilvl w:val="0"/>
          <w:numId w:val="21"/>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Streamlines intellectual property requirements and refers readers to implementing regulations, where appropriate.</w:t>
      </w:r>
    </w:p>
    <w:p w:rsidR="00C9410E" w:rsidRPr="00C9410E" w:rsidP="00C9410E" w14:paraId="46B0DB54" w14:textId="77777777">
      <w:pPr>
        <w:numPr>
          <w:ilvl w:val="0"/>
          <w:numId w:val="21"/>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Updates public access requirements by removing the 12-month publication delay for peer-reviewed journal articles and conference proceedings.</w:t>
      </w:r>
    </w:p>
    <w:p w:rsidR="00C9410E" w:rsidRPr="00C9410E" w:rsidP="00C9410E" w14:paraId="09DB03B4" w14:textId="77777777">
      <w:pPr>
        <w:numPr>
          <w:ilvl w:val="0"/>
          <w:numId w:val="21"/>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Requires data underlying publications to be made publicly available by the time of publication and subsequently indexed in the Public Access Repository (PAR).</w:t>
      </w:r>
    </w:p>
    <w:p w:rsidR="00C9410E" w:rsidRPr="00C9410E" w:rsidP="00C9410E" w14:paraId="3229D03B" w14:textId="77777777">
      <w:pPr>
        <w:tabs>
          <w:tab w:val="left" w:pos="720"/>
          <w:tab w:val="left" w:pos="1440"/>
        </w:tabs>
        <w:spacing w:after="0" w:line="240" w:lineRule="auto"/>
        <w:rPr>
          <w:rFonts w:ascii="Arial" w:eastAsia="Times New Roman" w:hAnsi="Arial" w:cs="Open Sans"/>
          <w:b/>
          <w:bCs/>
          <w:kern w:val="0"/>
          <w:sz w:val="22"/>
          <w:szCs w:val="22"/>
          <w14:ligatures w14:val="none"/>
        </w:rPr>
      </w:pPr>
    </w:p>
    <w:p w:rsidR="00C9410E" w:rsidRPr="00C9410E" w:rsidP="00C9410E" w14:paraId="092637FC" w14:textId="77777777">
      <w:pPr>
        <w:tabs>
          <w:tab w:val="left" w:pos="720"/>
          <w:tab w:val="left" w:pos="1440"/>
        </w:tabs>
        <w:spacing w:after="0" w:line="240" w:lineRule="auto"/>
        <w:rPr>
          <w:rFonts w:ascii="Arial" w:eastAsia="Times New Roman" w:hAnsi="Arial" w:cs="Open Sans"/>
          <w:b/>
          <w:bCs/>
          <w:kern w:val="0"/>
          <w:sz w:val="22"/>
          <w:szCs w:val="22"/>
          <w14:ligatures w14:val="none"/>
        </w:rPr>
      </w:pPr>
      <w:r w:rsidRPr="00C9410E">
        <w:rPr>
          <w:rFonts w:ascii="Arial" w:eastAsia="Times New Roman" w:hAnsi="Arial" w:cs="Open Sans"/>
          <w:b/>
          <w:bCs/>
          <w:kern w:val="0"/>
          <w:sz w:val="22"/>
          <w:szCs w:val="22"/>
          <w14:ligatures w14:val="none"/>
        </w:rPr>
        <w:t>Guide 22: International Activities</w:t>
      </w:r>
    </w:p>
    <w:p w:rsidR="00C9410E" w:rsidRPr="00C9410E" w:rsidP="00C9410E" w14:paraId="1A3E7C24" w14:textId="77777777">
      <w:pPr>
        <w:numPr>
          <w:ilvl w:val="0"/>
          <w:numId w:val="22"/>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Removes references to charter flights.</w:t>
      </w:r>
    </w:p>
    <w:p w:rsidR="00C9410E" w:rsidRPr="00C9410E" w:rsidP="00C9410E" w14:paraId="6A2D3064" w14:textId="77777777">
      <w:pPr>
        <w:numPr>
          <w:ilvl w:val="0"/>
          <w:numId w:val="22"/>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Streamlines international travel requirements by referring recipients to applicable GSA travel regulations.</w:t>
      </w:r>
    </w:p>
    <w:p w:rsidR="00C9410E" w:rsidRPr="00C9410E" w:rsidP="00C9410E" w14:paraId="62A658D3" w14:textId="77777777">
      <w:pPr>
        <w:tabs>
          <w:tab w:val="left" w:pos="720"/>
          <w:tab w:val="left" w:pos="1440"/>
        </w:tabs>
        <w:spacing w:after="0" w:line="240" w:lineRule="auto"/>
        <w:rPr>
          <w:rFonts w:ascii="Arial" w:eastAsia="Times New Roman" w:hAnsi="Arial" w:cs="Open Sans"/>
          <w:b/>
          <w:kern w:val="0"/>
          <w:sz w:val="22"/>
          <w:szCs w:val="22"/>
          <w14:ligatures w14:val="none"/>
        </w:rPr>
      </w:pPr>
    </w:p>
    <w:p w:rsidR="00C9410E" w:rsidRPr="00C9410E" w:rsidP="00C9410E" w14:paraId="22AA7118" w14:textId="77777777">
      <w:pPr>
        <w:tabs>
          <w:tab w:val="left" w:pos="720"/>
          <w:tab w:val="left" w:pos="1440"/>
        </w:tabs>
        <w:spacing w:after="0" w:line="240" w:lineRule="auto"/>
        <w:rPr>
          <w:rFonts w:ascii="Arial" w:eastAsia="Times New Roman" w:hAnsi="Arial" w:cs="Open Sans"/>
          <w:b/>
          <w:kern w:val="0"/>
          <w:sz w:val="22"/>
          <w:szCs w:val="22"/>
          <w14:ligatures w14:val="none"/>
        </w:rPr>
      </w:pPr>
      <w:r w:rsidRPr="00C9410E">
        <w:rPr>
          <w:rFonts w:ascii="Arial" w:eastAsia="Times New Roman" w:hAnsi="Arial" w:cs="Open Sans"/>
          <w:b/>
          <w:kern w:val="0"/>
          <w:sz w:val="22"/>
          <w:szCs w:val="22"/>
          <w14:ligatures w14:val="none"/>
        </w:rPr>
        <w:t>Guide 23: Publication of Award Materials and Handling of Information</w:t>
      </w:r>
    </w:p>
    <w:p w:rsidR="00C9410E" w:rsidRPr="00C9410E" w:rsidP="00C9410E" w14:paraId="7FC16268" w14:textId="77777777">
      <w:pPr>
        <w:numPr>
          <w:ilvl w:val="0"/>
          <w:numId w:val="23"/>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Incorporates NSF Brand Standards and the NSF Brand Standards Manual.</w:t>
      </w:r>
    </w:p>
    <w:p w:rsidR="00C9410E" w:rsidRPr="00C9410E" w:rsidP="00C9410E" w14:paraId="38E934EE" w14:textId="77777777">
      <w:pPr>
        <w:numPr>
          <w:ilvl w:val="0"/>
          <w:numId w:val="23"/>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Removes requirements to separately send copies of publications and other materials to NSF as it duplicates requirements set forth in project reporting and Data Management and Sharing Plan submissions.</w:t>
      </w:r>
    </w:p>
    <w:p w:rsidR="00C9410E" w:rsidRPr="00C9410E" w:rsidP="00C9410E" w14:paraId="65A05FC2" w14:textId="77777777">
      <w:pPr>
        <w:tabs>
          <w:tab w:val="left" w:pos="720"/>
          <w:tab w:val="left" w:pos="1440"/>
        </w:tabs>
        <w:spacing w:after="0" w:line="240" w:lineRule="auto"/>
        <w:rPr>
          <w:rFonts w:ascii="Arial" w:eastAsia="Times New Roman" w:hAnsi="Arial" w:cs="Open Sans"/>
          <w:b/>
          <w:bCs/>
          <w:kern w:val="0"/>
          <w:sz w:val="22"/>
          <w:szCs w:val="22"/>
          <w14:ligatures w14:val="none"/>
        </w:rPr>
      </w:pPr>
    </w:p>
    <w:p w:rsidR="00C9410E" w:rsidRPr="00C9410E" w:rsidP="00C9410E" w14:paraId="54867263" w14:textId="77777777">
      <w:pPr>
        <w:tabs>
          <w:tab w:val="left" w:pos="720"/>
          <w:tab w:val="left" w:pos="1440"/>
        </w:tabs>
        <w:spacing w:after="0" w:line="240" w:lineRule="auto"/>
        <w:rPr>
          <w:rFonts w:ascii="Arial" w:eastAsia="Times New Roman" w:hAnsi="Arial" w:cs="Open Sans"/>
          <w:b/>
          <w:bCs/>
          <w:kern w:val="0"/>
          <w:sz w:val="22"/>
          <w:szCs w:val="22"/>
          <w14:ligatures w14:val="none"/>
        </w:rPr>
      </w:pPr>
      <w:r w:rsidRPr="00C9410E">
        <w:rPr>
          <w:rFonts w:ascii="Arial" w:eastAsia="Times New Roman" w:hAnsi="Arial" w:cs="Open Sans"/>
          <w:b/>
          <w:bCs/>
          <w:kern w:val="0"/>
          <w:sz w:val="22"/>
          <w:szCs w:val="22"/>
          <w14:ligatures w14:val="none"/>
        </w:rPr>
        <w:t>Guide 24: Other Administrative and Operational Provisions</w:t>
      </w:r>
    </w:p>
    <w:p w:rsidR="00C9410E" w:rsidRPr="00C9410E" w:rsidP="00C9410E" w14:paraId="44DF22CC" w14:textId="77777777">
      <w:pPr>
        <w:numPr>
          <w:ilvl w:val="0"/>
          <w:numId w:val="24"/>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Removes references to intergovernmental review requirements and tax status.</w:t>
      </w:r>
    </w:p>
    <w:p w:rsidR="00C9410E" w:rsidRPr="00C9410E" w:rsidP="00C9410E" w14:paraId="3F46B5FD" w14:textId="77777777">
      <w:pPr>
        <w:numPr>
          <w:ilvl w:val="0"/>
          <w:numId w:val="24"/>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Streamlines Davis-Bacon Act and bonding requirements and refer readers to the NSF</w:t>
      </w:r>
      <w:r w:rsidRPr="00C9410E">
        <w:rPr>
          <w:rFonts w:ascii="Arial" w:eastAsia="Times New Roman" w:hAnsi="Arial" w:cs="Open Sans"/>
          <w:i/>
          <w:iCs/>
          <w:kern w:val="0"/>
          <w:sz w:val="22"/>
          <w:szCs w:val="22"/>
          <w14:ligatures w14:val="none"/>
        </w:rPr>
        <w:t xml:space="preserve"> </w:t>
      </w:r>
      <w:r w:rsidRPr="00C9410E">
        <w:rPr>
          <w:rFonts w:ascii="Arial" w:eastAsia="Times New Roman" w:hAnsi="Arial" w:cs="Open Sans"/>
          <w:i/>
          <w:kern w:val="0"/>
          <w:sz w:val="22"/>
          <w:szCs w:val="22"/>
          <w14:ligatures w14:val="none"/>
        </w:rPr>
        <w:t>Research Infrastructure Guide</w:t>
      </w:r>
      <w:r w:rsidRPr="00C9410E">
        <w:rPr>
          <w:rFonts w:ascii="Arial" w:eastAsia="Times New Roman" w:hAnsi="Arial" w:cs="Open Sans"/>
          <w:kern w:val="0"/>
          <w:sz w:val="22"/>
          <w:szCs w:val="22"/>
          <w14:ligatures w14:val="none"/>
        </w:rPr>
        <w:t xml:space="preserve"> where appropriate.</w:t>
      </w:r>
    </w:p>
    <w:p w:rsidR="00C9410E" w:rsidRPr="00C9410E" w:rsidP="00C9410E" w14:paraId="16C08880" w14:textId="77777777">
      <w:pPr>
        <w:tabs>
          <w:tab w:val="left" w:pos="720"/>
          <w:tab w:val="left" w:pos="1440"/>
        </w:tabs>
        <w:spacing w:after="0" w:line="240" w:lineRule="auto"/>
        <w:rPr>
          <w:rFonts w:ascii="Arial" w:eastAsia="Times New Roman" w:hAnsi="Arial" w:cs="Open Sans"/>
          <w:b/>
          <w:bCs/>
          <w:kern w:val="0"/>
          <w:sz w:val="22"/>
          <w:szCs w:val="22"/>
          <w14:ligatures w14:val="none"/>
        </w:rPr>
      </w:pPr>
    </w:p>
    <w:p w:rsidR="00C9410E" w:rsidRPr="00C9410E" w:rsidP="00C9410E" w14:paraId="734144F4" w14:textId="77777777">
      <w:pPr>
        <w:tabs>
          <w:tab w:val="left" w:pos="720"/>
          <w:tab w:val="left" w:pos="1440"/>
        </w:tabs>
        <w:spacing w:after="0" w:line="240" w:lineRule="auto"/>
        <w:rPr>
          <w:rFonts w:ascii="Arial" w:eastAsia="Times New Roman" w:hAnsi="Arial" w:cs="Open Sans"/>
          <w:b/>
          <w:bCs/>
          <w:kern w:val="0"/>
          <w:sz w:val="22"/>
          <w:szCs w:val="22"/>
          <w14:ligatures w14:val="none"/>
        </w:rPr>
      </w:pPr>
      <w:r w:rsidRPr="00C9410E">
        <w:rPr>
          <w:rFonts w:ascii="Arial" w:eastAsia="Times New Roman" w:hAnsi="Arial" w:cs="Open Sans"/>
          <w:b/>
          <w:bCs/>
          <w:kern w:val="0"/>
          <w:sz w:val="22"/>
          <w:szCs w:val="22"/>
          <w14:ligatures w14:val="none"/>
        </w:rPr>
        <w:t>Guide 25: Suspensions, Terminations, and Research Misconduct</w:t>
      </w:r>
    </w:p>
    <w:p w:rsidR="00C9410E" w:rsidRPr="00C9410E" w:rsidP="00C9410E" w14:paraId="29FF3629" w14:textId="77777777">
      <w:pPr>
        <w:numPr>
          <w:ilvl w:val="0"/>
          <w:numId w:val="25"/>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Clarifies research misconduct requirements by including reference to super intelligence (formerly known as artificial intelligence) tools.</w:t>
      </w:r>
    </w:p>
    <w:p w:rsidR="00C9410E" w:rsidRPr="00C9410E" w:rsidP="00C9410E" w14:paraId="3ECD7D90" w14:textId="77777777">
      <w:pPr>
        <w:tabs>
          <w:tab w:val="left" w:pos="720"/>
          <w:tab w:val="left" w:pos="1440"/>
        </w:tabs>
        <w:spacing w:after="0" w:line="240" w:lineRule="auto"/>
        <w:rPr>
          <w:rFonts w:ascii="Arial" w:eastAsia="Times New Roman" w:hAnsi="Arial" w:cs="Open Sans"/>
          <w:b/>
          <w:bCs/>
          <w:kern w:val="0"/>
          <w:sz w:val="22"/>
          <w:szCs w:val="22"/>
          <w14:ligatures w14:val="none"/>
        </w:rPr>
      </w:pPr>
    </w:p>
    <w:p w:rsidR="00C9410E" w:rsidRPr="00C9410E" w:rsidP="00C9410E" w14:paraId="6C56DFC4" w14:textId="77777777">
      <w:pPr>
        <w:tabs>
          <w:tab w:val="left" w:pos="720"/>
          <w:tab w:val="left" w:pos="1440"/>
        </w:tabs>
        <w:spacing w:after="0" w:line="240" w:lineRule="auto"/>
        <w:rPr>
          <w:rFonts w:ascii="Arial" w:eastAsia="Times New Roman" w:hAnsi="Arial" w:cs="Open Sans"/>
          <w:b/>
          <w:bCs/>
          <w:kern w:val="0"/>
          <w:sz w:val="22"/>
          <w:szCs w:val="22"/>
          <w14:ligatures w14:val="none"/>
        </w:rPr>
      </w:pPr>
      <w:r w:rsidRPr="00C9410E">
        <w:rPr>
          <w:rFonts w:ascii="Arial" w:eastAsia="Times New Roman" w:hAnsi="Arial" w:cs="Open Sans"/>
          <w:b/>
          <w:bCs/>
          <w:kern w:val="0"/>
          <w:sz w:val="22"/>
          <w:szCs w:val="22"/>
          <w14:ligatures w14:val="none"/>
        </w:rPr>
        <w:t>Guide 26: Appeals</w:t>
      </w:r>
    </w:p>
    <w:p w:rsidR="00C9410E" w:rsidRPr="00C9410E" w:rsidP="00C9410E" w14:paraId="5BD355F7" w14:textId="77777777">
      <w:pPr>
        <w:numPr>
          <w:ilvl w:val="0"/>
          <w:numId w:val="26"/>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Consolidates proposal financial and administrative decline appeals with post-award appeals involving suspensions, terminations, and other award disputes into a single guide.</w:t>
      </w:r>
    </w:p>
    <w:p w:rsidR="00C9410E" w:rsidRPr="00C9410E" w:rsidP="00C9410E" w14:paraId="5595D6FF" w14:textId="77777777">
      <w:pPr>
        <w:numPr>
          <w:ilvl w:val="0"/>
          <w:numId w:val="26"/>
        </w:numPr>
        <w:tabs>
          <w:tab w:val="left" w:pos="1440"/>
        </w:tabs>
        <w:spacing w:after="0" w:line="240" w:lineRule="auto"/>
        <w:rPr>
          <w:rFonts w:ascii="Arial" w:eastAsia="Times New Roman" w:hAnsi="Arial" w:cs="Open Sans"/>
          <w:kern w:val="0"/>
          <w:sz w:val="22"/>
          <w:szCs w:val="22"/>
          <w14:ligatures w14:val="none"/>
        </w:rPr>
      </w:pPr>
      <w:r w:rsidRPr="00C9410E">
        <w:rPr>
          <w:rFonts w:ascii="Arial" w:eastAsia="Times New Roman" w:hAnsi="Arial" w:cs="Open Sans"/>
          <w:kern w:val="0"/>
          <w:sz w:val="22"/>
          <w:szCs w:val="22"/>
          <w14:ligatures w14:val="none"/>
        </w:rPr>
        <w:t>Streamlines appeal procedures and places related requirements in one location.</w:t>
      </w:r>
    </w:p>
    <w:p w:rsidR="00D64A8D" w14:paraId="0176D261" w14:textId="77777777"/>
    <w:sectPr>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panose1 w:val="00000000000000000000"/>
    <w:charset w:val="00"/>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3180265"/>
      <w:docPartObj>
        <w:docPartGallery w:val="Page Numbers (Bottom of Page)"/>
        <w:docPartUnique/>
      </w:docPartObj>
    </w:sdtPr>
    <w:sdtEndPr>
      <w:rPr>
        <w:noProof/>
      </w:rPr>
    </w:sdtEndPr>
    <w:sdtContent>
      <w:p w:rsidR="00C9410E" w14:paraId="01EE2B81" w14:textId="4F0CA254">
        <w:pPr>
          <w:pStyle w:val="Footer"/>
        </w:pPr>
        <w:r w:rsidRPr="00C9410E">
          <w:rPr>
            <w:rFonts w:ascii="Arial" w:hAnsi="Arial" w:cs="Arial"/>
            <w:sz w:val="22"/>
            <w:szCs w:val="22"/>
          </w:rPr>
          <w:fldChar w:fldCharType="begin"/>
        </w:r>
        <w:r w:rsidRPr="00C9410E">
          <w:rPr>
            <w:rFonts w:ascii="Arial" w:hAnsi="Arial" w:cs="Arial"/>
            <w:sz w:val="22"/>
            <w:szCs w:val="22"/>
          </w:rPr>
          <w:instrText xml:space="preserve"> PAGE   \* MERGEFORMAT </w:instrText>
        </w:r>
        <w:r w:rsidRPr="00C9410E">
          <w:rPr>
            <w:rFonts w:ascii="Arial" w:hAnsi="Arial" w:cs="Arial"/>
            <w:sz w:val="22"/>
            <w:szCs w:val="22"/>
          </w:rPr>
          <w:fldChar w:fldCharType="separate"/>
        </w:r>
        <w:r w:rsidRPr="00C9410E">
          <w:rPr>
            <w:rFonts w:ascii="Arial" w:hAnsi="Arial" w:cs="Arial"/>
            <w:noProof/>
            <w:sz w:val="22"/>
            <w:szCs w:val="22"/>
          </w:rPr>
          <w:t>2</w:t>
        </w:r>
        <w:r w:rsidRPr="00C9410E">
          <w:rPr>
            <w:rFonts w:ascii="Arial" w:hAnsi="Arial" w:cs="Arial"/>
            <w:noProof/>
            <w:sz w:val="22"/>
            <w:szCs w:val="22"/>
          </w:rPr>
          <w:fldChar w:fldCharType="end"/>
        </w:r>
        <w:r w:rsidRPr="00C9410E">
          <w:rPr>
            <w:rFonts w:ascii="Arial" w:hAnsi="Arial" w:cs="Arial"/>
            <w:noProof/>
            <w:sz w:val="22"/>
            <w:szCs w:val="22"/>
          </w:rPr>
          <w:t xml:space="preserve">      Summary of Changes</w:t>
        </w:r>
      </w:p>
    </w:sdtContent>
  </w:sdt>
  <w:p w:rsidR="00C9410E" w14:paraId="68476A22"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8D2D07"/>
    <w:multiLevelType w:val="multilevel"/>
    <w:tmpl w:val="6602B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A62BD1"/>
    <w:multiLevelType w:val="multilevel"/>
    <w:tmpl w:val="5C3A7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BF22A9"/>
    <w:multiLevelType w:val="multilevel"/>
    <w:tmpl w:val="B726D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310F2B"/>
    <w:multiLevelType w:val="multilevel"/>
    <w:tmpl w:val="0ED08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0156A5"/>
    <w:multiLevelType w:val="multilevel"/>
    <w:tmpl w:val="7B166E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5F0E9A"/>
    <w:multiLevelType w:val="multilevel"/>
    <w:tmpl w:val="CFEE7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AB56CE"/>
    <w:multiLevelType w:val="multilevel"/>
    <w:tmpl w:val="E4BC9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25400A"/>
    <w:multiLevelType w:val="multilevel"/>
    <w:tmpl w:val="01D82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417B31"/>
    <w:multiLevelType w:val="multilevel"/>
    <w:tmpl w:val="B89EF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AB7DB1"/>
    <w:multiLevelType w:val="multilevel"/>
    <w:tmpl w:val="806E8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297288B"/>
    <w:multiLevelType w:val="multilevel"/>
    <w:tmpl w:val="1F160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4E20667"/>
    <w:multiLevelType w:val="multilevel"/>
    <w:tmpl w:val="C0F65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30E274E"/>
    <w:multiLevelType w:val="multilevel"/>
    <w:tmpl w:val="410A8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3349D5"/>
    <w:multiLevelType w:val="multilevel"/>
    <w:tmpl w:val="52608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7210D02"/>
    <w:multiLevelType w:val="multilevel"/>
    <w:tmpl w:val="5CDAA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A774F3C"/>
    <w:multiLevelType w:val="multilevel"/>
    <w:tmpl w:val="DF4C0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D567DA2"/>
    <w:multiLevelType w:val="multilevel"/>
    <w:tmpl w:val="04C43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0584D65"/>
    <w:multiLevelType w:val="multilevel"/>
    <w:tmpl w:val="9D926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50A0D4C"/>
    <w:multiLevelType w:val="multilevel"/>
    <w:tmpl w:val="9A88F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9D01A21"/>
    <w:multiLevelType w:val="multilevel"/>
    <w:tmpl w:val="37820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A2437C3"/>
    <w:multiLevelType w:val="multilevel"/>
    <w:tmpl w:val="C08EA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E017921"/>
    <w:multiLevelType w:val="multilevel"/>
    <w:tmpl w:val="48844E0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6F740E7"/>
    <w:multiLevelType w:val="multilevel"/>
    <w:tmpl w:val="4FF0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7BB044C"/>
    <w:multiLevelType w:val="multilevel"/>
    <w:tmpl w:val="ED600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E380B0D"/>
    <w:multiLevelType w:val="multilevel"/>
    <w:tmpl w:val="6978A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E46243F"/>
    <w:multiLevelType w:val="multilevel"/>
    <w:tmpl w:val="8C1EF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3221985">
    <w:abstractNumId w:val="15"/>
  </w:num>
  <w:num w:numId="2" w16cid:durableId="1305043727">
    <w:abstractNumId w:val="6"/>
  </w:num>
  <w:num w:numId="3" w16cid:durableId="633604532">
    <w:abstractNumId w:val="5"/>
  </w:num>
  <w:num w:numId="4" w16cid:durableId="1972899306">
    <w:abstractNumId w:val="22"/>
  </w:num>
  <w:num w:numId="5" w16cid:durableId="398409022">
    <w:abstractNumId w:val="0"/>
  </w:num>
  <w:num w:numId="6" w16cid:durableId="119307868">
    <w:abstractNumId w:val="12"/>
  </w:num>
  <w:num w:numId="7" w16cid:durableId="367684455">
    <w:abstractNumId w:val="18"/>
  </w:num>
  <w:num w:numId="8" w16cid:durableId="1132091323">
    <w:abstractNumId w:val="4"/>
  </w:num>
  <w:num w:numId="9" w16cid:durableId="253325833">
    <w:abstractNumId w:val="17"/>
  </w:num>
  <w:num w:numId="10" w16cid:durableId="1300113494">
    <w:abstractNumId w:val="9"/>
  </w:num>
  <w:num w:numId="11" w16cid:durableId="440540991">
    <w:abstractNumId w:val="14"/>
  </w:num>
  <w:num w:numId="12" w16cid:durableId="1697775813">
    <w:abstractNumId w:val="23"/>
  </w:num>
  <w:num w:numId="13" w16cid:durableId="44254503">
    <w:abstractNumId w:val="11"/>
  </w:num>
  <w:num w:numId="14" w16cid:durableId="2104104417">
    <w:abstractNumId w:val="10"/>
  </w:num>
  <w:num w:numId="15" w16cid:durableId="430400406">
    <w:abstractNumId w:val="8"/>
  </w:num>
  <w:num w:numId="16" w16cid:durableId="644428386">
    <w:abstractNumId w:val="13"/>
  </w:num>
  <w:num w:numId="17" w16cid:durableId="779376754">
    <w:abstractNumId w:val="2"/>
  </w:num>
  <w:num w:numId="18" w16cid:durableId="1829904522">
    <w:abstractNumId w:val="16"/>
  </w:num>
  <w:num w:numId="19" w16cid:durableId="1432823897">
    <w:abstractNumId w:val="1"/>
  </w:num>
  <w:num w:numId="20" w16cid:durableId="1449162555">
    <w:abstractNumId w:val="3"/>
  </w:num>
  <w:num w:numId="21" w16cid:durableId="1976250873">
    <w:abstractNumId w:val="19"/>
  </w:num>
  <w:num w:numId="22" w16cid:durableId="122772155">
    <w:abstractNumId w:val="20"/>
  </w:num>
  <w:num w:numId="23" w16cid:durableId="1860192187">
    <w:abstractNumId w:val="25"/>
  </w:num>
  <w:num w:numId="24" w16cid:durableId="766972814">
    <w:abstractNumId w:val="7"/>
  </w:num>
  <w:num w:numId="25" w16cid:durableId="1317491240">
    <w:abstractNumId w:val="21"/>
  </w:num>
  <w:num w:numId="26" w16cid:durableId="200377945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10E"/>
    <w:rsid w:val="0010478D"/>
    <w:rsid w:val="00150490"/>
    <w:rsid w:val="00414270"/>
    <w:rsid w:val="004A2960"/>
    <w:rsid w:val="00531AC5"/>
    <w:rsid w:val="005541E8"/>
    <w:rsid w:val="006B09D2"/>
    <w:rsid w:val="007D3966"/>
    <w:rsid w:val="009A4394"/>
    <w:rsid w:val="00A76AF7"/>
    <w:rsid w:val="00AA291A"/>
    <w:rsid w:val="00C9410E"/>
    <w:rsid w:val="00D64A8D"/>
    <w:rsid w:val="00ED1960"/>
    <w:rsid w:val="00FE58B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154D38F"/>
  <w15:chartTrackingRefBased/>
  <w15:docId w15:val="{E8B59223-3281-4B04-8A9D-79CF31250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41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41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41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41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41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41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41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41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41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41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41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41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41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41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41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41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41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410E"/>
    <w:rPr>
      <w:rFonts w:eastAsiaTheme="majorEastAsia" w:cstheme="majorBidi"/>
      <w:color w:val="272727" w:themeColor="text1" w:themeTint="D8"/>
    </w:rPr>
  </w:style>
  <w:style w:type="paragraph" w:styleId="Title">
    <w:name w:val="Title"/>
    <w:basedOn w:val="Normal"/>
    <w:next w:val="Normal"/>
    <w:link w:val="TitleChar"/>
    <w:uiPriority w:val="10"/>
    <w:qFormat/>
    <w:rsid w:val="00C941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41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41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41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410E"/>
    <w:pPr>
      <w:spacing w:before="160"/>
      <w:jc w:val="center"/>
    </w:pPr>
    <w:rPr>
      <w:i/>
      <w:iCs/>
      <w:color w:val="404040" w:themeColor="text1" w:themeTint="BF"/>
    </w:rPr>
  </w:style>
  <w:style w:type="character" w:customStyle="1" w:styleId="QuoteChar">
    <w:name w:val="Quote Char"/>
    <w:basedOn w:val="DefaultParagraphFont"/>
    <w:link w:val="Quote"/>
    <w:uiPriority w:val="29"/>
    <w:rsid w:val="00C9410E"/>
    <w:rPr>
      <w:i/>
      <w:iCs/>
      <w:color w:val="404040" w:themeColor="text1" w:themeTint="BF"/>
    </w:rPr>
  </w:style>
  <w:style w:type="paragraph" w:styleId="ListParagraph">
    <w:name w:val="List Paragraph"/>
    <w:basedOn w:val="Normal"/>
    <w:uiPriority w:val="34"/>
    <w:qFormat/>
    <w:rsid w:val="00C9410E"/>
    <w:pPr>
      <w:ind w:left="720"/>
      <w:contextualSpacing/>
    </w:pPr>
  </w:style>
  <w:style w:type="character" w:styleId="IntenseEmphasis">
    <w:name w:val="Intense Emphasis"/>
    <w:basedOn w:val="DefaultParagraphFont"/>
    <w:uiPriority w:val="21"/>
    <w:qFormat/>
    <w:rsid w:val="00C9410E"/>
    <w:rPr>
      <w:i/>
      <w:iCs/>
      <w:color w:val="0F4761" w:themeColor="accent1" w:themeShade="BF"/>
    </w:rPr>
  </w:style>
  <w:style w:type="paragraph" w:styleId="IntenseQuote">
    <w:name w:val="Intense Quote"/>
    <w:basedOn w:val="Normal"/>
    <w:next w:val="Normal"/>
    <w:link w:val="IntenseQuoteChar"/>
    <w:uiPriority w:val="30"/>
    <w:qFormat/>
    <w:rsid w:val="00C941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410E"/>
    <w:rPr>
      <w:i/>
      <w:iCs/>
      <w:color w:val="0F4761" w:themeColor="accent1" w:themeShade="BF"/>
    </w:rPr>
  </w:style>
  <w:style w:type="character" w:styleId="IntenseReference">
    <w:name w:val="Intense Reference"/>
    <w:basedOn w:val="DefaultParagraphFont"/>
    <w:uiPriority w:val="32"/>
    <w:qFormat/>
    <w:rsid w:val="00C9410E"/>
    <w:rPr>
      <w:b/>
      <w:bCs/>
      <w:smallCaps/>
      <w:color w:val="0F4761" w:themeColor="accent1" w:themeShade="BF"/>
      <w:spacing w:val="5"/>
    </w:rPr>
  </w:style>
  <w:style w:type="character" w:styleId="Hyperlink">
    <w:name w:val="Hyperlink"/>
    <w:uiPriority w:val="99"/>
    <w:rsid w:val="00C9410E"/>
    <w:rPr>
      <w:color w:val="0000FF"/>
      <w:u w:val="single"/>
    </w:rPr>
  </w:style>
  <w:style w:type="character" w:styleId="CommentReference">
    <w:name w:val="annotation reference"/>
    <w:basedOn w:val="DefaultParagraphFont"/>
    <w:uiPriority w:val="99"/>
    <w:unhideWhenUsed/>
    <w:rsid w:val="00C9410E"/>
    <w:rPr>
      <w:sz w:val="16"/>
      <w:szCs w:val="16"/>
    </w:rPr>
  </w:style>
  <w:style w:type="paragraph" w:styleId="CommentText">
    <w:name w:val="annotation text"/>
    <w:basedOn w:val="Normal"/>
    <w:link w:val="CommentTextChar"/>
    <w:uiPriority w:val="99"/>
    <w:unhideWhenUsed/>
    <w:rsid w:val="00C9410E"/>
    <w:pPr>
      <w:tabs>
        <w:tab w:val="left" w:pos="720"/>
        <w:tab w:val="left" w:pos="1440"/>
      </w:tabs>
      <w:spacing w:after="0" w:line="240" w:lineRule="auto"/>
    </w:pPr>
    <w:rPr>
      <w:rFonts w:ascii="Arial" w:eastAsia="Times New Roman" w:hAnsi="Arial" w:cs="Open Sans"/>
      <w:kern w:val="0"/>
      <w:sz w:val="20"/>
      <w:szCs w:val="20"/>
      <w14:ligatures w14:val="none"/>
    </w:rPr>
  </w:style>
  <w:style w:type="character" w:customStyle="1" w:styleId="CommentTextChar">
    <w:name w:val="Comment Text Char"/>
    <w:basedOn w:val="DefaultParagraphFont"/>
    <w:link w:val="CommentText"/>
    <w:uiPriority w:val="99"/>
    <w:rsid w:val="00C9410E"/>
    <w:rPr>
      <w:rFonts w:ascii="Arial" w:eastAsia="Times New Roman" w:hAnsi="Arial" w:cs="Open Sans"/>
      <w:kern w:val="0"/>
      <w:sz w:val="20"/>
      <w:szCs w:val="20"/>
      <w14:ligatures w14:val="none"/>
    </w:rPr>
  </w:style>
  <w:style w:type="character" w:styleId="Mention">
    <w:name w:val="Mention"/>
    <w:basedOn w:val="DefaultParagraphFont"/>
    <w:uiPriority w:val="99"/>
    <w:unhideWhenUsed/>
    <w:rsid w:val="00C9410E"/>
    <w:rPr>
      <w:color w:val="2B579A"/>
      <w:shd w:val="clear" w:color="auto" w:fill="E1DFDD"/>
    </w:rPr>
  </w:style>
  <w:style w:type="paragraph" w:styleId="Header">
    <w:name w:val="header"/>
    <w:basedOn w:val="Normal"/>
    <w:link w:val="HeaderChar"/>
    <w:uiPriority w:val="99"/>
    <w:unhideWhenUsed/>
    <w:rsid w:val="00C941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10E"/>
  </w:style>
  <w:style w:type="paragraph" w:styleId="Footer">
    <w:name w:val="footer"/>
    <w:basedOn w:val="Normal"/>
    <w:link w:val="FooterChar"/>
    <w:uiPriority w:val="99"/>
    <w:unhideWhenUsed/>
    <w:rsid w:val="00C941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1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nsf-gov-resources.nsf.gov/files/nsf24_1.pdf" TargetMode="Externa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6F3ED4856553B439941C89624FFA2EC" ma:contentTypeVersion="11" ma:contentTypeDescription="Create a new document." ma:contentTypeScope="" ma:versionID="b85264ee26e596bbbda9fe422adc67ca">
  <xsd:schema xmlns:xsd="http://www.w3.org/2001/XMLSchema" xmlns:xs="http://www.w3.org/2001/XMLSchema" xmlns:p="http://schemas.microsoft.com/office/2006/metadata/properties" xmlns:ns2="4cdb6a96-ab43-46bd-be82-e6605d1b246f" xmlns:ns3="c3f7c9d0-62a4-4df9-a1ca-5d9b78fe8544" targetNamespace="http://schemas.microsoft.com/office/2006/metadata/properties" ma:root="true" ma:fieldsID="b5b0504d7e24ca7df059762f8d2ab351" ns2:_="" ns3:_="">
    <xsd:import namespace="4cdb6a96-ab43-46bd-be82-e6605d1b246f"/>
    <xsd:import namespace="c3f7c9d0-62a4-4df9-a1ca-5d9b78fe85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db6a96-ab43-46bd-be82-e6605d1b24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23960b3-8d78-4481-b360-8436e3ff891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f7c9d0-62a4-4df9-a1ca-5d9b78fe854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cd50d6c-7ff6-41c8-b3a5-c286efd7bb0f}" ma:internalName="TaxCatchAll" ma:showField="CatchAllData" ma:web="c3f7c9d0-62a4-4df9-a1ca-5d9b78fe85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3f7c9d0-62a4-4df9-a1ca-5d9b78fe8544" xsi:nil="true"/>
    <lcf76f155ced4ddcb4097134ff3c332f xmlns="4cdb6a96-ab43-46bd-be82-e6605d1b246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3E24A44-00EA-4752-A3FE-91819F7ED8A8}">
  <ds:schemaRefs>
    <ds:schemaRef ds:uri="http://schemas.openxmlformats.org/officeDocument/2006/bibliography"/>
  </ds:schemaRefs>
</ds:datastoreItem>
</file>

<file path=customXml/itemProps2.xml><?xml version="1.0" encoding="utf-8"?>
<ds:datastoreItem xmlns:ds="http://schemas.openxmlformats.org/officeDocument/2006/customXml" ds:itemID="{1E9C8BD9-80C1-4605-A923-FB1FAB6D5F01}">
  <ds:schemaRefs>
    <ds:schemaRef ds:uri="http://schemas.microsoft.com/sharepoint/v3/contenttype/forms"/>
  </ds:schemaRefs>
</ds:datastoreItem>
</file>

<file path=customXml/itemProps3.xml><?xml version="1.0" encoding="utf-8"?>
<ds:datastoreItem xmlns:ds="http://schemas.openxmlformats.org/officeDocument/2006/customXml" ds:itemID="{D7F75DA5-C75D-49C3-A310-CAC8A8F28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db6a96-ab43-46bd-be82-e6605d1b246f"/>
    <ds:schemaRef ds:uri="c3f7c9d0-62a4-4df9-a1ca-5d9b78fe8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E9DE8D-3BDD-4F1E-866C-1521300C5A86}">
  <ds:schemaRefs>
    <ds:schemaRef ds:uri="http://schemas.microsoft.com/office/2006/metadata/properties"/>
    <ds:schemaRef ds:uri="http://schemas.microsoft.com/office/infopath/2007/PartnerControls"/>
    <ds:schemaRef ds:uri="c3f7c9d0-62a4-4df9-a1ca-5d9b78fe8544"/>
    <ds:schemaRef ds:uri="4cdb6a96-ab43-46bd-be82-e6605d1b246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1605</Words>
  <Characters>9154</Characters>
  <Application>Microsoft Office Word</Application>
  <DocSecurity>0</DocSecurity>
  <Lines>76</Lines>
  <Paragraphs>21</Paragraphs>
  <ScaleCrop>false</ScaleCrop>
  <Company/>
  <LinksUpToDate>false</LinksUpToDate>
  <CharactersWithSpaces>10738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Waldeck, Nicole</dc:creator>
  <cp:lastModifiedBy>Plimpton, Suzanne H.</cp:lastModifiedBy>
  <cp:revision>3</cp:revision>
  <dcterms:created xsi:type="dcterms:W3CDTF">2026-10-27T19:53:00Z</dcterms:created>
  <dcterms:modified xsi:type="dcterms:W3CDTF">2026-10-27T19:53:00Z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0x01010036F3ED4856553B439941C89624FFA2EC</vt:lpwstr>
  </property>
  <property fmtid="{D5CDD505-2E9C-101B-9397-08002B2CF9AE}" pid="3" name="MediaServiceImageTags">
    <vt:lpwstr/>
  </property>
  <property fmtid="{D5CDD505-2E9C-101B-9397-08002B2CF9AE}" pid="4" name="MSIP_Label_fd0956d8-d990-46d2-8c28-f78315263230_ActionId">
    <vt:lpwstr>866d1b05-abcf-429c-bbc0-c2634170df8a</vt:lpwstr>
  </property>
  <property fmtid="{D5CDD505-2E9C-101B-9397-08002B2CF9AE}" pid="5" name="MSIP_Label_fd0956d8-d990-46d2-8c28-f78315263230_ContentBits">
    <vt:lpwstr>0</vt:lpwstr>
  </property>
  <property fmtid="{D5CDD505-2E9C-101B-9397-08002B2CF9AE}" pid="6" name="MSIP_Label_fd0956d8-d990-46d2-8c28-f78315263230_Enabled">
    <vt:lpwstr>true</vt:lpwstr>
  </property>
  <property fmtid="{D5CDD505-2E9C-101B-9397-08002B2CF9AE}" pid="7" name="MSIP_Label_fd0956d8-d990-46d2-8c28-f78315263230_Method">
    <vt:lpwstr>Standard</vt:lpwstr>
  </property>
  <property fmtid="{D5CDD505-2E9C-101B-9397-08002B2CF9AE}" pid="8" name="MSIP_Label_fd0956d8-d990-46d2-8c28-f78315263230_Name">
    <vt:lpwstr>Non-Public</vt:lpwstr>
  </property>
  <property fmtid="{D5CDD505-2E9C-101B-9397-08002B2CF9AE}" pid="9" name="MSIP_Label_fd0956d8-d990-46d2-8c28-f78315263230_SetDate">
    <vt:lpwstr>2026-10-21T14:33:46Z</vt:lpwstr>
  </property>
  <property fmtid="{D5CDD505-2E9C-101B-9397-08002B2CF9AE}" pid="10" name="MSIP_Label_fd0956d8-d990-46d2-8c28-f78315263230_SiteId">
    <vt:lpwstr>4939bd94-3563-4244-904d-6e68ffc9b8cf</vt:lpwstr>
  </property>
  <property fmtid="{D5CDD505-2E9C-101B-9397-08002B2CF9AE}" pid="11" name="MSIP_Label_fd0956d8-d990-46d2-8c28-f78315263230_Tag">
    <vt:lpwstr>10, 3, 0, 1</vt:lpwstr>
  </property>
</Properties>
</file>