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5595F" w14:paraId="70370797" w14:textId="77777777">
      <w:pPr>
        <w:widowControl w:val="0"/>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rPr>
        <w:t>Federal Acquisition Regulation (FAR)</w:t>
      </w:r>
    </w:p>
    <w:p w:rsidR="0095595F" w14:paraId="0A2B2791" w14:textId="77777777">
      <w:pPr>
        <w:widowControl w:val="0"/>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rPr>
        <w:t>Acquisition 360 Voluntary Survey</w:t>
      </w:r>
    </w:p>
    <w:p w:rsidR="0095595F" w14:paraId="349994F5" w14:textId="77777777">
      <w:pPr>
        <w:spacing w:line="240" w:lineRule="auto"/>
        <w:jc w:val="center"/>
        <w:rPr>
          <w:rFonts w:ascii="Courier New" w:eastAsia="Courier New" w:hAnsi="Courier New" w:cs="Courier New"/>
          <w:b/>
          <w:bCs/>
          <w:color w:val="0000FF"/>
          <w:sz w:val="24"/>
          <w:szCs w:val="24"/>
          <w:u w:val="single"/>
        </w:rPr>
      </w:pPr>
      <w:r>
        <w:rPr>
          <w:rFonts w:ascii="Courier New" w:eastAsia="Courier New" w:hAnsi="Courier New" w:cs="Courier New"/>
          <w:b/>
          <w:bCs/>
          <w:sz w:val="24"/>
          <w:szCs w:val="24"/>
        </w:rPr>
        <w:t>OMB Control No. 9000-0204</w:t>
      </w:r>
    </w:p>
    <w:p w:rsidR="0095595F" w14:paraId="02F44616" w14:textId="77777777">
      <w:pPr>
        <w:spacing w:line="240" w:lineRule="auto"/>
        <w:jc w:val="center"/>
        <w:rPr>
          <w:rFonts w:ascii="Courier New" w:eastAsia="Courier New" w:hAnsi="Courier New" w:cs="Courier New"/>
          <w:b/>
          <w:bCs/>
          <w:sz w:val="24"/>
          <w:szCs w:val="24"/>
        </w:rPr>
      </w:pPr>
      <w:r>
        <w:rPr>
          <w:rFonts w:ascii="Courier New" w:eastAsia="Courier New" w:hAnsi="Courier New" w:cs="Courier New"/>
          <w:b/>
          <w:bCs/>
          <w:sz w:val="24"/>
          <w:szCs w:val="24"/>
        </w:rPr>
        <w:t>Justification – Part A Supporting Statement</w:t>
      </w:r>
    </w:p>
    <w:p w:rsidR="0095595F" w14:paraId="70316D9D" w14:textId="77777777">
      <w:pPr>
        <w:spacing w:line="240" w:lineRule="auto"/>
        <w:rPr>
          <w:rFonts w:ascii="Courier New" w:eastAsia="Courier New" w:hAnsi="Courier New" w:cs="Courier New"/>
          <w:sz w:val="24"/>
          <w:szCs w:val="24"/>
        </w:rPr>
      </w:pPr>
    </w:p>
    <w:p w:rsidR="0095595F" w14:paraId="33472603"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FAR section affected: </w:t>
      </w:r>
      <w:r>
        <w:rPr>
          <w:rFonts w:ascii="Courier New" w:eastAsia="Courier New" w:hAnsi="Courier New" w:cs="Courier New"/>
          <w:sz w:val="24"/>
          <w:szCs w:val="24"/>
        </w:rPr>
        <w:t>52.201-1</w:t>
      </w:r>
    </w:p>
    <w:p w:rsidR="0095595F" w14:paraId="4B8A02F4" w14:textId="77777777">
      <w:pPr>
        <w:widowControl w:val="0"/>
        <w:spacing w:line="240" w:lineRule="auto"/>
        <w:rPr>
          <w:rFonts w:ascii="Courier New" w:eastAsia="Courier New" w:hAnsi="Courier New" w:cs="Courier New"/>
          <w:sz w:val="24"/>
          <w:szCs w:val="24"/>
          <w:u w:val="single"/>
        </w:rPr>
      </w:pPr>
    </w:p>
    <w:p w:rsidR="0095595F" w14:paraId="08A01785" w14:textId="77777777">
      <w:pPr>
        <w:widowControl w:val="0"/>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Overview of Information Collection:</w:t>
      </w:r>
    </w:p>
    <w:p w:rsidR="0095595F" w14:paraId="00B30ABC"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This justification supports clearance of an extension of the collection.</w:t>
      </w:r>
    </w:p>
    <w:p w:rsidR="0095595F" w14:paraId="6FAF715C" w14:textId="77777777">
      <w:pPr>
        <w:widowControl w:val="0"/>
        <w:tabs>
          <w:tab w:val="left" w:pos="820"/>
          <w:tab w:val="left" w:pos="821"/>
        </w:tabs>
        <w:spacing w:line="240" w:lineRule="auto"/>
        <w:ind w:left="720" w:right="195"/>
        <w:rPr>
          <w:rFonts w:ascii="Courier New" w:eastAsia="Courier New" w:hAnsi="Courier New" w:cs="Courier New"/>
          <w:sz w:val="24"/>
          <w:szCs w:val="24"/>
        </w:rPr>
      </w:pPr>
    </w:p>
    <w:p w:rsidR="0095595F" w14:paraId="389CD6ED"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There are no program changes. The FAR requirements remain the same. This extension includes adjustments to the burden due to use of the latest procurement data available in the System for Award Management (SAM) at SAM.gov (formerly FPDS.gov), and the calendar year 2026 Office of Personnel Management (OPM) General Schedule (GS) wage rates for the rest of the United States as explained in item 15.</w:t>
      </w:r>
    </w:p>
    <w:p w:rsidR="0095595F" w14:paraId="73EE14E4" w14:textId="77777777">
      <w:pPr>
        <w:widowControl w:val="0"/>
        <w:tabs>
          <w:tab w:val="left" w:pos="820"/>
          <w:tab w:val="left" w:pos="821"/>
        </w:tabs>
        <w:spacing w:line="240" w:lineRule="auto"/>
        <w:ind w:left="720" w:right="195"/>
        <w:rPr>
          <w:rFonts w:ascii="Courier New" w:eastAsia="Courier New" w:hAnsi="Courier New" w:cs="Courier New"/>
          <w:sz w:val="24"/>
          <w:szCs w:val="24"/>
        </w:rPr>
      </w:pPr>
    </w:p>
    <w:p w:rsidR="0095595F" w14:paraId="0FA46405" w14:textId="77777777">
      <w:pPr>
        <w:widowControl w:val="0"/>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Additional supplemental documentation</w:t>
      </w:r>
      <w:r>
        <w:rPr>
          <w:rFonts w:ascii="Courier New" w:eastAsia="Courier New" w:hAnsi="Courier New" w:cs="Courier New"/>
          <w:sz w:val="24"/>
          <w:szCs w:val="24"/>
        </w:rPr>
        <w:t xml:space="preserve">: </w:t>
      </w:r>
    </w:p>
    <w:p w:rsidR="0095595F" w14:paraId="309DCA97" w14:textId="77777777">
      <w:pPr>
        <w:widowControl w:val="0"/>
        <w:tabs>
          <w:tab w:val="left" w:pos="820"/>
          <w:tab w:val="left" w:pos="821"/>
        </w:tabs>
        <w:spacing w:line="240" w:lineRule="auto"/>
        <w:ind w:left="720" w:right="195"/>
        <w:rPr>
          <w:rFonts w:ascii="Courier New" w:eastAsia="Courier New" w:hAnsi="Courier New" w:cs="Courier New"/>
          <w:sz w:val="24"/>
          <w:szCs w:val="24"/>
        </w:rPr>
      </w:pPr>
    </w:p>
    <w:p w:rsidR="0095595F" w14:paraId="3071D43B"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 xml:space="preserve">The Office of Management and Budget (OMB) </w:t>
      </w:r>
      <w:r>
        <w:rPr>
          <w:rFonts w:ascii="Courier New" w:eastAsia="Courier New" w:hAnsi="Courier New" w:cs="Courier New"/>
          <w:sz w:val="24"/>
          <w:szCs w:val="24"/>
        </w:rPr>
        <w:t>hosts</w:t>
      </w:r>
      <w:r>
        <w:rPr>
          <w:rFonts w:ascii="Courier New" w:eastAsia="Courier New" w:hAnsi="Courier New" w:cs="Courier New"/>
          <w:sz w:val="24"/>
          <w:szCs w:val="24"/>
        </w:rPr>
        <w:t xml:space="preserve"> the centralized survey portal at https://www.acquisition.gov/360 to ensure governmentwide access to the data. The voluntary survey is available at the public website where respondents will enter the Notice ID/Solicitation ID of the solicitation they wish to comment on, and then select their role in the procurement— Actual/Potential Offerors, Government Contracting Office, or Government Program Office (Customer). Based on the </w:t>
      </w:r>
      <w:r>
        <w:rPr>
          <w:rFonts w:ascii="Courier New" w:eastAsia="Courier New" w:hAnsi="Courier New" w:cs="Courier New"/>
          <w:sz w:val="24"/>
          <w:szCs w:val="24"/>
        </w:rPr>
        <w:t>role selected</w:t>
      </w:r>
      <w:r>
        <w:rPr>
          <w:rFonts w:ascii="Courier New" w:eastAsia="Courier New" w:hAnsi="Courier New" w:cs="Courier New"/>
          <w:sz w:val="24"/>
          <w:szCs w:val="24"/>
        </w:rPr>
        <w:t>, the respondent will be presented with a set of standardized su</w:t>
      </w:r>
      <w:r>
        <w:rPr>
          <w:rFonts w:ascii="Courier New" w:eastAsia="Courier New" w:hAnsi="Courier New" w:cs="Courier New"/>
          <w:sz w:val="24"/>
          <w:szCs w:val="24"/>
        </w:rPr>
        <w:t>rvey questions. Only the Actual/Potential Offerors portion is for public use and therefore, the only portion of the survey covered by this information collection. The survey responses will be overseen by the OMB project team (which is composed of members of the Office of Federal Procurement Policy (OFPP) and the General Services Administration (GSA) Office of Shared Solutions &amp; Performance Improvement).</w:t>
      </w:r>
    </w:p>
    <w:p w:rsidR="0095595F" w14:paraId="19E798F4" w14:textId="77777777">
      <w:pPr>
        <w:widowControl w:val="0"/>
        <w:tabs>
          <w:tab w:val="left" w:pos="820"/>
          <w:tab w:val="left" w:pos="821"/>
        </w:tabs>
        <w:spacing w:line="240" w:lineRule="auto"/>
        <w:ind w:left="720" w:right="195"/>
        <w:rPr>
          <w:rFonts w:ascii="Courier New" w:eastAsia="Courier New" w:hAnsi="Courier New" w:cs="Courier New"/>
          <w:sz w:val="24"/>
          <w:szCs w:val="24"/>
        </w:rPr>
      </w:pPr>
    </w:p>
    <w:p w:rsidR="0095595F" w14:paraId="64E380FC" w14:textId="77777777">
      <w:pPr>
        <w:widowControl w:val="0"/>
        <w:tabs>
          <w:tab w:val="left" w:pos="820"/>
          <w:tab w:val="left" w:pos="821"/>
        </w:tabs>
        <w:spacing w:line="240" w:lineRule="auto"/>
        <w:ind w:left="720" w:right="195"/>
        <w:rPr>
          <w:rFonts w:ascii="Courier New" w:eastAsia="Courier New" w:hAnsi="Courier New" w:cs="Courier New"/>
          <w:sz w:val="24"/>
          <w:szCs w:val="24"/>
        </w:rPr>
      </w:pPr>
      <w:r>
        <w:rPr>
          <w:rFonts w:ascii="Courier New" w:eastAsia="Courier New" w:hAnsi="Courier New" w:cs="Courier New"/>
          <w:sz w:val="24"/>
          <w:szCs w:val="24"/>
        </w:rPr>
        <w:t xml:space="preserve">This information collection is a common form. GSA is the sponsor agency of this common form. All executive agencies covered by the FAR will use this common </w:t>
      </w:r>
      <w:r>
        <w:rPr>
          <w:rFonts w:ascii="Courier New" w:eastAsia="Courier New" w:hAnsi="Courier New" w:cs="Courier New"/>
          <w:sz w:val="24"/>
          <w:szCs w:val="24"/>
        </w:rPr>
        <w:t>form, and</w:t>
      </w:r>
      <w:r>
        <w:rPr>
          <w:rFonts w:ascii="Courier New" w:eastAsia="Courier New" w:hAnsi="Courier New" w:cs="Courier New"/>
          <w:sz w:val="24"/>
          <w:szCs w:val="24"/>
        </w:rPr>
        <w:t xml:space="preserve"> report their agency burden separately.</w:t>
      </w:r>
    </w:p>
    <w:p w:rsidR="0095595F" w14:paraId="06D8342B" w14:textId="77777777">
      <w:pPr>
        <w:widowControl w:val="0"/>
        <w:spacing w:line="240" w:lineRule="auto"/>
        <w:rPr>
          <w:rFonts w:ascii="Courier New" w:eastAsia="Courier New" w:hAnsi="Courier New" w:cs="Courier New"/>
          <w:sz w:val="24"/>
          <w:szCs w:val="24"/>
        </w:rPr>
      </w:pPr>
    </w:p>
    <w:p w:rsidR="0095595F" w14:paraId="2F560953" w14:textId="77777777">
      <w:pPr>
        <w:widowControl w:val="0"/>
        <w:numPr>
          <w:ilvl w:val="0"/>
          <w:numId w:val="2"/>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Need &amp; Method for the Information Collection</w:t>
      </w:r>
      <w:r>
        <w:rPr>
          <w:rFonts w:ascii="Courier New" w:eastAsia="Courier New" w:hAnsi="Courier New" w:cs="Courier New"/>
          <w:sz w:val="24"/>
          <w:szCs w:val="24"/>
        </w:rPr>
        <w:t xml:space="preserve">. This clearance </w:t>
      </w:r>
      <w:r>
        <w:rPr>
          <w:rFonts w:ascii="Courier New" w:eastAsia="Courier New" w:hAnsi="Courier New" w:cs="Courier New"/>
          <w:sz w:val="24"/>
          <w:szCs w:val="24"/>
        </w:rPr>
        <w:t>covers the information that actual and potential offerors may submit in accordance with the following Federal Acquisition Regulation (FAR) requirement as stipulated in agency procedures:</w:t>
      </w:r>
    </w:p>
    <w:p w:rsidR="0095595F" w14:paraId="12B0755E" w14:textId="77777777">
      <w:pPr>
        <w:widowControl w:val="0"/>
        <w:tabs>
          <w:tab w:val="left" w:pos="360"/>
          <w:tab w:val="left" w:pos="630"/>
          <w:tab w:val="left" w:pos="720"/>
          <w:tab w:val="left" w:pos="1080"/>
        </w:tabs>
        <w:spacing w:line="240" w:lineRule="auto"/>
        <w:ind w:left="360"/>
        <w:rPr>
          <w:rFonts w:ascii="Courier New" w:eastAsia="Courier New" w:hAnsi="Courier New" w:cs="Courier New"/>
          <w:sz w:val="24"/>
          <w:szCs w:val="24"/>
        </w:rPr>
      </w:pPr>
    </w:p>
    <w:p w:rsidR="0095595F" w14:paraId="1693642D" w14:textId="77777777">
      <w:pPr>
        <w:widowControl w:val="0"/>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FAR 52.201-1, Acquisition 360: Voluntary Survey. This provision encourages actual and potential offerors to provide feedback to agencies on their </w:t>
      </w:r>
      <w:r>
        <w:rPr>
          <w:rFonts w:ascii="Courier New" w:eastAsia="Courier New" w:hAnsi="Courier New" w:cs="Courier New"/>
          <w:sz w:val="24"/>
          <w:szCs w:val="24"/>
        </w:rPr>
        <w:t>preaward</w:t>
      </w:r>
      <w:r>
        <w:rPr>
          <w:rFonts w:ascii="Courier New" w:eastAsia="Courier New" w:hAnsi="Courier New" w:cs="Courier New"/>
          <w:sz w:val="24"/>
          <w:szCs w:val="24"/>
        </w:rPr>
        <w:t xml:space="preserve"> and debriefing process using a </w:t>
      </w:r>
      <w:r>
        <w:rPr>
          <w:rFonts w:ascii="Courier New" w:eastAsia="Courier New" w:hAnsi="Courier New" w:cs="Courier New"/>
          <w:sz w:val="24"/>
          <w:szCs w:val="24"/>
        </w:rPr>
        <w:t>Government</w:t>
      </w:r>
      <w:r>
        <w:rPr>
          <w:rFonts w:ascii="Courier New" w:eastAsia="Courier New" w:hAnsi="Courier New" w:cs="Courier New"/>
          <w:sz w:val="24"/>
          <w:szCs w:val="24"/>
        </w:rPr>
        <w:t>-provided survey at https://www.acquisition.gov/360. (See the survey questions Attachment.)</w:t>
      </w:r>
    </w:p>
    <w:p w:rsidR="0095595F" w14:paraId="2F76E1B3" w14:textId="77777777">
      <w:pPr>
        <w:spacing w:line="240" w:lineRule="auto"/>
        <w:rPr>
          <w:rFonts w:ascii="Courier New" w:eastAsia="Courier New" w:hAnsi="Courier New" w:cs="Courier New"/>
          <w:sz w:val="24"/>
          <w:szCs w:val="24"/>
          <w:u w:val="single"/>
        </w:rPr>
      </w:pPr>
    </w:p>
    <w:p w:rsidR="0095595F" w14:paraId="7EBD5136" w14:textId="77777777">
      <w:pPr>
        <w:widowControl w:val="0"/>
        <w:numPr>
          <w:ilvl w:val="0"/>
          <w:numId w:val="2"/>
        </w:numPr>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Use of the Information</w:t>
      </w:r>
      <w:r>
        <w:rPr>
          <w:rFonts w:ascii="Courier New" w:eastAsia="Courier New" w:hAnsi="Courier New" w:cs="Courier New"/>
          <w:sz w:val="24"/>
          <w:szCs w:val="24"/>
        </w:rPr>
        <w:t xml:space="preserve">. The purpose of the Acquisition 360 Survey is to standardize the gathering of feedback regarding </w:t>
      </w:r>
      <w:r>
        <w:rPr>
          <w:rFonts w:ascii="Courier New" w:eastAsia="Courier New" w:hAnsi="Courier New" w:cs="Courier New"/>
          <w:sz w:val="24"/>
          <w:szCs w:val="24"/>
        </w:rPr>
        <w:t>preaward</w:t>
      </w:r>
      <w:r>
        <w:rPr>
          <w:rFonts w:ascii="Courier New" w:eastAsia="Courier New" w:hAnsi="Courier New" w:cs="Courier New"/>
          <w:sz w:val="24"/>
          <w:szCs w:val="24"/>
        </w:rPr>
        <w:t xml:space="preserve"> and debriefing actions so that agencies can continually consider and improve their performance in early vendor engagement efforts and internal acquisition practices. Standardized feedback will provide more meaningful insight </w:t>
      </w:r>
      <w:r>
        <w:rPr>
          <w:rFonts w:ascii="Courier New" w:eastAsia="Courier New" w:hAnsi="Courier New" w:cs="Courier New"/>
          <w:sz w:val="24"/>
          <w:szCs w:val="24"/>
        </w:rPr>
        <w:t>on</w:t>
      </w:r>
      <w:r>
        <w:rPr>
          <w:rFonts w:ascii="Courier New" w:eastAsia="Courier New" w:hAnsi="Courier New" w:cs="Courier New"/>
          <w:sz w:val="24"/>
          <w:szCs w:val="24"/>
        </w:rPr>
        <w:t xml:space="preserve"> ways to strengthen the contracting process than feedback derived from ad hoc or periodic agency satisfaction surveys.</w:t>
      </w:r>
    </w:p>
    <w:p w:rsidR="0095595F" w14:paraId="3FE185DE" w14:textId="77777777">
      <w:pPr>
        <w:widowControl w:val="0"/>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 responses to the surveys are intended to be used by agency Chief Acquisition Officers, Senior Procurement Executives, vendor engagement officials, and other appropriate agency leaders to strengthen their agency acquisition practices. Additionally, the OMB project team will link the Notice ID/Solicitation ID provided from all survey responses to the associated award data in SAM.gov to provide numerous data points on the procurements including contracting office, amount, product/service acquired, and cont</w:t>
      </w:r>
      <w:r>
        <w:rPr>
          <w:rFonts w:ascii="Courier New" w:eastAsia="Courier New" w:hAnsi="Courier New" w:cs="Courier New"/>
          <w:sz w:val="24"/>
          <w:szCs w:val="24"/>
        </w:rPr>
        <w:t xml:space="preserve">ract type. The resulting information can assist OFPP and the agencies in identifying trends and areas to expand guidance, education, and outreach efforts. </w:t>
      </w:r>
    </w:p>
    <w:p w:rsidR="0095595F" w14:paraId="49D97C3A" w14:textId="77777777">
      <w:pPr>
        <w:widowControl w:val="0"/>
        <w:tabs>
          <w:tab w:val="left" w:pos="360"/>
          <w:tab w:val="left" w:pos="63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Additionally, the responses to the voluntary survey by small businesses may provide insights into the difficulties faced by </w:t>
      </w:r>
      <w:r>
        <w:rPr>
          <w:rFonts w:ascii="Courier New" w:eastAsia="Courier New" w:hAnsi="Courier New" w:cs="Courier New"/>
          <w:sz w:val="24"/>
          <w:szCs w:val="24"/>
        </w:rPr>
        <w:t>small disadvantaged</w:t>
      </w:r>
      <w:r>
        <w:rPr>
          <w:rFonts w:ascii="Courier New" w:eastAsia="Courier New" w:hAnsi="Courier New" w:cs="Courier New"/>
          <w:sz w:val="24"/>
          <w:szCs w:val="24"/>
        </w:rPr>
        <w:t xml:space="preserve"> businesses in the </w:t>
      </w:r>
      <w:r>
        <w:rPr>
          <w:rFonts w:ascii="Courier New" w:eastAsia="Courier New" w:hAnsi="Courier New" w:cs="Courier New"/>
          <w:sz w:val="24"/>
          <w:szCs w:val="24"/>
        </w:rPr>
        <w:t>preaward</w:t>
      </w:r>
      <w:r>
        <w:rPr>
          <w:rFonts w:ascii="Courier New" w:eastAsia="Courier New" w:hAnsi="Courier New" w:cs="Courier New"/>
          <w:sz w:val="24"/>
          <w:szCs w:val="24"/>
        </w:rPr>
        <w:t xml:space="preserve"> phase of the acquisition lifecycle. OFPP and agencies can use this information to support efforts to increase the share of </w:t>
      </w:r>
      <w:r>
        <w:rPr>
          <w:rFonts w:ascii="Courier New" w:eastAsia="Courier New" w:hAnsi="Courier New" w:cs="Courier New"/>
          <w:sz w:val="24"/>
          <w:szCs w:val="24"/>
        </w:rPr>
        <w:t>awarded contracts</w:t>
      </w:r>
      <w:r>
        <w:rPr>
          <w:rFonts w:ascii="Courier New" w:eastAsia="Courier New" w:hAnsi="Courier New" w:cs="Courier New"/>
          <w:sz w:val="24"/>
          <w:szCs w:val="24"/>
        </w:rPr>
        <w:t xml:space="preserve"> to </w:t>
      </w:r>
      <w:r>
        <w:rPr>
          <w:rFonts w:ascii="Courier New" w:eastAsia="Courier New" w:hAnsi="Courier New" w:cs="Courier New"/>
          <w:sz w:val="24"/>
          <w:szCs w:val="24"/>
        </w:rPr>
        <w:t>small disadvantaged</w:t>
      </w:r>
      <w:r>
        <w:rPr>
          <w:rFonts w:ascii="Courier New" w:eastAsia="Courier New" w:hAnsi="Courier New" w:cs="Courier New"/>
          <w:sz w:val="24"/>
          <w:szCs w:val="24"/>
        </w:rPr>
        <w:t xml:space="preserve"> businesses. </w:t>
      </w:r>
    </w:p>
    <w:p w:rsidR="0095595F" w14:paraId="377F8A19" w14:textId="77777777">
      <w:pPr>
        <w:widowControl w:val="0"/>
        <w:tabs>
          <w:tab w:val="left" w:pos="360"/>
          <w:tab w:val="left" w:pos="630"/>
          <w:tab w:val="left" w:pos="720"/>
          <w:tab w:val="left" w:pos="1080"/>
        </w:tabs>
        <w:spacing w:line="240" w:lineRule="auto"/>
        <w:rPr>
          <w:rFonts w:ascii="Courier New" w:eastAsia="Courier New" w:hAnsi="Courier New" w:cs="Courier New"/>
          <w:sz w:val="24"/>
          <w:szCs w:val="24"/>
          <w:highlight w:val="yellow"/>
        </w:rPr>
      </w:pPr>
      <w:r>
        <w:rPr>
          <w:rFonts w:ascii="Courier New" w:eastAsia="Courier New" w:hAnsi="Courier New" w:cs="Courier New"/>
          <w:b/>
          <w:bCs/>
          <w:sz w:val="24"/>
          <w:szCs w:val="24"/>
          <w:u w:val="single"/>
        </w:rPr>
        <w:t>Terms of clearance for use of the information if it is publicized</w:t>
      </w:r>
      <w:r>
        <w:rPr>
          <w:rFonts w:ascii="Courier New" w:eastAsia="Courier New" w:hAnsi="Courier New" w:cs="Courier New"/>
          <w:sz w:val="24"/>
          <w:szCs w:val="24"/>
        </w:rPr>
        <w:t>: Before public release of any of the data associated with this collection, the OMB project team will submit the materials for the OMB Office of Information and Regulatory Affairs’ review.</w:t>
      </w:r>
    </w:p>
    <w:p w:rsidR="0095595F" w14:paraId="32E1B06F" w14:textId="77777777">
      <w:pPr>
        <w:spacing w:line="240" w:lineRule="auto"/>
        <w:rPr>
          <w:rFonts w:ascii="Courier New" w:eastAsia="Courier New" w:hAnsi="Courier New" w:cs="Courier New"/>
          <w:sz w:val="24"/>
          <w:szCs w:val="24"/>
          <w:u w:val="single"/>
        </w:rPr>
      </w:pPr>
      <w:r>
        <w:rPr>
          <w:rFonts w:ascii="Courier New" w:eastAsia="Courier New" w:hAnsi="Courier New" w:cs="Courier New"/>
          <w:color w:val="FF0000"/>
          <w:sz w:val="24"/>
          <w:szCs w:val="24"/>
        </w:rPr>
        <w:t> </w:t>
      </w:r>
    </w:p>
    <w:p w:rsidR="0095595F" w14:paraId="173A5384"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Use of Information Technology</w:t>
      </w:r>
      <w:r>
        <w:rPr>
          <w:rFonts w:ascii="Courier New" w:eastAsia="Courier New" w:hAnsi="Courier New" w:cs="Courier New"/>
          <w:sz w:val="24"/>
          <w:szCs w:val="24"/>
        </w:rPr>
        <w:t xml:space="preserve">. Federal agencies use information technology to the maximum extent practicable. The voluntary survey responses will be captured via the centralized survey portal at https://www.acquisition.gov/360.  </w:t>
      </w:r>
    </w:p>
    <w:p w:rsidR="0095595F" w14:paraId="33A2A37B" w14:textId="77777777">
      <w:pPr>
        <w:widowControl w:val="0"/>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p>
    <w:p w:rsidR="0095595F" w14:paraId="016665D4" w14:textId="77777777">
      <w:pPr>
        <w:widowControl w:val="0"/>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Efforts have been made to reduce the burden of the Acquisition 360 Survey throughout its development. Only the Notice ID/Solicitation ID will be required; the Product Service Code and Activity Address Code will be linked via publicly available information in procurement data </w:t>
      </w:r>
      <w:r>
        <w:rPr>
          <w:rFonts w:ascii="Courier New" w:eastAsia="Courier New" w:hAnsi="Courier New" w:cs="Courier New"/>
          <w:sz w:val="24"/>
          <w:szCs w:val="24"/>
        </w:rPr>
        <w:t>in</w:t>
      </w:r>
      <w:r>
        <w:rPr>
          <w:rFonts w:ascii="Courier New" w:eastAsia="Courier New" w:hAnsi="Courier New" w:cs="Courier New"/>
          <w:sz w:val="24"/>
          <w:szCs w:val="24"/>
        </w:rPr>
        <w:t xml:space="preserve"> SAM.gov. Additionally, the question set provided to the respondent is based on the role selected (waterfall approach); removing the need for users to view irrelevant questions. Additionally, there is an option for “Not Applicable” for each question, so respondents are not obligated to respond to questions that are irrelevant to their experience. While the survey is designed to only require one offeror response per solicitation, offerors may take the survey for as many solicitations as they choose. The su</w:t>
      </w:r>
      <w:r>
        <w:rPr>
          <w:rFonts w:ascii="Courier New" w:eastAsia="Courier New" w:hAnsi="Courier New" w:cs="Courier New"/>
          <w:sz w:val="24"/>
          <w:szCs w:val="24"/>
        </w:rPr>
        <w:t>rvey responses will utilize the Qualtrics application, and the data will be stored on a SQL server within the Data to Decisions (D2D) platform at GSA.</w:t>
      </w:r>
    </w:p>
    <w:p w:rsidR="0095595F" w14:paraId="505D15B6"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1E16BA97"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Non-duplication</w:t>
      </w:r>
      <w:r>
        <w:rPr>
          <w:rFonts w:ascii="Courier New" w:eastAsia="Courier New" w:hAnsi="Courier New" w:cs="Courier New"/>
          <w:sz w:val="24"/>
          <w:szCs w:val="24"/>
        </w:rPr>
        <w:t>. These requirements are issued under the FAR, which has been developed to standardize Federal procurement practices and eliminate unnecessary duplication.</w:t>
      </w:r>
    </w:p>
    <w:p w:rsidR="0095595F" w14:paraId="6900FF21"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664891BE"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Burden on Small Business</w:t>
      </w:r>
      <w:r>
        <w:rPr>
          <w:rFonts w:ascii="Courier New" w:eastAsia="Courier New" w:hAnsi="Courier New" w:cs="Courier New"/>
          <w:sz w:val="24"/>
          <w:szCs w:val="24"/>
        </w:rPr>
        <w:t>. The burden applied to small businesses is the minimum consistent with applicable laws, Executive orders, regulations, and prudent business practices.</w:t>
      </w:r>
    </w:p>
    <w:p w:rsidR="0095595F" w14:paraId="090C106D"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2EDED661"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Less Frequent Collection</w:t>
      </w:r>
      <w:r>
        <w:rPr>
          <w:rFonts w:ascii="Courier New" w:eastAsia="Courier New" w:hAnsi="Courier New" w:cs="Courier New"/>
          <w:sz w:val="24"/>
          <w:szCs w:val="24"/>
        </w:rPr>
        <w:t>. If the Acquisition 360 Survey is not conducted or conducted less frequently, agencies would continue to elicit feedback using various other methods, however, these other methods would not accomplish the standardization objectives of the Acquisition 360 Survey or allow for cross agency analysis.</w:t>
      </w:r>
    </w:p>
    <w:p w:rsidR="0095595F" w14:paraId="35D3043B" w14:textId="77777777">
      <w:pPr>
        <w:spacing w:line="240" w:lineRule="auto"/>
        <w:rPr>
          <w:rFonts w:ascii="Courier New" w:eastAsia="Courier New" w:hAnsi="Courier New" w:cs="Courier New"/>
          <w:sz w:val="24"/>
          <w:szCs w:val="24"/>
        </w:rPr>
      </w:pPr>
    </w:p>
    <w:p w:rsidR="0095595F" w14:paraId="7B561FBA"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Paperwork Reduction Act Guidelines</w:t>
      </w:r>
      <w:r>
        <w:rPr>
          <w:rFonts w:ascii="Courier New" w:eastAsia="Courier New" w:hAnsi="Courier New" w:cs="Courier New"/>
          <w:sz w:val="24"/>
          <w:szCs w:val="24"/>
        </w:rPr>
        <w:t xml:space="preserve">. Collection is consistent with guidelines in 5 CFR 1320.5(d)(2). The Acquisition 360 Survey results are not intended to be generalizable to all actual and potential </w:t>
      </w:r>
      <w:r>
        <w:rPr>
          <w:rFonts w:ascii="Courier New" w:eastAsia="Courier New" w:hAnsi="Courier New" w:cs="Courier New"/>
          <w:sz w:val="24"/>
          <w:szCs w:val="24"/>
        </w:rPr>
        <w:t>offerors, but</w:t>
      </w:r>
      <w:r>
        <w:rPr>
          <w:rFonts w:ascii="Courier New" w:eastAsia="Courier New" w:hAnsi="Courier New" w:cs="Courier New"/>
          <w:sz w:val="24"/>
          <w:szCs w:val="24"/>
        </w:rPr>
        <w:t xml:space="preserve"> used to gain insight into experiences when competing for government contracts or to identify areas where further research or analysis is needed.</w:t>
      </w:r>
    </w:p>
    <w:p w:rsidR="0095595F" w14:paraId="320C09AC" w14:textId="77777777">
      <w:pPr>
        <w:widowControl w:val="0"/>
        <w:tabs>
          <w:tab w:val="left" w:pos="360"/>
          <w:tab w:val="left" w:pos="720"/>
          <w:tab w:val="left" w:pos="1080"/>
          <w:tab w:val="left" w:pos="1440"/>
        </w:tabs>
        <w:spacing w:line="240" w:lineRule="auto"/>
        <w:ind w:left="360"/>
        <w:rPr>
          <w:rFonts w:ascii="Courier New" w:eastAsia="Courier New" w:hAnsi="Courier New" w:cs="Courier New"/>
          <w:sz w:val="24"/>
          <w:szCs w:val="24"/>
        </w:rPr>
      </w:pPr>
    </w:p>
    <w:p w:rsidR="0095595F" w14:paraId="12DBE2EE"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Consultation and Public Comments.</w:t>
      </w:r>
    </w:p>
    <w:p w:rsidR="0095595F" w14:paraId="189D76F7" w14:textId="77777777">
      <w:pPr>
        <w:widowControl w:val="0"/>
        <w:numPr>
          <w:ilvl w:val="0"/>
          <w:numId w:val="3"/>
        </w:numPr>
        <w:tabs>
          <w:tab w:val="left" w:pos="360"/>
          <w:tab w:val="left" w:pos="720"/>
          <w:tab w:val="left" w:pos="1080"/>
          <w:tab w:val="left" w:pos="1440"/>
        </w:tabs>
        <w:spacing w:line="240" w:lineRule="auto"/>
        <w:ind w:right="183"/>
        <w:rPr>
          <w:rFonts w:ascii="Courier New" w:eastAsia="Courier New" w:hAnsi="Courier New" w:cs="Courier New"/>
          <w:sz w:val="24"/>
          <w:szCs w:val="24"/>
        </w:rPr>
      </w:pPr>
      <w:r>
        <w:rPr>
          <w:rFonts w:ascii="Courier New" w:eastAsia="Courier New" w:hAnsi="Courier New" w:cs="Courier New"/>
          <w:sz w:val="24"/>
          <w:szCs w:val="24"/>
        </w:rPr>
        <w:t xml:space="preserve">A 60-day notice was published in the </w:t>
      </w:r>
      <w:r>
        <w:rPr>
          <w:rFonts w:ascii="Courier New" w:eastAsia="Courier New" w:hAnsi="Courier New" w:cs="Courier New"/>
          <w:i/>
          <w:iCs/>
          <w:sz w:val="24"/>
          <w:szCs w:val="24"/>
        </w:rPr>
        <w:t>Federal Register</w:t>
      </w:r>
      <w:r>
        <w:rPr>
          <w:rFonts w:ascii="Courier New" w:eastAsia="Courier New" w:hAnsi="Courier New" w:cs="Courier New"/>
          <w:sz w:val="24"/>
          <w:szCs w:val="24"/>
        </w:rPr>
        <w:t xml:space="preserve"> at 91 FR 27339, on May 14, 2026. No comments were received. </w:t>
      </w:r>
    </w:p>
    <w:p w:rsidR="0095595F" w14:paraId="6BE9A58A" w14:textId="77777777">
      <w:pPr>
        <w:widowControl w:val="0"/>
        <w:tabs>
          <w:tab w:val="left" w:pos="360"/>
          <w:tab w:val="left" w:pos="720"/>
          <w:tab w:val="left" w:pos="1080"/>
          <w:tab w:val="left" w:pos="1440"/>
        </w:tabs>
        <w:spacing w:line="240" w:lineRule="auto"/>
        <w:ind w:left="720" w:right="183"/>
        <w:rPr>
          <w:rFonts w:ascii="Courier New" w:eastAsia="Courier New" w:hAnsi="Courier New" w:cs="Courier New"/>
          <w:sz w:val="24"/>
          <w:szCs w:val="24"/>
        </w:rPr>
      </w:pPr>
    </w:p>
    <w:p w:rsidR="0095595F" w:rsidRPr="005C74CE" w14:paraId="7D8087BB" w14:textId="1BC8B4A2">
      <w:pPr>
        <w:widowControl w:val="0"/>
        <w:numPr>
          <w:ilvl w:val="0"/>
          <w:numId w:val="3"/>
        </w:numPr>
        <w:tabs>
          <w:tab w:val="left" w:pos="360"/>
          <w:tab w:val="left" w:pos="720"/>
          <w:tab w:val="left" w:pos="1080"/>
          <w:tab w:val="left" w:pos="1440"/>
        </w:tabs>
        <w:spacing w:line="240" w:lineRule="auto"/>
        <w:ind w:right="183"/>
        <w:rPr>
          <w:rFonts w:ascii="Courier New" w:eastAsia="Courier New" w:hAnsi="Courier New" w:cs="Courier New"/>
          <w:sz w:val="24"/>
          <w:szCs w:val="24"/>
        </w:rPr>
      </w:pPr>
      <w:r w:rsidRPr="005C74CE">
        <w:rPr>
          <w:rFonts w:ascii="Courier New" w:eastAsia="Courier New" w:hAnsi="Courier New" w:cs="Courier New"/>
          <w:sz w:val="24"/>
          <w:szCs w:val="24"/>
        </w:rPr>
        <w:t xml:space="preserve">A 30-day notice was published in the </w:t>
      </w:r>
      <w:r w:rsidRPr="005C74CE">
        <w:rPr>
          <w:rFonts w:ascii="Courier New" w:eastAsia="Courier New" w:hAnsi="Courier New" w:cs="Courier New"/>
          <w:i/>
          <w:iCs/>
          <w:sz w:val="24"/>
          <w:szCs w:val="24"/>
        </w:rPr>
        <w:t>Federal Register</w:t>
      </w:r>
      <w:r w:rsidRPr="005C74CE">
        <w:rPr>
          <w:rFonts w:ascii="Courier New" w:eastAsia="Courier New" w:hAnsi="Courier New" w:cs="Courier New"/>
          <w:sz w:val="24"/>
          <w:szCs w:val="24"/>
        </w:rPr>
        <w:t xml:space="preserve"> </w:t>
      </w:r>
      <w:r w:rsidRPr="005C74CE">
        <w:rPr>
          <w:rFonts w:ascii="Courier New" w:eastAsia="Courier New" w:hAnsi="Courier New" w:cs="Courier New"/>
          <w:sz w:val="24"/>
          <w:szCs w:val="24"/>
        </w:rPr>
        <w:t>at</w:t>
      </w:r>
      <w:r w:rsidRPr="005C74CE">
        <w:rPr>
          <w:rFonts w:ascii="Courier New" w:eastAsia="Courier New" w:hAnsi="Courier New" w:cs="Courier New"/>
          <w:sz w:val="24"/>
          <w:szCs w:val="24"/>
        </w:rPr>
        <w:t xml:space="preserve"> </w:t>
      </w:r>
      <w:r w:rsidRPr="005C74CE" w:rsidR="005C74CE">
        <w:rPr>
          <w:rFonts w:ascii="Courier New" w:eastAsia="Courier New" w:hAnsi="Courier New" w:cs="Courier New"/>
          <w:sz w:val="24"/>
          <w:szCs w:val="24"/>
        </w:rPr>
        <w:t>91</w:t>
      </w:r>
      <w:r w:rsidRPr="005C74CE">
        <w:rPr>
          <w:rFonts w:ascii="Courier New" w:eastAsia="Courier New" w:hAnsi="Courier New" w:cs="Courier New"/>
          <w:sz w:val="24"/>
          <w:szCs w:val="24"/>
        </w:rPr>
        <w:t xml:space="preserve"> FR </w:t>
      </w:r>
      <w:r w:rsidRPr="005C74CE" w:rsidR="005C74CE">
        <w:rPr>
          <w:rFonts w:ascii="Courier New" w:eastAsia="Courier New" w:hAnsi="Courier New" w:cs="Courier New"/>
          <w:sz w:val="24"/>
          <w:szCs w:val="24"/>
        </w:rPr>
        <w:t>62516</w:t>
      </w:r>
      <w:r w:rsidRPr="005C74CE">
        <w:rPr>
          <w:rFonts w:ascii="Courier New" w:eastAsia="Courier New" w:hAnsi="Courier New" w:cs="Courier New"/>
          <w:sz w:val="24"/>
          <w:szCs w:val="24"/>
        </w:rPr>
        <w:t xml:space="preserve">, on </w:t>
      </w:r>
      <w:r w:rsidRPr="005C74CE" w:rsidR="005C74CE">
        <w:rPr>
          <w:rFonts w:ascii="Courier New" w:eastAsia="Courier New" w:hAnsi="Courier New" w:cs="Courier New"/>
          <w:sz w:val="24"/>
          <w:szCs w:val="24"/>
        </w:rPr>
        <w:t>October 1, 2026</w:t>
      </w:r>
      <w:r w:rsidRPr="005C74CE">
        <w:rPr>
          <w:rFonts w:ascii="Courier New" w:eastAsia="Courier New" w:hAnsi="Courier New" w:cs="Courier New"/>
          <w:sz w:val="24"/>
          <w:szCs w:val="24"/>
        </w:rPr>
        <w:t>.</w:t>
      </w:r>
    </w:p>
    <w:p w:rsidR="0095595F" w:rsidRPr="005C74CE" w14:paraId="46E400A7"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33F9D9EA"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Gifts or Payment</w:t>
      </w:r>
      <w:r>
        <w:rPr>
          <w:rFonts w:ascii="Courier New" w:eastAsia="Courier New" w:hAnsi="Courier New" w:cs="Courier New"/>
          <w:sz w:val="24"/>
          <w:szCs w:val="24"/>
        </w:rPr>
        <w:t>. This collection does not provide any payment or gift to respondents.</w:t>
      </w:r>
    </w:p>
    <w:p w:rsidR="0095595F" w14:paraId="1329B848" w14:textId="77777777">
      <w:pPr>
        <w:widowControl w:val="0"/>
        <w:tabs>
          <w:tab w:val="left" w:pos="360"/>
          <w:tab w:val="left" w:pos="720"/>
          <w:tab w:val="left" w:pos="820"/>
          <w:tab w:val="left" w:pos="821"/>
          <w:tab w:val="left" w:pos="1080"/>
          <w:tab w:val="left" w:pos="1440"/>
        </w:tabs>
        <w:spacing w:line="240" w:lineRule="auto"/>
        <w:ind w:left="720" w:right="183"/>
        <w:rPr>
          <w:rFonts w:ascii="Courier New" w:eastAsia="Courier New" w:hAnsi="Courier New" w:cs="Courier New"/>
          <w:color w:val="0000FF"/>
          <w:sz w:val="24"/>
          <w:szCs w:val="24"/>
        </w:rPr>
      </w:pPr>
    </w:p>
    <w:p w:rsidR="0095595F" w14:paraId="428F6691"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Privacy &amp; Confidentiality</w:t>
      </w:r>
      <w:r>
        <w:rPr>
          <w:rFonts w:ascii="Courier New" w:eastAsia="Courier New" w:hAnsi="Courier New" w:cs="Courier New"/>
          <w:sz w:val="24"/>
          <w:szCs w:val="24"/>
        </w:rPr>
        <w:t>. This information is disclosed only to the extent consistent with prudent business practices, current regulations, and statutory requirements. The Acquisition 360 Survey does not request any personally identifiable information and asks respondents to refrain from entering any information which could identify themselves or any other individuals in the open response fields. There will be no effort to identify responses to specific entities. No proprietary information is necessary to respond to the survey que</w:t>
      </w:r>
      <w:r>
        <w:rPr>
          <w:rFonts w:ascii="Courier New" w:eastAsia="Courier New" w:hAnsi="Courier New" w:cs="Courier New"/>
          <w:sz w:val="24"/>
          <w:szCs w:val="24"/>
        </w:rPr>
        <w:t>stions. The survey responses will have a delayed posting to minimize the risk of the responses influencing ongoing procurements.</w:t>
      </w:r>
    </w:p>
    <w:p w:rsidR="0095595F" w14:paraId="125E9C4D"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529EDE5C" w14:textId="77777777">
      <w:pPr>
        <w:widowControl w:val="0"/>
        <w:tabs>
          <w:tab w:val="left" w:pos="360"/>
          <w:tab w:val="left" w:pos="720"/>
          <w:tab w:val="left" w:pos="1080"/>
          <w:tab w:val="left" w:pos="144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Privacy</w:t>
      </w:r>
    </w:p>
    <w:p w:rsidR="0095595F" w14:paraId="33C54597"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Acquisition 360 Survey is subject to the Privacy Act of 1974. The </w:t>
      </w:r>
      <w:r>
        <w:rPr>
          <w:rFonts w:ascii="Courier New" w:eastAsia="Courier New" w:hAnsi="Courier New" w:cs="Courier New"/>
          <w:sz w:val="24"/>
          <w:szCs w:val="24"/>
        </w:rPr>
        <w:t>below System of Records Notice (SORN) and Privacy Impact Assessment</w:t>
      </w:r>
      <w:r>
        <w:rPr>
          <w:rFonts w:ascii="Courier New" w:eastAsia="Courier New" w:hAnsi="Courier New" w:cs="Courier New"/>
          <w:sz w:val="24"/>
          <w:szCs w:val="24"/>
        </w:rPr>
        <w:t xml:space="preserve"> cover the data linked to survey responses:</w:t>
      </w:r>
    </w:p>
    <w:p w:rsidR="0095595F" w14:paraId="320B875A"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System</w:t>
      </w:r>
      <w:r>
        <w:rPr>
          <w:rFonts w:ascii="Courier New" w:eastAsia="Courier New" w:hAnsi="Courier New" w:cs="Courier New"/>
          <w:sz w:val="24"/>
          <w:szCs w:val="24"/>
        </w:rPr>
        <w:t xml:space="preserve"> for Award Management (SAM.gov)</w:t>
      </w:r>
    </w:p>
    <w:p w:rsidR="0095595F" w14:paraId="7F5444D5" w14:textId="77777777">
      <w:pPr>
        <w:widowControl w:val="0"/>
        <w:tabs>
          <w:tab w:val="left" w:pos="360"/>
          <w:tab w:val="left" w:pos="720"/>
          <w:tab w:val="left" w:pos="1080"/>
          <w:tab w:val="left" w:pos="1440"/>
        </w:tabs>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o   SORN ID: GSA/GOVT-9</w:t>
      </w:r>
    </w:p>
    <w:p w:rsidR="0095595F" w14:paraId="5EE1A7F9" w14:textId="77777777">
      <w:pPr>
        <w:widowControl w:val="0"/>
        <w:tabs>
          <w:tab w:val="left" w:pos="360"/>
          <w:tab w:val="left" w:pos="720"/>
          <w:tab w:val="left" w:pos="1080"/>
          <w:tab w:val="left" w:pos="1440"/>
        </w:tabs>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o   Privacy Impact Assessment (PIA) dated 5 April 2024, https://www.gsa.gov/system/files/System-for-Award-Management%28SAM%29_PIA_April2024.pdf</w:t>
      </w:r>
    </w:p>
    <w:p w:rsidR="0095595F" w14:paraId="11F5DA65" w14:textId="77777777">
      <w:pPr>
        <w:widowControl w:val="0"/>
        <w:tabs>
          <w:tab w:val="left" w:pos="360"/>
          <w:tab w:val="left" w:pos="720"/>
          <w:tab w:val="left" w:pos="1080"/>
          <w:tab w:val="left" w:pos="1440"/>
        </w:tabs>
        <w:spacing w:line="240" w:lineRule="auto"/>
        <w:ind w:left="360"/>
        <w:rPr>
          <w:rFonts w:ascii="Courier New" w:eastAsia="Courier New" w:hAnsi="Courier New" w:cs="Courier New"/>
          <w:sz w:val="24"/>
          <w:szCs w:val="24"/>
        </w:rPr>
      </w:pPr>
      <w:r>
        <w:rPr>
          <w:rFonts w:ascii="Courier New" w:eastAsia="Courier New" w:hAnsi="Courier New" w:cs="Courier New"/>
          <w:sz w:val="24"/>
          <w:szCs w:val="24"/>
        </w:rPr>
        <w:t xml:space="preserve"> </w:t>
      </w:r>
    </w:p>
    <w:p w:rsidR="0095595F" w14:paraId="1FC80D7D" w14:textId="77777777">
      <w:pPr>
        <w:widowControl w:val="0"/>
        <w:tabs>
          <w:tab w:val="left" w:pos="360"/>
          <w:tab w:val="left" w:pos="720"/>
          <w:tab w:val="left" w:pos="1080"/>
          <w:tab w:val="left" w:pos="144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Assurance of Privacy</w:t>
      </w:r>
    </w:p>
    <w:p w:rsidR="0095595F" w14:paraId="58BA421C"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There is no assurance of privacy or confidentiality, the survey asks that respondents refrain from entering any information which could identify themselves or any other individuals in the open response fields to help maintain anonymity. No virtual tokens are used to invite or document respondents.</w:t>
      </w:r>
    </w:p>
    <w:p w:rsidR="0095595F" w14:paraId="7C8713DF"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65123AD6" w14:textId="77777777">
      <w:pPr>
        <w:widowControl w:val="0"/>
        <w:tabs>
          <w:tab w:val="left" w:pos="360"/>
          <w:tab w:val="left" w:pos="720"/>
          <w:tab w:val="left" w:pos="1080"/>
          <w:tab w:val="left" w:pos="144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Data Security and Monitoring</w:t>
      </w:r>
    </w:p>
    <w:p w:rsidR="0095595F" w14:paraId="07680215"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 Acquisition 360 Survey data will be monitored for the number of responses to related procurements and saboteurs/bad actors—none of which were encountered during the previous iterations of the survey. Decisions around improving policy implementation and training will be made based on the identification of trends that are fully investigated and researched. The system portal where the responses to the survey will be </w:t>
      </w:r>
      <w:r>
        <w:rPr>
          <w:rFonts w:ascii="Courier New" w:eastAsia="Courier New" w:hAnsi="Courier New" w:cs="Courier New"/>
          <w:sz w:val="24"/>
          <w:szCs w:val="24"/>
        </w:rPr>
        <w:t>held,</w:t>
      </w:r>
      <w:r>
        <w:rPr>
          <w:rFonts w:ascii="Courier New" w:eastAsia="Courier New" w:hAnsi="Courier New" w:cs="Courier New"/>
          <w:sz w:val="24"/>
          <w:szCs w:val="24"/>
        </w:rPr>
        <w:t xml:space="preserve"> has a plan and processes for data security.</w:t>
      </w:r>
    </w:p>
    <w:p w:rsidR="0095595F" w14:paraId="3C24870B"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p>
    <w:p w:rsidR="0095595F" w14:paraId="605D794D" w14:textId="77777777">
      <w:pPr>
        <w:widowControl w:val="0"/>
        <w:tabs>
          <w:tab w:val="left" w:pos="360"/>
          <w:tab w:val="left" w:pos="720"/>
          <w:tab w:val="left" w:pos="1080"/>
          <w:tab w:val="left" w:pos="1440"/>
        </w:tabs>
        <w:spacing w:line="240" w:lineRule="auto"/>
        <w:rPr>
          <w:rFonts w:ascii="Courier New" w:eastAsia="Courier New" w:hAnsi="Courier New" w:cs="Courier New"/>
          <w:b/>
          <w:bCs/>
          <w:sz w:val="24"/>
          <w:szCs w:val="24"/>
        </w:rPr>
      </w:pPr>
      <w:r>
        <w:rPr>
          <w:rFonts w:ascii="Courier New" w:eastAsia="Courier New" w:hAnsi="Courier New" w:cs="Courier New"/>
          <w:b/>
          <w:bCs/>
          <w:sz w:val="24"/>
          <w:szCs w:val="24"/>
        </w:rPr>
        <w:t>Data Access Plans</w:t>
      </w:r>
    </w:p>
    <w:p w:rsidR="0095595F" w14:paraId="7D0363AC"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There is no plan to publicize raw data from the Acquisition 360 Survey. The intention is to publicize efforts taken in response to the survey data so that all parties can understand the impact </w:t>
      </w:r>
      <w:r>
        <w:rPr>
          <w:rFonts w:ascii="Courier New" w:eastAsia="Courier New" w:hAnsi="Courier New" w:cs="Courier New"/>
          <w:sz w:val="24"/>
          <w:szCs w:val="24"/>
        </w:rPr>
        <w:t xml:space="preserve">and efforts undertaken as a result. Internally, data is shared with agency Chief Acquisition Officers and Senior Procurement Executives to assist in directing their </w:t>
      </w:r>
      <w:r>
        <w:rPr>
          <w:rFonts w:ascii="Courier New" w:eastAsia="Courier New" w:hAnsi="Courier New" w:cs="Courier New"/>
          <w:sz w:val="24"/>
          <w:szCs w:val="24"/>
        </w:rPr>
        <w:t>agencies’</w:t>
      </w:r>
      <w:r>
        <w:rPr>
          <w:rFonts w:ascii="Courier New" w:eastAsia="Courier New" w:hAnsi="Courier New" w:cs="Courier New"/>
          <w:sz w:val="24"/>
          <w:szCs w:val="24"/>
        </w:rPr>
        <w:t xml:space="preserve"> efforts to strengthen their agency acquisition practices.</w:t>
      </w:r>
    </w:p>
    <w:p w:rsidR="0095595F" w14:paraId="0613C27C"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 </w:t>
      </w:r>
    </w:p>
    <w:p w:rsidR="0095595F" w14:paraId="3F18D268"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rPr>
        <w:t xml:space="preserve">Data will be collected in a de-identified </w:t>
      </w:r>
      <w:r>
        <w:rPr>
          <w:rFonts w:ascii="Courier New" w:eastAsia="Courier New" w:hAnsi="Courier New" w:cs="Courier New"/>
          <w:sz w:val="24"/>
          <w:szCs w:val="24"/>
        </w:rPr>
        <w:t>format</w:t>
      </w:r>
      <w:r>
        <w:rPr>
          <w:rFonts w:ascii="Courier New" w:eastAsia="Courier New" w:hAnsi="Courier New" w:cs="Courier New"/>
          <w:sz w:val="24"/>
          <w:szCs w:val="24"/>
        </w:rPr>
        <w:t xml:space="preserve"> and it will not include any direct identifiers (unless inadvertently input by respondent in the open response section). Data from the survey will be transferred to, stored, and analyzed on a secure server in limited-access project folders to which only members of the project team have access.</w:t>
      </w:r>
    </w:p>
    <w:p w:rsidR="0095595F" w14:paraId="364CC4EF" w14:textId="77777777">
      <w:pPr>
        <w:spacing w:line="240" w:lineRule="auto"/>
        <w:rPr>
          <w:rFonts w:ascii="Courier New" w:eastAsia="Courier New" w:hAnsi="Courier New" w:cs="Courier New"/>
          <w:sz w:val="24"/>
          <w:szCs w:val="24"/>
        </w:rPr>
      </w:pPr>
    </w:p>
    <w:p w:rsidR="0095595F" w14:paraId="3A2BE6E8"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Sensitive Questions</w:t>
      </w:r>
      <w:r>
        <w:rPr>
          <w:rFonts w:ascii="Courier New" w:eastAsia="Courier New" w:hAnsi="Courier New" w:cs="Courier New"/>
          <w:sz w:val="24"/>
          <w:szCs w:val="24"/>
        </w:rPr>
        <w:t xml:space="preserve">. There is no request for sensitive information (information that is commonly considered private, including </w:t>
      </w:r>
      <w:r>
        <w:rPr>
          <w:rFonts w:ascii="Courier New" w:eastAsia="Courier New" w:hAnsi="Courier New" w:cs="Courier New"/>
          <w:sz w:val="24"/>
          <w:szCs w:val="24"/>
        </w:rPr>
        <w:t>bio-specimens</w:t>
      </w:r>
      <w:r>
        <w:rPr>
          <w:rFonts w:ascii="Courier New" w:eastAsia="Courier New" w:hAnsi="Courier New" w:cs="Courier New"/>
          <w:sz w:val="24"/>
          <w:szCs w:val="24"/>
        </w:rPr>
        <w:t>).</w:t>
      </w:r>
    </w:p>
    <w:p w:rsidR="0095595F" w14:paraId="41462334" w14:textId="77777777">
      <w:pPr>
        <w:spacing w:line="240" w:lineRule="auto"/>
        <w:rPr>
          <w:rFonts w:ascii="Courier New" w:eastAsia="Courier New" w:hAnsi="Courier New" w:cs="Courier New"/>
          <w:sz w:val="24"/>
          <w:szCs w:val="24"/>
        </w:rPr>
      </w:pPr>
    </w:p>
    <w:p w:rsidR="0095595F" w14:paraId="3AC16253" w14:textId="77777777">
      <w:pPr>
        <w:widowControl w:val="0"/>
        <w:numPr>
          <w:ilvl w:val="0"/>
          <w:numId w:val="2"/>
        </w:numPr>
        <w:tabs>
          <w:tab w:val="left" w:pos="360"/>
          <w:tab w:val="left" w:pos="720"/>
          <w:tab w:val="left" w:pos="1080"/>
          <w:tab w:val="left" w:pos="144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Burden Estimate.</w:t>
      </w:r>
    </w:p>
    <w:p w:rsidR="0095595F" w14:paraId="27E5DB3A" w14:textId="77777777">
      <w:pPr>
        <w:spacing w:line="240" w:lineRule="auto"/>
        <w:ind w:right="-40"/>
        <w:jc w:val="center"/>
        <w:rPr>
          <w:rFonts w:ascii="Courier New" w:eastAsia="Courier New" w:hAnsi="Courier New" w:cs="Courier New"/>
          <w:sz w:val="24"/>
          <w:szCs w:val="24"/>
        </w:rPr>
      </w:pPr>
      <w:r>
        <w:rPr>
          <w:rFonts w:ascii="Courier New" w:eastAsia="Courier New" w:hAnsi="Courier New" w:cs="Courier New"/>
          <w:b/>
          <w:bCs/>
          <w:sz w:val="24"/>
          <w:szCs w:val="24"/>
        </w:rPr>
        <w:t>Estimated total annual public hour and cost burden</w:t>
      </w:r>
      <w:r>
        <w:rPr>
          <w:rFonts w:ascii="Courier New" w:eastAsia="Courier New" w:hAnsi="Courier New" w:cs="Courier New"/>
          <w:sz w:val="24"/>
          <w:szCs w:val="24"/>
        </w:rPr>
        <w:t>.</w:t>
      </w:r>
    </w:p>
    <w:p w:rsidR="0095595F" w14:paraId="38180814" w14:textId="77777777">
      <w:pPr>
        <w:spacing w:line="240" w:lineRule="auto"/>
        <w:ind w:firstLine="720"/>
        <w:rPr>
          <w:rFonts w:ascii="Courier New" w:eastAsia="Courier New" w:hAnsi="Courier New" w:cs="Courier New"/>
          <w:sz w:val="24"/>
          <w:szCs w:val="24"/>
        </w:rPr>
      </w:pPr>
    </w:p>
    <w:p w:rsidR="0095595F" w14:paraId="0CFAB019" w14:textId="77777777">
      <w:pPr>
        <w:spacing w:line="240" w:lineRule="auto"/>
        <w:ind w:firstLine="720"/>
        <w:rPr>
          <w:rFonts w:ascii="Courier New" w:eastAsia="Courier New" w:hAnsi="Courier New" w:cs="Courier New"/>
          <w:sz w:val="24"/>
          <w:szCs w:val="24"/>
        </w:rPr>
      </w:pPr>
      <w:r>
        <w:rPr>
          <w:rFonts w:ascii="Courier New" w:eastAsia="Courier New" w:hAnsi="Courier New" w:cs="Courier New"/>
          <w:sz w:val="24"/>
          <w:szCs w:val="24"/>
        </w:rPr>
        <w:t xml:space="preserve">When included in a solicitation, the provision encourages offerors to respond electronically to a standard question set. Agencies are not required to include the survey in solicitations, but when it is included, offerors are not required to respond to the survey as participation is voluntary. The voluntary nature of the implementation requires the use of various assumptions. </w:t>
      </w:r>
    </w:p>
    <w:p w:rsidR="0095595F" w14:paraId="084277D7" w14:textId="77777777">
      <w:pPr>
        <w:spacing w:line="240" w:lineRule="auto"/>
        <w:ind w:firstLine="720"/>
        <w:rPr>
          <w:rFonts w:ascii="Courier New" w:eastAsia="Courier New" w:hAnsi="Courier New" w:cs="Courier New"/>
          <w:sz w:val="24"/>
          <w:szCs w:val="24"/>
        </w:rPr>
      </w:pPr>
      <w:r>
        <w:rPr>
          <w:rFonts w:ascii="Courier New" w:eastAsia="Courier New" w:hAnsi="Courier New" w:cs="Courier New"/>
          <w:sz w:val="24"/>
          <w:szCs w:val="24"/>
        </w:rPr>
        <w:t xml:space="preserve"> </w:t>
      </w:r>
    </w:p>
    <w:p w:rsidR="0095595F" w14:paraId="78FC34E4" w14:textId="77777777">
      <w:pPr>
        <w:spacing w:line="240" w:lineRule="auto"/>
        <w:ind w:firstLine="720"/>
        <w:rPr>
          <w:rFonts w:ascii="Courier New" w:eastAsia="Courier New" w:hAnsi="Courier New" w:cs="Courier New"/>
          <w:sz w:val="24"/>
          <w:szCs w:val="24"/>
        </w:rPr>
      </w:pPr>
      <w:r>
        <w:rPr>
          <w:rFonts w:ascii="Courier New" w:eastAsia="Courier New" w:hAnsi="Courier New" w:cs="Courier New"/>
          <w:sz w:val="24"/>
          <w:szCs w:val="24"/>
        </w:rPr>
        <w:t xml:space="preserve">Award data in </w:t>
      </w:r>
      <w:hyperlink r:id="rId5">
        <w:r>
          <w:rPr>
            <w:rFonts w:ascii="Courier New" w:eastAsia="Courier New" w:hAnsi="Courier New" w:cs="Courier New"/>
            <w:color w:val="1155CC"/>
            <w:sz w:val="24"/>
            <w:szCs w:val="24"/>
            <w:u w:val="single"/>
          </w:rPr>
          <w:t>SAM.gov</w:t>
        </w:r>
      </w:hyperlink>
      <w:r>
        <w:rPr>
          <w:rFonts w:ascii="Courier New" w:eastAsia="Courier New" w:hAnsi="Courier New" w:cs="Courier New"/>
          <w:sz w:val="24"/>
          <w:szCs w:val="24"/>
        </w:rPr>
        <w:t xml:space="preserve"> for Fiscal Years (FY) 2023 through 2025 shows that GSA awarded an average of 50,745 new contracts over the micro-purchase threshold ($15,000).</w:t>
      </w:r>
      <w:r>
        <w:rPr>
          <w:rFonts w:ascii="Courier New" w:eastAsia="Courier New" w:hAnsi="Courier New" w:cs="Courier New"/>
          <w:sz w:val="24"/>
          <w:szCs w:val="24"/>
          <w:vertAlign w:val="superscript"/>
        </w:rPr>
        <w:footnoteReference w:id="2"/>
      </w:r>
      <w:r>
        <w:rPr>
          <w:rFonts w:ascii="Courier New" w:eastAsia="Courier New" w:hAnsi="Courier New" w:cs="Courier New"/>
          <w:sz w:val="24"/>
          <w:szCs w:val="24"/>
        </w:rPr>
        <w:t xml:space="preserve"> It is estimated that agencies may include FAR 52.201-1 in 5% of new contract actions, meaning that 2,537 (50,745 x 5%) contract actions would be impacted. It is also assumed that three offers will be received for each new contract action, resulting in an estimated 7,611 (2,537*3) actual and potential offerors. The Government anticipates a 33% response rate, or 2,511 (33% of 7,611) responses. It is estimated the survey will take 10 minutes to complete and that the responses per respondent would be one.</w:t>
      </w:r>
    </w:p>
    <w:p w:rsidR="0095595F" w14:paraId="7E85FB19" w14:textId="77777777">
      <w:pPr>
        <w:tabs>
          <w:tab w:val="left" w:pos="7740"/>
          <w:tab w:val="right" w:pos="9270"/>
        </w:tabs>
        <w:rPr>
          <w:rFonts w:ascii="Courier New" w:eastAsia="Courier New" w:hAnsi="Courier New" w:cs="Courier New"/>
          <w:b/>
          <w:bCs/>
          <w:sz w:val="24"/>
          <w:szCs w:val="24"/>
          <w:u w:val="single"/>
        </w:rPr>
      </w:pPr>
    </w:p>
    <w:p w:rsidR="0095595F" w14:paraId="74FEDA0D" w14:textId="77777777">
      <w:pPr>
        <w:tabs>
          <w:tab w:val="left" w:pos="7740"/>
          <w:tab w:val="right" w:pos="9270"/>
        </w:tabs>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General Services Administration</w:t>
      </w:r>
    </w:p>
    <w:p w:rsidR="0095595F" w14:paraId="70001B2F" w14:textId="77777777">
      <w:pPr>
        <w:tabs>
          <w:tab w:val="left" w:pos="7740"/>
          <w:tab w:val="right" w:pos="9270"/>
        </w:tabs>
        <w:rPr>
          <w:rFonts w:ascii="Courier New" w:eastAsia="Courier New" w:hAnsi="Courier New" w:cs="Courier New"/>
          <w:sz w:val="24"/>
          <w:szCs w:val="24"/>
        </w:rPr>
      </w:pPr>
      <w:r>
        <w:rPr>
          <w:rFonts w:ascii="Courier New" w:eastAsia="Courier New" w:hAnsi="Courier New" w:cs="Courier New"/>
          <w:sz w:val="24"/>
          <w:szCs w:val="24"/>
        </w:rPr>
        <w:t>Estimated respondents/yr............................. 2,511</w:t>
      </w:r>
    </w:p>
    <w:p w:rsidR="0095595F" w14:paraId="4F1FBAA8" w14:textId="77777777">
      <w:pPr>
        <w:tabs>
          <w:tab w:val="left" w:pos="7740"/>
          <w:tab w:val="right" w:pos="9270"/>
        </w:tabs>
        <w:rPr>
          <w:rFonts w:ascii="Courier New" w:eastAsia="Courier New" w:hAnsi="Courier New" w:cs="Courier New"/>
          <w:sz w:val="24"/>
          <w:szCs w:val="24"/>
        </w:rPr>
      </w:pPr>
      <w:r>
        <w:rPr>
          <w:rFonts w:ascii="Courier New" w:eastAsia="Courier New" w:hAnsi="Courier New" w:cs="Courier New"/>
          <w:sz w:val="24"/>
          <w:szCs w:val="24"/>
        </w:rPr>
        <w:t>Responses annually...................................</w:t>
      </w:r>
      <w:r>
        <w:rPr>
          <w:rFonts w:ascii="Courier New" w:eastAsia="Courier New" w:hAnsi="Courier New" w:cs="Courier New"/>
          <w:sz w:val="24"/>
          <w:szCs w:val="24"/>
          <w:u w:val="single"/>
        </w:rPr>
        <w:t>x    1</w:t>
      </w:r>
    </w:p>
    <w:p w:rsidR="0095595F" w14:paraId="0F489E1E" w14:textId="77777777">
      <w:pPr>
        <w:tabs>
          <w:tab w:val="left" w:pos="7740"/>
          <w:tab w:val="right" w:pos="9270"/>
        </w:tabs>
        <w:rPr>
          <w:rFonts w:ascii="Courier New" w:eastAsia="Courier New" w:hAnsi="Courier New" w:cs="Courier New"/>
          <w:sz w:val="24"/>
          <w:szCs w:val="24"/>
        </w:rPr>
      </w:pPr>
      <w:r>
        <w:rPr>
          <w:rFonts w:ascii="Courier New" w:eastAsia="Courier New" w:hAnsi="Courier New" w:cs="Courier New"/>
          <w:sz w:val="24"/>
          <w:szCs w:val="24"/>
        </w:rPr>
        <w:t xml:space="preserve">Total annual responses..............................  2,511  </w:t>
      </w:r>
    </w:p>
    <w:p w:rsidR="0095595F" w14:paraId="6FE6ABA1" w14:textId="77777777">
      <w:pPr>
        <w:tabs>
          <w:tab w:val="left" w:pos="7740"/>
          <w:tab w:val="right" w:pos="9270"/>
        </w:tabs>
        <w:rPr>
          <w:rFonts w:ascii="Courier New" w:eastAsia="Courier New" w:hAnsi="Courier New" w:cs="Courier New"/>
          <w:sz w:val="24"/>
          <w:szCs w:val="24"/>
        </w:rPr>
      </w:pPr>
      <w:r>
        <w:rPr>
          <w:rFonts w:ascii="Courier New" w:eastAsia="Courier New" w:hAnsi="Courier New" w:cs="Courier New"/>
          <w:sz w:val="24"/>
          <w:szCs w:val="24"/>
        </w:rPr>
        <w:t xml:space="preserve">Estimated </w:t>
      </w:r>
      <w:r>
        <w:rPr>
          <w:rFonts w:ascii="Courier New" w:eastAsia="Courier New" w:hAnsi="Courier New" w:cs="Courier New"/>
          <w:sz w:val="24"/>
          <w:szCs w:val="24"/>
        </w:rPr>
        <w:t>hrs</w:t>
      </w:r>
      <w:r>
        <w:rPr>
          <w:rFonts w:ascii="Courier New" w:eastAsia="Courier New" w:hAnsi="Courier New" w:cs="Courier New"/>
          <w:sz w:val="24"/>
          <w:szCs w:val="24"/>
        </w:rPr>
        <w:t>/response...............................</w:t>
      </w:r>
      <w:r>
        <w:rPr>
          <w:rFonts w:ascii="Courier New" w:eastAsia="Courier New" w:hAnsi="Courier New" w:cs="Courier New"/>
          <w:sz w:val="24"/>
          <w:szCs w:val="24"/>
          <w:u w:val="single"/>
        </w:rPr>
        <w:t>x.1667</w:t>
      </w:r>
    </w:p>
    <w:p w:rsidR="0095595F" w14:paraId="7F532B4E" w14:textId="77777777">
      <w:pPr>
        <w:tabs>
          <w:tab w:val="left" w:pos="7740"/>
          <w:tab w:val="right" w:pos="9270"/>
        </w:tabs>
        <w:rPr>
          <w:rFonts w:ascii="Courier New" w:eastAsia="Courier New" w:hAnsi="Courier New" w:cs="Courier New"/>
          <w:sz w:val="24"/>
          <w:szCs w:val="24"/>
          <w:u w:val="single"/>
        </w:rPr>
      </w:pPr>
      <w:r>
        <w:rPr>
          <w:rFonts w:ascii="Courier New" w:eastAsia="Courier New" w:hAnsi="Courier New" w:cs="Courier New"/>
          <w:sz w:val="24"/>
          <w:szCs w:val="24"/>
        </w:rPr>
        <w:t>Estimated total burden hrs..........................    419</w:t>
      </w:r>
    </w:p>
    <w:p w:rsidR="0095595F" w14:paraId="34B15E3A" w14:textId="77777777">
      <w:pPr>
        <w:tabs>
          <w:tab w:val="left" w:pos="7740"/>
          <w:tab w:val="right" w:pos="9270"/>
        </w:tabs>
        <w:rPr>
          <w:rFonts w:ascii="Courier New" w:eastAsia="Courier New" w:hAnsi="Courier New" w:cs="Courier New"/>
          <w:sz w:val="24"/>
          <w:szCs w:val="24"/>
          <w:u w:val="single"/>
        </w:rPr>
      </w:pPr>
      <w:r>
        <w:rPr>
          <w:rFonts w:ascii="Courier New" w:eastAsia="Courier New" w:hAnsi="Courier New" w:cs="Courier New"/>
          <w:sz w:val="24"/>
          <w:szCs w:val="24"/>
        </w:rPr>
        <w:t>Hourly rate</w:t>
      </w:r>
      <w:r>
        <w:rPr>
          <w:rFonts w:ascii="Courier New" w:eastAsia="Courier New" w:hAnsi="Courier New" w:cs="Courier New"/>
          <w:b/>
          <w:bCs/>
          <w:sz w:val="24"/>
          <w:szCs w:val="24"/>
        </w:rPr>
        <w:t>*</w:t>
      </w:r>
      <w:r>
        <w:rPr>
          <w:rFonts w:ascii="Courier New" w:eastAsia="Courier New" w:hAnsi="Courier New" w:cs="Courier New"/>
          <w:sz w:val="24"/>
          <w:szCs w:val="24"/>
        </w:rPr>
        <w:t>..........................................</w:t>
      </w:r>
      <w:r>
        <w:rPr>
          <w:rFonts w:ascii="Courier New" w:eastAsia="Courier New" w:hAnsi="Courier New" w:cs="Courier New"/>
          <w:sz w:val="24"/>
          <w:szCs w:val="24"/>
          <w:u w:val="single"/>
        </w:rPr>
        <w:t>x $50</w:t>
      </w:r>
    </w:p>
    <w:p w:rsidR="0095595F" w14:paraId="13789989" w14:textId="77777777">
      <w:pPr>
        <w:tabs>
          <w:tab w:val="left" w:pos="7740"/>
          <w:tab w:val="right" w:pos="9270"/>
        </w:tabs>
        <w:rPr>
          <w:rFonts w:ascii="Courier New" w:eastAsia="Courier New" w:hAnsi="Courier New" w:cs="Courier New"/>
          <w:sz w:val="24"/>
          <w:szCs w:val="24"/>
          <w:highlight w:val="white"/>
        </w:rPr>
      </w:pPr>
      <w:r>
        <w:rPr>
          <w:rFonts w:ascii="Courier New" w:eastAsia="Courier New" w:hAnsi="Courier New" w:cs="Courier New"/>
          <w:b/>
          <w:bCs/>
          <w:sz w:val="24"/>
          <w:szCs w:val="24"/>
        </w:rPr>
        <w:t>Estimated cost to the public....................    $20,950</w:t>
      </w:r>
    </w:p>
    <w:p w:rsidR="0095595F" w14:paraId="14A6D4AB" w14:textId="77777777">
      <w:pPr>
        <w:tabs>
          <w:tab w:val="left" w:pos="7740"/>
          <w:tab w:val="right" w:pos="9270"/>
        </w:tabs>
        <w:rPr>
          <w:rFonts w:ascii="Courier New" w:eastAsia="Courier New" w:hAnsi="Courier New" w:cs="Courier New"/>
          <w:sz w:val="24"/>
          <w:szCs w:val="24"/>
          <w:highlight w:val="white"/>
        </w:rPr>
      </w:pPr>
    </w:p>
    <w:p w:rsidR="0095595F" w14:paraId="5F396AED" w14:textId="77777777">
      <w:pPr>
        <w:spacing w:line="240" w:lineRule="auto"/>
        <w:rPr>
          <w:rFonts w:ascii="Courier New" w:eastAsia="Courier New" w:hAnsi="Courier New" w:cs="Courier New"/>
          <w:sz w:val="24"/>
          <w:szCs w:val="24"/>
        </w:rPr>
      </w:pPr>
      <w:r>
        <w:rPr>
          <w:rFonts w:ascii="Courier New" w:eastAsia="Courier New" w:hAnsi="Courier New" w:cs="Courier New"/>
          <w:b/>
          <w:bCs/>
          <w:sz w:val="24"/>
          <w:szCs w:val="24"/>
        </w:rPr>
        <w:t xml:space="preserve">* </w:t>
      </w:r>
      <w:r>
        <w:rPr>
          <w:rFonts w:ascii="Courier New" w:eastAsia="Courier New" w:hAnsi="Courier New" w:cs="Courier New"/>
          <w:b/>
          <w:bCs/>
          <w:sz w:val="24"/>
          <w:szCs w:val="24"/>
          <w:u w:val="single"/>
        </w:rPr>
        <w:t>Note</w:t>
      </w:r>
      <w:r>
        <w:rPr>
          <w:rFonts w:ascii="Courier New" w:eastAsia="Courier New" w:hAnsi="Courier New" w:cs="Courier New"/>
          <w:b/>
          <w:bCs/>
          <w:sz w:val="24"/>
          <w:szCs w:val="24"/>
        </w:rPr>
        <w:t xml:space="preserve">: </w:t>
      </w:r>
      <w:r>
        <w:rPr>
          <w:rFonts w:ascii="Courier New" w:eastAsia="Courier New" w:hAnsi="Courier New" w:cs="Courier New"/>
          <w:sz w:val="24"/>
          <w:szCs w:val="24"/>
        </w:rPr>
        <w:t>The hourly rate is calculated by applying a 36.25 percent fringe factor and a 12 percent overhead factor to a base hourly rate and then rounding to the nearest whole dollar. The base hourly rate is derived from the OPM 2026 GS Locality Pay Table for the rest of the U.S. (“Salary Table 2026-RUS”). The fringe factor is derived from OMB memorandum M-08-13. The overhead factor is derived from the OMB Circular No. A-76 Revised Supplemental Handbook. For a GS-9/step 5, the base hourly rate is $33.52 and loaded ro</w:t>
      </w:r>
      <w:r>
        <w:rPr>
          <w:rFonts w:ascii="Courier New" w:eastAsia="Courier New" w:hAnsi="Courier New" w:cs="Courier New"/>
          <w:sz w:val="24"/>
          <w:szCs w:val="24"/>
        </w:rPr>
        <w:t>unding to the nearest whole dollar is $50.</w:t>
      </w:r>
    </w:p>
    <w:p w:rsidR="0095595F" w14:paraId="38C7F8E3" w14:textId="77777777">
      <w:pPr>
        <w:widowControl w:val="0"/>
        <w:tabs>
          <w:tab w:val="left" w:pos="360"/>
          <w:tab w:val="left" w:pos="720"/>
          <w:tab w:val="left" w:pos="1080"/>
          <w:tab w:val="left" w:pos="1440"/>
        </w:tabs>
        <w:spacing w:line="240" w:lineRule="auto"/>
        <w:rPr>
          <w:rFonts w:ascii="Courier New" w:eastAsia="Courier New" w:hAnsi="Courier New" w:cs="Courier New"/>
          <w:sz w:val="24"/>
          <w:szCs w:val="24"/>
          <w:u w:val="single"/>
        </w:rPr>
      </w:pPr>
    </w:p>
    <w:p w:rsidR="0095595F" w14:paraId="6AA400CB"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 xml:space="preserve">Estimated </w:t>
      </w:r>
      <w:r>
        <w:rPr>
          <w:rFonts w:ascii="Courier New" w:eastAsia="Courier New" w:hAnsi="Courier New" w:cs="Courier New"/>
          <w:sz w:val="24"/>
          <w:szCs w:val="24"/>
          <w:u w:val="single"/>
        </w:rPr>
        <w:t>nonrecurring</w:t>
      </w:r>
      <w:r>
        <w:rPr>
          <w:rFonts w:ascii="Courier New" w:eastAsia="Courier New" w:hAnsi="Courier New" w:cs="Courier New"/>
          <w:sz w:val="24"/>
          <w:szCs w:val="24"/>
          <w:u w:val="single"/>
        </w:rPr>
        <w:t xml:space="preserve"> costs</w:t>
      </w:r>
      <w:r>
        <w:rPr>
          <w:rFonts w:ascii="Courier New" w:eastAsia="Courier New" w:hAnsi="Courier New" w:cs="Courier New"/>
          <w:sz w:val="24"/>
          <w:szCs w:val="24"/>
        </w:rPr>
        <w:t>. Not applicable.</w:t>
      </w:r>
    </w:p>
    <w:p w:rsidR="0095595F" w14:paraId="30BF4DE7"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361C6ECF" w14:textId="77777777">
      <w:pPr>
        <w:widowControl w:val="0"/>
        <w:numPr>
          <w:ilvl w:val="0"/>
          <w:numId w:val="2"/>
        </w:numPr>
        <w:tabs>
          <w:tab w:val="left" w:pos="360"/>
          <w:tab w:val="left" w:pos="720"/>
          <w:tab w:val="left" w:pos="1080"/>
        </w:tabs>
        <w:spacing w:line="240" w:lineRule="auto"/>
        <w:rPr>
          <w:rFonts w:ascii="Times New Roman" w:eastAsia="Times New Roman" w:hAnsi="Times New Roman" w:cs="Times New Roman"/>
          <w:sz w:val="24"/>
          <w:szCs w:val="24"/>
        </w:rPr>
      </w:pPr>
      <w:r>
        <w:rPr>
          <w:rFonts w:ascii="Courier New" w:eastAsia="Courier New" w:hAnsi="Courier New" w:cs="Courier New"/>
          <w:sz w:val="24"/>
          <w:szCs w:val="24"/>
          <w:u w:val="single"/>
        </w:rPr>
        <w:t>Estimated cost to the Government</w:t>
      </w:r>
      <w:r>
        <w:rPr>
          <w:rFonts w:ascii="Courier New" w:eastAsia="Courier New" w:hAnsi="Courier New" w:cs="Courier New"/>
          <w:sz w:val="24"/>
          <w:szCs w:val="24"/>
        </w:rPr>
        <w:t>. Time required for Government review and analysis is estimated at 0.5 hour per response.</w:t>
      </w:r>
    </w:p>
    <w:p w:rsidR="0095595F" w14:paraId="7BD3D782" w14:textId="77777777">
      <w:pPr>
        <w:spacing w:line="240" w:lineRule="auto"/>
        <w:rPr>
          <w:rFonts w:ascii="Courier New" w:eastAsia="Courier New" w:hAnsi="Courier New" w:cs="Courier New"/>
          <w:sz w:val="24"/>
          <w:szCs w:val="24"/>
        </w:rPr>
      </w:pPr>
    </w:p>
    <w:p w:rsidR="0095595F" w14:paraId="08FF8E0A" w14:textId="77777777">
      <w:pPr>
        <w:spacing w:line="240" w:lineRule="auto"/>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General Services Administration</w:t>
      </w:r>
    </w:p>
    <w:p w:rsidR="0095595F" w14:paraId="4EF8DA31" w14:textId="77777777">
      <w:pPr>
        <w:spacing w:line="240" w:lineRule="auto"/>
        <w:rPr>
          <w:rFonts w:ascii="Courier New" w:eastAsia="Courier New" w:hAnsi="Courier New" w:cs="Courier New"/>
          <w:sz w:val="24"/>
          <w:szCs w:val="24"/>
        </w:rPr>
      </w:pPr>
    </w:p>
    <w:p w:rsidR="0095595F" w14:paraId="3BD76B5C"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Estimated responses/yr......................2,511</w:t>
      </w:r>
    </w:p>
    <w:p w:rsidR="0095595F" w14:paraId="523E6EEE" w14:textId="77777777">
      <w:pPr>
        <w:spacing w:line="240" w:lineRule="auto"/>
        <w:ind w:right="-80"/>
        <w:rPr>
          <w:rFonts w:ascii="Courier New" w:eastAsia="Courier New" w:hAnsi="Courier New" w:cs="Courier New"/>
          <w:sz w:val="24"/>
          <w:szCs w:val="24"/>
        </w:rPr>
      </w:pPr>
      <w:r>
        <w:rPr>
          <w:rFonts w:ascii="Courier New" w:eastAsia="Courier New" w:hAnsi="Courier New" w:cs="Courier New"/>
          <w:sz w:val="24"/>
          <w:szCs w:val="24"/>
        </w:rPr>
        <w:t>Reviewing time (</w:t>
      </w:r>
      <w:r>
        <w:rPr>
          <w:rFonts w:ascii="Courier New" w:eastAsia="Courier New" w:hAnsi="Courier New" w:cs="Courier New"/>
          <w:sz w:val="24"/>
          <w:szCs w:val="24"/>
        </w:rPr>
        <w:t>hr</w:t>
      </w:r>
      <w:r>
        <w:rPr>
          <w:rFonts w:ascii="Courier New" w:eastAsia="Courier New" w:hAnsi="Courier New" w:cs="Courier New"/>
          <w:sz w:val="24"/>
          <w:szCs w:val="24"/>
        </w:rPr>
        <w:t>)/response................</w:t>
      </w:r>
      <w:r>
        <w:rPr>
          <w:rFonts w:ascii="Courier New" w:eastAsia="Courier New" w:hAnsi="Courier New" w:cs="Courier New"/>
          <w:sz w:val="24"/>
          <w:szCs w:val="24"/>
          <w:u w:val="single"/>
        </w:rPr>
        <w:t>x 0.5</w:t>
      </w:r>
    </w:p>
    <w:p w:rsidR="0095595F" w14:paraId="40327761" w14:textId="77777777">
      <w:pPr>
        <w:spacing w:line="240" w:lineRule="auto"/>
        <w:ind w:right="-80"/>
        <w:rPr>
          <w:rFonts w:ascii="Courier New" w:eastAsia="Courier New" w:hAnsi="Courier New" w:cs="Courier New"/>
          <w:sz w:val="24"/>
          <w:szCs w:val="24"/>
        </w:rPr>
      </w:pPr>
      <w:r>
        <w:rPr>
          <w:rFonts w:ascii="Courier New" w:eastAsia="Courier New" w:hAnsi="Courier New" w:cs="Courier New"/>
          <w:sz w:val="24"/>
          <w:szCs w:val="24"/>
        </w:rPr>
        <w:t>Review time /yr............................ 1,256</w:t>
      </w:r>
    </w:p>
    <w:p w:rsidR="0095595F" w14:paraId="6B1A92B0"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Hourly rate</w:t>
      </w:r>
      <w:r>
        <w:rPr>
          <w:rFonts w:ascii="Courier New" w:eastAsia="Courier New" w:hAnsi="Courier New" w:cs="Courier New"/>
          <w:b/>
          <w:bCs/>
          <w:sz w:val="24"/>
          <w:szCs w:val="24"/>
        </w:rPr>
        <w:t>*</w:t>
      </w:r>
      <w:r>
        <w:rPr>
          <w:rFonts w:ascii="Courier New" w:eastAsia="Courier New" w:hAnsi="Courier New" w:cs="Courier New"/>
          <w:sz w:val="24"/>
          <w:szCs w:val="24"/>
        </w:rPr>
        <w:t>................................</w:t>
      </w:r>
      <w:r>
        <w:rPr>
          <w:rFonts w:ascii="Courier New" w:eastAsia="Courier New" w:hAnsi="Courier New" w:cs="Courier New"/>
          <w:sz w:val="24"/>
          <w:szCs w:val="24"/>
          <w:u w:val="single"/>
        </w:rPr>
        <w:t>x $50</w:t>
      </w:r>
    </w:p>
    <w:p w:rsidR="0095595F" w14:paraId="757A4A98" w14:textId="77777777">
      <w:pPr>
        <w:spacing w:line="240" w:lineRule="auto"/>
        <w:rPr>
          <w:rFonts w:ascii="Courier New" w:eastAsia="Courier New" w:hAnsi="Courier New" w:cs="Courier New"/>
          <w:sz w:val="24"/>
          <w:szCs w:val="24"/>
        </w:rPr>
      </w:pPr>
      <w:r>
        <w:rPr>
          <w:rFonts w:ascii="Courier New" w:eastAsia="Courier New" w:hAnsi="Courier New" w:cs="Courier New"/>
          <w:sz w:val="24"/>
          <w:szCs w:val="24"/>
        </w:rPr>
        <w:t>Estimated annual cost to the Government...$62,800</w:t>
      </w:r>
    </w:p>
    <w:p w:rsidR="0095595F" w14:paraId="6F8C8F58" w14:textId="77777777">
      <w:pPr>
        <w:spacing w:line="240" w:lineRule="auto"/>
        <w:rPr>
          <w:rFonts w:ascii="Courier New" w:eastAsia="Courier New" w:hAnsi="Courier New" w:cs="Courier New"/>
          <w:sz w:val="24"/>
          <w:szCs w:val="24"/>
        </w:rPr>
      </w:pPr>
    </w:p>
    <w:p w:rsidR="0095595F" w14:paraId="7E6412FC"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Reasons for changes</w:t>
      </w:r>
      <w:r>
        <w:rPr>
          <w:rFonts w:ascii="Courier New" w:eastAsia="Courier New" w:hAnsi="Courier New" w:cs="Courier New"/>
          <w:sz w:val="24"/>
          <w:szCs w:val="24"/>
        </w:rPr>
        <w:t>. There are no program changes. The FAR requirements remain the same. This extension includes adjustments to the public and Government burden estimates based on the following:</w:t>
      </w:r>
    </w:p>
    <w:p w:rsidR="0095595F" w14:paraId="60393CAA" w14:textId="77777777">
      <w:pPr>
        <w:widowControl w:val="0"/>
        <w:numPr>
          <w:ilvl w:val="0"/>
          <w:numId w:val="1"/>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 estimated number of respondents and responses per year is based on historical procurement data available in SAM.gov for fiscal years 2023 through 2025 for GSA.</w:t>
      </w:r>
    </w:p>
    <w:p w:rsidR="0095595F" w14:paraId="0ED92DFD" w14:textId="77777777">
      <w:pPr>
        <w:widowControl w:val="0"/>
        <w:numPr>
          <w:ilvl w:val="0"/>
          <w:numId w:val="1"/>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rPr>
        <w:t>The estimated cost per hour is based on use of the calendar year 2026 OPM GS wage rate for the rest of the United States.</w:t>
      </w:r>
    </w:p>
    <w:p w:rsidR="0095595F" w14:paraId="3CC5E96C" w14:textId="77777777">
      <w:pPr>
        <w:widowControl w:val="0"/>
        <w:tabs>
          <w:tab w:val="left" w:pos="360"/>
          <w:tab w:val="left" w:pos="720"/>
          <w:tab w:val="left" w:pos="1080"/>
        </w:tabs>
        <w:spacing w:line="240" w:lineRule="auto"/>
        <w:rPr>
          <w:rFonts w:ascii="Courier New" w:eastAsia="Courier New" w:hAnsi="Courier New" w:cs="Courier New"/>
          <w:sz w:val="24"/>
          <w:szCs w:val="24"/>
        </w:rPr>
      </w:pPr>
    </w:p>
    <w:tbl>
      <w:tblPr>
        <w:tblStyle w:val="a"/>
        <w:tblW w:w="6150" w:type="dxa"/>
        <w:tblInd w:w="585" w:type="dxa"/>
        <w:tblBorders>
          <w:top w:val="nil"/>
          <w:left w:val="nil"/>
          <w:bottom w:val="nil"/>
          <w:right w:val="nil"/>
          <w:insideH w:val="nil"/>
          <w:insideV w:val="nil"/>
        </w:tblBorders>
        <w:tblLayout w:type="fixed"/>
        <w:tblLook w:val="0600"/>
      </w:tblPr>
      <w:tblGrid>
        <w:gridCol w:w="2010"/>
        <w:gridCol w:w="1425"/>
        <w:gridCol w:w="1230"/>
        <w:gridCol w:w="1485"/>
      </w:tblGrid>
      <w:tr w14:paraId="2EC36BB7" w14:textId="77777777">
        <w:tblPrEx>
          <w:tblW w:w="6150" w:type="dxa"/>
          <w:tblInd w:w="585" w:type="dxa"/>
          <w:tblBorders>
            <w:top w:val="nil"/>
            <w:left w:val="nil"/>
            <w:bottom w:val="nil"/>
            <w:right w:val="nil"/>
            <w:insideH w:val="nil"/>
            <w:insideV w:val="nil"/>
          </w:tblBorders>
          <w:tblLayout w:type="fixed"/>
          <w:tblLook w:val="0600"/>
        </w:tblPrEx>
        <w:trPr>
          <w:trHeight w:val="315"/>
        </w:trPr>
        <w:tc>
          <w:tcPr>
            <w:tcW w:w="2010"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vAlign w:val="bottom"/>
          </w:tcPr>
          <w:p w:rsidR="0095595F" w14:paraId="0F98BC03" w14:textId="77777777">
            <w:pPr>
              <w:widowControl w:val="0"/>
              <w:rPr>
                <w:sz w:val="20"/>
                <w:szCs w:val="20"/>
              </w:rPr>
            </w:pPr>
          </w:p>
        </w:tc>
        <w:tc>
          <w:tcPr>
            <w:tcW w:w="142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71718884" w14:textId="77777777">
            <w:pPr>
              <w:widowControl w:val="0"/>
              <w:jc w:val="right"/>
              <w:rPr>
                <w:sz w:val="20"/>
                <w:szCs w:val="20"/>
              </w:rPr>
            </w:pPr>
            <w:r>
              <w:rPr>
                <w:rFonts w:ascii="Times New Roman" w:eastAsia="Times New Roman" w:hAnsi="Times New Roman" w:cs="Times New Roman"/>
                <w:color w:val="222222"/>
                <w:sz w:val="18"/>
                <w:szCs w:val="18"/>
              </w:rPr>
              <w:t>2023 Estimate</w:t>
            </w:r>
          </w:p>
        </w:tc>
        <w:tc>
          <w:tcPr>
            <w:tcW w:w="1230"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2B8F3075" w14:textId="77777777">
            <w:pPr>
              <w:widowControl w:val="0"/>
              <w:jc w:val="right"/>
              <w:rPr>
                <w:sz w:val="20"/>
                <w:szCs w:val="20"/>
              </w:rPr>
            </w:pPr>
            <w:r>
              <w:rPr>
                <w:rFonts w:ascii="Times New Roman" w:eastAsia="Times New Roman" w:hAnsi="Times New Roman" w:cs="Times New Roman"/>
                <w:color w:val="222222"/>
                <w:sz w:val="18"/>
                <w:szCs w:val="18"/>
              </w:rPr>
              <w:t>2026 Estimate</w:t>
            </w:r>
          </w:p>
        </w:tc>
        <w:tc>
          <w:tcPr>
            <w:tcW w:w="1485" w:type="dxa"/>
            <w:tcBorders>
              <w:top w:val="single" w:sz="12" w:space="0" w:color="000000"/>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2F42BFC3" w14:textId="77777777">
            <w:pPr>
              <w:widowControl w:val="0"/>
              <w:jc w:val="right"/>
              <w:rPr>
                <w:sz w:val="20"/>
                <w:szCs w:val="20"/>
              </w:rPr>
            </w:pPr>
            <w:r>
              <w:rPr>
                <w:rFonts w:ascii="Times New Roman" w:eastAsia="Times New Roman" w:hAnsi="Times New Roman" w:cs="Times New Roman"/>
                <w:color w:val="222222"/>
                <w:sz w:val="18"/>
                <w:szCs w:val="18"/>
              </w:rPr>
              <w:t>Change in Burden</w:t>
            </w:r>
          </w:p>
        </w:tc>
      </w:tr>
      <w:tr w14:paraId="3FDEEC89" w14:textId="77777777">
        <w:tblPrEx>
          <w:tblW w:w="6150" w:type="dxa"/>
          <w:tblInd w:w="585" w:type="dxa"/>
          <w:tblLayout w:type="fixed"/>
          <w:tblLook w:val="0600"/>
        </w:tblPrEx>
        <w:trPr>
          <w:trHeight w:val="540"/>
        </w:trPr>
        <w:tc>
          <w:tcPr>
            <w:tcW w:w="2010" w:type="dxa"/>
            <w:tcBorders>
              <w:top w:val="single" w:sz="6" w:space="0" w:color="CCCCCC"/>
              <w:left w:val="single" w:sz="12" w:space="0" w:color="000000"/>
              <w:bottom w:val="single" w:sz="12" w:space="0" w:color="000000"/>
              <w:right w:val="single" w:sz="12" w:space="0" w:color="000000"/>
            </w:tcBorders>
            <w:tcMar>
              <w:top w:w="40" w:type="dxa"/>
              <w:left w:w="40" w:type="dxa"/>
              <w:bottom w:w="40" w:type="dxa"/>
              <w:right w:w="40" w:type="dxa"/>
            </w:tcMar>
            <w:vAlign w:val="bottom"/>
          </w:tcPr>
          <w:p w:rsidR="0095595F" w14:paraId="1A081716" w14:textId="77777777">
            <w:pPr>
              <w:widowControl w:val="0"/>
              <w:rPr>
                <w:sz w:val="20"/>
                <w:szCs w:val="20"/>
              </w:rPr>
            </w:pPr>
            <w:r>
              <w:rPr>
                <w:rFonts w:ascii="Times New Roman" w:eastAsia="Times New Roman" w:hAnsi="Times New Roman" w:cs="Times New Roman"/>
                <w:color w:val="222222"/>
                <w:sz w:val="18"/>
                <w:szCs w:val="18"/>
              </w:rPr>
              <w:t>Number of respondents</w:t>
            </w:r>
          </w:p>
        </w:tc>
        <w:tc>
          <w:tcPr>
            <w:tcW w:w="142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436A6508" w14:textId="77777777">
            <w:pPr>
              <w:widowControl w:val="0"/>
              <w:jc w:val="right"/>
              <w:rPr>
                <w:sz w:val="20"/>
                <w:szCs w:val="20"/>
              </w:rPr>
            </w:pPr>
            <w:r>
              <w:rPr>
                <w:rFonts w:ascii="Times New Roman" w:eastAsia="Times New Roman" w:hAnsi="Times New Roman" w:cs="Times New Roman"/>
                <w:color w:val="222222"/>
                <w:sz w:val="18"/>
                <w:szCs w:val="18"/>
              </w:rPr>
              <w:t>2,689</w:t>
            </w:r>
          </w:p>
        </w:tc>
        <w:tc>
          <w:tcPr>
            <w:tcW w:w="1230"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63B2CD07" w14:textId="77777777">
            <w:pPr>
              <w:widowControl w:val="0"/>
              <w:jc w:val="right"/>
              <w:rPr>
                <w:sz w:val="20"/>
                <w:szCs w:val="20"/>
              </w:rPr>
            </w:pPr>
            <w:r>
              <w:rPr>
                <w:rFonts w:ascii="Times New Roman" w:eastAsia="Times New Roman" w:hAnsi="Times New Roman" w:cs="Times New Roman"/>
                <w:color w:val="222222"/>
                <w:sz w:val="18"/>
                <w:szCs w:val="18"/>
              </w:rPr>
              <w:t>2,511</w:t>
            </w:r>
          </w:p>
        </w:tc>
        <w:tc>
          <w:tcPr>
            <w:tcW w:w="148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5D707FAD" w14:textId="77777777">
            <w:pPr>
              <w:widowControl w:val="0"/>
              <w:jc w:val="right"/>
              <w:rPr>
                <w:sz w:val="20"/>
                <w:szCs w:val="20"/>
              </w:rPr>
            </w:pPr>
            <w:r>
              <w:rPr>
                <w:rFonts w:ascii="Times New Roman" w:eastAsia="Times New Roman" w:hAnsi="Times New Roman" w:cs="Times New Roman"/>
                <w:color w:val="222222"/>
                <w:sz w:val="18"/>
                <w:szCs w:val="18"/>
              </w:rPr>
              <w:t>-178</w:t>
            </w:r>
          </w:p>
        </w:tc>
      </w:tr>
      <w:tr w14:paraId="77257B62" w14:textId="77777777">
        <w:tblPrEx>
          <w:tblW w:w="6150" w:type="dxa"/>
          <w:tblInd w:w="585" w:type="dxa"/>
          <w:tblLayout w:type="fixed"/>
          <w:tblLook w:val="0600"/>
        </w:tblPrEx>
        <w:trPr>
          <w:trHeight w:val="540"/>
        </w:trPr>
        <w:tc>
          <w:tcPr>
            <w:tcW w:w="2010" w:type="dxa"/>
            <w:tcBorders>
              <w:top w:val="single" w:sz="6" w:space="0" w:color="CCCCCC"/>
              <w:left w:val="single" w:sz="12" w:space="0" w:color="000000"/>
              <w:bottom w:val="single" w:sz="12" w:space="0" w:color="000000"/>
              <w:right w:val="single" w:sz="12" w:space="0" w:color="000000"/>
            </w:tcBorders>
            <w:tcMar>
              <w:top w:w="40" w:type="dxa"/>
              <w:left w:w="40" w:type="dxa"/>
              <w:bottom w:w="40" w:type="dxa"/>
              <w:right w:w="40" w:type="dxa"/>
            </w:tcMar>
            <w:vAlign w:val="bottom"/>
          </w:tcPr>
          <w:p w:rsidR="0095595F" w14:paraId="662511B1" w14:textId="77777777">
            <w:pPr>
              <w:widowControl w:val="0"/>
              <w:rPr>
                <w:sz w:val="20"/>
                <w:szCs w:val="20"/>
              </w:rPr>
            </w:pPr>
            <w:r>
              <w:rPr>
                <w:rFonts w:ascii="Times New Roman" w:eastAsia="Times New Roman" w:hAnsi="Times New Roman" w:cs="Times New Roman"/>
                <w:color w:val="222222"/>
                <w:sz w:val="18"/>
                <w:szCs w:val="18"/>
              </w:rPr>
              <w:t>Total annual responses</w:t>
            </w:r>
          </w:p>
        </w:tc>
        <w:tc>
          <w:tcPr>
            <w:tcW w:w="142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3724AFE8" w14:textId="77777777">
            <w:pPr>
              <w:widowControl w:val="0"/>
              <w:jc w:val="right"/>
              <w:rPr>
                <w:sz w:val="20"/>
                <w:szCs w:val="20"/>
              </w:rPr>
            </w:pPr>
            <w:r>
              <w:rPr>
                <w:rFonts w:ascii="Times New Roman" w:eastAsia="Times New Roman" w:hAnsi="Times New Roman" w:cs="Times New Roman"/>
                <w:color w:val="222222"/>
                <w:sz w:val="18"/>
                <w:szCs w:val="18"/>
              </w:rPr>
              <w:t>2,689</w:t>
            </w:r>
          </w:p>
        </w:tc>
        <w:tc>
          <w:tcPr>
            <w:tcW w:w="1230"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157D33BF" w14:textId="77777777">
            <w:pPr>
              <w:widowControl w:val="0"/>
              <w:jc w:val="right"/>
              <w:rPr>
                <w:sz w:val="20"/>
                <w:szCs w:val="20"/>
              </w:rPr>
            </w:pPr>
            <w:r>
              <w:rPr>
                <w:rFonts w:ascii="Times New Roman" w:eastAsia="Times New Roman" w:hAnsi="Times New Roman" w:cs="Times New Roman"/>
                <w:color w:val="222222"/>
                <w:sz w:val="18"/>
                <w:szCs w:val="18"/>
              </w:rPr>
              <w:t>2,511</w:t>
            </w:r>
          </w:p>
        </w:tc>
        <w:tc>
          <w:tcPr>
            <w:tcW w:w="148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7F36DF67" w14:textId="77777777">
            <w:pPr>
              <w:widowControl w:val="0"/>
              <w:jc w:val="right"/>
              <w:rPr>
                <w:sz w:val="20"/>
                <w:szCs w:val="20"/>
              </w:rPr>
            </w:pPr>
            <w:r>
              <w:rPr>
                <w:rFonts w:ascii="Times New Roman" w:eastAsia="Times New Roman" w:hAnsi="Times New Roman" w:cs="Times New Roman"/>
                <w:color w:val="222222"/>
                <w:sz w:val="18"/>
                <w:szCs w:val="18"/>
              </w:rPr>
              <w:t>-178</w:t>
            </w:r>
          </w:p>
        </w:tc>
      </w:tr>
      <w:tr w14:paraId="7A952459" w14:textId="77777777">
        <w:tblPrEx>
          <w:tblW w:w="6150" w:type="dxa"/>
          <w:tblInd w:w="585" w:type="dxa"/>
          <w:tblLayout w:type="fixed"/>
          <w:tblLook w:val="0600"/>
        </w:tblPrEx>
        <w:trPr>
          <w:trHeight w:val="315"/>
        </w:trPr>
        <w:tc>
          <w:tcPr>
            <w:tcW w:w="2010" w:type="dxa"/>
            <w:tcBorders>
              <w:top w:val="single" w:sz="6" w:space="0" w:color="CCCCCC"/>
              <w:left w:val="single" w:sz="12" w:space="0" w:color="000000"/>
              <w:bottom w:val="single" w:sz="12" w:space="0" w:color="000000"/>
              <w:right w:val="single" w:sz="12" w:space="0" w:color="000000"/>
            </w:tcBorders>
            <w:tcMar>
              <w:top w:w="40" w:type="dxa"/>
              <w:left w:w="40" w:type="dxa"/>
              <w:bottom w:w="40" w:type="dxa"/>
              <w:right w:w="40" w:type="dxa"/>
            </w:tcMar>
            <w:vAlign w:val="bottom"/>
          </w:tcPr>
          <w:p w:rsidR="0095595F" w14:paraId="73FB604D" w14:textId="77777777">
            <w:pPr>
              <w:widowControl w:val="0"/>
              <w:rPr>
                <w:sz w:val="20"/>
                <w:szCs w:val="20"/>
              </w:rPr>
            </w:pPr>
            <w:r>
              <w:rPr>
                <w:rFonts w:ascii="Times New Roman" w:eastAsia="Times New Roman" w:hAnsi="Times New Roman" w:cs="Times New Roman"/>
                <w:color w:val="222222"/>
                <w:sz w:val="18"/>
                <w:szCs w:val="18"/>
              </w:rPr>
              <w:t>Total burden hours</w:t>
            </w:r>
          </w:p>
        </w:tc>
        <w:tc>
          <w:tcPr>
            <w:tcW w:w="142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0DAA5400" w14:textId="77777777">
            <w:pPr>
              <w:widowControl w:val="0"/>
              <w:jc w:val="right"/>
              <w:rPr>
                <w:sz w:val="20"/>
                <w:szCs w:val="20"/>
              </w:rPr>
            </w:pPr>
            <w:r>
              <w:rPr>
                <w:rFonts w:ascii="Times New Roman" w:eastAsia="Times New Roman" w:hAnsi="Times New Roman" w:cs="Times New Roman"/>
                <w:color w:val="222222"/>
                <w:sz w:val="18"/>
                <w:szCs w:val="18"/>
              </w:rPr>
              <w:t>448</w:t>
            </w:r>
          </w:p>
        </w:tc>
        <w:tc>
          <w:tcPr>
            <w:tcW w:w="1230"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5A653860" w14:textId="77777777">
            <w:pPr>
              <w:widowControl w:val="0"/>
              <w:jc w:val="right"/>
              <w:rPr>
                <w:sz w:val="20"/>
                <w:szCs w:val="20"/>
              </w:rPr>
            </w:pPr>
            <w:r>
              <w:rPr>
                <w:rFonts w:ascii="Times New Roman" w:eastAsia="Times New Roman" w:hAnsi="Times New Roman" w:cs="Times New Roman"/>
                <w:color w:val="222222"/>
                <w:sz w:val="18"/>
                <w:szCs w:val="18"/>
              </w:rPr>
              <w:t>419</w:t>
            </w:r>
          </w:p>
        </w:tc>
        <w:tc>
          <w:tcPr>
            <w:tcW w:w="148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78309370" w14:textId="77777777">
            <w:pPr>
              <w:widowControl w:val="0"/>
              <w:jc w:val="right"/>
              <w:rPr>
                <w:sz w:val="20"/>
                <w:szCs w:val="20"/>
              </w:rPr>
            </w:pPr>
            <w:r>
              <w:rPr>
                <w:rFonts w:ascii="Times New Roman" w:eastAsia="Times New Roman" w:hAnsi="Times New Roman" w:cs="Times New Roman"/>
                <w:color w:val="222222"/>
                <w:sz w:val="18"/>
                <w:szCs w:val="18"/>
              </w:rPr>
              <w:t>-29</w:t>
            </w:r>
          </w:p>
        </w:tc>
      </w:tr>
      <w:tr w14:paraId="5605A310" w14:textId="77777777">
        <w:tblPrEx>
          <w:tblW w:w="6150" w:type="dxa"/>
          <w:tblInd w:w="585" w:type="dxa"/>
          <w:tblLayout w:type="fixed"/>
          <w:tblLook w:val="0600"/>
        </w:tblPrEx>
        <w:trPr>
          <w:trHeight w:val="540"/>
        </w:trPr>
        <w:tc>
          <w:tcPr>
            <w:tcW w:w="2010" w:type="dxa"/>
            <w:tcBorders>
              <w:top w:val="single" w:sz="6" w:space="0" w:color="CCCCCC"/>
              <w:left w:val="single" w:sz="12" w:space="0" w:color="000000"/>
              <w:bottom w:val="single" w:sz="12" w:space="0" w:color="000000"/>
              <w:right w:val="single" w:sz="12" w:space="0" w:color="000000"/>
            </w:tcBorders>
            <w:tcMar>
              <w:top w:w="40" w:type="dxa"/>
              <w:left w:w="40" w:type="dxa"/>
              <w:bottom w:w="40" w:type="dxa"/>
              <w:right w:w="40" w:type="dxa"/>
            </w:tcMar>
            <w:vAlign w:val="bottom"/>
          </w:tcPr>
          <w:p w:rsidR="0095595F" w14:paraId="46A0637E" w14:textId="77777777">
            <w:pPr>
              <w:widowControl w:val="0"/>
              <w:rPr>
                <w:sz w:val="20"/>
                <w:szCs w:val="20"/>
              </w:rPr>
            </w:pPr>
            <w:r>
              <w:rPr>
                <w:rFonts w:ascii="Times New Roman" w:eastAsia="Times New Roman" w:hAnsi="Times New Roman" w:cs="Times New Roman"/>
                <w:color w:val="222222"/>
                <w:sz w:val="18"/>
                <w:szCs w:val="18"/>
              </w:rPr>
              <w:t>Total annual cost to public</w:t>
            </w:r>
          </w:p>
        </w:tc>
        <w:tc>
          <w:tcPr>
            <w:tcW w:w="142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1215A7AD" w14:textId="77777777">
            <w:pPr>
              <w:widowControl w:val="0"/>
              <w:jc w:val="right"/>
              <w:rPr>
                <w:sz w:val="20"/>
                <w:szCs w:val="20"/>
              </w:rPr>
            </w:pPr>
            <w:r>
              <w:rPr>
                <w:rFonts w:ascii="Times New Roman" w:eastAsia="Times New Roman" w:hAnsi="Times New Roman" w:cs="Times New Roman"/>
                <w:color w:val="222222"/>
                <w:sz w:val="18"/>
                <w:szCs w:val="18"/>
              </w:rPr>
              <w:t>$24,192</w:t>
            </w:r>
          </w:p>
        </w:tc>
        <w:tc>
          <w:tcPr>
            <w:tcW w:w="1230"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63CE5596" w14:textId="77777777">
            <w:pPr>
              <w:widowControl w:val="0"/>
              <w:jc w:val="right"/>
              <w:rPr>
                <w:sz w:val="20"/>
                <w:szCs w:val="20"/>
              </w:rPr>
            </w:pPr>
            <w:r>
              <w:rPr>
                <w:rFonts w:ascii="Times New Roman" w:eastAsia="Times New Roman" w:hAnsi="Times New Roman" w:cs="Times New Roman"/>
                <w:color w:val="222222"/>
                <w:sz w:val="18"/>
                <w:szCs w:val="18"/>
              </w:rPr>
              <w:t>$20,950</w:t>
            </w:r>
          </w:p>
        </w:tc>
        <w:tc>
          <w:tcPr>
            <w:tcW w:w="1485" w:type="dxa"/>
            <w:tcBorders>
              <w:top w:val="single" w:sz="6" w:space="0" w:color="CCCCCC"/>
              <w:left w:val="single" w:sz="6" w:space="0" w:color="CCCCCC"/>
              <w:bottom w:val="single" w:sz="12" w:space="0" w:color="000000"/>
              <w:right w:val="single" w:sz="12" w:space="0" w:color="000000"/>
            </w:tcBorders>
            <w:tcMar>
              <w:top w:w="40" w:type="dxa"/>
              <w:left w:w="40" w:type="dxa"/>
              <w:bottom w:w="40" w:type="dxa"/>
              <w:right w:w="40" w:type="dxa"/>
            </w:tcMar>
            <w:vAlign w:val="bottom"/>
          </w:tcPr>
          <w:p w:rsidR="0095595F" w14:paraId="7DB64F1A" w14:textId="77777777">
            <w:pPr>
              <w:widowControl w:val="0"/>
              <w:jc w:val="right"/>
              <w:rPr>
                <w:sz w:val="20"/>
                <w:szCs w:val="20"/>
              </w:rPr>
            </w:pPr>
            <w:r>
              <w:rPr>
                <w:rFonts w:ascii="Times New Roman" w:eastAsia="Times New Roman" w:hAnsi="Times New Roman" w:cs="Times New Roman"/>
                <w:color w:val="222222"/>
                <w:sz w:val="18"/>
                <w:szCs w:val="18"/>
              </w:rPr>
              <w:t>-$3,242</w:t>
            </w:r>
          </w:p>
        </w:tc>
      </w:tr>
    </w:tbl>
    <w:p w:rsidR="0095595F" w14:paraId="314D7827"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040733C2"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Publicizing Results</w:t>
      </w:r>
      <w:r>
        <w:rPr>
          <w:rFonts w:ascii="Courier New" w:eastAsia="Courier New" w:hAnsi="Courier New" w:cs="Courier New"/>
          <w:sz w:val="24"/>
          <w:szCs w:val="24"/>
        </w:rPr>
        <w:t xml:space="preserve">. The Acquisition 360 Survey will be ongoing and available for receiving standardized feedback from actual and potential offerors regarding Federal contract solicitations. The survey response data will be shared with agencies via access-controlled websites such as OMB Max. The OMB project team intends to publicize efforts taken in response to the survey data so that all parties can understand the impact and efforts undertaken </w:t>
      </w:r>
      <w:r>
        <w:rPr>
          <w:rFonts w:ascii="Courier New" w:eastAsia="Courier New" w:hAnsi="Courier New" w:cs="Courier New"/>
          <w:sz w:val="24"/>
          <w:szCs w:val="24"/>
        </w:rPr>
        <w:t>as a result of</w:t>
      </w:r>
      <w:r>
        <w:rPr>
          <w:rFonts w:ascii="Courier New" w:eastAsia="Courier New" w:hAnsi="Courier New" w:cs="Courier New"/>
          <w:sz w:val="24"/>
          <w:szCs w:val="24"/>
        </w:rPr>
        <w:t xml:space="preserve"> the survey responses.</w:t>
      </w:r>
    </w:p>
    <w:p w:rsidR="0095595F" w14:paraId="235946CF"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32FE48EB"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OMB Not to Display Approval</w:t>
      </w:r>
      <w:r>
        <w:rPr>
          <w:rFonts w:ascii="Courier New" w:eastAsia="Courier New" w:hAnsi="Courier New" w:cs="Courier New"/>
          <w:sz w:val="24"/>
          <w:szCs w:val="24"/>
        </w:rPr>
        <w:t xml:space="preserve">. Approval to </w:t>
      </w:r>
      <w:r>
        <w:rPr>
          <w:rFonts w:ascii="Courier New" w:eastAsia="Courier New" w:hAnsi="Courier New" w:cs="Courier New"/>
          <w:i/>
          <w:iCs/>
          <w:sz w:val="24"/>
          <w:szCs w:val="24"/>
        </w:rPr>
        <w:t>not</w:t>
      </w:r>
      <w:r>
        <w:rPr>
          <w:rFonts w:ascii="Courier New" w:eastAsia="Courier New" w:hAnsi="Courier New" w:cs="Courier New"/>
          <w:sz w:val="24"/>
          <w:szCs w:val="24"/>
        </w:rPr>
        <w:t xml:space="preserve"> display the expiration date for OMB approval of the information collection is not sought.</w:t>
      </w:r>
    </w:p>
    <w:p w:rsidR="0095595F" w14:paraId="6040316A"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19B4ABBE" w14:textId="77777777">
      <w:pPr>
        <w:widowControl w:val="0"/>
        <w:numPr>
          <w:ilvl w:val="0"/>
          <w:numId w:val="2"/>
        </w:numPr>
        <w:tabs>
          <w:tab w:val="left" w:pos="360"/>
          <w:tab w:val="left" w:pos="720"/>
          <w:tab w:val="left" w:pos="1080"/>
        </w:tabs>
        <w:spacing w:line="240" w:lineRule="auto"/>
        <w:rPr>
          <w:rFonts w:ascii="Courier New" w:eastAsia="Courier New" w:hAnsi="Courier New" w:cs="Courier New"/>
          <w:sz w:val="24"/>
          <w:szCs w:val="24"/>
        </w:rPr>
      </w:pPr>
      <w:r>
        <w:rPr>
          <w:rFonts w:ascii="Courier New" w:eastAsia="Courier New" w:hAnsi="Courier New" w:cs="Courier New"/>
          <w:sz w:val="24"/>
          <w:szCs w:val="24"/>
          <w:u w:val="single"/>
        </w:rPr>
        <w:t>Exceptions to "Certification for Paperwork Reduction Submissions.</w:t>
      </w:r>
      <w:r>
        <w:rPr>
          <w:rFonts w:ascii="Courier New" w:eastAsia="Courier New" w:hAnsi="Courier New" w:cs="Courier New"/>
          <w:sz w:val="24"/>
          <w:szCs w:val="24"/>
        </w:rPr>
        <w:t>" There is no exception to the certification statement.</w:t>
      </w:r>
    </w:p>
    <w:p w:rsidR="0095595F" w14:paraId="432D51A5"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3CA1F491" w14:textId="77777777">
      <w:pPr>
        <w:widowControl w:val="0"/>
        <w:tabs>
          <w:tab w:val="left" w:pos="360"/>
          <w:tab w:val="left" w:pos="720"/>
          <w:tab w:val="left" w:pos="1080"/>
        </w:tabs>
        <w:spacing w:line="240" w:lineRule="auto"/>
        <w:rPr>
          <w:rFonts w:ascii="Courier New" w:eastAsia="Courier New" w:hAnsi="Courier New" w:cs="Courier New"/>
          <w:sz w:val="24"/>
          <w:szCs w:val="24"/>
        </w:rPr>
      </w:pPr>
    </w:p>
    <w:tbl>
      <w:tblPr>
        <w:tblStyle w:val="a0"/>
        <w:tblW w:w="4500" w:type="dxa"/>
        <w:tblInd w:w="0" w:type="dxa"/>
        <w:tblBorders>
          <w:top w:val="nil"/>
          <w:left w:val="nil"/>
          <w:bottom w:val="nil"/>
          <w:right w:val="nil"/>
          <w:insideH w:val="nil"/>
          <w:insideV w:val="nil"/>
        </w:tblBorders>
        <w:tblLayout w:type="fixed"/>
        <w:tblLook w:val="0600"/>
      </w:tblPr>
      <w:tblGrid>
        <w:gridCol w:w="1500"/>
        <w:gridCol w:w="1500"/>
        <w:gridCol w:w="1500"/>
      </w:tblGrid>
      <w:tr w14:paraId="51FD65BA" w14:textId="77777777">
        <w:tblPrEx>
          <w:tblW w:w="4500" w:type="dxa"/>
          <w:tblInd w:w="0" w:type="dxa"/>
          <w:tblBorders>
            <w:top w:val="nil"/>
            <w:left w:val="nil"/>
            <w:bottom w:val="nil"/>
            <w:right w:val="nil"/>
            <w:insideH w:val="nil"/>
            <w:insideV w:val="nil"/>
          </w:tblBorders>
          <w:tblLayout w:type="fixed"/>
          <w:tblLook w:val="0600"/>
        </w:tblPrEx>
        <w:trPr>
          <w:trHeight w:val="315"/>
        </w:trPr>
        <w:tc>
          <w:tcPr>
            <w:tcW w:w="4500" w:type="dxa"/>
            <w:gridSpan w:val="3"/>
            <w:tcBorders>
              <w:top w:val="single" w:sz="6" w:space="0" w:color="000000"/>
              <w:left w:val="single" w:sz="6" w:space="0" w:color="000000"/>
              <w:bottom w:val="single" w:sz="6" w:space="0" w:color="000000"/>
              <w:right w:val="single" w:sz="6" w:space="0" w:color="CCCCCC"/>
            </w:tcBorders>
            <w:tcMar>
              <w:top w:w="40" w:type="dxa"/>
              <w:left w:w="40" w:type="dxa"/>
              <w:bottom w:w="40" w:type="dxa"/>
              <w:right w:w="40" w:type="dxa"/>
            </w:tcMar>
            <w:vAlign w:val="center"/>
          </w:tcPr>
          <w:p w:rsidR="0095595F" w14:paraId="2C303F69" w14:textId="77777777">
            <w:pPr>
              <w:widowControl w:val="0"/>
              <w:jc w:val="center"/>
              <w:rPr>
                <w:sz w:val="20"/>
                <w:szCs w:val="20"/>
              </w:rPr>
            </w:pPr>
            <w:r>
              <w:rPr>
                <w:sz w:val="20"/>
                <w:szCs w:val="20"/>
              </w:rPr>
              <w:t>SAM.gov award data for GSA</w:t>
            </w:r>
          </w:p>
        </w:tc>
      </w:tr>
      <w:tr w14:paraId="21F94E11" w14:textId="77777777">
        <w:tblPrEx>
          <w:tblW w:w="4500" w:type="dxa"/>
          <w:tblInd w:w="0" w:type="dxa"/>
          <w:tblLayout w:type="fixed"/>
          <w:tblLook w:val="0600"/>
        </w:tblPrEx>
        <w:trPr>
          <w:trHeight w:val="525"/>
        </w:trPr>
        <w:tc>
          <w:tcPr>
            <w:tcW w:w="15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5595F" w14:paraId="01346E76" w14:textId="77777777">
            <w:pPr>
              <w:widowControl w:val="0"/>
              <w:jc w:val="center"/>
              <w:rPr>
                <w:sz w:val="20"/>
                <w:szCs w:val="20"/>
              </w:rPr>
            </w:pPr>
            <w:r>
              <w:rPr>
                <w:sz w:val="20"/>
                <w:szCs w:val="20"/>
              </w:rPr>
              <w:t>FY</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537E48D5" w14:textId="77777777">
            <w:pPr>
              <w:widowControl w:val="0"/>
              <w:jc w:val="center"/>
              <w:rPr>
                <w:sz w:val="20"/>
                <w:szCs w:val="20"/>
              </w:rPr>
            </w:pPr>
            <w:r>
              <w:rPr>
                <w:sz w:val="20"/>
                <w:szCs w:val="20"/>
              </w:rPr>
              <w:t>No of contracts</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2EBCF46A" w14:textId="77777777">
            <w:pPr>
              <w:widowControl w:val="0"/>
              <w:jc w:val="center"/>
              <w:rPr>
                <w:sz w:val="20"/>
                <w:szCs w:val="20"/>
              </w:rPr>
            </w:pPr>
            <w:r>
              <w:rPr>
                <w:sz w:val="20"/>
                <w:szCs w:val="20"/>
              </w:rPr>
              <w:t>Unique vendors</w:t>
            </w:r>
          </w:p>
        </w:tc>
      </w:tr>
      <w:tr w14:paraId="71056031" w14:textId="77777777">
        <w:tblPrEx>
          <w:tblW w:w="4500" w:type="dxa"/>
          <w:tblInd w:w="0" w:type="dxa"/>
          <w:tblLayout w:type="fixed"/>
          <w:tblLook w:val="0600"/>
        </w:tblPrEx>
        <w:trPr>
          <w:trHeight w:val="315"/>
        </w:trPr>
        <w:tc>
          <w:tcPr>
            <w:tcW w:w="15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5595F" w14:paraId="7434A78E" w14:textId="77777777">
            <w:pPr>
              <w:widowControl w:val="0"/>
              <w:jc w:val="center"/>
              <w:rPr>
                <w:sz w:val="20"/>
                <w:szCs w:val="20"/>
              </w:rPr>
            </w:pPr>
            <w:r>
              <w:rPr>
                <w:sz w:val="20"/>
                <w:szCs w:val="20"/>
              </w:rPr>
              <w:t>2023</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230CFA6F" w14:textId="77777777">
            <w:pPr>
              <w:widowControl w:val="0"/>
              <w:jc w:val="center"/>
              <w:rPr>
                <w:sz w:val="20"/>
                <w:szCs w:val="20"/>
              </w:rPr>
            </w:pPr>
            <w:r>
              <w:rPr>
                <w:sz w:val="20"/>
                <w:szCs w:val="20"/>
              </w:rPr>
              <w:t>42,941</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43F033F0" w14:textId="77777777">
            <w:pPr>
              <w:widowControl w:val="0"/>
              <w:jc w:val="center"/>
              <w:rPr>
                <w:sz w:val="20"/>
                <w:szCs w:val="20"/>
              </w:rPr>
            </w:pPr>
            <w:r>
              <w:rPr>
                <w:sz w:val="20"/>
                <w:szCs w:val="20"/>
              </w:rPr>
              <w:t>3,499</w:t>
            </w:r>
          </w:p>
        </w:tc>
      </w:tr>
      <w:tr w14:paraId="7940FA64" w14:textId="77777777">
        <w:tblPrEx>
          <w:tblW w:w="4500" w:type="dxa"/>
          <w:tblInd w:w="0" w:type="dxa"/>
          <w:tblLayout w:type="fixed"/>
          <w:tblLook w:val="0600"/>
        </w:tblPrEx>
        <w:trPr>
          <w:trHeight w:val="315"/>
        </w:trPr>
        <w:tc>
          <w:tcPr>
            <w:tcW w:w="15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5595F" w14:paraId="7648281E" w14:textId="77777777">
            <w:pPr>
              <w:widowControl w:val="0"/>
              <w:jc w:val="center"/>
              <w:rPr>
                <w:sz w:val="20"/>
                <w:szCs w:val="20"/>
              </w:rPr>
            </w:pPr>
            <w:r>
              <w:rPr>
                <w:sz w:val="20"/>
                <w:szCs w:val="20"/>
              </w:rPr>
              <w:t>2024</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4937EB87" w14:textId="77777777">
            <w:pPr>
              <w:widowControl w:val="0"/>
              <w:jc w:val="center"/>
              <w:rPr>
                <w:sz w:val="20"/>
                <w:szCs w:val="20"/>
              </w:rPr>
            </w:pPr>
            <w:r>
              <w:rPr>
                <w:sz w:val="20"/>
                <w:szCs w:val="20"/>
              </w:rPr>
              <w:t>45,707</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015371CA" w14:textId="77777777">
            <w:pPr>
              <w:widowControl w:val="0"/>
              <w:jc w:val="center"/>
              <w:rPr>
                <w:sz w:val="20"/>
                <w:szCs w:val="20"/>
              </w:rPr>
            </w:pPr>
            <w:r>
              <w:rPr>
                <w:sz w:val="20"/>
                <w:szCs w:val="20"/>
              </w:rPr>
              <w:t>4,391</w:t>
            </w:r>
          </w:p>
        </w:tc>
      </w:tr>
      <w:tr w14:paraId="5FC700E7" w14:textId="77777777">
        <w:tblPrEx>
          <w:tblW w:w="4500" w:type="dxa"/>
          <w:tblInd w:w="0" w:type="dxa"/>
          <w:tblLayout w:type="fixed"/>
          <w:tblLook w:val="0600"/>
        </w:tblPrEx>
        <w:trPr>
          <w:trHeight w:val="315"/>
        </w:trPr>
        <w:tc>
          <w:tcPr>
            <w:tcW w:w="15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5595F" w14:paraId="4CD2CE62" w14:textId="77777777">
            <w:pPr>
              <w:widowControl w:val="0"/>
              <w:jc w:val="center"/>
              <w:rPr>
                <w:sz w:val="20"/>
                <w:szCs w:val="20"/>
              </w:rPr>
            </w:pPr>
            <w:r>
              <w:rPr>
                <w:sz w:val="20"/>
                <w:szCs w:val="20"/>
              </w:rPr>
              <w:t>2025</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4E4454F3" w14:textId="77777777">
            <w:pPr>
              <w:widowControl w:val="0"/>
              <w:jc w:val="center"/>
              <w:rPr>
                <w:sz w:val="20"/>
                <w:szCs w:val="20"/>
              </w:rPr>
            </w:pPr>
            <w:r>
              <w:rPr>
                <w:sz w:val="20"/>
                <w:szCs w:val="20"/>
              </w:rPr>
              <w:t>63,586</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2E7BD5D4" w14:textId="77777777">
            <w:pPr>
              <w:widowControl w:val="0"/>
              <w:jc w:val="center"/>
              <w:rPr>
                <w:sz w:val="20"/>
                <w:szCs w:val="20"/>
              </w:rPr>
            </w:pPr>
            <w:r>
              <w:rPr>
                <w:sz w:val="20"/>
                <w:szCs w:val="20"/>
              </w:rPr>
              <w:t>5,468</w:t>
            </w:r>
          </w:p>
        </w:tc>
      </w:tr>
      <w:tr w14:paraId="306AF487" w14:textId="77777777">
        <w:tblPrEx>
          <w:tblW w:w="4500" w:type="dxa"/>
          <w:tblInd w:w="0" w:type="dxa"/>
          <w:tblLayout w:type="fixed"/>
          <w:tblLook w:val="0600"/>
        </w:tblPrEx>
        <w:trPr>
          <w:trHeight w:val="315"/>
        </w:trPr>
        <w:tc>
          <w:tcPr>
            <w:tcW w:w="150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95595F" w14:paraId="707A846B" w14:textId="77777777">
            <w:pPr>
              <w:widowControl w:val="0"/>
              <w:jc w:val="center"/>
              <w:rPr>
                <w:sz w:val="20"/>
                <w:szCs w:val="20"/>
              </w:rPr>
            </w:pPr>
            <w:r>
              <w:rPr>
                <w:b/>
                <w:bCs/>
                <w:sz w:val="20"/>
                <w:szCs w:val="20"/>
              </w:rPr>
              <w:t>Avg</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2736E94B" w14:textId="77777777">
            <w:pPr>
              <w:widowControl w:val="0"/>
              <w:jc w:val="center"/>
              <w:rPr>
                <w:sz w:val="20"/>
                <w:szCs w:val="20"/>
              </w:rPr>
            </w:pPr>
            <w:r>
              <w:rPr>
                <w:b/>
                <w:bCs/>
                <w:sz w:val="20"/>
                <w:szCs w:val="20"/>
              </w:rPr>
              <w:t>50,745</w:t>
            </w:r>
          </w:p>
        </w:tc>
        <w:tc>
          <w:tcPr>
            <w:tcW w:w="150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95595F" w14:paraId="00A0B5CC" w14:textId="77777777">
            <w:pPr>
              <w:widowControl w:val="0"/>
              <w:jc w:val="center"/>
              <w:rPr>
                <w:sz w:val="20"/>
                <w:szCs w:val="20"/>
              </w:rPr>
            </w:pPr>
            <w:r>
              <w:rPr>
                <w:b/>
                <w:bCs/>
                <w:sz w:val="20"/>
                <w:szCs w:val="20"/>
              </w:rPr>
              <w:t>4,453</w:t>
            </w:r>
          </w:p>
        </w:tc>
      </w:tr>
    </w:tbl>
    <w:p w:rsidR="0095595F" w14:paraId="1233B956"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6559D27F" w14:textId="77777777">
      <w:pPr>
        <w:widowControl w:val="0"/>
        <w:tabs>
          <w:tab w:val="left" w:pos="360"/>
          <w:tab w:val="left" w:pos="720"/>
          <w:tab w:val="left" w:pos="1080"/>
        </w:tabs>
        <w:spacing w:line="240" w:lineRule="auto"/>
        <w:rPr>
          <w:rFonts w:ascii="Courier New" w:eastAsia="Courier New" w:hAnsi="Courier New" w:cs="Courier New"/>
          <w:sz w:val="24"/>
          <w:szCs w:val="24"/>
        </w:rPr>
      </w:pPr>
    </w:p>
    <w:p w:rsidR="0095595F" w14:paraId="41ED47D0" w14:textId="77777777">
      <w:pPr>
        <w:widowControl w:val="0"/>
        <w:tabs>
          <w:tab w:val="left" w:pos="360"/>
          <w:tab w:val="left" w:pos="720"/>
          <w:tab w:val="left" w:pos="1080"/>
        </w:tabs>
        <w:spacing w:before="240" w:after="240" w:line="240" w:lineRule="auto"/>
        <w:rPr>
          <w:rFonts w:ascii="Courier New" w:eastAsia="Courier New" w:hAnsi="Courier New" w:cs="Courier New"/>
          <w:b/>
          <w:bCs/>
          <w:sz w:val="24"/>
          <w:szCs w:val="24"/>
          <w:u w:val="single"/>
        </w:rPr>
      </w:pPr>
      <w:r>
        <w:rPr>
          <w:rFonts w:ascii="Courier New" w:eastAsia="Courier New" w:hAnsi="Courier New" w:cs="Courier New"/>
          <w:b/>
          <w:bCs/>
          <w:sz w:val="24"/>
          <w:szCs w:val="24"/>
          <w:u w:val="single"/>
        </w:rPr>
        <w:t>Attachment</w:t>
      </w:r>
    </w:p>
    <w:p w:rsidR="0095595F" w14:paraId="46E8C77C" w14:textId="77777777">
      <w:pPr>
        <w:widowControl w:val="0"/>
        <w:tabs>
          <w:tab w:val="left" w:pos="360"/>
          <w:tab w:val="left" w:pos="720"/>
          <w:tab w:val="left" w:pos="1080"/>
        </w:tabs>
        <w:spacing w:before="240" w:after="240" w:line="240" w:lineRule="auto"/>
        <w:rPr>
          <w:rFonts w:ascii="Courier New" w:eastAsia="Courier New" w:hAnsi="Courier New" w:cs="Courier New"/>
          <w:sz w:val="18"/>
          <w:szCs w:val="18"/>
        </w:rPr>
      </w:pPr>
      <w:r>
        <w:rPr>
          <w:rFonts w:ascii="Courier New" w:eastAsia="Courier New" w:hAnsi="Courier New" w:cs="Courier New"/>
          <w:sz w:val="24"/>
          <w:szCs w:val="24"/>
        </w:rPr>
        <w:t>Acquisition 360 Survey</w:t>
      </w:r>
    </w:p>
    <w:p w:rsidR="0095595F" w14:paraId="6B39C07A" w14:textId="77777777">
      <w:pPr>
        <w:widowControl w:val="0"/>
        <w:tabs>
          <w:tab w:val="left" w:pos="360"/>
          <w:tab w:val="left" w:pos="720"/>
          <w:tab w:val="left" w:pos="1080"/>
        </w:tabs>
        <w:spacing w:line="240" w:lineRule="auto"/>
        <w:rPr>
          <w:rFonts w:ascii="Courier New" w:eastAsia="Courier New" w:hAnsi="Courier New" w:cs="Courier New"/>
          <w:sz w:val="24"/>
          <w:szCs w:val="24"/>
        </w:rPr>
      </w:pPr>
    </w:p>
    <w:sectPr>
      <w:footerReference w:type="default" r:id="rId6"/>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C7250CF-B542-413A-92E2-B8C3D28008D6}"/>
  </w:font>
  <w:font w:name="Cambria">
    <w:panose1 w:val="02040503050406030204"/>
    <w:charset w:val="00"/>
    <w:family w:val="roman"/>
    <w:pitch w:val="variable"/>
    <w:sig w:usb0="E00006FF" w:usb1="420024FF" w:usb2="02000000" w:usb3="00000000" w:csb0="0000019F" w:csb1="00000000"/>
    <w:embedRegular r:id="rId2" w:fontKey="{FC510014-E5E8-4B18-8C6F-CB057D96A0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95F" w14:paraId="7437B647" w14:textId="77777777">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5C74CE">
      <w:rPr>
        <w:noProof/>
        <w:color w:val="000000"/>
      </w:rPr>
      <w:t>1</w:t>
    </w:r>
    <w:r>
      <w:rPr>
        <w:color w:val="000000"/>
      </w:rPr>
      <w:fldChar w:fldCharType="end"/>
    </w:r>
  </w:p>
  <w:p w:rsidR="0095595F" w14:paraId="1858BE67" w14:textId="77777777">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3B96" w14:paraId="18F398BE" w14:textId="77777777">
      <w:pPr>
        <w:spacing w:line="240" w:lineRule="auto"/>
      </w:pPr>
      <w:r>
        <w:separator/>
      </w:r>
    </w:p>
  </w:footnote>
  <w:footnote w:type="continuationSeparator" w:id="1">
    <w:p w:rsidR="00F13B96" w14:paraId="6F954BF3" w14:textId="77777777">
      <w:pPr>
        <w:spacing w:line="240" w:lineRule="auto"/>
      </w:pPr>
      <w:r>
        <w:continuationSeparator/>
      </w:r>
    </w:p>
  </w:footnote>
  <w:footnote w:id="2">
    <w:p w:rsidR="0095595F" w14:paraId="509C9DBD" w14:textId="77777777">
      <w:pPr>
        <w:spacing w:line="240" w:lineRule="auto"/>
        <w:rPr>
          <w:sz w:val="20"/>
          <w:szCs w:val="20"/>
        </w:rPr>
      </w:pPr>
      <w:r>
        <w:rPr>
          <w:vertAlign w:val="superscript"/>
        </w:rPr>
        <w:footnoteRef/>
      </w:r>
      <w:r>
        <w:rPr>
          <w:sz w:val="20"/>
          <w:szCs w:val="20"/>
        </w:rPr>
        <w:t xml:space="preserve"> SAM filters used {Date </w:t>
      </w:r>
      <w:r>
        <w:rPr>
          <w:sz w:val="20"/>
          <w:szCs w:val="20"/>
        </w:rPr>
        <w:t>Signed} (</w:t>
      </w:r>
      <w:r>
        <w:rPr>
          <w:sz w:val="20"/>
          <w:szCs w:val="20"/>
        </w:rPr>
        <w:t xml:space="preserve">ID) Between 10/1/2022 and 9/30/2025 And {Contracting Department </w:t>
      </w:r>
      <w:r>
        <w:rPr>
          <w:sz w:val="20"/>
          <w:szCs w:val="20"/>
        </w:rPr>
        <w:t>Name} (</w:t>
      </w:r>
      <w:r>
        <w:rPr>
          <w:sz w:val="20"/>
          <w:szCs w:val="20"/>
        </w:rPr>
        <w:t xml:space="preserve">ID) = "GENERAL SERVICES ADMINISTRATION" And {Modification </w:t>
      </w:r>
      <w:r>
        <w:rPr>
          <w:sz w:val="20"/>
          <w:szCs w:val="20"/>
        </w:rPr>
        <w:t>Number} (</w:t>
      </w:r>
      <w:r>
        <w:rPr>
          <w:sz w:val="20"/>
          <w:szCs w:val="20"/>
        </w:rPr>
        <w:t xml:space="preserve">ID) = "0" And {Base and All Options Value (Total Contract </w:t>
      </w:r>
      <w:r>
        <w:rPr>
          <w:sz w:val="20"/>
          <w:szCs w:val="20"/>
        </w:rPr>
        <w:t>Value)}</w:t>
      </w:r>
      <w:r>
        <w:rPr>
          <w:sz w:val="20"/>
          <w:szCs w:val="20"/>
        </w:rPr>
        <w:t xml:space="preserve"> &gt; 15000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F797D"/>
    <w:multiLevelType w:val="multilevel"/>
    <w:tmpl w:val="6DC0B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F2249BC"/>
    <w:multiLevelType w:val="multilevel"/>
    <w:tmpl w:val="CE1A47B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8CE2F8A"/>
    <w:multiLevelType w:val="multilevel"/>
    <w:tmpl w:val="2184247E"/>
    <w:lvl w:ilvl="0">
      <w:start w:val="1"/>
      <w:numFmt w:val="decimal"/>
      <w:lvlText w:val="%1."/>
      <w:lvlJc w:val="left"/>
      <w:pPr>
        <w:ind w:left="360" w:hanging="360"/>
      </w:pPr>
      <w:rPr>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57811273">
    <w:abstractNumId w:val="0"/>
  </w:num>
  <w:num w:numId="2" w16cid:durableId="1334837463">
    <w:abstractNumId w:val="2"/>
  </w:num>
  <w:num w:numId="3" w16cid:durableId="1007296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95F"/>
    <w:rsid w:val="005C74CE"/>
    <w:rsid w:val="0095595F"/>
    <w:rsid w:val="00E5240B"/>
    <w:rsid w:val="00F13B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BA1C2A"/>
  <w15:docId w15:val="{8D7AC52B-54BB-44B5-BFAD-A398AD837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name w:val="a"/>
    <w:basedOn w:val="TableNormal0"/>
    <w:tblPr>
      <w:tblStyleRowBandSize w:val="1"/>
      <w:tblStyleColBandSize w:val="1"/>
    </w:tblPr>
  </w:style>
  <w:style w:type="table" w:customStyle="1" w:styleId="a0">
    <w:name w:val="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am.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2056</Words>
  <Characters>11725</Characters>
  <Application>Microsoft Office Word</Application>
  <DocSecurity>0</DocSecurity>
  <Lines>97</Lines>
  <Paragraphs>27</Paragraphs>
  <ScaleCrop>false</ScaleCrop>
  <Company>General Services Administration</Company>
  <LinksUpToDate>false</LinksUpToDate>
  <CharactersWithSpaces>13754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D. Bynum</cp:lastModifiedBy>
  <cp:revision>2</cp:revision>
  <dcterms:created xsi:type="dcterms:W3CDTF">2026-10-01T13:09:00Z</dcterms:created>
  <dcterms:modified xsi:type="dcterms:W3CDTF">2026-10-01T13:13:00Z</dcterms:modified>
</cp:coreProperties>
</file>