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05C50" w14:paraId="63845F24" w14:textId="77777777">
      <w:pPr>
        <w:widowControl w:val="0"/>
        <w:jc w:val="center"/>
        <w:rPr>
          <w:rFonts w:ascii="Courier New" w:eastAsia="Courier New" w:hAnsi="Courier New" w:cs="Courier New"/>
          <w:b/>
          <w:bCs/>
        </w:rPr>
      </w:pPr>
      <w:r>
        <w:rPr>
          <w:rFonts w:ascii="Courier New" w:eastAsia="Courier New" w:hAnsi="Courier New" w:cs="Courier New"/>
          <w:b/>
          <w:bCs/>
        </w:rPr>
        <w:t>Federal Acquisition Regulation (FAR)</w:t>
      </w:r>
    </w:p>
    <w:p w:rsidR="00A05C50" w14:paraId="6842D087" w14:textId="77777777">
      <w:pPr>
        <w:widowControl w:val="0"/>
        <w:jc w:val="center"/>
        <w:rPr>
          <w:rFonts w:ascii="Courier New" w:eastAsia="Courier New" w:hAnsi="Courier New" w:cs="Courier New"/>
          <w:b/>
          <w:bCs/>
        </w:rPr>
      </w:pPr>
      <w:r>
        <w:rPr>
          <w:rFonts w:ascii="Courier New" w:eastAsia="Courier New" w:hAnsi="Courier New" w:cs="Courier New"/>
          <w:b/>
          <w:bCs/>
        </w:rPr>
        <w:t>Certain Federal Acquisition Regulation Part 28 Requirements</w:t>
      </w:r>
    </w:p>
    <w:p w:rsidR="00A05C50" w14:paraId="6646ACD3" w14:textId="77777777">
      <w:pPr>
        <w:jc w:val="center"/>
        <w:rPr>
          <w:rFonts w:ascii="Courier New" w:eastAsia="Courier New" w:hAnsi="Courier New" w:cs="Courier New"/>
          <w:b/>
          <w:bCs/>
          <w:u w:val="single"/>
        </w:rPr>
      </w:pPr>
      <w:r>
        <w:rPr>
          <w:rFonts w:ascii="Courier New" w:eastAsia="Courier New" w:hAnsi="Courier New" w:cs="Courier New"/>
          <w:b/>
          <w:bCs/>
        </w:rPr>
        <w:t>OMB Control No. 9000-0001</w:t>
      </w:r>
    </w:p>
    <w:p w:rsidR="00A05C50" w14:paraId="4060F611" w14:textId="77777777">
      <w:pPr>
        <w:jc w:val="center"/>
        <w:rPr>
          <w:rFonts w:ascii="Courier New" w:eastAsia="Courier New" w:hAnsi="Courier New" w:cs="Courier New"/>
        </w:rPr>
      </w:pPr>
      <w:r>
        <w:rPr>
          <w:rFonts w:ascii="Courier New" w:eastAsia="Courier New" w:hAnsi="Courier New" w:cs="Courier New"/>
          <w:b/>
          <w:bCs/>
        </w:rPr>
        <w:t>Justification – Part A Supporting Statement</w:t>
      </w:r>
    </w:p>
    <w:p w:rsidR="00A05C50" w14:paraId="62CCB4BA" w14:textId="77777777">
      <w:pPr>
        <w:rPr>
          <w:rFonts w:ascii="Courier New" w:eastAsia="Courier New" w:hAnsi="Courier New" w:cs="Courier New"/>
        </w:rPr>
      </w:pPr>
    </w:p>
    <w:p w:rsidR="00A05C50" w14:paraId="623E3981" w14:textId="77777777">
      <w:pPr>
        <w:rPr>
          <w:rFonts w:ascii="Courier New" w:eastAsia="Courier New" w:hAnsi="Courier New" w:cs="Courier New"/>
        </w:rPr>
      </w:pPr>
      <w:r>
        <w:rPr>
          <w:rFonts w:ascii="Courier New" w:eastAsia="Courier New" w:hAnsi="Courier New" w:cs="Courier New"/>
          <w:b/>
          <w:bCs/>
        </w:rPr>
        <w:t>FAR sections affected:</w:t>
      </w:r>
      <w:r>
        <w:rPr>
          <w:rFonts w:ascii="Courier New" w:eastAsia="Courier New" w:hAnsi="Courier New" w:cs="Courier New"/>
        </w:rPr>
        <w:t xml:space="preserve"> 52.228-1, 52.228-2, 52.228-11, 52.228-13, 52.228-14, 52.228-15, 52.228-16, 52.228-17, Standard Forms (SF) 24, 25, 25-A, 25-B, 28, 34, 35, 273, 274, 275, 1414, 1415, 1416, and 1418</w:t>
      </w:r>
    </w:p>
    <w:p w:rsidR="00A05C50" w14:paraId="08310653" w14:textId="77777777">
      <w:pPr>
        <w:widowControl w:val="0"/>
        <w:rPr>
          <w:rFonts w:ascii="Courier New" w:eastAsia="Courier New" w:hAnsi="Courier New" w:cs="Courier New"/>
          <w:u w:val="single"/>
        </w:rPr>
      </w:pPr>
    </w:p>
    <w:p w:rsidR="00A05C50" w14:paraId="5BCC4650" w14:textId="77777777">
      <w:pPr>
        <w:widowControl w:val="0"/>
        <w:rPr>
          <w:rFonts w:ascii="Courier New" w:eastAsia="Courier New" w:hAnsi="Courier New" w:cs="Courier New"/>
        </w:rPr>
      </w:pPr>
      <w:r>
        <w:rPr>
          <w:rFonts w:ascii="Courier New" w:eastAsia="Courier New" w:hAnsi="Courier New" w:cs="Courier New"/>
          <w:u w:val="single"/>
        </w:rPr>
        <w:t>Overview of Information Collection:</w:t>
      </w:r>
    </w:p>
    <w:p w:rsidR="00A05C50" w14:paraId="46B252B0" w14:textId="77777777">
      <w:pPr>
        <w:widowControl w:val="0"/>
        <w:numPr>
          <w:ilvl w:val="0"/>
          <w:numId w:val="1"/>
        </w:numPr>
        <w:tabs>
          <w:tab w:val="left" w:pos="820"/>
          <w:tab w:val="left" w:pos="821"/>
        </w:tabs>
        <w:ind w:right="195"/>
        <w:rPr>
          <w:rFonts w:ascii="Courier New" w:eastAsia="Courier New" w:hAnsi="Courier New" w:cs="Courier New"/>
        </w:rPr>
      </w:pPr>
      <w:r>
        <w:rPr>
          <w:rFonts w:ascii="Courier New" w:eastAsia="Courier New" w:hAnsi="Courier New" w:cs="Courier New"/>
        </w:rPr>
        <w:t>This justification supports clearance of an extension of the collection.</w:t>
      </w:r>
    </w:p>
    <w:p w:rsidR="00A05C50" w14:paraId="421B0BCB" w14:textId="77777777">
      <w:pPr>
        <w:widowControl w:val="0"/>
        <w:tabs>
          <w:tab w:val="left" w:pos="820"/>
          <w:tab w:val="left" w:pos="821"/>
        </w:tabs>
        <w:ind w:left="360" w:right="195"/>
        <w:rPr>
          <w:rFonts w:ascii="Courier New" w:eastAsia="Courier New" w:hAnsi="Courier New" w:cs="Courier New"/>
        </w:rPr>
      </w:pPr>
    </w:p>
    <w:p w:rsidR="00A05C50" w14:paraId="22A04D21" w14:textId="77777777">
      <w:pPr>
        <w:widowControl w:val="0"/>
        <w:tabs>
          <w:tab w:val="left" w:pos="820"/>
          <w:tab w:val="left" w:pos="821"/>
        </w:tabs>
        <w:ind w:left="360" w:right="195"/>
        <w:rPr>
          <w:rFonts w:ascii="Courier New" w:eastAsia="Courier New" w:hAnsi="Courier New" w:cs="Courier New"/>
        </w:rPr>
      </w:pPr>
      <w:r>
        <w:rPr>
          <w:rFonts w:ascii="Courier New" w:eastAsia="Courier New" w:hAnsi="Courier New" w:cs="Courier New"/>
        </w:rPr>
        <w:t>There are no program changes. The FAR requirements remain the same. This extension includes adjustments to the burden due to use of the latest procurement data available in the System for Award Management (SAM) at SAM.gov (formerly FPDS.gov), and the calendar year 2026 Office of Personnel Management (OPM) General Schedule (GS) wage rates for the rest of the United States as explained in item 15.</w:t>
      </w:r>
    </w:p>
    <w:p w:rsidR="00A05C50" w14:paraId="7ABBB16B" w14:textId="77777777">
      <w:pPr>
        <w:widowControl w:val="0"/>
        <w:tabs>
          <w:tab w:val="left" w:pos="820"/>
          <w:tab w:val="left" w:pos="821"/>
        </w:tabs>
        <w:ind w:right="195"/>
        <w:rPr>
          <w:rFonts w:ascii="Courier New" w:eastAsia="Courier New" w:hAnsi="Courier New" w:cs="Courier New"/>
        </w:rPr>
      </w:pPr>
    </w:p>
    <w:p w:rsidR="00A05C50" w14:paraId="0D924C30" w14:textId="77777777">
      <w:pPr>
        <w:widowControl w:val="0"/>
        <w:numPr>
          <w:ilvl w:val="0"/>
          <w:numId w:val="2"/>
        </w:numPr>
        <w:tabs>
          <w:tab w:val="left" w:pos="360"/>
          <w:tab w:val="left" w:pos="630"/>
          <w:tab w:val="left" w:pos="720"/>
          <w:tab w:val="left" w:pos="1080"/>
        </w:tabs>
      </w:pPr>
      <w:r>
        <w:rPr>
          <w:rFonts w:ascii="Courier New" w:eastAsia="Courier New" w:hAnsi="Courier New" w:cs="Courier New"/>
          <w:u w:val="single"/>
        </w:rPr>
        <w:t>Need &amp; Method for the Information Collection.</w:t>
      </w:r>
      <w:r>
        <w:rPr>
          <w:rFonts w:ascii="Courier New" w:eastAsia="Courier New" w:hAnsi="Courier New" w:cs="Courier New"/>
        </w:rPr>
        <w:t xml:space="preserve"> This clearance covers the information that offerors or contractors must submit to comply with the following FAR requirements:</w:t>
      </w:r>
    </w:p>
    <w:p w:rsidR="00A05C50" w14:paraId="408179B8" w14:textId="77777777">
      <w:pPr>
        <w:numPr>
          <w:ilvl w:val="1"/>
          <w:numId w:val="2"/>
        </w:numPr>
        <w:ind w:left="360"/>
        <w:rPr>
          <w:rFonts w:ascii="Courier New" w:eastAsia="Courier New" w:hAnsi="Courier New" w:cs="Courier New"/>
        </w:rPr>
      </w:pPr>
      <w:r>
        <w:rPr>
          <w:rFonts w:ascii="Courier New" w:eastAsia="Courier New" w:hAnsi="Courier New" w:cs="Courier New"/>
          <w:b/>
          <w:bCs/>
        </w:rPr>
        <w:t>FAR 52.228-1, Bid Guarantee</w:t>
      </w:r>
      <w:r>
        <w:rPr>
          <w:rFonts w:ascii="Courier New" w:eastAsia="Courier New" w:hAnsi="Courier New" w:cs="Courier New"/>
        </w:rPr>
        <w:t>. This provision (or clause) requires offerors or contractors to furnish a bid guarantee in the proper form and amount when a performance bond or a performance and payment bond is also required. (SF 24, Bid Bond; SF 34, Annual Bid Bond).</w:t>
      </w:r>
    </w:p>
    <w:p w:rsidR="00A05C50" w14:paraId="42276F18" w14:textId="77777777">
      <w:pPr>
        <w:numPr>
          <w:ilvl w:val="1"/>
          <w:numId w:val="2"/>
        </w:numPr>
        <w:ind w:left="360"/>
        <w:rPr>
          <w:rFonts w:ascii="Courier New" w:eastAsia="Courier New" w:hAnsi="Courier New" w:cs="Courier New"/>
        </w:rPr>
      </w:pPr>
      <w:r>
        <w:rPr>
          <w:rFonts w:ascii="Courier New" w:eastAsia="Courier New" w:hAnsi="Courier New" w:cs="Courier New"/>
          <w:b/>
          <w:bCs/>
        </w:rPr>
        <w:t>FAR 52.228-2, Additional Bond Security</w:t>
      </w:r>
      <w:r>
        <w:rPr>
          <w:rFonts w:ascii="Courier New" w:eastAsia="Courier New" w:hAnsi="Courier New" w:cs="Courier New"/>
        </w:rPr>
        <w:t>. This clause requires contractors to furnish additional bond security under certain circumstances. This clause is used both for construction and other than construction contracts. (SF 1414 Consent of Surety and SF 1415, Consent of Surety and Increase of Penalty).</w:t>
      </w:r>
    </w:p>
    <w:p w:rsidR="00A05C50" w14:paraId="7DDDD118" w14:textId="77777777">
      <w:pPr>
        <w:numPr>
          <w:ilvl w:val="1"/>
          <w:numId w:val="2"/>
        </w:numPr>
        <w:ind w:left="360"/>
        <w:rPr>
          <w:rFonts w:ascii="Courier New" w:eastAsia="Courier New" w:hAnsi="Courier New" w:cs="Courier New"/>
        </w:rPr>
      </w:pPr>
      <w:r>
        <w:rPr>
          <w:rFonts w:ascii="Courier New" w:eastAsia="Courier New" w:hAnsi="Courier New" w:cs="Courier New"/>
          <w:b/>
          <w:bCs/>
        </w:rPr>
        <w:t>FAR 52.228-13, Alternative Payment Protections</w:t>
      </w:r>
      <w:r>
        <w:rPr>
          <w:rFonts w:ascii="Courier New" w:eastAsia="Courier New" w:hAnsi="Courier New" w:cs="Courier New"/>
        </w:rPr>
        <w:t>. This clause requires contractors to submit one of the payment protections listed in the clause by the contracting officer, in construction contracts greater than $35,000 but not exceeding $150,000.</w:t>
      </w:r>
    </w:p>
    <w:p w:rsidR="00A05C50" w14:paraId="41AB7CB5" w14:textId="77777777">
      <w:pPr>
        <w:numPr>
          <w:ilvl w:val="1"/>
          <w:numId w:val="2"/>
        </w:numPr>
        <w:ind w:left="360"/>
        <w:rPr>
          <w:rFonts w:ascii="Courier New" w:eastAsia="Courier New" w:hAnsi="Courier New" w:cs="Courier New"/>
        </w:rPr>
      </w:pPr>
      <w:r>
        <w:rPr>
          <w:rFonts w:ascii="Courier New" w:eastAsia="Courier New" w:hAnsi="Courier New" w:cs="Courier New"/>
          <w:b/>
          <w:bCs/>
        </w:rPr>
        <w:t>FAR 52.228-14, Irrevocable Letter of Credit</w:t>
      </w:r>
      <w:r>
        <w:rPr>
          <w:rFonts w:ascii="Courier New" w:eastAsia="Courier New" w:hAnsi="Courier New" w:cs="Courier New"/>
        </w:rPr>
        <w:t xml:space="preserve">. This clause requires offerors or contractors to provide certain information when they intend to use an irrevocable letter of credit (ILC) in lieu of a required bid bond, or to secure other types of required bonds such as performance and payment bonds. This clause is required in solicitations and contracts </w:t>
      </w:r>
      <w:r>
        <w:rPr>
          <w:rFonts w:ascii="Courier New" w:eastAsia="Courier New" w:hAnsi="Courier New" w:cs="Courier New"/>
        </w:rPr>
        <w:t>when a bid guarantee, or performance bond, or performance and payment bonds are required.</w:t>
      </w:r>
    </w:p>
    <w:p w:rsidR="00A05C50" w14:paraId="6ADBF050" w14:textId="77777777">
      <w:pPr>
        <w:numPr>
          <w:ilvl w:val="1"/>
          <w:numId w:val="2"/>
        </w:numPr>
        <w:ind w:left="360"/>
        <w:rPr>
          <w:rFonts w:ascii="Courier New" w:eastAsia="Courier New" w:hAnsi="Courier New" w:cs="Courier New"/>
        </w:rPr>
      </w:pPr>
      <w:r>
        <w:rPr>
          <w:rFonts w:ascii="Courier New" w:eastAsia="Courier New" w:hAnsi="Courier New" w:cs="Courier New"/>
          <w:b/>
          <w:bCs/>
        </w:rPr>
        <w:t>FAR 52.228-15, Performance and Payment Bonds-Construction</w:t>
      </w:r>
      <w:r>
        <w:rPr>
          <w:rFonts w:ascii="Courier New" w:eastAsia="Courier New" w:hAnsi="Courier New" w:cs="Courier New"/>
        </w:rPr>
        <w:t>. This clause requires contractors to provide performance and payment bonds in construction contracts exceeding $150,000 (SF 25, Performance Bond; SF 25-A, Payment Bond; SF 25-B, Continuation Sheet (for SF's 24, 25, and 25-A); SF 273, Reinsurance Agreement for a Bonds Statute Performance Bond; SF 274, Reinsurance Agreement for a Bonds Statute Payment Bond).</w:t>
      </w:r>
    </w:p>
    <w:p w:rsidR="00A05C50" w14:paraId="129F0E9F" w14:textId="77777777">
      <w:pPr>
        <w:numPr>
          <w:ilvl w:val="1"/>
          <w:numId w:val="2"/>
        </w:numPr>
        <w:ind w:left="360"/>
        <w:rPr>
          <w:rFonts w:ascii="Courier New" w:eastAsia="Courier New" w:hAnsi="Courier New" w:cs="Courier New"/>
        </w:rPr>
      </w:pPr>
      <w:r>
        <w:rPr>
          <w:rFonts w:ascii="Courier New" w:eastAsia="Courier New" w:hAnsi="Courier New" w:cs="Courier New"/>
          <w:b/>
          <w:bCs/>
        </w:rPr>
        <w:t>FAR 52.228-16, Performance and Payment Bonds-Other Than Construction</w:t>
      </w:r>
      <w:r>
        <w:rPr>
          <w:rFonts w:ascii="Courier New" w:eastAsia="Courier New" w:hAnsi="Courier New" w:cs="Courier New"/>
        </w:rPr>
        <w:t>. This clause requires contractors to furnish performance and payment bonds for other than construction contracts exceeding the simplified acquisition threshold only in certain circumstances. (SF 35, Annual Performance Bond; SF 275, Reinsurance Agreement in Favor of the United States; SF 1416, Payment Bond for Other Than Construction Contracts; SF 1418, Performance Bond for Other Than Construction Contracts).</w:t>
      </w:r>
    </w:p>
    <w:p w:rsidR="00A05C50" w14:paraId="7B00B06A" w14:textId="77777777">
      <w:pPr>
        <w:numPr>
          <w:ilvl w:val="1"/>
          <w:numId w:val="2"/>
        </w:numPr>
        <w:ind w:left="360"/>
        <w:rPr>
          <w:rFonts w:ascii="Courier New" w:eastAsia="Courier New" w:hAnsi="Courier New" w:cs="Courier New"/>
        </w:rPr>
      </w:pPr>
      <w:bookmarkStart w:id="0" w:name="_heading=h.t4cafmccijw9" w:colFirst="0" w:colLast="0"/>
      <w:bookmarkEnd w:id="0"/>
      <w:r>
        <w:rPr>
          <w:rFonts w:ascii="Courier New" w:eastAsia="Courier New" w:hAnsi="Courier New" w:cs="Courier New"/>
          <w:b/>
          <w:bCs/>
        </w:rPr>
        <w:t>FAR 52.228-11, Individual Surety—Pledge of Assets; FAR 52.228-17, Individual Surety—Pledge of Assets (Bid Guarantee); and Standard Form (SF) 28, Affidavit of Individual Surety</w:t>
      </w:r>
      <w:r>
        <w:rPr>
          <w:rFonts w:ascii="Courier New" w:eastAsia="Courier New" w:hAnsi="Courier New" w:cs="Courier New"/>
          <w:b/>
          <w:bCs/>
          <w:i/>
          <w:iCs/>
        </w:rPr>
        <w:t>.</w:t>
      </w:r>
      <w:r>
        <w:rPr>
          <w:rFonts w:ascii="Courier New" w:eastAsia="Courier New" w:hAnsi="Courier New" w:cs="Courier New"/>
        </w:rPr>
        <w:t xml:space="preserve"> The FAR clause at 52.228-11 and the FAR provision at 52.228-17 require the submission of </w:t>
      </w:r>
      <w:r>
        <w:rPr>
          <w:rFonts w:ascii="Courier New" w:eastAsia="Courier New" w:hAnsi="Courier New" w:cs="Courier New"/>
        </w:rPr>
        <w:t>the SF</w:t>
      </w:r>
      <w:r>
        <w:rPr>
          <w:rFonts w:ascii="Courier New" w:eastAsia="Courier New" w:hAnsi="Courier New" w:cs="Courier New"/>
        </w:rPr>
        <w:t xml:space="preserve"> 28. This form is used by all executive agencies to obtain information from individuals wishing to serve as sureties to Government bonds. Offerors and contractors may use an individual surety as security for bonds required under a solicitation or contract for supplies or services (including construction). It is an elective decision on the part of the offeror or contractor to use individual sureties instead of oth</w:t>
      </w:r>
      <w:r>
        <w:rPr>
          <w:rFonts w:ascii="Courier New" w:eastAsia="Courier New" w:hAnsi="Courier New" w:cs="Courier New"/>
        </w:rPr>
        <w:t>er available sources of surety or sureties for Government bonds.</w:t>
      </w:r>
    </w:p>
    <w:p w:rsidR="00A05C50" w14:paraId="647CDDB9" w14:textId="77777777">
      <w:pPr>
        <w:rPr>
          <w:rFonts w:ascii="Courier New" w:eastAsia="Courier New" w:hAnsi="Courier New" w:cs="Courier New"/>
        </w:rPr>
      </w:pPr>
    </w:p>
    <w:p w:rsidR="00A05C50" w14:paraId="2552EEEE" w14:textId="77777777">
      <w:pPr>
        <w:widowControl w:val="0"/>
        <w:numPr>
          <w:ilvl w:val="0"/>
          <w:numId w:val="2"/>
        </w:numPr>
        <w:tabs>
          <w:tab w:val="left" w:pos="360"/>
          <w:tab w:val="left" w:pos="630"/>
          <w:tab w:val="left" w:pos="720"/>
          <w:tab w:val="left" w:pos="1080"/>
        </w:tabs>
      </w:pPr>
      <w:r>
        <w:rPr>
          <w:rFonts w:ascii="Courier New" w:eastAsia="Courier New" w:hAnsi="Courier New" w:cs="Courier New"/>
          <w:u w:val="single"/>
        </w:rPr>
        <w:t>Use of the Information.</w:t>
      </w:r>
      <w:r>
        <w:rPr>
          <w:rFonts w:ascii="Courier New" w:eastAsia="Courier New" w:hAnsi="Courier New" w:cs="Courier New"/>
        </w:rPr>
        <w:t xml:space="preserve"> The Government retains the bid guarantees, bonds, or alternative payment protections until the contractor’s obligation is fulfilled. The contracting officer uses the information on </w:t>
      </w:r>
      <w:r>
        <w:rPr>
          <w:rFonts w:ascii="Courier New" w:eastAsia="Courier New" w:hAnsi="Courier New" w:cs="Courier New"/>
        </w:rPr>
        <w:t>the SF</w:t>
      </w:r>
      <w:r>
        <w:rPr>
          <w:rFonts w:ascii="Courier New" w:eastAsia="Courier New" w:hAnsi="Courier New" w:cs="Courier New"/>
        </w:rPr>
        <w:t xml:space="preserve"> 28 to determine the acceptability of individuals proposed as sureties.</w:t>
      </w:r>
    </w:p>
    <w:p w:rsidR="00A05C50" w14:paraId="79A4E970" w14:textId="77777777">
      <w:pPr>
        <w:rPr>
          <w:rFonts w:ascii="Courier New" w:eastAsia="Courier New" w:hAnsi="Courier New" w:cs="Courier New"/>
          <w:u w:val="single"/>
        </w:rPr>
      </w:pPr>
      <w:r>
        <w:rPr>
          <w:rFonts w:ascii="Courier New" w:eastAsia="Courier New" w:hAnsi="Courier New" w:cs="Courier New"/>
        </w:rPr>
        <w:t> </w:t>
      </w:r>
    </w:p>
    <w:p w:rsidR="00A05C50" w14:paraId="469C6ABE" w14:textId="77777777">
      <w:pPr>
        <w:widowControl w:val="0"/>
        <w:numPr>
          <w:ilvl w:val="0"/>
          <w:numId w:val="2"/>
        </w:numPr>
        <w:tabs>
          <w:tab w:val="left" w:pos="360"/>
          <w:tab w:val="left" w:pos="720"/>
          <w:tab w:val="left" w:pos="1080"/>
        </w:tabs>
      </w:pPr>
      <w:r>
        <w:rPr>
          <w:rFonts w:ascii="Courier New" w:eastAsia="Courier New" w:hAnsi="Courier New" w:cs="Courier New"/>
          <w:u w:val="single"/>
        </w:rPr>
        <w:t>Use of Information Technology.</w:t>
      </w:r>
      <w:r>
        <w:rPr>
          <w:rFonts w:ascii="Courier New" w:eastAsia="Courier New" w:hAnsi="Courier New" w:cs="Courier New"/>
        </w:rPr>
        <w:t xml:space="preserve"> Federal agencies use information technology to the maximum extent practicable. Where both the Government agency and contractors are capable of electronic interchange, the offerors and contractors may submit this information collection requirement electronically.</w:t>
      </w:r>
    </w:p>
    <w:p w:rsidR="00A05C50" w14:paraId="79B7DB01" w14:textId="77777777">
      <w:pPr>
        <w:widowControl w:val="0"/>
        <w:tabs>
          <w:tab w:val="left" w:pos="360"/>
          <w:tab w:val="left" w:pos="720"/>
          <w:tab w:val="left" w:pos="1080"/>
        </w:tabs>
        <w:rPr>
          <w:rFonts w:ascii="Courier New" w:eastAsia="Courier New" w:hAnsi="Courier New" w:cs="Courier New"/>
        </w:rPr>
      </w:pPr>
    </w:p>
    <w:p w:rsidR="00A05C50" w14:paraId="1D59A95B" w14:textId="77777777">
      <w:pPr>
        <w:widowControl w:val="0"/>
        <w:numPr>
          <w:ilvl w:val="0"/>
          <w:numId w:val="2"/>
        </w:numPr>
        <w:tabs>
          <w:tab w:val="left" w:pos="360"/>
          <w:tab w:val="left" w:pos="720"/>
          <w:tab w:val="left" w:pos="1080"/>
          <w:tab w:val="left" w:pos="1440"/>
        </w:tabs>
      </w:pPr>
      <w:r>
        <w:rPr>
          <w:rFonts w:ascii="Courier New" w:eastAsia="Courier New" w:hAnsi="Courier New" w:cs="Courier New"/>
          <w:u w:val="single"/>
        </w:rPr>
        <w:t>Non-duplication.</w:t>
      </w:r>
      <w:r>
        <w:rPr>
          <w:rFonts w:ascii="Courier New" w:eastAsia="Courier New" w:hAnsi="Courier New" w:cs="Courier New"/>
        </w:rPr>
        <w:t xml:space="preserve"> These requirements are issued under the FAR, which has been developed to standardize Federal procurement practices and eliminate unnecessary duplication.</w:t>
      </w:r>
    </w:p>
    <w:p w:rsidR="00A05C50" w14:paraId="13C2C26E" w14:textId="77777777">
      <w:pPr>
        <w:widowControl w:val="0"/>
        <w:tabs>
          <w:tab w:val="left" w:pos="360"/>
          <w:tab w:val="left" w:pos="720"/>
          <w:tab w:val="left" w:pos="1080"/>
          <w:tab w:val="left" w:pos="1440"/>
        </w:tabs>
        <w:rPr>
          <w:rFonts w:ascii="Courier New" w:eastAsia="Courier New" w:hAnsi="Courier New" w:cs="Courier New"/>
        </w:rPr>
      </w:pPr>
    </w:p>
    <w:p w:rsidR="00A05C50" w14:paraId="31A9BC8B" w14:textId="77777777">
      <w:pPr>
        <w:widowControl w:val="0"/>
        <w:numPr>
          <w:ilvl w:val="0"/>
          <w:numId w:val="2"/>
        </w:numPr>
        <w:tabs>
          <w:tab w:val="left" w:pos="360"/>
          <w:tab w:val="left" w:pos="720"/>
          <w:tab w:val="left" w:pos="1080"/>
          <w:tab w:val="left" w:pos="1440"/>
        </w:tabs>
      </w:pPr>
      <w:r>
        <w:rPr>
          <w:rFonts w:ascii="Courier New" w:eastAsia="Courier New" w:hAnsi="Courier New" w:cs="Courier New"/>
          <w:u w:val="single"/>
        </w:rPr>
        <w:t>Burden on Small Business.</w:t>
      </w:r>
      <w:r>
        <w:rPr>
          <w:rFonts w:ascii="Courier New" w:eastAsia="Courier New" w:hAnsi="Courier New" w:cs="Courier New"/>
        </w:rPr>
        <w:t xml:space="preserve"> The burden applied to small businesses is the minimum consistent with applicable laws, Executive orders, regulations, and prudent business practices.</w:t>
      </w:r>
    </w:p>
    <w:p w:rsidR="00A05C50" w14:paraId="57B2FE61" w14:textId="77777777">
      <w:pPr>
        <w:widowControl w:val="0"/>
        <w:tabs>
          <w:tab w:val="left" w:pos="360"/>
          <w:tab w:val="left" w:pos="720"/>
          <w:tab w:val="left" w:pos="1080"/>
          <w:tab w:val="left" w:pos="1440"/>
        </w:tabs>
        <w:rPr>
          <w:rFonts w:ascii="Courier New" w:eastAsia="Courier New" w:hAnsi="Courier New" w:cs="Courier New"/>
        </w:rPr>
      </w:pPr>
    </w:p>
    <w:p w:rsidR="00A05C50" w14:paraId="08D5BFEF" w14:textId="77777777">
      <w:pPr>
        <w:widowControl w:val="0"/>
        <w:numPr>
          <w:ilvl w:val="0"/>
          <w:numId w:val="2"/>
        </w:numPr>
        <w:tabs>
          <w:tab w:val="left" w:pos="360"/>
          <w:tab w:val="left" w:pos="720"/>
          <w:tab w:val="left" w:pos="1080"/>
        </w:tabs>
      </w:pPr>
      <w:r>
        <w:rPr>
          <w:rFonts w:ascii="Courier New" w:eastAsia="Courier New" w:hAnsi="Courier New" w:cs="Courier New"/>
          <w:u w:val="single"/>
        </w:rPr>
        <w:t>Less Frequent Collection.</w:t>
      </w:r>
      <w:r>
        <w:rPr>
          <w:rFonts w:ascii="Courier New" w:eastAsia="Courier New" w:hAnsi="Courier New" w:cs="Courier New"/>
        </w:rPr>
        <w:t xml:space="preserve"> Collection of information on a basis other than solicitation-by-solicitation or contract-by-contract is not practical.</w:t>
      </w:r>
    </w:p>
    <w:p w:rsidR="00A05C50" w14:paraId="0B30EE7F" w14:textId="77777777">
      <w:pPr>
        <w:rPr>
          <w:rFonts w:ascii="Courier New" w:eastAsia="Courier New" w:hAnsi="Courier New" w:cs="Courier New"/>
        </w:rPr>
      </w:pPr>
    </w:p>
    <w:p w:rsidR="00A05C50" w14:paraId="6F3A3A3A" w14:textId="77777777">
      <w:pPr>
        <w:widowControl w:val="0"/>
        <w:numPr>
          <w:ilvl w:val="0"/>
          <w:numId w:val="2"/>
        </w:numPr>
        <w:tabs>
          <w:tab w:val="left" w:pos="360"/>
          <w:tab w:val="left" w:pos="720"/>
          <w:tab w:val="left" w:pos="1080"/>
          <w:tab w:val="left" w:pos="1440"/>
        </w:tabs>
      </w:pPr>
      <w:r>
        <w:rPr>
          <w:rFonts w:ascii="Courier New" w:eastAsia="Courier New" w:hAnsi="Courier New" w:cs="Courier New"/>
          <w:u w:val="single"/>
        </w:rPr>
        <w:t>Paperwork Reduction Act Guidelines.</w:t>
      </w:r>
      <w:r>
        <w:rPr>
          <w:rFonts w:ascii="Courier New" w:eastAsia="Courier New" w:hAnsi="Courier New" w:cs="Courier New"/>
        </w:rPr>
        <w:t xml:space="preserve"> Collection is consistent with guidelines in 5 CFR 1320.5(d)(2).</w:t>
      </w:r>
    </w:p>
    <w:p w:rsidR="00A05C50" w14:paraId="27D8B6D6" w14:textId="77777777">
      <w:pPr>
        <w:widowControl w:val="0"/>
        <w:tabs>
          <w:tab w:val="left" w:pos="360"/>
          <w:tab w:val="left" w:pos="720"/>
          <w:tab w:val="left" w:pos="1080"/>
          <w:tab w:val="left" w:pos="1440"/>
        </w:tabs>
        <w:ind w:left="360"/>
        <w:rPr>
          <w:rFonts w:ascii="Courier New" w:eastAsia="Courier New" w:hAnsi="Courier New" w:cs="Courier New"/>
        </w:rPr>
      </w:pPr>
    </w:p>
    <w:p w:rsidR="00A05C50" w14:paraId="3FEAFBA5" w14:textId="77777777">
      <w:pPr>
        <w:widowControl w:val="0"/>
        <w:numPr>
          <w:ilvl w:val="0"/>
          <w:numId w:val="2"/>
        </w:numPr>
        <w:tabs>
          <w:tab w:val="left" w:pos="360"/>
          <w:tab w:val="left" w:pos="720"/>
          <w:tab w:val="left" w:pos="1080"/>
          <w:tab w:val="left" w:pos="1440"/>
        </w:tabs>
      </w:pPr>
      <w:r>
        <w:rPr>
          <w:rFonts w:ascii="Courier New" w:eastAsia="Courier New" w:hAnsi="Courier New" w:cs="Courier New"/>
          <w:u w:val="single"/>
        </w:rPr>
        <w:t>Consultation and Public Comments.</w:t>
      </w:r>
    </w:p>
    <w:p w:rsidR="00A05C50" w14:paraId="34C4C2DB" w14:textId="77777777">
      <w:pPr>
        <w:numPr>
          <w:ilvl w:val="0"/>
          <w:numId w:val="4"/>
        </w:numPr>
        <w:pBdr>
          <w:top w:val="nil"/>
          <w:left w:val="nil"/>
          <w:bottom w:val="nil"/>
          <w:right w:val="nil"/>
          <w:between w:val="nil"/>
        </w:pBdr>
      </w:pPr>
      <w:bookmarkStart w:id="1" w:name="_heading=h.ex8k4ngufpdg" w:colFirst="0" w:colLast="0"/>
      <w:bookmarkEnd w:id="1"/>
      <w:r>
        <w:rPr>
          <w:rFonts w:ascii="Courier New" w:eastAsia="Courier New" w:hAnsi="Courier New" w:cs="Courier New"/>
          <w:color w:val="000000"/>
        </w:rPr>
        <w:t xml:space="preserve">A 60-day notice was published in the </w:t>
      </w:r>
      <w:r>
        <w:rPr>
          <w:rFonts w:ascii="Courier New" w:eastAsia="Courier New" w:hAnsi="Courier New" w:cs="Courier New"/>
          <w:i/>
          <w:iCs/>
          <w:color w:val="000000"/>
        </w:rPr>
        <w:t>Federal Register</w:t>
      </w:r>
      <w:r>
        <w:rPr>
          <w:rFonts w:ascii="Courier New" w:eastAsia="Courier New" w:hAnsi="Courier New" w:cs="Courier New"/>
          <w:color w:val="000000"/>
        </w:rPr>
        <w:t xml:space="preserve"> </w:t>
      </w:r>
      <w:r>
        <w:rPr>
          <w:rFonts w:ascii="Courier New" w:eastAsia="Courier New" w:hAnsi="Courier New" w:cs="Courier New"/>
          <w:color w:val="000000"/>
        </w:rPr>
        <w:t>at</w:t>
      </w:r>
      <w:r>
        <w:rPr>
          <w:rFonts w:ascii="Courier New" w:eastAsia="Courier New" w:hAnsi="Courier New" w:cs="Courier New"/>
          <w:color w:val="000000"/>
        </w:rPr>
        <w:t xml:space="preserve"> 91 FR 30306, on May 22, 2026. A comment was received; however, it did not change the estimate of the burden.</w:t>
      </w:r>
    </w:p>
    <w:p w:rsidR="00A05C50" w14:paraId="7B742432" w14:textId="77777777">
      <w:pPr>
        <w:pBdr>
          <w:top w:val="nil"/>
          <w:left w:val="nil"/>
          <w:bottom w:val="nil"/>
          <w:right w:val="nil"/>
          <w:between w:val="nil"/>
        </w:pBdr>
        <w:ind w:left="720"/>
        <w:rPr>
          <w:rFonts w:ascii="Courier New" w:eastAsia="Courier New" w:hAnsi="Courier New" w:cs="Courier New"/>
        </w:rPr>
      </w:pPr>
      <w:bookmarkStart w:id="2" w:name="_heading=h.yb9un735ph4b" w:colFirst="0" w:colLast="0"/>
      <w:bookmarkEnd w:id="2"/>
    </w:p>
    <w:p w:rsidR="00A05C50" w14:paraId="319D8DCC" w14:textId="77777777">
      <w:pPr>
        <w:pBdr>
          <w:top w:val="nil"/>
          <w:left w:val="nil"/>
          <w:bottom w:val="nil"/>
          <w:right w:val="nil"/>
          <w:between w:val="nil"/>
        </w:pBdr>
        <w:ind w:left="720"/>
        <w:rPr>
          <w:rFonts w:ascii="Courier New" w:eastAsia="Courier New" w:hAnsi="Courier New" w:cs="Courier New"/>
          <w:color w:val="000000"/>
        </w:rPr>
      </w:pPr>
      <w:bookmarkStart w:id="3" w:name="_heading=h.ozne2h671ds" w:colFirst="0" w:colLast="0"/>
      <w:bookmarkEnd w:id="3"/>
      <w:r>
        <w:rPr>
          <w:rFonts w:ascii="Courier New" w:eastAsia="Courier New" w:hAnsi="Courier New" w:cs="Courier New"/>
          <w:color w:val="000000"/>
          <w:u w:val="single"/>
        </w:rPr>
        <w:t>Comment</w:t>
      </w:r>
      <w:r>
        <w:rPr>
          <w:rFonts w:ascii="Courier New" w:eastAsia="Courier New" w:hAnsi="Courier New" w:cs="Courier New"/>
          <w:color w:val="000000"/>
        </w:rPr>
        <w:t>: The respondent strongly supports extending the information collection, emphasizing that bid, performance, and payment bond information protects taxpayer funds, subcontractors, and suppliers on federal projects. They also support extending the requirement for individual sureties to submit Standard Form 28 to qualify as a surety.</w:t>
      </w:r>
    </w:p>
    <w:p w:rsidR="00A05C50" w14:paraId="045599DD" w14:textId="77777777">
      <w:pPr>
        <w:pBdr>
          <w:top w:val="nil"/>
          <w:left w:val="nil"/>
          <w:bottom w:val="nil"/>
          <w:right w:val="nil"/>
          <w:between w:val="nil"/>
        </w:pBdr>
        <w:ind w:left="720"/>
        <w:rPr>
          <w:rFonts w:ascii="Courier New" w:eastAsia="Courier New" w:hAnsi="Courier New" w:cs="Courier New"/>
        </w:rPr>
      </w:pPr>
      <w:bookmarkStart w:id="4" w:name="_heading=h.l4weivp6le1u" w:colFirst="0" w:colLast="0"/>
      <w:bookmarkEnd w:id="4"/>
    </w:p>
    <w:p w:rsidR="00A05C50" w14:paraId="62FC6316" w14:textId="77777777">
      <w:pPr>
        <w:pBdr>
          <w:top w:val="nil"/>
          <w:left w:val="nil"/>
          <w:bottom w:val="nil"/>
          <w:right w:val="nil"/>
          <w:between w:val="nil"/>
        </w:pBdr>
        <w:ind w:left="720"/>
        <w:rPr>
          <w:rFonts w:ascii="Courier New" w:eastAsia="Courier New" w:hAnsi="Courier New" w:cs="Courier New"/>
          <w:color w:val="000000"/>
        </w:rPr>
      </w:pPr>
      <w:bookmarkStart w:id="5" w:name="_heading=h.c7zszqr8ukt8" w:colFirst="0" w:colLast="0"/>
      <w:bookmarkEnd w:id="5"/>
      <w:r>
        <w:rPr>
          <w:rFonts w:ascii="Courier New" w:eastAsia="Courier New" w:hAnsi="Courier New" w:cs="Courier New"/>
          <w:color w:val="000000"/>
          <w:u w:val="single"/>
        </w:rPr>
        <w:t>Response</w:t>
      </w:r>
      <w:r>
        <w:rPr>
          <w:rFonts w:ascii="Courier New" w:eastAsia="Courier New" w:hAnsi="Courier New" w:cs="Courier New"/>
          <w:color w:val="000000"/>
        </w:rPr>
        <w:t>: The FAR Council appreciates the feedback received.</w:t>
      </w:r>
    </w:p>
    <w:p w:rsidR="00A05C50" w14:paraId="07723EDA" w14:textId="77777777">
      <w:pPr>
        <w:pBdr>
          <w:top w:val="nil"/>
          <w:left w:val="nil"/>
          <w:bottom w:val="nil"/>
          <w:right w:val="nil"/>
          <w:between w:val="nil"/>
        </w:pBdr>
        <w:ind w:left="720"/>
        <w:rPr>
          <w:rFonts w:ascii="Courier New" w:eastAsia="Courier New" w:hAnsi="Courier New" w:cs="Courier New"/>
        </w:rPr>
      </w:pPr>
      <w:bookmarkStart w:id="6" w:name="_heading=h.7j2o4sml62to" w:colFirst="0" w:colLast="0"/>
      <w:bookmarkEnd w:id="6"/>
    </w:p>
    <w:p w:rsidR="00A05C50" w:rsidRPr="00A77E64" w14:paraId="44E1EE56" w14:textId="0FEB9094">
      <w:pPr>
        <w:numPr>
          <w:ilvl w:val="0"/>
          <w:numId w:val="4"/>
        </w:numPr>
        <w:pBdr>
          <w:top w:val="nil"/>
          <w:left w:val="nil"/>
          <w:bottom w:val="nil"/>
          <w:right w:val="nil"/>
          <w:between w:val="nil"/>
        </w:pBdr>
        <w:rPr>
          <w:rFonts w:ascii="Courier New" w:eastAsia="Courier New" w:hAnsi="Courier New" w:cs="Courier New"/>
        </w:rPr>
      </w:pPr>
      <w:r>
        <w:rPr>
          <w:rFonts w:ascii="Courier New" w:eastAsia="Courier New" w:hAnsi="Courier New" w:cs="Courier New"/>
          <w:color w:val="000000"/>
        </w:rPr>
        <w:t>A 30-day notice was pub</w:t>
      </w:r>
      <w:r w:rsidRPr="00A77E64">
        <w:rPr>
          <w:rFonts w:ascii="Courier New" w:eastAsia="Courier New" w:hAnsi="Courier New" w:cs="Courier New"/>
        </w:rPr>
        <w:t xml:space="preserve">lished in the </w:t>
      </w:r>
      <w:r w:rsidRPr="00A77E64">
        <w:rPr>
          <w:rFonts w:ascii="Courier New" w:eastAsia="Courier New" w:hAnsi="Courier New" w:cs="Courier New"/>
          <w:i/>
          <w:iCs/>
        </w:rPr>
        <w:t>Federal Register</w:t>
      </w:r>
      <w:r w:rsidRPr="00A77E64">
        <w:rPr>
          <w:rFonts w:ascii="Courier New" w:eastAsia="Courier New" w:hAnsi="Courier New" w:cs="Courier New"/>
        </w:rPr>
        <w:t xml:space="preserve"> at </w:t>
      </w:r>
      <w:r w:rsidRPr="00A77E64" w:rsidR="00A77E64">
        <w:rPr>
          <w:rFonts w:ascii="Courier New" w:eastAsia="Courier New" w:hAnsi="Courier New" w:cs="Courier New"/>
        </w:rPr>
        <w:t>91</w:t>
      </w:r>
      <w:r w:rsidRPr="00A77E64">
        <w:rPr>
          <w:rFonts w:ascii="Courier New" w:eastAsia="Courier New" w:hAnsi="Courier New" w:cs="Courier New"/>
        </w:rPr>
        <w:t xml:space="preserve"> FR </w:t>
      </w:r>
      <w:r w:rsidRPr="00A77E64" w:rsidR="00A77E64">
        <w:rPr>
          <w:rFonts w:ascii="Courier New" w:eastAsia="Courier New" w:hAnsi="Courier New" w:cs="Courier New"/>
        </w:rPr>
        <w:t>62517</w:t>
      </w:r>
      <w:r w:rsidRPr="00A77E64">
        <w:rPr>
          <w:rFonts w:ascii="Courier New" w:eastAsia="Courier New" w:hAnsi="Courier New" w:cs="Courier New"/>
        </w:rPr>
        <w:t xml:space="preserve">, on </w:t>
      </w:r>
      <w:r w:rsidRPr="00A77E64" w:rsidR="00A77E64">
        <w:rPr>
          <w:rFonts w:ascii="Courier New" w:eastAsia="Courier New" w:hAnsi="Courier New" w:cs="Courier New"/>
        </w:rPr>
        <w:t>October 1, 2026</w:t>
      </w:r>
      <w:r w:rsidRPr="00A77E64">
        <w:rPr>
          <w:rFonts w:ascii="Courier New" w:eastAsia="Courier New" w:hAnsi="Courier New" w:cs="Courier New"/>
        </w:rPr>
        <w:t>.</w:t>
      </w:r>
    </w:p>
    <w:p w:rsidR="00A05C50" w14:paraId="2A813B7A" w14:textId="77777777">
      <w:pPr>
        <w:widowControl w:val="0"/>
        <w:tabs>
          <w:tab w:val="left" w:pos="360"/>
          <w:tab w:val="left" w:pos="720"/>
          <w:tab w:val="left" w:pos="1080"/>
          <w:tab w:val="left" w:pos="1440"/>
        </w:tabs>
        <w:rPr>
          <w:rFonts w:ascii="Courier New" w:eastAsia="Courier New" w:hAnsi="Courier New" w:cs="Courier New"/>
        </w:rPr>
      </w:pPr>
    </w:p>
    <w:p w:rsidR="00A05C50" w14:paraId="3AD36FD1" w14:textId="77777777">
      <w:pPr>
        <w:widowControl w:val="0"/>
        <w:numPr>
          <w:ilvl w:val="0"/>
          <w:numId w:val="2"/>
        </w:numPr>
        <w:tabs>
          <w:tab w:val="left" w:pos="360"/>
          <w:tab w:val="left" w:pos="720"/>
          <w:tab w:val="left" w:pos="1080"/>
          <w:tab w:val="left" w:pos="1440"/>
        </w:tabs>
      </w:pPr>
      <w:r>
        <w:rPr>
          <w:rFonts w:ascii="Courier New" w:eastAsia="Courier New" w:hAnsi="Courier New" w:cs="Courier New"/>
          <w:u w:val="single"/>
        </w:rPr>
        <w:t>Gifts or Payment.</w:t>
      </w:r>
      <w:r>
        <w:rPr>
          <w:rFonts w:ascii="Courier New" w:eastAsia="Courier New" w:hAnsi="Courier New" w:cs="Courier New"/>
        </w:rPr>
        <w:t xml:space="preserve"> This collection does not provide any payment or gift to respondents, other than remuneration of contractors.</w:t>
      </w:r>
    </w:p>
    <w:p w:rsidR="00A05C50" w14:paraId="5C757D1D" w14:textId="77777777">
      <w:pPr>
        <w:widowControl w:val="0"/>
        <w:tabs>
          <w:tab w:val="left" w:pos="360"/>
          <w:tab w:val="left" w:pos="720"/>
          <w:tab w:val="left" w:pos="820"/>
          <w:tab w:val="left" w:pos="821"/>
          <w:tab w:val="left" w:pos="1080"/>
          <w:tab w:val="left" w:pos="1440"/>
        </w:tabs>
        <w:ind w:right="183"/>
        <w:rPr>
          <w:rFonts w:ascii="Courier New" w:eastAsia="Courier New" w:hAnsi="Courier New" w:cs="Courier New"/>
        </w:rPr>
      </w:pPr>
    </w:p>
    <w:p w:rsidR="00A05C50" w14:paraId="224DB9B9" w14:textId="77777777">
      <w:pPr>
        <w:widowControl w:val="0"/>
        <w:numPr>
          <w:ilvl w:val="0"/>
          <w:numId w:val="2"/>
        </w:numPr>
        <w:tabs>
          <w:tab w:val="left" w:pos="360"/>
          <w:tab w:val="left" w:pos="720"/>
          <w:tab w:val="left" w:pos="1080"/>
          <w:tab w:val="left" w:pos="1440"/>
        </w:tabs>
      </w:pPr>
      <w:r>
        <w:rPr>
          <w:rFonts w:ascii="Courier New" w:eastAsia="Courier New" w:hAnsi="Courier New" w:cs="Courier New"/>
          <w:u w:val="single"/>
        </w:rPr>
        <w:t>Privacy &amp; Confidentiality.</w:t>
      </w:r>
      <w:r>
        <w:rPr>
          <w:rFonts w:ascii="Courier New" w:eastAsia="Courier New" w:hAnsi="Courier New" w:cs="Courier New"/>
        </w:rPr>
        <w:t xml:space="preserve"> This information is disclosed only to the extent consistent with prudent business practices, current regulations, and statutory requirements.</w:t>
      </w:r>
    </w:p>
    <w:p w:rsidR="00A05C50" w14:paraId="1ADAAF2C" w14:textId="77777777">
      <w:pPr>
        <w:rPr>
          <w:rFonts w:ascii="Courier New" w:eastAsia="Courier New" w:hAnsi="Courier New" w:cs="Courier New"/>
        </w:rPr>
      </w:pPr>
    </w:p>
    <w:p w:rsidR="00A05C50" w14:paraId="527EF0F7" w14:textId="77777777">
      <w:pPr>
        <w:widowControl w:val="0"/>
        <w:numPr>
          <w:ilvl w:val="0"/>
          <w:numId w:val="2"/>
        </w:numPr>
        <w:tabs>
          <w:tab w:val="left" w:pos="360"/>
          <w:tab w:val="left" w:pos="720"/>
          <w:tab w:val="left" w:pos="1080"/>
          <w:tab w:val="left" w:pos="1440"/>
        </w:tabs>
      </w:pPr>
      <w:r>
        <w:rPr>
          <w:rFonts w:ascii="Courier New" w:eastAsia="Courier New" w:hAnsi="Courier New" w:cs="Courier New"/>
          <w:u w:val="single"/>
        </w:rPr>
        <w:t>Sensitive Questions.</w:t>
      </w:r>
      <w:r>
        <w:rPr>
          <w:rFonts w:ascii="Courier New" w:eastAsia="Courier New" w:hAnsi="Courier New" w:cs="Courier New"/>
        </w:rPr>
        <w:t xml:space="preserve"> No sensitive questions are involved.</w:t>
      </w:r>
    </w:p>
    <w:p w:rsidR="00A05C50" w14:paraId="6AEF2698" w14:textId="77777777">
      <w:pPr>
        <w:rPr>
          <w:rFonts w:ascii="Courier New" w:eastAsia="Courier New" w:hAnsi="Courier New" w:cs="Courier New"/>
        </w:rPr>
      </w:pPr>
    </w:p>
    <w:p w:rsidR="00A05C50" w14:paraId="73A88083" w14:textId="77777777">
      <w:pPr>
        <w:widowControl w:val="0"/>
        <w:numPr>
          <w:ilvl w:val="0"/>
          <w:numId w:val="2"/>
        </w:numPr>
        <w:tabs>
          <w:tab w:val="left" w:pos="360"/>
          <w:tab w:val="left" w:pos="720"/>
          <w:tab w:val="left" w:pos="1080"/>
          <w:tab w:val="left" w:pos="1440"/>
        </w:tabs>
      </w:pPr>
      <w:r>
        <w:rPr>
          <w:rFonts w:ascii="Courier New" w:eastAsia="Courier New" w:hAnsi="Courier New" w:cs="Courier New"/>
          <w:u w:val="single"/>
        </w:rPr>
        <w:t>Burden Estimate.</w:t>
      </w:r>
    </w:p>
    <w:p w:rsidR="00A05C50" w14:paraId="225725FE" w14:textId="77777777">
      <w:pPr>
        <w:spacing w:line="276" w:lineRule="auto"/>
        <w:ind w:firstLine="720"/>
        <w:rPr>
          <w:rFonts w:ascii="Courier New" w:eastAsia="Courier New" w:hAnsi="Courier New" w:cs="Courier New"/>
        </w:rPr>
      </w:pPr>
      <w:r>
        <w:rPr>
          <w:rFonts w:ascii="Courier New" w:eastAsia="Courier New" w:hAnsi="Courier New" w:cs="Courier New"/>
        </w:rPr>
        <w:t>The following estimates are based on the historical average of SAM.gov procurement data for fiscal years 2023 through 2025. For construction contracts, Product and Service Codes beginning with Y and Z2 were utilized. These estimates exclude contracts for the acquisition of commercial products and commercial services.</w:t>
      </w:r>
    </w:p>
    <w:p w:rsidR="00A05C50" w14:paraId="04593341" w14:textId="77777777">
      <w:pPr>
        <w:spacing w:line="276" w:lineRule="auto"/>
        <w:rPr>
          <w:rFonts w:ascii="Courier New" w:eastAsia="Courier New" w:hAnsi="Courier New" w:cs="Courier New"/>
          <w:u w:val="single"/>
        </w:rPr>
      </w:pPr>
    </w:p>
    <w:tbl>
      <w:tblPr>
        <w:tblStyle w:val="a"/>
        <w:tblW w:w="9344" w:type="dxa"/>
        <w:tblInd w:w="0" w:type="dxa"/>
        <w:tblLayout w:type="fixed"/>
        <w:tblLook w:val="0400"/>
      </w:tblPr>
      <w:tblGrid>
        <w:gridCol w:w="1087"/>
        <w:gridCol w:w="1347"/>
        <w:gridCol w:w="1942"/>
        <w:gridCol w:w="1002"/>
        <w:gridCol w:w="1197"/>
        <w:gridCol w:w="992"/>
        <w:gridCol w:w="639"/>
        <w:gridCol w:w="1138"/>
      </w:tblGrid>
      <w:tr w14:paraId="0727DD13" w14:textId="77777777">
        <w:tblPrEx>
          <w:tblW w:w="9344" w:type="dxa"/>
          <w:tblInd w:w="0" w:type="dxa"/>
          <w:tblLayout w:type="fixed"/>
          <w:tblLook w:val="0400"/>
        </w:tblPrEx>
        <w:trPr>
          <w:trHeight w:val="300"/>
        </w:trPr>
        <w:tc>
          <w:tcPr>
            <w:tcW w:w="1087"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bottom"/>
          </w:tcPr>
          <w:p w:rsidR="00A05C50" w14:paraId="6D0FFE02" w14:textId="77777777">
            <w:pPr>
              <w:jc w:val="center"/>
              <w:rPr>
                <w:rFonts w:ascii="Arial" w:eastAsia="Arial" w:hAnsi="Arial" w:cs="Arial"/>
                <w:sz w:val="18"/>
                <w:szCs w:val="18"/>
              </w:rPr>
            </w:pPr>
            <w:r>
              <w:rPr>
                <w:rFonts w:ascii="Arial" w:eastAsia="Arial" w:hAnsi="Arial" w:cs="Arial"/>
                <w:sz w:val="18"/>
                <w:szCs w:val="18"/>
              </w:rPr>
              <w:t>Summary of Public Annual Reporting Burden</w:t>
            </w:r>
          </w:p>
        </w:tc>
        <w:tc>
          <w:tcPr>
            <w:tcW w:w="1347"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199071D0" w14:textId="77777777">
            <w:pPr>
              <w:jc w:val="center"/>
              <w:rPr>
                <w:rFonts w:ascii="Arial" w:eastAsia="Arial" w:hAnsi="Arial" w:cs="Arial"/>
                <w:sz w:val="18"/>
                <w:szCs w:val="18"/>
              </w:rPr>
            </w:pPr>
            <w:r>
              <w:rPr>
                <w:rFonts w:ascii="Arial" w:eastAsia="Arial" w:hAnsi="Arial" w:cs="Arial"/>
                <w:sz w:val="18"/>
                <w:szCs w:val="18"/>
              </w:rPr>
              <w:t>Estimated respondents/yr</w:t>
            </w:r>
          </w:p>
        </w:tc>
        <w:tc>
          <w:tcPr>
            <w:tcW w:w="1942"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556AFF5E" w14:textId="77777777">
            <w:pPr>
              <w:jc w:val="center"/>
              <w:rPr>
                <w:rFonts w:ascii="Arial" w:eastAsia="Arial" w:hAnsi="Arial" w:cs="Arial"/>
                <w:sz w:val="18"/>
                <w:szCs w:val="18"/>
              </w:rPr>
            </w:pPr>
            <w:r>
              <w:rPr>
                <w:rFonts w:ascii="Arial" w:eastAsia="Arial" w:hAnsi="Arial" w:cs="Arial"/>
                <w:sz w:val="18"/>
                <w:szCs w:val="18"/>
              </w:rPr>
              <w:t>Responses/respondent</w:t>
            </w:r>
          </w:p>
        </w:tc>
        <w:tc>
          <w:tcPr>
            <w:tcW w:w="1002"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04D3ABF1" w14:textId="77777777">
            <w:pPr>
              <w:jc w:val="center"/>
              <w:rPr>
                <w:rFonts w:ascii="Arial" w:eastAsia="Arial" w:hAnsi="Arial" w:cs="Arial"/>
                <w:sz w:val="18"/>
                <w:szCs w:val="18"/>
              </w:rPr>
            </w:pPr>
            <w:r>
              <w:rPr>
                <w:rFonts w:ascii="Arial" w:eastAsia="Arial" w:hAnsi="Arial" w:cs="Arial"/>
                <w:sz w:val="18"/>
                <w:szCs w:val="18"/>
              </w:rPr>
              <w:t>Total annual responses</w:t>
            </w:r>
          </w:p>
        </w:tc>
        <w:tc>
          <w:tcPr>
            <w:tcW w:w="1197"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4777FA84" w14:textId="77777777">
            <w:pPr>
              <w:jc w:val="center"/>
              <w:rPr>
                <w:rFonts w:ascii="Arial" w:eastAsia="Arial" w:hAnsi="Arial" w:cs="Arial"/>
                <w:sz w:val="18"/>
                <w:szCs w:val="18"/>
              </w:rPr>
            </w:pPr>
            <w:r>
              <w:rPr>
                <w:rFonts w:ascii="Arial" w:eastAsia="Arial" w:hAnsi="Arial" w:cs="Arial"/>
                <w:sz w:val="18"/>
                <w:szCs w:val="18"/>
              </w:rPr>
              <w:t xml:space="preserve">Estimated </w:t>
            </w:r>
            <w:r>
              <w:rPr>
                <w:rFonts w:ascii="Arial" w:eastAsia="Arial" w:hAnsi="Arial" w:cs="Arial"/>
                <w:sz w:val="18"/>
                <w:szCs w:val="18"/>
              </w:rPr>
              <w:t>hrs</w:t>
            </w:r>
            <w:r>
              <w:rPr>
                <w:rFonts w:ascii="Arial" w:eastAsia="Arial" w:hAnsi="Arial" w:cs="Arial"/>
                <w:sz w:val="18"/>
                <w:szCs w:val="18"/>
              </w:rPr>
              <w:t>/response</w:t>
            </w:r>
          </w:p>
        </w:tc>
        <w:tc>
          <w:tcPr>
            <w:tcW w:w="992"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60D27C1C" w14:textId="77777777">
            <w:pPr>
              <w:jc w:val="center"/>
              <w:rPr>
                <w:rFonts w:ascii="Arial" w:eastAsia="Arial" w:hAnsi="Arial" w:cs="Arial"/>
                <w:sz w:val="18"/>
                <w:szCs w:val="18"/>
              </w:rPr>
            </w:pPr>
            <w:r>
              <w:rPr>
                <w:rFonts w:ascii="Arial" w:eastAsia="Arial" w:hAnsi="Arial" w:cs="Arial"/>
                <w:sz w:val="18"/>
                <w:szCs w:val="18"/>
              </w:rPr>
              <w:t xml:space="preserve">Estimated total burden </w:t>
            </w:r>
            <w:r>
              <w:rPr>
                <w:rFonts w:ascii="Arial" w:eastAsia="Arial" w:hAnsi="Arial" w:cs="Arial"/>
                <w:sz w:val="18"/>
                <w:szCs w:val="18"/>
              </w:rPr>
              <w:t>hrs</w:t>
            </w:r>
          </w:p>
        </w:tc>
        <w:tc>
          <w:tcPr>
            <w:tcW w:w="639"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05F01611" w14:textId="77777777">
            <w:pPr>
              <w:jc w:val="center"/>
              <w:rPr>
                <w:rFonts w:ascii="Arial" w:eastAsia="Arial" w:hAnsi="Arial" w:cs="Arial"/>
                <w:sz w:val="18"/>
                <w:szCs w:val="18"/>
              </w:rPr>
            </w:pPr>
            <w:r>
              <w:rPr>
                <w:rFonts w:ascii="Arial" w:eastAsia="Arial" w:hAnsi="Arial" w:cs="Arial"/>
                <w:sz w:val="18"/>
                <w:szCs w:val="18"/>
              </w:rPr>
              <w:t>Hourly rate</w:t>
            </w:r>
          </w:p>
        </w:tc>
        <w:tc>
          <w:tcPr>
            <w:tcW w:w="1138"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668B401F" w14:textId="77777777">
            <w:pPr>
              <w:jc w:val="center"/>
              <w:rPr>
                <w:rFonts w:ascii="Arial" w:eastAsia="Arial" w:hAnsi="Arial" w:cs="Arial"/>
                <w:sz w:val="18"/>
                <w:szCs w:val="18"/>
              </w:rPr>
            </w:pPr>
            <w:r>
              <w:rPr>
                <w:rFonts w:ascii="Arial" w:eastAsia="Arial" w:hAnsi="Arial" w:cs="Arial"/>
                <w:sz w:val="18"/>
                <w:szCs w:val="18"/>
              </w:rPr>
              <w:t>Estimated annual cost to the public</w:t>
            </w:r>
          </w:p>
        </w:tc>
      </w:tr>
      <w:tr w14:paraId="210B928A" w14:textId="77777777">
        <w:tblPrEx>
          <w:tblW w:w="9344" w:type="dxa"/>
          <w:tblInd w:w="0" w:type="dxa"/>
          <w:tblLayout w:type="fixed"/>
          <w:tblLook w:val="0400"/>
        </w:tblPrEx>
        <w:trPr>
          <w:trHeight w:val="375"/>
        </w:trPr>
        <w:tc>
          <w:tcPr>
            <w:tcW w:w="1087"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rsidR="00A05C50" w14:paraId="1F58E664" w14:textId="77777777">
            <w:pPr>
              <w:jc w:val="center"/>
              <w:rPr>
                <w:rFonts w:ascii="Arial" w:eastAsia="Arial" w:hAnsi="Arial" w:cs="Arial"/>
                <w:sz w:val="18"/>
                <w:szCs w:val="18"/>
              </w:rPr>
            </w:pPr>
            <w:r>
              <w:rPr>
                <w:rFonts w:ascii="Arial" w:eastAsia="Arial" w:hAnsi="Arial" w:cs="Arial"/>
                <w:sz w:val="18"/>
                <w:szCs w:val="18"/>
              </w:rPr>
              <w:t>FAR 52.228-1</w:t>
            </w:r>
          </w:p>
        </w:tc>
        <w:tc>
          <w:tcPr>
            <w:tcW w:w="134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308B3E8E" w14:textId="77777777">
            <w:pPr>
              <w:jc w:val="center"/>
              <w:rPr>
                <w:rFonts w:ascii="Arial" w:eastAsia="Arial" w:hAnsi="Arial" w:cs="Arial"/>
                <w:sz w:val="18"/>
                <w:szCs w:val="18"/>
              </w:rPr>
            </w:pPr>
            <w:r>
              <w:rPr>
                <w:rFonts w:ascii="Arial" w:eastAsia="Arial" w:hAnsi="Arial" w:cs="Arial"/>
                <w:sz w:val="18"/>
                <w:szCs w:val="18"/>
              </w:rPr>
              <w:t>9,226</w:t>
            </w:r>
          </w:p>
        </w:tc>
        <w:tc>
          <w:tcPr>
            <w:tcW w:w="194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68EB9836" w14:textId="77777777">
            <w:pPr>
              <w:jc w:val="center"/>
              <w:rPr>
                <w:rFonts w:ascii="Arial" w:eastAsia="Arial" w:hAnsi="Arial" w:cs="Arial"/>
                <w:sz w:val="18"/>
                <w:szCs w:val="18"/>
              </w:rPr>
            </w:pPr>
            <w:r>
              <w:rPr>
                <w:rFonts w:ascii="Arial" w:eastAsia="Arial" w:hAnsi="Arial" w:cs="Arial"/>
                <w:sz w:val="18"/>
                <w:szCs w:val="18"/>
              </w:rPr>
              <w:t>1</w:t>
            </w:r>
          </w:p>
        </w:tc>
        <w:tc>
          <w:tcPr>
            <w:tcW w:w="100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313B4C86" w14:textId="77777777">
            <w:pPr>
              <w:jc w:val="center"/>
              <w:rPr>
                <w:rFonts w:ascii="Arial" w:eastAsia="Arial" w:hAnsi="Arial" w:cs="Arial"/>
                <w:sz w:val="18"/>
                <w:szCs w:val="18"/>
              </w:rPr>
            </w:pPr>
            <w:r>
              <w:rPr>
                <w:rFonts w:ascii="Arial" w:eastAsia="Arial" w:hAnsi="Arial" w:cs="Arial"/>
                <w:sz w:val="18"/>
                <w:szCs w:val="18"/>
              </w:rPr>
              <w:t>9,226</w:t>
            </w:r>
          </w:p>
        </w:tc>
        <w:tc>
          <w:tcPr>
            <w:tcW w:w="119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4AF382A7" w14:textId="77777777">
            <w:pPr>
              <w:jc w:val="center"/>
              <w:rPr>
                <w:rFonts w:ascii="Arial" w:eastAsia="Arial" w:hAnsi="Arial" w:cs="Arial"/>
                <w:sz w:val="18"/>
                <w:szCs w:val="18"/>
              </w:rPr>
            </w:pPr>
            <w:r>
              <w:rPr>
                <w:rFonts w:ascii="Arial" w:eastAsia="Arial" w:hAnsi="Arial" w:cs="Arial"/>
                <w:sz w:val="18"/>
                <w:szCs w:val="18"/>
              </w:rPr>
              <w:t>1</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7AE80F90" w14:textId="77777777">
            <w:pPr>
              <w:jc w:val="center"/>
              <w:rPr>
                <w:rFonts w:ascii="Arial" w:eastAsia="Arial" w:hAnsi="Arial" w:cs="Arial"/>
                <w:sz w:val="18"/>
                <w:szCs w:val="18"/>
              </w:rPr>
            </w:pPr>
            <w:r>
              <w:rPr>
                <w:rFonts w:ascii="Arial" w:eastAsia="Arial" w:hAnsi="Arial" w:cs="Arial"/>
                <w:sz w:val="18"/>
                <w:szCs w:val="18"/>
              </w:rPr>
              <w:t>9,226</w:t>
            </w:r>
          </w:p>
        </w:tc>
        <w:tc>
          <w:tcPr>
            <w:tcW w:w="63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33AA11C8" w14:textId="77777777">
            <w:pPr>
              <w:jc w:val="center"/>
              <w:rPr>
                <w:rFonts w:ascii="Arial" w:eastAsia="Arial" w:hAnsi="Arial" w:cs="Arial"/>
                <w:sz w:val="18"/>
                <w:szCs w:val="18"/>
              </w:rPr>
            </w:pPr>
            <w:r>
              <w:rPr>
                <w:rFonts w:ascii="Arial" w:eastAsia="Arial" w:hAnsi="Arial" w:cs="Arial"/>
                <w:sz w:val="18"/>
                <w:szCs w:val="18"/>
              </w:rPr>
              <w:t>$72</w:t>
            </w:r>
          </w:p>
        </w:tc>
        <w:tc>
          <w:tcPr>
            <w:tcW w:w="113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1E78F2E9" w14:textId="77777777">
            <w:pPr>
              <w:jc w:val="center"/>
              <w:rPr>
                <w:rFonts w:ascii="Arial" w:eastAsia="Arial" w:hAnsi="Arial" w:cs="Arial"/>
                <w:sz w:val="18"/>
                <w:szCs w:val="18"/>
              </w:rPr>
            </w:pPr>
            <w:r>
              <w:rPr>
                <w:rFonts w:ascii="Arial" w:eastAsia="Arial" w:hAnsi="Arial" w:cs="Arial"/>
                <w:sz w:val="18"/>
                <w:szCs w:val="18"/>
              </w:rPr>
              <w:t>$664,248</w:t>
            </w:r>
          </w:p>
        </w:tc>
      </w:tr>
      <w:tr w14:paraId="06C0E8A3" w14:textId="77777777">
        <w:tblPrEx>
          <w:tblW w:w="9344" w:type="dxa"/>
          <w:tblInd w:w="0" w:type="dxa"/>
          <w:tblLayout w:type="fixed"/>
          <w:tblLook w:val="0400"/>
        </w:tblPrEx>
        <w:trPr>
          <w:trHeight w:val="375"/>
        </w:trPr>
        <w:tc>
          <w:tcPr>
            <w:tcW w:w="1087"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rsidR="00A05C50" w14:paraId="54016CF5" w14:textId="77777777">
            <w:pPr>
              <w:jc w:val="center"/>
              <w:rPr>
                <w:rFonts w:ascii="Arial" w:eastAsia="Arial" w:hAnsi="Arial" w:cs="Arial"/>
                <w:sz w:val="18"/>
                <w:szCs w:val="18"/>
              </w:rPr>
            </w:pPr>
            <w:r>
              <w:rPr>
                <w:rFonts w:ascii="Arial" w:eastAsia="Arial" w:hAnsi="Arial" w:cs="Arial"/>
                <w:sz w:val="18"/>
                <w:szCs w:val="18"/>
              </w:rPr>
              <w:t>FAR 52.228-2</w:t>
            </w:r>
          </w:p>
        </w:tc>
        <w:tc>
          <w:tcPr>
            <w:tcW w:w="134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55BDCF04" w14:textId="77777777">
            <w:pPr>
              <w:jc w:val="center"/>
              <w:rPr>
                <w:rFonts w:ascii="Arial" w:eastAsia="Arial" w:hAnsi="Arial" w:cs="Arial"/>
                <w:sz w:val="18"/>
                <w:szCs w:val="18"/>
              </w:rPr>
            </w:pPr>
            <w:r>
              <w:rPr>
                <w:rFonts w:ascii="Arial" w:eastAsia="Arial" w:hAnsi="Arial" w:cs="Arial"/>
                <w:sz w:val="18"/>
                <w:szCs w:val="18"/>
              </w:rPr>
              <w:t>3,077</w:t>
            </w:r>
          </w:p>
        </w:tc>
        <w:tc>
          <w:tcPr>
            <w:tcW w:w="194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6DBBA863" w14:textId="77777777">
            <w:pPr>
              <w:jc w:val="center"/>
              <w:rPr>
                <w:rFonts w:ascii="Arial" w:eastAsia="Arial" w:hAnsi="Arial" w:cs="Arial"/>
                <w:sz w:val="18"/>
                <w:szCs w:val="18"/>
              </w:rPr>
            </w:pPr>
            <w:r>
              <w:rPr>
                <w:rFonts w:ascii="Arial" w:eastAsia="Arial" w:hAnsi="Arial" w:cs="Arial"/>
                <w:sz w:val="18"/>
                <w:szCs w:val="18"/>
              </w:rPr>
              <w:t>1</w:t>
            </w:r>
          </w:p>
        </w:tc>
        <w:tc>
          <w:tcPr>
            <w:tcW w:w="100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5337D94C" w14:textId="77777777">
            <w:pPr>
              <w:jc w:val="center"/>
              <w:rPr>
                <w:rFonts w:ascii="Arial" w:eastAsia="Arial" w:hAnsi="Arial" w:cs="Arial"/>
                <w:sz w:val="18"/>
                <w:szCs w:val="18"/>
              </w:rPr>
            </w:pPr>
            <w:r>
              <w:rPr>
                <w:rFonts w:ascii="Arial" w:eastAsia="Arial" w:hAnsi="Arial" w:cs="Arial"/>
                <w:sz w:val="18"/>
                <w:szCs w:val="18"/>
              </w:rPr>
              <w:t>3,077</w:t>
            </w:r>
          </w:p>
        </w:tc>
        <w:tc>
          <w:tcPr>
            <w:tcW w:w="119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209811DA" w14:textId="77777777">
            <w:pPr>
              <w:jc w:val="center"/>
              <w:rPr>
                <w:rFonts w:ascii="Arial" w:eastAsia="Arial" w:hAnsi="Arial" w:cs="Arial"/>
                <w:sz w:val="18"/>
                <w:szCs w:val="18"/>
              </w:rPr>
            </w:pPr>
            <w:r>
              <w:rPr>
                <w:rFonts w:ascii="Arial" w:eastAsia="Arial" w:hAnsi="Arial" w:cs="Arial"/>
                <w:sz w:val="18"/>
                <w:szCs w:val="18"/>
              </w:rPr>
              <w:t>1</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04F1987D" w14:textId="77777777">
            <w:pPr>
              <w:jc w:val="center"/>
              <w:rPr>
                <w:rFonts w:ascii="Arial" w:eastAsia="Arial" w:hAnsi="Arial" w:cs="Arial"/>
                <w:sz w:val="18"/>
                <w:szCs w:val="18"/>
              </w:rPr>
            </w:pPr>
            <w:r>
              <w:rPr>
                <w:rFonts w:ascii="Arial" w:eastAsia="Arial" w:hAnsi="Arial" w:cs="Arial"/>
                <w:sz w:val="18"/>
                <w:szCs w:val="18"/>
              </w:rPr>
              <w:t>3,077</w:t>
            </w:r>
          </w:p>
        </w:tc>
        <w:tc>
          <w:tcPr>
            <w:tcW w:w="63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4373A10B" w14:textId="77777777">
            <w:pPr>
              <w:jc w:val="center"/>
              <w:rPr>
                <w:rFonts w:ascii="Arial" w:eastAsia="Arial" w:hAnsi="Arial" w:cs="Arial"/>
                <w:sz w:val="18"/>
                <w:szCs w:val="18"/>
              </w:rPr>
            </w:pPr>
            <w:r>
              <w:rPr>
                <w:rFonts w:ascii="Arial" w:eastAsia="Arial" w:hAnsi="Arial" w:cs="Arial"/>
                <w:sz w:val="18"/>
                <w:szCs w:val="18"/>
              </w:rPr>
              <w:t>$72</w:t>
            </w:r>
          </w:p>
        </w:tc>
        <w:tc>
          <w:tcPr>
            <w:tcW w:w="113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45F5EE39" w14:textId="77777777">
            <w:pPr>
              <w:jc w:val="center"/>
              <w:rPr>
                <w:rFonts w:ascii="Arial" w:eastAsia="Arial" w:hAnsi="Arial" w:cs="Arial"/>
                <w:sz w:val="18"/>
                <w:szCs w:val="18"/>
              </w:rPr>
            </w:pPr>
            <w:r>
              <w:rPr>
                <w:rFonts w:ascii="Arial" w:eastAsia="Arial" w:hAnsi="Arial" w:cs="Arial"/>
                <w:sz w:val="18"/>
                <w:szCs w:val="18"/>
              </w:rPr>
              <w:t>$221,520</w:t>
            </w:r>
          </w:p>
        </w:tc>
      </w:tr>
      <w:tr w14:paraId="4C336298" w14:textId="77777777">
        <w:tblPrEx>
          <w:tblW w:w="9344" w:type="dxa"/>
          <w:tblInd w:w="0" w:type="dxa"/>
          <w:tblLayout w:type="fixed"/>
          <w:tblLook w:val="0400"/>
        </w:tblPrEx>
        <w:trPr>
          <w:trHeight w:val="570"/>
        </w:trPr>
        <w:tc>
          <w:tcPr>
            <w:tcW w:w="1087"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rsidR="00A05C50" w14:paraId="31A96638" w14:textId="77777777">
            <w:pPr>
              <w:jc w:val="center"/>
              <w:rPr>
                <w:rFonts w:ascii="Arial" w:eastAsia="Arial" w:hAnsi="Arial" w:cs="Arial"/>
                <w:sz w:val="18"/>
                <w:szCs w:val="18"/>
              </w:rPr>
            </w:pPr>
            <w:r>
              <w:rPr>
                <w:rFonts w:ascii="Arial" w:eastAsia="Arial" w:hAnsi="Arial" w:cs="Arial"/>
                <w:sz w:val="18"/>
                <w:szCs w:val="18"/>
              </w:rPr>
              <w:t>FAR 52.228-11,</w:t>
            </w:r>
            <w:r>
              <w:rPr>
                <w:rFonts w:ascii="Arial" w:eastAsia="Arial" w:hAnsi="Arial" w:cs="Arial"/>
                <w:sz w:val="18"/>
                <w:szCs w:val="18"/>
              </w:rPr>
              <w:br/>
              <w:t>52.228-17/SF 28</w:t>
            </w:r>
          </w:p>
        </w:tc>
        <w:tc>
          <w:tcPr>
            <w:tcW w:w="134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4AC3443D" w14:textId="77777777">
            <w:pPr>
              <w:jc w:val="center"/>
              <w:rPr>
                <w:rFonts w:ascii="Arial" w:eastAsia="Arial" w:hAnsi="Arial" w:cs="Arial"/>
                <w:sz w:val="18"/>
                <w:szCs w:val="18"/>
              </w:rPr>
            </w:pPr>
            <w:r>
              <w:rPr>
                <w:rFonts w:ascii="Arial" w:eastAsia="Arial" w:hAnsi="Arial" w:cs="Arial"/>
                <w:sz w:val="18"/>
                <w:szCs w:val="18"/>
              </w:rPr>
              <w:t>10</w:t>
            </w:r>
          </w:p>
        </w:tc>
        <w:tc>
          <w:tcPr>
            <w:tcW w:w="194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401DC674" w14:textId="77777777">
            <w:pPr>
              <w:jc w:val="center"/>
              <w:rPr>
                <w:rFonts w:ascii="Arial" w:eastAsia="Arial" w:hAnsi="Arial" w:cs="Arial"/>
                <w:sz w:val="18"/>
                <w:szCs w:val="18"/>
              </w:rPr>
            </w:pPr>
            <w:r>
              <w:rPr>
                <w:rFonts w:ascii="Arial" w:eastAsia="Arial" w:hAnsi="Arial" w:cs="Arial"/>
                <w:sz w:val="18"/>
                <w:szCs w:val="18"/>
              </w:rPr>
              <w:t>2</w:t>
            </w:r>
          </w:p>
        </w:tc>
        <w:tc>
          <w:tcPr>
            <w:tcW w:w="100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5153385D" w14:textId="77777777">
            <w:pPr>
              <w:jc w:val="center"/>
              <w:rPr>
                <w:rFonts w:ascii="Arial" w:eastAsia="Arial" w:hAnsi="Arial" w:cs="Arial"/>
                <w:sz w:val="18"/>
                <w:szCs w:val="18"/>
              </w:rPr>
            </w:pPr>
            <w:r>
              <w:rPr>
                <w:rFonts w:ascii="Arial" w:eastAsia="Arial" w:hAnsi="Arial" w:cs="Arial"/>
                <w:sz w:val="18"/>
                <w:szCs w:val="18"/>
              </w:rPr>
              <w:t>20</w:t>
            </w:r>
          </w:p>
        </w:tc>
        <w:tc>
          <w:tcPr>
            <w:tcW w:w="119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00A63B07" w14:textId="77777777">
            <w:pPr>
              <w:jc w:val="center"/>
              <w:rPr>
                <w:rFonts w:ascii="Arial" w:eastAsia="Arial" w:hAnsi="Arial" w:cs="Arial"/>
                <w:sz w:val="18"/>
                <w:szCs w:val="18"/>
              </w:rPr>
            </w:pPr>
            <w:r>
              <w:rPr>
                <w:rFonts w:ascii="Arial" w:eastAsia="Arial" w:hAnsi="Arial" w:cs="Arial"/>
                <w:sz w:val="18"/>
                <w:szCs w:val="18"/>
              </w:rPr>
              <w:t>0.3</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04333CF6" w14:textId="77777777">
            <w:pPr>
              <w:jc w:val="center"/>
              <w:rPr>
                <w:rFonts w:ascii="Arial" w:eastAsia="Arial" w:hAnsi="Arial" w:cs="Arial"/>
                <w:sz w:val="18"/>
                <w:szCs w:val="18"/>
              </w:rPr>
            </w:pPr>
            <w:r>
              <w:rPr>
                <w:rFonts w:ascii="Arial" w:eastAsia="Arial" w:hAnsi="Arial" w:cs="Arial"/>
                <w:sz w:val="18"/>
                <w:szCs w:val="18"/>
              </w:rPr>
              <w:t>6</w:t>
            </w:r>
          </w:p>
        </w:tc>
        <w:tc>
          <w:tcPr>
            <w:tcW w:w="63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3CB64C6F" w14:textId="77777777">
            <w:pPr>
              <w:jc w:val="center"/>
              <w:rPr>
                <w:rFonts w:ascii="Arial" w:eastAsia="Arial" w:hAnsi="Arial" w:cs="Arial"/>
                <w:sz w:val="18"/>
                <w:szCs w:val="18"/>
              </w:rPr>
            </w:pPr>
            <w:r>
              <w:rPr>
                <w:rFonts w:ascii="Arial" w:eastAsia="Arial" w:hAnsi="Arial" w:cs="Arial"/>
                <w:sz w:val="18"/>
                <w:szCs w:val="18"/>
              </w:rPr>
              <w:t>$72</w:t>
            </w:r>
          </w:p>
        </w:tc>
        <w:tc>
          <w:tcPr>
            <w:tcW w:w="113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389F23F6" w14:textId="77777777">
            <w:pPr>
              <w:jc w:val="center"/>
              <w:rPr>
                <w:rFonts w:ascii="Arial" w:eastAsia="Arial" w:hAnsi="Arial" w:cs="Arial"/>
                <w:sz w:val="18"/>
                <w:szCs w:val="18"/>
              </w:rPr>
            </w:pPr>
            <w:r>
              <w:rPr>
                <w:rFonts w:ascii="Arial" w:eastAsia="Arial" w:hAnsi="Arial" w:cs="Arial"/>
                <w:sz w:val="18"/>
                <w:szCs w:val="18"/>
              </w:rPr>
              <w:t>$432</w:t>
            </w:r>
          </w:p>
        </w:tc>
      </w:tr>
      <w:tr w14:paraId="679CCEDD" w14:textId="77777777">
        <w:tblPrEx>
          <w:tblW w:w="9344" w:type="dxa"/>
          <w:tblInd w:w="0" w:type="dxa"/>
          <w:tblLayout w:type="fixed"/>
          <w:tblLook w:val="0400"/>
        </w:tblPrEx>
        <w:trPr>
          <w:trHeight w:val="375"/>
        </w:trPr>
        <w:tc>
          <w:tcPr>
            <w:tcW w:w="1087"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rsidR="00A05C50" w14:paraId="6A5A2CF8" w14:textId="77777777">
            <w:pPr>
              <w:jc w:val="center"/>
              <w:rPr>
                <w:rFonts w:ascii="Arial" w:eastAsia="Arial" w:hAnsi="Arial" w:cs="Arial"/>
                <w:sz w:val="18"/>
                <w:szCs w:val="18"/>
              </w:rPr>
            </w:pPr>
            <w:r>
              <w:rPr>
                <w:rFonts w:ascii="Arial" w:eastAsia="Arial" w:hAnsi="Arial" w:cs="Arial"/>
                <w:sz w:val="18"/>
                <w:szCs w:val="18"/>
              </w:rPr>
              <w:t>FAR 52.228-13</w:t>
            </w:r>
          </w:p>
        </w:tc>
        <w:tc>
          <w:tcPr>
            <w:tcW w:w="134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207C1870" w14:textId="77777777">
            <w:pPr>
              <w:jc w:val="center"/>
              <w:rPr>
                <w:rFonts w:ascii="Arial" w:eastAsia="Arial" w:hAnsi="Arial" w:cs="Arial"/>
                <w:sz w:val="18"/>
                <w:szCs w:val="18"/>
              </w:rPr>
            </w:pPr>
            <w:r>
              <w:rPr>
                <w:rFonts w:ascii="Arial" w:eastAsia="Arial" w:hAnsi="Arial" w:cs="Arial"/>
                <w:sz w:val="18"/>
                <w:szCs w:val="18"/>
              </w:rPr>
              <w:t>1,378</w:t>
            </w:r>
          </w:p>
        </w:tc>
        <w:tc>
          <w:tcPr>
            <w:tcW w:w="194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53C23B35" w14:textId="77777777">
            <w:pPr>
              <w:jc w:val="center"/>
              <w:rPr>
                <w:rFonts w:ascii="Arial" w:eastAsia="Arial" w:hAnsi="Arial" w:cs="Arial"/>
                <w:sz w:val="18"/>
                <w:szCs w:val="18"/>
              </w:rPr>
            </w:pPr>
            <w:r>
              <w:rPr>
                <w:rFonts w:ascii="Arial" w:eastAsia="Arial" w:hAnsi="Arial" w:cs="Arial"/>
                <w:sz w:val="18"/>
                <w:szCs w:val="18"/>
              </w:rPr>
              <w:t>1</w:t>
            </w:r>
          </w:p>
        </w:tc>
        <w:tc>
          <w:tcPr>
            <w:tcW w:w="100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5D6634C6" w14:textId="77777777">
            <w:pPr>
              <w:jc w:val="center"/>
              <w:rPr>
                <w:rFonts w:ascii="Arial" w:eastAsia="Arial" w:hAnsi="Arial" w:cs="Arial"/>
                <w:sz w:val="18"/>
                <w:szCs w:val="18"/>
              </w:rPr>
            </w:pPr>
            <w:r>
              <w:rPr>
                <w:rFonts w:ascii="Arial" w:eastAsia="Arial" w:hAnsi="Arial" w:cs="Arial"/>
                <w:sz w:val="18"/>
                <w:szCs w:val="18"/>
              </w:rPr>
              <w:t>1,378</w:t>
            </w:r>
          </w:p>
        </w:tc>
        <w:tc>
          <w:tcPr>
            <w:tcW w:w="119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35036593" w14:textId="77777777">
            <w:pPr>
              <w:jc w:val="center"/>
              <w:rPr>
                <w:rFonts w:ascii="Arial" w:eastAsia="Arial" w:hAnsi="Arial" w:cs="Arial"/>
                <w:sz w:val="18"/>
                <w:szCs w:val="18"/>
              </w:rPr>
            </w:pPr>
            <w:r>
              <w:rPr>
                <w:rFonts w:ascii="Arial" w:eastAsia="Arial" w:hAnsi="Arial" w:cs="Arial"/>
                <w:sz w:val="18"/>
                <w:szCs w:val="18"/>
              </w:rPr>
              <w:t>1</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5E5C837B" w14:textId="77777777">
            <w:pPr>
              <w:jc w:val="center"/>
              <w:rPr>
                <w:rFonts w:ascii="Arial" w:eastAsia="Arial" w:hAnsi="Arial" w:cs="Arial"/>
                <w:sz w:val="18"/>
                <w:szCs w:val="18"/>
              </w:rPr>
            </w:pPr>
            <w:r>
              <w:rPr>
                <w:rFonts w:ascii="Arial" w:eastAsia="Arial" w:hAnsi="Arial" w:cs="Arial"/>
                <w:sz w:val="18"/>
                <w:szCs w:val="18"/>
              </w:rPr>
              <w:t>1,378</w:t>
            </w:r>
          </w:p>
        </w:tc>
        <w:tc>
          <w:tcPr>
            <w:tcW w:w="63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1E2CDFAD" w14:textId="77777777">
            <w:pPr>
              <w:jc w:val="center"/>
              <w:rPr>
                <w:rFonts w:ascii="Arial" w:eastAsia="Arial" w:hAnsi="Arial" w:cs="Arial"/>
                <w:sz w:val="18"/>
                <w:szCs w:val="18"/>
              </w:rPr>
            </w:pPr>
            <w:r>
              <w:rPr>
                <w:rFonts w:ascii="Arial" w:eastAsia="Arial" w:hAnsi="Arial" w:cs="Arial"/>
                <w:sz w:val="18"/>
                <w:szCs w:val="18"/>
              </w:rPr>
              <w:t>$72</w:t>
            </w:r>
          </w:p>
        </w:tc>
        <w:tc>
          <w:tcPr>
            <w:tcW w:w="113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3A8DA918" w14:textId="77777777">
            <w:pPr>
              <w:jc w:val="center"/>
              <w:rPr>
                <w:rFonts w:ascii="Arial" w:eastAsia="Arial" w:hAnsi="Arial" w:cs="Arial"/>
                <w:sz w:val="18"/>
                <w:szCs w:val="18"/>
              </w:rPr>
            </w:pPr>
            <w:r>
              <w:rPr>
                <w:rFonts w:ascii="Arial" w:eastAsia="Arial" w:hAnsi="Arial" w:cs="Arial"/>
                <w:sz w:val="18"/>
                <w:szCs w:val="18"/>
              </w:rPr>
              <w:t>$99,192</w:t>
            </w:r>
          </w:p>
        </w:tc>
      </w:tr>
      <w:tr w14:paraId="605BE0CC" w14:textId="77777777">
        <w:tblPrEx>
          <w:tblW w:w="9344" w:type="dxa"/>
          <w:tblInd w:w="0" w:type="dxa"/>
          <w:tblLayout w:type="fixed"/>
          <w:tblLook w:val="0400"/>
        </w:tblPrEx>
        <w:trPr>
          <w:trHeight w:val="375"/>
        </w:trPr>
        <w:tc>
          <w:tcPr>
            <w:tcW w:w="1087"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rsidR="00A05C50" w14:paraId="05B8E9A0" w14:textId="77777777">
            <w:pPr>
              <w:jc w:val="center"/>
              <w:rPr>
                <w:rFonts w:ascii="Arial" w:eastAsia="Arial" w:hAnsi="Arial" w:cs="Arial"/>
                <w:sz w:val="18"/>
                <w:szCs w:val="18"/>
              </w:rPr>
            </w:pPr>
            <w:r>
              <w:rPr>
                <w:rFonts w:ascii="Arial" w:eastAsia="Arial" w:hAnsi="Arial" w:cs="Arial"/>
                <w:sz w:val="18"/>
                <w:szCs w:val="18"/>
              </w:rPr>
              <w:t>FAR 52.228-14</w:t>
            </w:r>
          </w:p>
        </w:tc>
        <w:tc>
          <w:tcPr>
            <w:tcW w:w="134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21E763D6" w14:textId="77777777">
            <w:pPr>
              <w:jc w:val="center"/>
              <w:rPr>
                <w:rFonts w:ascii="Arial" w:eastAsia="Arial" w:hAnsi="Arial" w:cs="Arial"/>
                <w:sz w:val="18"/>
                <w:szCs w:val="18"/>
              </w:rPr>
            </w:pPr>
            <w:r>
              <w:rPr>
                <w:rFonts w:ascii="Arial" w:eastAsia="Arial" w:hAnsi="Arial" w:cs="Arial"/>
                <w:sz w:val="18"/>
                <w:szCs w:val="18"/>
              </w:rPr>
              <w:t>0</w:t>
            </w:r>
          </w:p>
        </w:tc>
        <w:tc>
          <w:tcPr>
            <w:tcW w:w="194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44EDD1DF" w14:textId="77777777">
            <w:pPr>
              <w:jc w:val="center"/>
              <w:rPr>
                <w:rFonts w:ascii="Arial" w:eastAsia="Arial" w:hAnsi="Arial" w:cs="Arial"/>
                <w:sz w:val="18"/>
                <w:szCs w:val="18"/>
              </w:rPr>
            </w:pPr>
            <w:r>
              <w:rPr>
                <w:rFonts w:ascii="Arial" w:eastAsia="Arial" w:hAnsi="Arial" w:cs="Arial"/>
                <w:sz w:val="18"/>
                <w:szCs w:val="18"/>
              </w:rPr>
              <w:t>1</w:t>
            </w:r>
          </w:p>
        </w:tc>
        <w:tc>
          <w:tcPr>
            <w:tcW w:w="100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72993CA3" w14:textId="77777777">
            <w:pPr>
              <w:jc w:val="center"/>
              <w:rPr>
                <w:rFonts w:ascii="Arial" w:eastAsia="Arial" w:hAnsi="Arial" w:cs="Arial"/>
                <w:sz w:val="18"/>
                <w:szCs w:val="18"/>
              </w:rPr>
            </w:pPr>
            <w:r>
              <w:rPr>
                <w:rFonts w:ascii="Arial" w:eastAsia="Arial" w:hAnsi="Arial" w:cs="Arial"/>
                <w:sz w:val="18"/>
                <w:szCs w:val="18"/>
              </w:rPr>
              <w:t>0</w:t>
            </w:r>
          </w:p>
        </w:tc>
        <w:tc>
          <w:tcPr>
            <w:tcW w:w="119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7BB8373E" w14:textId="77777777">
            <w:pPr>
              <w:jc w:val="center"/>
              <w:rPr>
                <w:rFonts w:ascii="Arial" w:eastAsia="Arial" w:hAnsi="Arial" w:cs="Arial"/>
                <w:sz w:val="18"/>
                <w:szCs w:val="18"/>
              </w:rPr>
            </w:pPr>
            <w:r>
              <w:rPr>
                <w:rFonts w:ascii="Arial" w:eastAsia="Arial" w:hAnsi="Arial" w:cs="Arial"/>
                <w:sz w:val="18"/>
                <w:szCs w:val="18"/>
              </w:rPr>
              <w:t>1</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652C3371" w14:textId="77777777">
            <w:pPr>
              <w:jc w:val="center"/>
              <w:rPr>
                <w:rFonts w:ascii="Arial" w:eastAsia="Arial" w:hAnsi="Arial" w:cs="Arial"/>
                <w:sz w:val="18"/>
                <w:szCs w:val="18"/>
              </w:rPr>
            </w:pPr>
            <w:r>
              <w:rPr>
                <w:rFonts w:ascii="Arial" w:eastAsia="Arial" w:hAnsi="Arial" w:cs="Arial"/>
                <w:sz w:val="18"/>
                <w:szCs w:val="18"/>
              </w:rPr>
              <w:t>0</w:t>
            </w:r>
          </w:p>
        </w:tc>
        <w:tc>
          <w:tcPr>
            <w:tcW w:w="63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6BBE61DF" w14:textId="77777777">
            <w:pPr>
              <w:jc w:val="center"/>
              <w:rPr>
                <w:rFonts w:ascii="Arial" w:eastAsia="Arial" w:hAnsi="Arial" w:cs="Arial"/>
                <w:sz w:val="18"/>
                <w:szCs w:val="18"/>
              </w:rPr>
            </w:pPr>
            <w:r>
              <w:rPr>
                <w:rFonts w:ascii="Arial" w:eastAsia="Arial" w:hAnsi="Arial" w:cs="Arial"/>
                <w:sz w:val="18"/>
                <w:szCs w:val="18"/>
              </w:rPr>
              <w:t>$72</w:t>
            </w:r>
          </w:p>
        </w:tc>
        <w:tc>
          <w:tcPr>
            <w:tcW w:w="113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01BD9077" w14:textId="77777777">
            <w:pPr>
              <w:jc w:val="center"/>
              <w:rPr>
                <w:rFonts w:ascii="Arial" w:eastAsia="Arial" w:hAnsi="Arial" w:cs="Arial"/>
                <w:sz w:val="18"/>
                <w:szCs w:val="18"/>
              </w:rPr>
            </w:pPr>
            <w:r>
              <w:rPr>
                <w:rFonts w:ascii="Arial" w:eastAsia="Arial" w:hAnsi="Arial" w:cs="Arial"/>
                <w:sz w:val="18"/>
                <w:szCs w:val="18"/>
              </w:rPr>
              <w:t>$0</w:t>
            </w:r>
          </w:p>
        </w:tc>
      </w:tr>
      <w:tr w14:paraId="19F1EE88" w14:textId="77777777">
        <w:tblPrEx>
          <w:tblW w:w="9344" w:type="dxa"/>
          <w:tblInd w:w="0" w:type="dxa"/>
          <w:tblLayout w:type="fixed"/>
          <w:tblLook w:val="0400"/>
        </w:tblPrEx>
        <w:trPr>
          <w:trHeight w:val="375"/>
        </w:trPr>
        <w:tc>
          <w:tcPr>
            <w:tcW w:w="1087"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rsidR="00A05C50" w14:paraId="3FCBDB76" w14:textId="77777777">
            <w:pPr>
              <w:jc w:val="center"/>
              <w:rPr>
                <w:rFonts w:ascii="Arial" w:eastAsia="Arial" w:hAnsi="Arial" w:cs="Arial"/>
                <w:sz w:val="18"/>
                <w:szCs w:val="18"/>
              </w:rPr>
            </w:pPr>
            <w:r>
              <w:rPr>
                <w:rFonts w:ascii="Arial" w:eastAsia="Arial" w:hAnsi="Arial" w:cs="Arial"/>
                <w:sz w:val="18"/>
                <w:szCs w:val="18"/>
              </w:rPr>
              <w:t>FAR 52.228-15</w:t>
            </w:r>
          </w:p>
        </w:tc>
        <w:tc>
          <w:tcPr>
            <w:tcW w:w="134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0AAF172F" w14:textId="77777777">
            <w:pPr>
              <w:jc w:val="center"/>
              <w:rPr>
                <w:rFonts w:ascii="Arial" w:eastAsia="Arial" w:hAnsi="Arial" w:cs="Arial"/>
                <w:sz w:val="18"/>
                <w:szCs w:val="18"/>
              </w:rPr>
            </w:pPr>
            <w:r>
              <w:rPr>
                <w:rFonts w:ascii="Arial" w:eastAsia="Arial" w:hAnsi="Arial" w:cs="Arial"/>
                <w:sz w:val="18"/>
                <w:szCs w:val="18"/>
              </w:rPr>
              <w:t>2,916</w:t>
            </w:r>
          </w:p>
        </w:tc>
        <w:tc>
          <w:tcPr>
            <w:tcW w:w="194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7A192D54" w14:textId="77777777">
            <w:pPr>
              <w:jc w:val="center"/>
              <w:rPr>
                <w:rFonts w:ascii="Arial" w:eastAsia="Arial" w:hAnsi="Arial" w:cs="Arial"/>
                <w:sz w:val="18"/>
                <w:szCs w:val="18"/>
              </w:rPr>
            </w:pPr>
            <w:r>
              <w:rPr>
                <w:rFonts w:ascii="Arial" w:eastAsia="Arial" w:hAnsi="Arial" w:cs="Arial"/>
                <w:sz w:val="18"/>
                <w:szCs w:val="18"/>
              </w:rPr>
              <w:t>1</w:t>
            </w:r>
          </w:p>
        </w:tc>
        <w:tc>
          <w:tcPr>
            <w:tcW w:w="100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32ECE5C1" w14:textId="77777777">
            <w:pPr>
              <w:jc w:val="center"/>
              <w:rPr>
                <w:rFonts w:ascii="Arial" w:eastAsia="Arial" w:hAnsi="Arial" w:cs="Arial"/>
                <w:sz w:val="18"/>
                <w:szCs w:val="18"/>
              </w:rPr>
            </w:pPr>
            <w:r>
              <w:rPr>
                <w:rFonts w:ascii="Arial" w:eastAsia="Arial" w:hAnsi="Arial" w:cs="Arial"/>
                <w:sz w:val="18"/>
                <w:szCs w:val="18"/>
              </w:rPr>
              <w:t>2,916</w:t>
            </w:r>
          </w:p>
        </w:tc>
        <w:tc>
          <w:tcPr>
            <w:tcW w:w="119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4536E8DE" w14:textId="77777777">
            <w:pPr>
              <w:jc w:val="center"/>
              <w:rPr>
                <w:rFonts w:ascii="Arial" w:eastAsia="Arial" w:hAnsi="Arial" w:cs="Arial"/>
                <w:sz w:val="18"/>
                <w:szCs w:val="18"/>
              </w:rPr>
            </w:pPr>
            <w:r>
              <w:rPr>
                <w:rFonts w:ascii="Arial" w:eastAsia="Arial" w:hAnsi="Arial" w:cs="Arial"/>
                <w:sz w:val="18"/>
                <w:szCs w:val="18"/>
              </w:rPr>
              <w:t>1</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669058A0" w14:textId="77777777">
            <w:pPr>
              <w:jc w:val="center"/>
              <w:rPr>
                <w:rFonts w:ascii="Arial" w:eastAsia="Arial" w:hAnsi="Arial" w:cs="Arial"/>
                <w:sz w:val="18"/>
                <w:szCs w:val="18"/>
              </w:rPr>
            </w:pPr>
            <w:r>
              <w:rPr>
                <w:rFonts w:ascii="Arial" w:eastAsia="Arial" w:hAnsi="Arial" w:cs="Arial"/>
                <w:sz w:val="18"/>
                <w:szCs w:val="18"/>
              </w:rPr>
              <w:t>2,916</w:t>
            </w:r>
          </w:p>
        </w:tc>
        <w:tc>
          <w:tcPr>
            <w:tcW w:w="63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4AA4D302" w14:textId="77777777">
            <w:pPr>
              <w:jc w:val="center"/>
              <w:rPr>
                <w:rFonts w:ascii="Arial" w:eastAsia="Arial" w:hAnsi="Arial" w:cs="Arial"/>
                <w:sz w:val="18"/>
                <w:szCs w:val="18"/>
              </w:rPr>
            </w:pPr>
            <w:r>
              <w:rPr>
                <w:rFonts w:ascii="Arial" w:eastAsia="Arial" w:hAnsi="Arial" w:cs="Arial"/>
                <w:sz w:val="18"/>
                <w:szCs w:val="18"/>
              </w:rPr>
              <w:t>$72</w:t>
            </w:r>
          </w:p>
        </w:tc>
        <w:tc>
          <w:tcPr>
            <w:tcW w:w="113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303FC83F" w14:textId="77777777">
            <w:pPr>
              <w:jc w:val="center"/>
              <w:rPr>
                <w:rFonts w:ascii="Arial" w:eastAsia="Arial" w:hAnsi="Arial" w:cs="Arial"/>
                <w:sz w:val="18"/>
                <w:szCs w:val="18"/>
              </w:rPr>
            </w:pPr>
            <w:r>
              <w:rPr>
                <w:rFonts w:ascii="Arial" w:eastAsia="Arial" w:hAnsi="Arial" w:cs="Arial"/>
                <w:sz w:val="18"/>
                <w:szCs w:val="18"/>
              </w:rPr>
              <w:t>$209,952</w:t>
            </w:r>
          </w:p>
        </w:tc>
      </w:tr>
      <w:tr w14:paraId="56E5694D" w14:textId="77777777">
        <w:tblPrEx>
          <w:tblW w:w="9344" w:type="dxa"/>
          <w:tblInd w:w="0" w:type="dxa"/>
          <w:tblLayout w:type="fixed"/>
          <w:tblLook w:val="0400"/>
        </w:tblPrEx>
        <w:trPr>
          <w:trHeight w:val="375"/>
        </w:trPr>
        <w:tc>
          <w:tcPr>
            <w:tcW w:w="1087"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rsidR="00A05C50" w14:paraId="7158A27B" w14:textId="77777777">
            <w:pPr>
              <w:jc w:val="center"/>
              <w:rPr>
                <w:rFonts w:ascii="Arial" w:eastAsia="Arial" w:hAnsi="Arial" w:cs="Arial"/>
                <w:sz w:val="18"/>
                <w:szCs w:val="18"/>
              </w:rPr>
            </w:pPr>
            <w:r>
              <w:rPr>
                <w:rFonts w:ascii="Arial" w:eastAsia="Arial" w:hAnsi="Arial" w:cs="Arial"/>
                <w:sz w:val="18"/>
                <w:szCs w:val="18"/>
              </w:rPr>
              <w:t>FAR 52.228-16</w:t>
            </w:r>
          </w:p>
        </w:tc>
        <w:tc>
          <w:tcPr>
            <w:tcW w:w="134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705E4908" w14:textId="77777777">
            <w:pPr>
              <w:jc w:val="center"/>
              <w:rPr>
                <w:rFonts w:ascii="Arial" w:eastAsia="Arial" w:hAnsi="Arial" w:cs="Arial"/>
                <w:sz w:val="18"/>
                <w:szCs w:val="18"/>
              </w:rPr>
            </w:pPr>
            <w:r>
              <w:rPr>
                <w:rFonts w:ascii="Arial" w:eastAsia="Arial" w:hAnsi="Arial" w:cs="Arial"/>
                <w:sz w:val="18"/>
                <w:szCs w:val="18"/>
              </w:rPr>
              <w:t>6,310</w:t>
            </w:r>
          </w:p>
        </w:tc>
        <w:tc>
          <w:tcPr>
            <w:tcW w:w="194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6C24BDF3" w14:textId="77777777">
            <w:pPr>
              <w:jc w:val="center"/>
              <w:rPr>
                <w:rFonts w:ascii="Arial" w:eastAsia="Arial" w:hAnsi="Arial" w:cs="Arial"/>
                <w:sz w:val="18"/>
                <w:szCs w:val="18"/>
              </w:rPr>
            </w:pPr>
            <w:r>
              <w:rPr>
                <w:rFonts w:ascii="Arial" w:eastAsia="Arial" w:hAnsi="Arial" w:cs="Arial"/>
                <w:sz w:val="18"/>
                <w:szCs w:val="18"/>
              </w:rPr>
              <w:t>1</w:t>
            </w:r>
          </w:p>
        </w:tc>
        <w:tc>
          <w:tcPr>
            <w:tcW w:w="100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589811D4" w14:textId="77777777">
            <w:pPr>
              <w:jc w:val="center"/>
              <w:rPr>
                <w:rFonts w:ascii="Arial" w:eastAsia="Arial" w:hAnsi="Arial" w:cs="Arial"/>
                <w:sz w:val="18"/>
                <w:szCs w:val="18"/>
              </w:rPr>
            </w:pPr>
            <w:r>
              <w:rPr>
                <w:rFonts w:ascii="Arial" w:eastAsia="Arial" w:hAnsi="Arial" w:cs="Arial"/>
                <w:sz w:val="18"/>
                <w:szCs w:val="18"/>
              </w:rPr>
              <w:t>6,310</w:t>
            </w:r>
          </w:p>
        </w:tc>
        <w:tc>
          <w:tcPr>
            <w:tcW w:w="119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5CF0EA46" w14:textId="77777777">
            <w:pPr>
              <w:jc w:val="center"/>
              <w:rPr>
                <w:rFonts w:ascii="Arial" w:eastAsia="Arial" w:hAnsi="Arial" w:cs="Arial"/>
                <w:sz w:val="18"/>
                <w:szCs w:val="18"/>
              </w:rPr>
            </w:pPr>
            <w:r>
              <w:rPr>
                <w:rFonts w:ascii="Arial" w:eastAsia="Arial" w:hAnsi="Arial" w:cs="Arial"/>
                <w:sz w:val="18"/>
                <w:szCs w:val="18"/>
              </w:rPr>
              <w:t>1</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21586DBA" w14:textId="77777777">
            <w:pPr>
              <w:jc w:val="center"/>
              <w:rPr>
                <w:rFonts w:ascii="Arial" w:eastAsia="Arial" w:hAnsi="Arial" w:cs="Arial"/>
                <w:sz w:val="18"/>
                <w:szCs w:val="18"/>
              </w:rPr>
            </w:pPr>
            <w:r>
              <w:rPr>
                <w:rFonts w:ascii="Arial" w:eastAsia="Arial" w:hAnsi="Arial" w:cs="Arial"/>
                <w:sz w:val="18"/>
                <w:szCs w:val="18"/>
              </w:rPr>
              <w:t>6,310</w:t>
            </w:r>
          </w:p>
        </w:tc>
        <w:tc>
          <w:tcPr>
            <w:tcW w:w="63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58763A6E" w14:textId="77777777">
            <w:pPr>
              <w:jc w:val="center"/>
              <w:rPr>
                <w:rFonts w:ascii="Arial" w:eastAsia="Arial" w:hAnsi="Arial" w:cs="Arial"/>
                <w:sz w:val="18"/>
                <w:szCs w:val="18"/>
              </w:rPr>
            </w:pPr>
            <w:r>
              <w:rPr>
                <w:rFonts w:ascii="Arial" w:eastAsia="Arial" w:hAnsi="Arial" w:cs="Arial"/>
                <w:sz w:val="18"/>
                <w:szCs w:val="18"/>
              </w:rPr>
              <w:t>$72</w:t>
            </w:r>
          </w:p>
        </w:tc>
        <w:tc>
          <w:tcPr>
            <w:tcW w:w="113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4AAC8133" w14:textId="77777777">
            <w:pPr>
              <w:jc w:val="center"/>
              <w:rPr>
                <w:rFonts w:ascii="Arial" w:eastAsia="Arial" w:hAnsi="Arial" w:cs="Arial"/>
                <w:sz w:val="18"/>
                <w:szCs w:val="18"/>
              </w:rPr>
            </w:pPr>
            <w:r>
              <w:rPr>
                <w:rFonts w:ascii="Arial" w:eastAsia="Arial" w:hAnsi="Arial" w:cs="Arial"/>
                <w:sz w:val="18"/>
                <w:szCs w:val="18"/>
              </w:rPr>
              <w:t>$454,296</w:t>
            </w:r>
          </w:p>
        </w:tc>
      </w:tr>
      <w:tr w14:paraId="39985200" w14:textId="77777777">
        <w:tblPrEx>
          <w:tblW w:w="9344" w:type="dxa"/>
          <w:tblInd w:w="0" w:type="dxa"/>
          <w:tblLayout w:type="fixed"/>
          <w:tblLook w:val="0400"/>
        </w:tblPrEx>
        <w:trPr>
          <w:trHeight w:val="600"/>
        </w:trPr>
        <w:tc>
          <w:tcPr>
            <w:tcW w:w="1087"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rsidR="00A05C50" w14:paraId="3A059EC4" w14:textId="77777777">
            <w:pPr>
              <w:jc w:val="center"/>
              <w:rPr>
                <w:rFonts w:ascii="Arial" w:eastAsia="Arial" w:hAnsi="Arial" w:cs="Arial"/>
                <w:b/>
                <w:bCs/>
                <w:sz w:val="18"/>
                <w:szCs w:val="18"/>
              </w:rPr>
            </w:pPr>
            <w:r>
              <w:rPr>
                <w:rFonts w:ascii="Arial" w:eastAsia="Arial" w:hAnsi="Arial" w:cs="Arial"/>
                <w:b/>
                <w:bCs/>
                <w:sz w:val="18"/>
                <w:szCs w:val="18"/>
              </w:rPr>
              <w:t>Total annual cost to the public</w:t>
            </w:r>
          </w:p>
        </w:tc>
        <w:tc>
          <w:tcPr>
            <w:tcW w:w="134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04A89F59" w14:textId="77777777">
            <w:pPr>
              <w:jc w:val="center"/>
              <w:rPr>
                <w:rFonts w:ascii="Arial" w:eastAsia="Arial" w:hAnsi="Arial" w:cs="Arial"/>
                <w:b/>
                <w:bCs/>
                <w:sz w:val="18"/>
                <w:szCs w:val="18"/>
              </w:rPr>
            </w:pPr>
            <w:r>
              <w:rPr>
                <w:rFonts w:ascii="Arial" w:eastAsia="Arial" w:hAnsi="Arial" w:cs="Arial"/>
                <w:b/>
                <w:bCs/>
                <w:sz w:val="18"/>
                <w:szCs w:val="18"/>
              </w:rPr>
              <w:t>22,916</w:t>
            </w:r>
          </w:p>
        </w:tc>
        <w:tc>
          <w:tcPr>
            <w:tcW w:w="194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53F5BA26" w14:textId="77777777">
            <w:pPr>
              <w:jc w:val="center"/>
              <w:rPr>
                <w:rFonts w:ascii="Arial" w:eastAsia="Arial" w:hAnsi="Arial" w:cs="Arial"/>
                <w:b/>
                <w:bCs/>
                <w:sz w:val="18"/>
                <w:szCs w:val="18"/>
              </w:rPr>
            </w:pPr>
          </w:p>
        </w:tc>
        <w:tc>
          <w:tcPr>
            <w:tcW w:w="100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14F33313" w14:textId="77777777">
            <w:pPr>
              <w:jc w:val="center"/>
              <w:rPr>
                <w:rFonts w:ascii="Arial" w:eastAsia="Arial" w:hAnsi="Arial" w:cs="Arial"/>
                <w:b/>
                <w:bCs/>
                <w:sz w:val="18"/>
                <w:szCs w:val="18"/>
              </w:rPr>
            </w:pPr>
            <w:r>
              <w:rPr>
                <w:rFonts w:ascii="Arial" w:eastAsia="Arial" w:hAnsi="Arial" w:cs="Arial"/>
                <w:b/>
                <w:bCs/>
                <w:sz w:val="18"/>
                <w:szCs w:val="18"/>
              </w:rPr>
              <w:t>22,926</w:t>
            </w:r>
          </w:p>
        </w:tc>
        <w:tc>
          <w:tcPr>
            <w:tcW w:w="119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50FB2FA0" w14:textId="77777777">
            <w:pPr>
              <w:jc w:val="center"/>
              <w:rPr>
                <w:rFonts w:ascii="Arial" w:eastAsia="Arial" w:hAnsi="Arial" w:cs="Arial"/>
                <w:b/>
                <w:bCs/>
                <w:sz w:val="18"/>
                <w:szCs w:val="18"/>
              </w:rPr>
            </w:pP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4F5EF127" w14:textId="77777777">
            <w:pPr>
              <w:jc w:val="center"/>
              <w:rPr>
                <w:rFonts w:ascii="Arial" w:eastAsia="Arial" w:hAnsi="Arial" w:cs="Arial"/>
                <w:b/>
                <w:bCs/>
                <w:sz w:val="18"/>
                <w:szCs w:val="18"/>
              </w:rPr>
            </w:pPr>
            <w:r>
              <w:rPr>
                <w:rFonts w:ascii="Arial" w:eastAsia="Arial" w:hAnsi="Arial" w:cs="Arial"/>
                <w:b/>
                <w:bCs/>
                <w:sz w:val="18"/>
                <w:szCs w:val="18"/>
              </w:rPr>
              <w:t>22,912</w:t>
            </w:r>
          </w:p>
        </w:tc>
        <w:tc>
          <w:tcPr>
            <w:tcW w:w="63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085651D1" w14:textId="77777777">
            <w:pPr>
              <w:jc w:val="center"/>
              <w:rPr>
                <w:rFonts w:ascii="Arial" w:eastAsia="Arial" w:hAnsi="Arial" w:cs="Arial"/>
                <w:b/>
                <w:bCs/>
                <w:sz w:val="18"/>
                <w:szCs w:val="18"/>
              </w:rPr>
            </w:pPr>
          </w:p>
        </w:tc>
        <w:tc>
          <w:tcPr>
            <w:tcW w:w="113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A05C50" w14:paraId="728D80EF" w14:textId="77777777">
            <w:pPr>
              <w:jc w:val="center"/>
              <w:rPr>
                <w:rFonts w:ascii="Arial" w:eastAsia="Arial" w:hAnsi="Arial" w:cs="Arial"/>
                <w:b/>
                <w:bCs/>
                <w:sz w:val="18"/>
                <w:szCs w:val="18"/>
              </w:rPr>
            </w:pPr>
            <w:r>
              <w:rPr>
                <w:rFonts w:ascii="Arial" w:eastAsia="Arial" w:hAnsi="Arial" w:cs="Arial"/>
                <w:b/>
                <w:bCs/>
                <w:sz w:val="18"/>
                <w:szCs w:val="18"/>
              </w:rPr>
              <w:t>$1,649,640</w:t>
            </w:r>
          </w:p>
        </w:tc>
      </w:tr>
    </w:tbl>
    <w:p w:rsidR="00A05C50" w14:paraId="238EA989" w14:textId="77777777">
      <w:pPr>
        <w:spacing w:line="276" w:lineRule="auto"/>
        <w:rPr>
          <w:rFonts w:ascii="Courier New" w:eastAsia="Courier New" w:hAnsi="Courier New" w:cs="Courier New"/>
          <w:u w:val="single"/>
        </w:rPr>
      </w:pPr>
    </w:p>
    <w:p w:rsidR="00A05C50" w14:paraId="330AB6F3" w14:textId="77777777">
      <w:pPr>
        <w:spacing w:line="276" w:lineRule="auto"/>
        <w:rPr>
          <w:rFonts w:ascii="Courier New" w:eastAsia="Courier New" w:hAnsi="Courier New" w:cs="Courier New"/>
        </w:rPr>
      </w:pPr>
      <w:r>
        <w:rPr>
          <w:rFonts w:ascii="Courier New" w:eastAsia="Courier New" w:hAnsi="Courier New" w:cs="Courier New"/>
          <w:b/>
          <w:bCs/>
        </w:rPr>
        <w:t>FAR 52.228-1 Bid Guarantee, and SFs 24 and 34</w:t>
      </w:r>
      <w:r>
        <w:rPr>
          <w:rFonts w:ascii="Courier New" w:eastAsia="Courier New" w:hAnsi="Courier New" w:cs="Courier New"/>
        </w:rPr>
        <w:t>: This provision (or clause) requires a bid guarantee if a performance bond or a performance and payment bond is also required. Therefore, the total number of unique respondents is based on the sum of respondents per year identified for FAR 52.228-15 and FAR 52.228-16, or 9,226 respondents per year.</w:t>
      </w:r>
    </w:p>
    <w:p w:rsidR="00A05C50" w14:paraId="3D195B60" w14:textId="77777777">
      <w:pPr>
        <w:spacing w:line="276" w:lineRule="auto"/>
        <w:rPr>
          <w:rFonts w:ascii="Courier New" w:eastAsia="Courier New" w:hAnsi="Courier New" w:cs="Courier New"/>
        </w:rPr>
      </w:pPr>
      <w:r>
        <w:rPr>
          <w:rFonts w:ascii="Courier New" w:eastAsia="Courier New" w:hAnsi="Courier New" w:cs="Courier New"/>
        </w:rPr>
        <w:t xml:space="preserve">  </w:t>
      </w:r>
    </w:p>
    <w:p w:rsidR="00A05C50" w14:paraId="10D33636" w14:textId="77777777">
      <w:pPr>
        <w:spacing w:line="276" w:lineRule="auto"/>
        <w:rPr>
          <w:rFonts w:ascii="Courier New" w:eastAsia="Courier New" w:hAnsi="Courier New" w:cs="Courier New"/>
        </w:rPr>
      </w:pPr>
      <w:r>
        <w:rPr>
          <w:rFonts w:ascii="Courier New" w:eastAsia="Courier New" w:hAnsi="Courier New" w:cs="Courier New"/>
          <w:b/>
          <w:bCs/>
        </w:rPr>
        <w:t>FAR 52.228-2 Additional Bond Security, and SFs 1414 and 1415</w:t>
      </w:r>
      <w:r>
        <w:rPr>
          <w:rFonts w:ascii="Courier New" w:eastAsia="Courier New" w:hAnsi="Courier New" w:cs="Courier New"/>
        </w:rPr>
        <w:t>: This clause applies in limited circumstances in both construction contracts and other than construction contracts when bonds are required. The total number of unique entities is based on the sum of unique entities identified for FAR 52.228-15 and FAR 52.228-16. However, this data was analyzed further because this clause is only required when the surety furnished becomes unacceptable to the Government, the surety fails to furnish reports on its financial condition, the contract price is increased so that t</w:t>
      </w:r>
      <w:r>
        <w:rPr>
          <w:rFonts w:ascii="Courier New" w:eastAsia="Courier New" w:hAnsi="Courier New" w:cs="Courier New"/>
        </w:rPr>
        <w:t xml:space="preserve">he bond becomes inadequate, or the irrevocable letter of credit expires. Based on this, the total number of unique entities was filtered based on the reason for contract modification </w:t>
      </w:r>
      <w:r>
        <w:rPr>
          <w:rFonts w:ascii="Courier New" w:eastAsia="Courier New" w:hAnsi="Courier New" w:cs="Courier New"/>
        </w:rPr>
        <w:t>including for</w:t>
      </w:r>
      <w:r>
        <w:rPr>
          <w:rFonts w:ascii="Courier New" w:eastAsia="Courier New" w:hAnsi="Courier New" w:cs="Courier New"/>
        </w:rPr>
        <w:t xml:space="preserve"> additional work, supplemental agreement for work within scope, and change orders.  </w:t>
      </w:r>
      <w:r>
        <w:rPr>
          <w:rFonts w:ascii="Courier New" w:eastAsia="Courier New" w:hAnsi="Courier New" w:cs="Courier New"/>
        </w:rPr>
        <w:t>Therefore, the estimated number of respondents per year is 3,077.</w:t>
      </w:r>
    </w:p>
    <w:p w:rsidR="00A05C50" w14:paraId="11D38246" w14:textId="77777777">
      <w:pPr>
        <w:spacing w:line="276" w:lineRule="auto"/>
        <w:rPr>
          <w:rFonts w:ascii="Courier New" w:eastAsia="Courier New" w:hAnsi="Courier New" w:cs="Courier New"/>
        </w:rPr>
      </w:pPr>
      <w:r>
        <w:rPr>
          <w:rFonts w:ascii="Courier New" w:eastAsia="Courier New" w:hAnsi="Courier New" w:cs="Courier New"/>
        </w:rPr>
        <w:t xml:space="preserve"> </w:t>
      </w:r>
    </w:p>
    <w:p w:rsidR="00A05C50" w14:paraId="7A3963EF" w14:textId="77777777">
      <w:pPr>
        <w:spacing w:line="276" w:lineRule="auto"/>
        <w:rPr>
          <w:rFonts w:ascii="Courier New" w:eastAsia="Courier New" w:hAnsi="Courier New" w:cs="Courier New"/>
        </w:rPr>
      </w:pPr>
      <w:r>
        <w:rPr>
          <w:rFonts w:ascii="Courier New" w:eastAsia="Courier New" w:hAnsi="Courier New" w:cs="Courier New"/>
          <w:b/>
          <w:bCs/>
        </w:rPr>
        <w:t>FAR 52.228-13 Alternative Payment Protections</w:t>
      </w:r>
      <w:r>
        <w:rPr>
          <w:rFonts w:ascii="Courier New" w:eastAsia="Courier New" w:hAnsi="Courier New" w:cs="Courier New"/>
        </w:rPr>
        <w:t xml:space="preserve">: This clause only applies to construction contracts exceeding $35,000 but not exceeding $150,000. Therefore, the estimated number of respondents per year is 1,378. </w:t>
      </w:r>
    </w:p>
    <w:p w:rsidR="00A05C50" w14:paraId="06BBC3FC" w14:textId="77777777">
      <w:pPr>
        <w:spacing w:line="276" w:lineRule="auto"/>
        <w:rPr>
          <w:rFonts w:ascii="Courier New" w:eastAsia="Courier New" w:hAnsi="Courier New" w:cs="Courier New"/>
        </w:rPr>
      </w:pPr>
    </w:p>
    <w:p w:rsidR="00A05C50" w14:paraId="6C5A4D45" w14:textId="77777777">
      <w:pPr>
        <w:spacing w:line="276" w:lineRule="auto"/>
        <w:rPr>
          <w:rFonts w:ascii="Courier New" w:eastAsia="Courier New" w:hAnsi="Courier New" w:cs="Courier New"/>
          <w:u w:val="single"/>
        </w:rPr>
      </w:pPr>
      <w:r>
        <w:rPr>
          <w:rFonts w:ascii="Courier New" w:eastAsia="Courier New" w:hAnsi="Courier New" w:cs="Courier New"/>
          <w:b/>
          <w:bCs/>
        </w:rPr>
        <w:t>FAR 52.228-14 Irrevocable Letter of Credit</w:t>
      </w:r>
      <w:r>
        <w:rPr>
          <w:rFonts w:ascii="Courier New" w:eastAsia="Courier New" w:hAnsi="Courier New" w:cs="Courier New"/>
        </w:rPr>
        <w:t xml:space="preserve">: Since this clause is used by an offeror or contractor in lieu of the requirements of FAR 52.228-1, 52.228-15, or 52.228-16, instead of in addition to, burden for this clause is not accounted for separately in this information collection. </w:t>
      </w:r>
    </w:p>
    <w:p w:rsidR="00A05C50" w14:paraId="5F534F25" w14:textId="77777777">
      <w:pPr>
        <w:spacing w:line="276" w:lineRule="auto"/>
        <w:rPr>
          <w:rFonts w:ascii="Courier New" w:eastAsia="Courier New" w:hAnsi="Courier New" w:cs="Courier New"/>
          <w:u w:val="single"/>
        </w:rPr>
      </w:pPr>
    </w:p>
    <w:p w:rsidR="00A05C50" w14:paraId="1A101AAE" w14:textId="77777777">
      <w:pPr>
        <w:spacing w:line="276" w:lineRule="auto"/>
        <w:rPr>
          <w:rFonts w:ascii="Courier New" w:eastAsia="Courier New" w:hAnsi="Courier New" w:cs="Courier New"/>
        </w:rPr>
      </w:pPr>
      <w:r>
        <w:rPr>
          <w:rFonts w:ascii="Courier New" w:eastAsia="Courier New" w:hAnsi="Courier New" w:cs="Courier New"/>
          <w:b/>
          <w:bCs/>
        </w:rPr>
        <w:t>FAR 52.228-15 Performance and Payment Bonds – Construction, and SFs 25, 25-A, 25-B, 273, and 274</w:t>
      </w:r>
      <w:r>
        <w:rPr>
          <w:rFonts w:ascii="Courier New" w:eastAsia="Courier New" w:hAnsi="Courier New" w:cs="Courier New"/>
        </w:rPr>
        <w:t>: This clause only applies to construction contracts exceeding $150,000.</w:t>
      </w:r>
      <w:r>
        <w:rPr>
          <w:rFonts w:ascii="Courier New" w:eastAsia="Courier New" w:hAnsi="Courier New" w:cs="Courier New"/>
          <w:b/>
          <w:bCs/>
        </w:rPr>
        <w:t xml:space="preserve"> </w:t>
      </w:r>
      <w:r>
        <w:rPr>
          <w:rFonts w:ascii="Courier New" w:eastAsia="Courier New" w:hAnsi="Courier New" w:cs="Courier New"/>
        </w:rPr>
        <w:t>The estimated number of respondents per year is 2,916.</w:t>
      </w:r>
    </w:p>
    <w:p w:rsidR="00A05C50" w14:paraId="76DC4FB0" w14:textId="77777777">
      <w:pPr>
        <w:spacing w:line="276" w:lineRule="auto"/>
        <w:rPr>
          <w:rFonts w:ascii="Courier New" w:eastAsia="Courier New" w:hAnsi="Courier New" w:cs="Courier New"/>
        </w:rPr>
      </w:pPr>
      <w:r>
        <w:rPr>
          <w:rFonts w:ascii="Courier New" w:eastAsia="Courier New" w:hAnsi="Courier New" w:cs="Courier New"/>
          <w:u w:val="single"/>
        </w:rPr>
        <w:t xml:space="preserve"> </w:t>
      </w:r>
    </w:p>
    <w:p w:rsidR="00A05C50" w14:paraId="7CEA01E7" w14:textId="77777777">
      <w:pPr>
        <w:spacing w:line="276" w:lineRule="auto"/>
        <w:rPr>
          <w:rFonts w:ascii="Courier New" w:eastAsia="Courier New" w:hAnsi="Courier New" w:cs="Courier New"/>
        </w:rPr>
      </w:pPr>
      <w:r>
        <w:rPr>
          <w:rFonts w:ascii="Courier New" w:eastAsia="Courier New" w:hAnsi="Courier New" w:cs="Courier New"/>
          <w:b/>
          <w:bCs/>
        </w:rPr>
        <w:t>FAR 52.228-16 Performance and Payment Bonds – Other Than Construction, and SFs 35, 275, 1416, and 1418</w:t>
      </w:r>
      <w:r>
        <w:rPr>
          <w:rFonts w:ascii="Courier New" w:eastAsia="Courier New" w:hAnsi="Courier New" w:cs="Courier New"/>
        </w:rPr>
        <w:t xml:space="preserve">: This clause applies to non-construction contracts exceeding the SAT ($350,000) in limited circumstances including for when government property will be provided to the contractor for use in performing the contract, when a contractor merges with another concern, when substantial progress payments are made before the delivery of end items starts, and contracts for dismantling, demolition or removal of improvements. Therefore, the estimated number of respondents per year is 6,310.       </w:t>
      </w:r>
    </w:p>
    <w:p w:rsidR="00A05C50" w14:paraId="3857FB92" w14:textId="77777777">
      <w:pPr>
        <w:spacing w:line="276" w:lineRule="auto"/>
        <w:rPr>
          <w:rFonts w:ascii="Courier New" w:eastAsia="Courier New" w:hAnsi="Courier New" w:cs="Courier New"/>
        </w:rPr>
      </w:pPr>
      <w:r>
        <w:rPr>
          <w:rFonts w:ascii="Courier New" w:eastAsia="Courier New" w:hAnsi="Courier New" w:cs="Courier New"/>
        </w:rPr>
        <w:t xml:space="preserve"> </w:t>
      </w:r>
    </w:p>
    <w:p w:rsidR="00A05C50" w14:paraId="225AE53C" w14:textId="77777777">
      <w:pPr>
        <w:spacing w:line="276" w:lineRule="auto"/>
        <w:rPr>
          <w:rFonts w:ascii="Courier New" w:eastAsia="Courier New" w:hAnsi="Courier New" w:cs="Courier New"/>
        </w:rPr>
      </w:pPr>
      <w:r>
        <w:rPr>
          <w:rFonts w:ascii="Courier New" w:eastAsia="Courier New" w:hAnsi="Courier New" w:cs="Courier New"/>
        </w:rPr>
        <w:t xml:space="preserve">In all cases, except for </w:t>
      </w:r>
      <w:r>
        <w:rPr>
          <w:rFonts w:ascii="Courier New" w:eastAsia="Courier New" w:hAnsi="Courier New" w:cs="Courier New"/>
        </w:rPr>
        <w:t>the SF</w:t>
      </w:r>
      <w:r>
        <w:rPr>
          <w:rFonts w:ascii="Courier New" w:eastAsia="Courier New" w:hAnsi="Courier New" w:cs="Courier New"/>
        </w:rPr>
        <w:t xml:space="preserve"> 28, it is estimated that only one response would be submitted annually per respondent. The amount of time required to read, prepare the information, and populate the forms is estimated at one hour per response.</w:t>
      </w:r>
    </w:p>
    <w:p w:rsidR="00A05C50" w14:paraId="1418F66E" w14:textId="77777777">
      <w:pPr>
        <w:spacing w:line="276" w:lineRule="auto"/>
        <w:rPr>
          <w:rFonts w:ascii="Courier New" w:eastAsia="Courier New" w:hAnsi="Courier New" w:cs="Courier New"/>
        </w:rPr>
      </w:pPr>
    </w:p>
    <w:p w:rsidR="00A05C50" w14:paraId="1CB2A651" w14:textId="77777777">
      <w:pPr>
        <w:rPr>
          <w:rFonts w:ascii="Courier New" w:eastAsia="Courier New" w:hAnsi="Courier New" w:cs="Courier New"/>
        </w:rPr>
      </w:pPr>
      <w:r>
        <w:rPr>
          <w:rFonts w:ascii="Courier New" w:eastAsia="Courier New" w:hAnsi="Courier New" w:cs="Courier New"/>
        </w:rPr>
        <w:t>Estimated number of respondents/yr.........22,906</w:t>
      </w:r>
    </w:p>
    <w:p w:rsidR="00A05C50" w14:paraId="0CA3286D" w14:textId="77777777">
      <w:pPr>
        <w:ind w:right="-80"/>
        <w:rPr>
          <w:rFonts w:ascii="Courier New" w:eastAsia="Courier New" w:hAnsi="Courier New" w:cs="Courier New"/>
          <w:u w:val="single"/>
        </w:rPr>
      </w:pPr>
      <w:r>
        <w:rPr>
          <w:rFonts w:ascii="Courier New" w:eastAsia="Courier New" w:hAnsi="Courier New" w:cs="Courier New"/>
        </w:rPr>
        <w:t xml:space="preserve">Responses per respondent..................    </w:t>
      </w:r>
      <w:r>
        <w:rPr>
          <w:rFonts w:ascii="Courier New" w:eastAsia="Courier New" w:hAnsi="Courier New" w:cs="Courier New"/>
          <w:u w:val="single"/>
        </w:rPr>
        <w:t>x 1</w:t>
      </w:r>
    </w:p>
    <w:p w:rsidR="00A05C50" w14:paraId="6A529D82" w14:textId="77777777">
      <w:pPr>
        <w:ind w:right="-80"/>
        <w:rPr>
          <w:rFonts w:ascii="Courier New" w:eastAsia="Courier New" w:hAnsi="Courier New" w:cs="Courier New"/>
        </w:rPr>
      </w:pPr>
      <w:r>
        <w:rPr>
          <w:rFonts w:ascii="Courier New" w:eastAsia="Courier New" w:hAnsi="Courier New" w:cs="Courier New"/>
        </w:rPr>
        <w:t>Total annual responses.................... 22,906</w:t>
      </w:r>
    </w:p>
    <w:p w:rsidR="00A05C50" w14:paraId="7E71821A" w14:textId="77777777">
      <w:pPr>
        <w:rPr>
          <w:rFonts w:ascii="Courier New" w:eastAsia="Courier New" w:hAnsi="Courier New" w:cs="Courier New"/>
          <w:u w:val="single"/>
        </w:rPr>
      </w:pPr>
      <w:r>
        <w:rPr>
          <w:rFonts w:ascii="Courier New" w:eastAsia="Courier New" w:hAnsi="Courier New" w:cs="Courier New"/>
        </w:rPr>
        <w:t xml:space="preserve">Estimated </w:t>
      </w:r>
      <w:r>
        <w:rPr>
          <w:rFonts w:ascii="Courier New" w:eastAsia="Courier New" w:hAnsi="Courier New" w:cs="Courier New"/>
        </w:rPr>
        <w:t>hrs</w:t>
      </w:r>
      <w:r>
        <w:rPr>
          <w:rFonts w:ascii="Courier New" w:eastAsia="Courier New" w:hAnsi="Courier New" w:cs="Courier New"/>
        </w:rPr>
        <w:t xml:space="preserve">/response...................     </w:t>
      </w:r>
      <w:r>
        <w:rPr>
          <w:rFonts w:ascii="Courier New" w:eastAsia="Courier New" w:hAnsi="Courier New" w:cs="Courier New"/>
          <w:u w:val="single"/>
        </w:rPr>
        <w:t>x 1</w:t>
      </w:r>
    </w:p>
    <w:p w:rsidR="00A05C50" w14:paraId="639925A4" w14:textId="77777777">
      <w:pPr>
        <w:rPr>
          <w:rFonts w:ascii="Courier New" w:eastAsia="Courier New" w:hAnsi="Courier New" w:cs="Courier New"/>
        </w:rPr>
      </w:pPr>
      <w:r>
        <w:rPr>
          <w:rFonts w:ascii="Courier New" w:eastAsia="Courier New" w:hAnsi="Courier New" w:cs="Courier New"/>
        </w:rPr>
        <w:t>Estimated annual burden hours............  22,906</w:t>
      </w:r>
    </w:p>
    <w:p w:rsidR="00A05C50" w14:paraId="0545EAB6" w14:textId="77777777">
      <w:pPr>
        <w:rPr>
          <w:rFonts w:ascii="Courier New" w:eastAsia="Courier New" w:hAnsi="Courier New" w:cs="Courier New"/>
          <w:u w:val="single"/>
        </w:rPr>
      </w:pPr>
      <w:r>
        <w:rPr>
          <w:rFonts w:ascii="Courier New" w:eastAsia="Courier New" w:hAnsi="Courier New" w:cs="Courier New"/>
        </w:rPr>
        <w:t>Hourly rate</w:t>
      </w:r>
      <w:r>
        <w:rPr>
          <w:rFonts w:ascii="Courier New" w:eastAsia="Courier New" w:hAnsi="Courier New" w:cs="Courier New"/>
          <w:b/>
          <w:bCs/>
        </w:rPr>
        <w:t>*</w:t>
      </w:r>
      <w:r>
        <w:rPr>
          <w:rFonts w:ascii="Courier New" w:eastAsia="Courier New" w:hAnsi="Courier New" w:cs="Courier New"/>
        </w:rPr>
        <w:t xml:space="preserve">.............................   </w:t>
      </w:r>
      <w:r>
        <w:rPr>
          <w:rFonts w:ascii="Courier New" w:eastAsia="Courier New" w:hAnsi="Courier New" w:cs="Courier New"/>
          <w:u w:val="single"/>
        </w:rPr>
        <w:t>x $72</w:t>
      </w:r>
    </w:p>
    <w:p w:rsidR="00A05C50" w14:paraId="6649EB55" w14:textId="77777777">
      <w:pPr>
        <w:rPr>
          <w:rFonts w:ascii="Courier New" w:eastAsia="Courier New" w:hAnsi="Courier New" w:cs="Courier New"/>
        </w:rPr>
      </w:pPr>
      <w:r>
        <w:rPr>
          <w:rFonts w:ascii="Courier New" w:eastAsia="Courier New" w:hAnsi="Courier New" w:cs="Courier New"/>
        </w:rPr>
        <w:t>Estimated annual cost to the public......$1,649,208</w:t>
      </w:r>
    </w:p>
    <w:p w:rsidR="00A05C50" w14:paraId="3CD603F4" w14:textId="77777777">
      <w:pPr>
        <w:rPr>
          <w:rFonts w:ascii="Courier New" w:eastAsia="Courier New" w:hAnsi="Courier New" w:cs="Courier New"/>
          <w:b/>
          <w:bCs/>
          <w:i/>
          <w:iCs/>
        </w:rPr>
      </w:pPr>
    </w:p>
    <w:p w:rsidR="00A05C50" w14:paraId="79628CF1" w14:textId="77777777">
      <w:pPr>
        <w:rPr>
          <w:rFonts w:ascii="Courier New" w:eastAsia="Courier New" w:hAnsi="Courier New" w:cs="Courier New"/>
        </w:rPr>
      </w:pPr>
      <w:bookmarkStart w:id="7" w:name="_heading=h.7lslwml3ea8a" w:colFirst="0" w:colLast="0"/>
      <w:bookmarkEnd w:id="7"/>
      <w:r>
        <w:rPr>
          <w:rFonts w:ascii="Courier New" w:eastAsia="Courier New" w:hAnsi="Courier New" w:cs="Courier New"/>
          <w:b/>
          <w:bCs/>
        </w:rPr>
        <w:t>FAR 52.228-11, Individual Surety—Pledge of Assets; FAR 52.228-17, Individual Surety—Pledge of Assets (Bid Guarantee); and SF 28, Affidavit of Individual Surety.</w:t>
      </w:r>
      <w:r>
        <w:rPr>
          <w:rFonts w:ascii="Courier New" w:eastAsia="Courier New" w:hAnsi="Courier New" w:cs="Courier New"/>
        </w:rPr>
        <w:t xml:space="preserve"> Although the FAR clause at 52.228-11 and the FAR provision at 52.228-17 are the “instruments calling for the collection or disclosure of information” by requiring the submission of the SF 28, neither the clause nor the provision impose an additional burden beyond that imposed by completing the SF 28, which is the “form or format” where the collection occurs. This form is required when an offeror or contractor chooses to use an individual surety for a bid guarantee, a performance bond, or a payment bond. Th</w:t>
      </w:r>
      <w:r>
        <w:rPr>
          <w:rFonts w:ascii="Courier New" w:eastAsia="Courier New" w:hAnsi="Courier New" w:cs="Courier New"/>
        </w:rPr>
        <w:t>e number of unique respondents is based on the sum of respondents per year identified for FAR 52.228-1 which includes both the respondents for FAR 52.228-15 and FAR 52.228-16, or 9,226 respondents per year. Of these 9,226 respondents, some could be using corporate sureties under FAR 28.202, individual sureties under FAR 28.203, or pledging the contractor's own assets under FAR 28.204. It is estimated that less than 0.1 percent of respondents would use individual sureties to meet the required bonding under c</w:t>
      </w:r>
      <w:r>
        <w:rPr>
          <w:rFonts w:ascii="Courier New" w:eastAsia="Courier New" w:hAnsi="Courier New" w:cs="Courier New"/>
        </w:rPr>
        <w:t xml:space="preserve">ontracts. Consequently, it’s estimated that 9 (0.1 percent of 9,226 rounded up to the nearest whole number) respondents would use </w:t>
      </w:r>
      <w:r>
        <w:rPr>
          <w:rFonts w:ascii="Courier New" w:eastAsia="Courier New" w:hAnsi="Courier New" w:cs="Courier New"/>
        </w:rPr>
        <w:t>the SF</w:t>
      </w:r>
      <w:r>
        <w:rPr>
          <w:rFonts w:ascii="Courier New" w:eastAsia="Courier New" w:hAnsi="Courier New" w:cs="Courier New"/>
        </w:rPr>
        <w:t xml:space="preserve"> 28. However, consistent with 5 CFR 1320.3 paragraph c, the estimate uses the number of respondents per year at </w:t>
      </w:r>
      <w:r>
        <w:rPr>
          <w:rFonts w:ascii="Courier New" w:eastAsia="Courier New" w:hAnsi="Courier New" w:cs="Courier New"/>
          <w:u w:val="single"/>
        </w:rPr>
        <w:t>10</w:t>
      </w:r>
      <w:r>
        <w:rPr>
          <w:rFonts w:ascii="Courier New" w:eastAsia="Courier New" w:hAnsi="Courier New" w:cs="Courier New"/>
        </w:rPr>
        <w:t xml:space="preserve">. Two responses per year are estimated to account for a revision to </w:t>
      </w:r>
      <w:r>
        <w:rPr>
          <w:rFonts w:ascii="Courier New" w:eastAsia="Courier New" w:hAnsi="Courier New" w:cs="Courier New"/>
        </w:rPr>
        <w:t>the SF</w:t>
      </w:r>
      <w:r>
        <w:rPr>
          <w:rFonts w:ascii="Courier New" w:eastAsia="Courier New" w:hAnsi="Courier New" w:cs="Courier New"/>
        </w:rPr>
        <w:t xml:space="preserve"> 28, if needed. Time required to read and prepare information is estimated at 0.3 hours per response.</w:t>
      </w:r>
    </w:p>
    <w:p w:rsidR="00A05C50" w14:paraId="54C5E991" w14:textId="77777777">
      <w:pPr>
        <w:rPr>
          <w:rFonts w:ascii="Courier New" w:eastAsia="Courier New" w:hAnsi="Courier New" w:cs="Courier New"/>
        </w:rPr>
      </w:pPr>
    </w:p>
    <w:p w:rsidR="00A05C50" w14:paraId="479E4ECB" w14:textId="77777777">
      <w:pPr>
        <w:rPr>
          <w:rFonts w:ascii="Courier New" w:eastAsia="Courier New" w:hAnsi="Courier New" w:cs="Courier New"/>
        </w:rPr>
      </w:pPr>
      <w:r>
        <w:rPr>
          <w:rFonts w:ascii="Courier New" w:eastAsia="Courier New" w:hAnsi="Courier New" w:cs="Courier New"/>
        </w:rPr>
        <w:t>Estimated number of respondents/yr......... 10</w:t>
      </w:r>
    </w:p>
    <w:p w:rsidR="00A05C50" w14:paraId="1F41A9E6" w14:textId="77777777">
      <w:pPr>
        <w:ind w:right="-80"/>
        <w:rPr>
          <w:rFonts w:ascii="Courier New" w:eastAsia="Courier New" w:hAnsi="Courier New" w:cs="Courier New"/>
          <w:u w:val="single"/>
        </w:rPr>
      </w:pPr>
      <w:r>
        <w:rPr>
          <w:rFonts w:ascii="Courier New" w:eastAsia="Courier New" w:hAnsi="Courier New" w:cs="Courier New"/>
        </w:rPr>
        <w:t xml:space="preserve">Responses per respondent.................. </w:t>
      </w:r>
      <w:r>
        <w:rPr>
          <w:rFonts w:ascii="Courier New" w:eastAsia="Courier New" w:hAnsi="Courier New" w:cs="Courier New"/>
          <w:u w:val="single"/>
        </w:rPr>
        <w:t>x 2</w:t>
      </w:r>
    </w:p>
    <w:p w:rsidR="00A05C50" w14:paraId="351FA277" w14:textId="77777777">
      <w:pPr>
        <w:ind w:right="-80"/>
        <w:rPr>
          <w:rFonts w:ascii="Courier New" w:eastAsia="Courier New" w:hAnsi="Courier New" w:cs="Courier New"/>
        </w:rPr>
      </w:pPr>
      <w:r>
        <w:rPr>
          <w:rFonts w:ascii="Courier New" w:eastAsia="Courier New" w:hAnsi="Courier New" w:cs="Courier New"/>
        </w:rPr>
        <w:t xml:space="preserve">Total annual responses....................  20 </w:t>
      </w:r>
    </w:p>
    <w:p w:rsidR="00A05C50" w14:paraId="19A874C4" w14:textId="77777777">
      <w:pPr>
        <w:rPr>
          <w:rFonts w:ascii="Courier New" w:eastAsia="Courier New" w:hAnsi="Courier New" w:cs="Courier New"/>
          <w:u w:val="single"/>
        </w:rPr>
      </w:pPr>
      <w:r>
        <w:rPr>
          <w:rFonts w:ascii="Courier New" w:eastAsia="Courier New" w:hAnsi="Courier New" w:cs="Courier New"/>
        </w:rPr>
        <w:t xml:space="preserve">Estimated </w:t>
      </w:r>
      <w:r>
        <w:rPr>
          <w:rFonts w:ascii="Courier New" w:eastAsia="Courier New" w:hAnsi="Courier New" w:cs="Courier New"/>
        </w:rPr>
        <w:t>hrs</w:t>
      </w:r>
      <w:r>
        <w:rPr>
          <w:rFonts w:ascii="Courier New" w:eastAsia="Courier New" w:hAnsi="Courier New" w:cs="Courier New"/>
        </w:rPr>
        <w:t>/response...................</w:t>
      </w:r>
      <w:r>
        <w:rPr>
          <w:rFonts w:ascii="Courier New" w:eastAsia="Courier New" w:hAnsi="Courier New" w:cs="Courier New"/>
          <w:u w:val="single"/>
        </w:rPr>
        <w:t>x 0.3</w:t>
      </w:r>
    </w:p>
    <w:p w:rsidR="00A05C50" w14:paraId="6E944C41" w14:textId="77777777">
      <w:pPr>
        <w:rPr>
          <w:rFonts w:ascii="Courier New" w:eastAsia="Courier New" w:hAnsi="Courier New" w:cs="Courier New"/>
        </w:rPr>
      </w:pPr>
      <w:r>
        <w:rPr>
          <w:rFonts w:ascii="Courier New" w:eastAsia="Courier New" w:hAnsi="Courier New" w:cs="Courier New"/>
        </w:rPr>
        <w:t>Estimated annual burden hours............    6</w:t>
      </w:r>
    </w:p>
    <w:p w:rsidR="00A05C50" w14:paraId="4A3E5DA3" w14:textId="77777777">
      <w:pPr>
        <w:rPr>
          <w:rFonts w:ascii="Courier New" w:eastAsia="Courier New" w:hAnsi="Courier New" w:cs="Courier New"/>
          <w:u w:val="single"/>
        </w:rPr>
      </w:pPr>
      <w:r>
        <w:rPr>
          <w:rFonts w:ascii="Courier New" w:eastAsia="Courier New" w:hAnsi="Courier New" w:cs="Courier New"/>
        </w:rPr>
        <w:t>Hourly rate</w:t>
      </w:r>
      <w:r>
        <w:rPr>
          <w:rFonts w:ascii="Courier New" w:eastAsia="Courier New" w:hAnsi="Courier New" w:cs="Courier New"/>
          <w:b/>
          <w:bCs/>
        </w:rPr>
        <w:t>*</w:t>
      </w:r>
      <w:r>
        <w:rPr>
          <w:rFonts w:ascii="Courier New" w:eastAsia="Courier New" w:hAnsi="Courier New" w:cs="Courier New"/>
        </w:rPr>
        <w:t>.............................</w:t>
      </w:r>
      <w:r>
        <w:rPr>
          <w:rFonts w:ascii="Courier New" w:eastAsia="Courier New" w:hAnsi="Courier New" w:cs="Courier New"/>
          <w:u w:val="single"/>
        </w:rPr>
        <w:t>x $72</w:t>
      </w:r>
    </w:p>
    <w:p w:rsidR="00A05C50" w14:paraId="559B1227" w14:textId="77777777">
      <w:pPr>
        <w:rPr>
          <w:rFonts w:ascii="Courier New" w:eastAsia="Courier New" w:hAnsi="Courier New" w:cs="Courier New"/>
        </w:rPr>
      </w:pPr>
      <w:r>
        <w:rPr>
          <w:rFonts w:ascii="Courier New" w:eastAsia="Courier New" w:hAnsi="Courier New" w:cs="Courier New"/>
        </w:rPr>
        <w:t>Estimated annual cost to the public.......$432</w:t>
      </w:r>
    </w:p>
    <w:p w:rsidR="00A05C50" w14:paraId="39143723" w14:textId="77777777">
      <w:pPr>
        <w:pBdr>
          <w:top w:val="nil"/>
          <w:left w:val="nil"/>
          <w:bottom w:val="nil"/>
          <w:right w:val="nil"/>
          <w:between w:val="nil"/>
        </w:pBdr>
        <w:rPr>
          <w:rFonts w:ascii="Courier New" w:eastAsia="Courier New" w:hAnsi="Courier New" w:cs="Courier New"/>
          <w:b/>
          <w:bCs/>
          <w:color w:val="000000"/>
          <w:u w:val="single"/>
        </w:rPr>
      </w:pPr>
    </w:p>
    <w:p w:rsidR="00A05C50" w14:paraId="579412CE" w14:textId="77777777">
      <w:pPr>
        <w:pBdr>
          <w:top w:val="nil"/>
          <w:left w:val="nil"/>
          <w:bottom w:val="nil"/>
          <w:right w:val="nil"/>
          <w:between w:val="nil"/>
        </w:pBdr>
        <w:rPr>
          <w:color w:val="000000"/>
        </w:rPr>
      </w:pPr>
      <w:r>
        <w:rPr>
          <w:rFonts w:ascii="Courier New" w:eastAsia="Courier New" w:hAnsi="Courier New" w:cs="Courier New"/>
          <w:b/>
          <w:bCs/>
          <w:color w:val="000000"/>
          <w:u w:val="single"/>
        </w:rPr>
        <w:t>Note</w:t>
      </w:r>
      <w:r>
        <w:rPr>
          <w:rFonts w:ascii="Courier New" w:eastAsia="Courier New" w:hAnsi="Courier New" w:cs="Courier New"/>
          <w:b/>
          <w:bCs/>
          <w:color w:val="000000"/>
        </w:rPr>
        <w:t xml:space="preserve">: </w:t>
      </w:r>
      <w:r>
        <w:rPr>
          <w:rFonts w:ascii="Courier New" w:eastAsia="Courier New" w:hAnsi="Courier New" w:cs="Courier New"/>
          <w:color w:val="000000"/>
        </w:rPr>
        <w:t>The hourly rate is calculated by applying a 36.25 percent fringe factor and a 12 percent overhead factor to a base hourly rate and then rounding to the nearest whole dollar. The base hourly rate is derived from the OPM 2026 GS Locality Pay Table for the rest of the U.S. (“Salary Table 2026-RUS”). The fringe factor is derived from OMB memorandum M-08-13. The overhead factor is derived from the OMB Circular No. A-76 Revised Supplemental Handbook.</w:t>
      </w:r>
    </w:p>
    <w:p w:rsidR="00A05C50" w14:paraId="66A2418D" w14:textId="77777777">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bCs/>
          <w:color w:val="000000"/>
        </w:rPr>
        <w:t>*</w:t>
      </w:r>
      <w:r>
        <w:rPr>
          <w:rFonts w:ascii="Courier New" w:eastAsia="Courier New" w:hAnsi="Courier New" w:cs="Courier New"/>
          <w:color w:val="000000"/>
        </w:rPr>
        <w:t xml:space="preserve"> For a GS-12/step 5, the base hourly rate is $48.61 and loaded rounding to the nearest whole dollar is $72.</w:t>
      </w:r>
    </w:p>
    <w:p w:rsidR="00A05C50" w14:paraId="79B99A75" w14:textId="77777777">
      <w:pPr>
        <w:pBdr>
          <w:top w:val="nil"/>
          <w:left w:val="nil"/>
          <w:bottom w:val="nil"/>
          <w:right w:val="nil"/>
          <w:between w:val="nil"/>
        </w:pBdr>
        <w:rPr>
          <w:color w:val="000000"/>
        </w:rPr>
      </w:pPr>
    </w:p>
    <w:p w:rsidR="00A05C50" w14:paraId="60676B58" w14:textId="77777777">
      <w:pPr>
        <w:widowControl w:val="0"/>
        <w:numPr>
          <w:ilvl w:val="0"/>
          <w:numId w:val="2"/>
        </w:numPr>
        <w:tabs>
          <w:tab w:val="left" w:pos="360"/>
          <w:tab w:val="left" w:pos="720"/>
          <w:tab w:val="left" w:pos="1080"/>
        </w:tabs>
      </w:pPr>
      <w:r>
        <w:rPr>
          <w:rFonts w:ascii="Courier New" w:eastAsia="Courier New" w:hAnsi="Courier New" w:cs="Courier New"/>
          <w:u w:val="single"/>
        </w:rPr>
        <w:t xml:space="preserve">Estimated </w:t>
      </w:r>
      <w:r>
        <w:rPr>
          <w:rFonts w:ascii="Courier New" w:eastAsia="Courier New" w:hAnsi="Courier New" w:cs="Courier New"/>
          <w:u w:val="single"/>
        </w:rPr>
        <w:t>nonrecurring</w:t>
      </w:r>
      <w:r>
        <w:rPr>
          <w:rFonts w:ascii="Courier New" w:eastAsia="Courier New" w:hAnsi="Courier New" w:cs="Courier New"/>
          <w:u w:val="single"/>
        </w:rPr>
        <w:t xml:space="preserve"> costs</w:t>
      </w:r>
      <w:r>
        <w:rPr>
          <w:rFonts w:ascii="Courier New" w:eastAsia="Courier New" w:hAnsi="Courier New" w:cs="Courier New"/>
        </w:rPr>
        <w:t>. Not applicable.</w:t>
      </w:r>
    </w:p>
    <w:p w:rsidR="00A05C50" w14:paraId="7A8DFE16" w14:textId="77777777">
      <w:pPr>
        <w:widowControl w:val="0"/>
        <w:tabs>
          <w:tab w:val="left" w:pos="360"/>
          <w:tab w:val="left" w:pos="720"/>
          <w:tab w:val="left" w:pos="1080"/>
        </w:tabs>
        <w:rPr>
          <w:rFonts w:ascii="Courier New" w:eastAsia="Courier New" w:hAnsi="Courier New" w:cs="Courier New"/>
        </w:rPr>
      </w:pPr>
    </w:p>
    <w:p w:rsidR="00A05C50" w14:paraId="34597A25" w14:textId="77777777">
      <w:pPr>
        <w:widowControl w:val="0"/>
        <w:numPr>
          <w:ilvl w:val="0"/>
          <w:numId w:val="2"/>
        </w:numPr>
        <w:tabs>
          <w:tab w:val="left" w:pos="360"/>
          <w:tab w:val="left" w:pos="720"/>
          <w:tab w:val="left" w:pos="1080"/>
        </w:tabs>
      </w:pPr>
      <w:r>
        <w:rPr>
          <w:rFonts w:ascii="Courier New" w:eastAsia="Courier New" w:hAnsi="Courier New" w:cs="Courier New"/>
          <w:u w:val="single"/>
        </w:rPr>
        <w:t>Estimated cost to the Government</w:t>
      </w:r>
      <w:r>
        <w:rPr>
          <w:rFonts w:ascii="Courier New" w:eastAsia="Courier New" w:hAnsi="Courier New" w:cs="Courier New"/>
        </w:rPr>
        <w:t>.</w:t>
      </w:r>
    </w:p>
    <w:p w:rsidR="00A05C50" w14:paraId="67AFA37F" w14:textId="77777777">
      <w:pPr>
        <w:spacing w:line="276" w:lineRule="auto"/>
        <w:rPr>
          <w:rFonts w:ascii="Courier New" w:eastAsia="Courier New" w:hAnsi="Courier New" w:cs="Courier New"/>
        </w:rPr>
      </w:pPr>
      <w:r>
        <w:rPr>
          <w:rFonts w:ascii="Courier New" w:eastAsia="Courier New" w:hAnsi="Courier New" w:cs="Courier New"/>
          <w:b/>
          <w:bCs/>
        </w:rPr>
        <w:t>FAR 52.228-1, 52.228-2, 52.228-13, 52.228-14, 52.228-15, 52.228-16, SFs 24, 25, 25-A, 25-B, 34, 35, 273, 274, 275, 1414, 1415, 1416, and 1418</w:t>
      </w:r>
      <w:r>
        <w:rPr>
          <w:rFonts w:ascii="Courier New" w:eastAsia="Courier New" w:hAnsi="Courier New" w:cs="Courier New"/>
        </w:rPr>
        <w:t>. Time required for Governmentwide review is estimated at 15 minutes per response.</w:t>
      </w:r>
    </w:p>
    <w:p w:rsidR="00A05C50" w14:paraId="582038F8" w14:textId="77777777">
      <w:pPr>
        <w:spacing w:line="276" w:lineRule="auto"/>
        <w:rPr>
          <w:rFonts w:ascii="Courier New" w:eastAsia="Courier New" w:hAnsi="Courier New" w:cs="Courier New"/>
        </w:rPr>
      </w:pPr>
    </w:p>
    <w:p w:rsidR="00A05C50" w14:paraId="67366945" w14:textId="77777777">
      <w:pPr>
        <w:rPr>
          <w:rFonts w:ascii="Courier New" w:eastAsia="Courier New" w:hAnsi="Courier New" w:cs="Courier New"/>
        </w:rPr>
      </w:pPr>
      <w:r>
        <w:rPr>
          <w:rFonts w:ascii="Courier New" w:eastAsia="Courier New" w:hAnsi="Courier New" w:cs="Courier New"/>
        </w:rPr>
        <w:t>Estimated responses/yr..................... 22,906</w:t>
      </w:r>
    </w:p>
    <w:p w:rsidR="00A05C50" w14:paraId="2D715A7A" w14:textId="77777777">
      <w:pPr>
        <w:rPr>
          <w:rFonts w:ascii="Courier New" w:eastAsia="Courier New" w:hAnsi="Courier New" w:cs="Courier New"/>
          <w:u w:val="single"/>
        </w:rPr>
      </w:pPr>
      <w:r>
        <w:rPr>
          <w:rFonts w:ascii="Courier New" w:eastAsia="Courier New" w:hAnsi="Courier New" w:cs="Courier New"/>
        </w:rPr>
        <w:t>Reviewing time (</w:t>
      </w:r>
      <w:r>
        <w:rPr>
          <w:rFonts w:ascii="Courier New" w:eastAsia="Courier New" w:hAnsi="Courier New" w:cs="Courier New"/>
        </w:rPr>
        <w:t>hr</w:t>
      </w:r>
      <w:r>
        <w:rPr>
          <w:rFonts w:ascii="Courier New" w:eastAsia="Courier New" w:hAnsi="Courier New" w:cs="Courier New"/>
        </w:rPr>
        <w:t xml:space="preserve">)/response............... </w:t>
      </w:r>
      <w:r>
        <w:rPr>
          <w:rFonts w:ascii="Courier New" w:eastAsia="Courier New" w:hAnsi="Courier New" w:cs="Courier New"/>
          <w:u w:val="single"/>
        </w:rPr>
        <w:t>x 0.25</w:t>
      </w:r>
    </w:p>
    <w:p w:rsidR="00A05C50" w14:paraId="70A8CF10" w14:textId="77777777">
      <w:pPr>
        <w:ind w:right="-80"/>
        <w:rPr>
          <w:rFonts w:ascii="Courier New" w:eastAsia="Courier New" w:hAnsi="Courier New" w:cs="Courier New"/>
        </w:rPr>
      </w:pPr>
      <w:r>
        <w:rPr>
          <w:rFonts w:ascii="Courier New" w:eastAsia="Courier New" w:hAnsi="Courier New" w:cs="Courier New"/>
        </w:rPr>
        <w:t>Review time /yr...........................5,726.50</w:t>
      </w:r>
    </w:p>
    <w:p w:rsidR="00A05C50" w14:paraId="171C835D" w14:textId="77777777">
      <w:pPr>
        <w:ind w:right="-80"/>
        <w:rPr>
          <w:rFonts w:ascii="Courier New" w:eastAsia="Courier New" w:hAnsi="Courier New" w:cs="Courier New"/>
          <w:u w:val="single"/>
        </w:rPr>
      </w:pPr>
      <w:r>
        <w:rPr>
          <w:rFonts w:ascii="Courier New" w:eastAsia="Courier New" w:hAnsi="Courier New" w:cs="Courier New"/>
        </w:rPr>
        <w:t>Hourly rate</w:t>
      </w:r>
      <w:r>
        <w:rPr>
          <w:rFonts w:ascii="Courier New" w:eastAsia="Courier New" w:hAnsi="Courier New" w:cs="Courier New"/>
          <w:b/>
          <w:bCs/>
        </w:rPr>
        <w:t>*</w:t>
      </w:r>
      <w:r>
        <w:rPr>
          <w:rFonts w:ascii="Courier New" w:eastAsia="Courier New" w:hAnsi="Courier New" w:cs="Courier New"/>
        </w:rPr>
        <w:t xml:space="preserve">...............................  </w:t>
      </w:r>
      <w:r>
        <w:rPr>
          <w:rFonts w:ascii="Courier New" w:eastAsia="Courier New" w:hAnsi="Courier New" w:cs="Courier New"/>
          <w:u w:val="single"/>
        </w:rPr>
        <w:t>x $72</w:t>
      </w:r>
    </w:p>
    <w:p w:rsidR="00A05C50" w14:paraId="3BE845A7" w14:textId="77777777">
      <w:pPr>
        <w:ind w:right="-80"/>
        <w:rPr>
          <w:rFonts w:ascii="Courier New" w:eastAsia="Courier New" w:hAnsi="Courier New" w:cs="Courier New"/>
        </w:rPr>
      </w:pPr>
      <w:r>
        <w:rPr>
          <w:rFonts w:ascii="Courier New" w:eastAsia="Courier New" w:hAnsi="Courier New" w:cs="Courier New"/>
        </w:rPr>
        <w:t>Estimated annual cost to the Government...$412,308</w:t>
      </w:r>
    </w:p>
    <w:p w:rsidR="00A05C50" w14:paraId="58C4DA5A" w14:textId="77777777">
      <w:pPr>
        <w:rPr>
          <w:rFonts w:ascii="Courier New" w:eastAsia="Courier New" w:hAnsi="Courier New" w:cs="Courier New"/>
          <w:b/>
          <w:bCs/>
          <w:i/>
          <w:iCs/>
        </w:rPr>
      </w:pPr>
    </w:p>
    <w:p w:rsidR="00A05C50" w14:paraId="12F9A1DD" w14:textId="77777777">
      <w:pPr>
        <w:rPr>
          <w:rFonts w:ascii="Courier New" w:eastAsia="Courier New" w:hAnsi="Courier New" w:cs="Courier New"/>
        </w:rPr>
      </w:pPr>
      <w:r>
        <w:rPr>
          <w:rFonts w:ascii="Courier New" w:eastAsia="Courier New" w:hAnsi="Courier New" w:cs="Courier New"/>
          <w:b/>
          <w:bCs/>
        </w:rPr>
        <w:t>FAR 52.228-11, FAR 52.228-17, and SF 28.</w:t>
      </w:r>
      <w:r>
        <w:rPr>
          <w:rFonts w:ascii="Courier New" w:eastAsia="Courier New" w:hAnsi="Courier New" w:cs="Courier New"/>
        </w:rPr>
        <w:t xml:space="preserve"> Time required for Governmentwide review is estimated at 1 hour per response.</w:t>
      </w:r>
    </w:p>
    <w:p w:rsidR="00A05C50" w14:paraId="0DC355BC" w14:textId="77777777">
      <w:pPr>
        <w:rPr>
          <w:rFonts w:ascii="Courier New" w:eastAsia="Courier New" w:hAnsi="Courier New" w:cs="Courier New"/>
        </w:rPr>
      </w:pPr>
    </w:p>
    <w:p w:rsidR="00A05C50" w14:paraId="19BCB47D" w14:textId="77777777">
      <w:pPr>
        <w:rPr>
          <w:rFonts w:ascii="Courier New" w:eastAsia="Courier New" w:hAnsi="Courier New" w:cs="Courier New"/>
        </w:rPr>
      </w:pPr>
      <w:r>
        <w:rPr>
          <w:rFonts w:ascii="Courier New" w:eastAsia="Courier New" w:hAnsi="Courier New" w:cs="Courier New"/>
        </w:rPr>
        <w:t>Estimated responses/yr.....................     20</w:t>
      </w:r>
    </w:p>
    <w:p w:rsidR="00A05C50" w14:paraId="7764D2CF" w14:textId="77777777">
      <w:pPr>
        <w:rPr>
          <w:rFonts w:ascii="Courier New" w:eastAsia="Courier New" w:hAnsi="Courier New" w:cs="Courier New"/>
          <w:u w:val="single"/>
        </w:rPr>
      </w:pPr>
      <w:r>
        <w:rPr>
          <w:rFonts w:ascii="Courier New" w:eastAsia="Courier New" w:hAnsi="Courier New" w:cs="Courier New"/>
        </w:rPr>
        <w:t>Reviewing time (</w:t>
      </w:r>
      <w:r>
        <w:rPr>
          <w:rFonts w:ascii="Courier New" w:eastAsia="Courier New" w:hAnsi="Courier New" w:cs="Courier New"/>
        </w:rPr>
        <w:t>hr</w:t>
      </w:r>
      <w:r>
        <w:rPr>
          <w:rFonts w:ascii="Courier New" w:eastAsia="Courier New" w:hAnsi="Courier New" w:cs="Courier New"/>
        </w:rPr>
        <w:t xml:space="preserve">)/response............... </w:t>
      </w:r>
      <w:r>
        <w:rPr>
          <w:rFonts w:ascii="Courier New" w:eastAsia="Courier New" w:hAnsi="Courier New" w:cs="Courier New"/>
          <w:u w:val="single"/>
        </w:rPr>
        <w:t>x    1</w:t>
      </w:r>
    </w:p>
    <w:p w:rsidR="00A05C50" w14:paraId="71F84043" w14:textId="77777777">
      <w:pPr>
        <w:ind w:right="-80"/>
        <w:rPr>
          <w:rFonts w:ascii="Courier New" w:eastAsia="Courier New" w:hAnsi="Courier New" w:cs="Courier New"/>
        </w:rPr>
      </w:pPr>
      <w:r>
        <w:rPr>
          <w:rFonts w:ascii="Courier New" w:eastAsia="Courier New" w:hAnsi="Courier New" w:cs="Courier New"/>
        </w:rPr>
        <w:t>Review time /yr............................     20</w:t>
      </w:r>
    </w:p>
    <w:p w:rsidR="00A05C50" w14:paraId="5BC64E4A" w14:textId="77777777">
      <w:pPr>
        <w:ind w:right="-80"/>
        <w:rPr>
          <w:rFonts w:ascii="Courier New" w:eastAsia="Courier New" w:hAnsi="Courier New" w:cs="Courier New"/>
          <w:u w:val="single"/>
        </w:rPr>
      </w:pPr>
      <w:r>
        <w:rPr>
          <w:rFonts w:ascii="Courier New" w:eastAsia="Courier New" w:hAnsi="Courier New" w:cs="Courier New"/>
        </w:rPr>
        <w:t>Hourly rate</w:t>
      </w:r>
      <w:r>
        <w:rPr>
          <w:rFonts w:ascii="Courier New" w:eastAsia="Courier New" w:hAnsi="Courier New" w:cs="Courier New"/>
          <w:b/>
          <w:bCs/>
        </w:rPr>
        <w:t>*</w:t>
      </w:r>
      <w:r>
        <w:rPr>
          <w:rFonts w:ascii="Courier New" w:eastAsia="Courier New" w:hAnsi="Courier New" w:cs="Courier New"/>
        </w:rPr>
        <w:t xml:space="preserve">...............................  </w:t>
      </w:r>
      <w:r>
        <w:rPr>
          <w:rFonts w:ascii="Courier New" w:eastAsia="Courier New" w:hAnsi="Courier New" w:cs="Courier New"/>
          <w:u w:val="single"/>
        </w:rPr>
        <w:t>x $72</w:t>
      </w:r>
    </w:p>
    <w:p w:rsidR="00A05C50" w14:paraId="61B641C6" w14:textId="77777777">
      <w:pPr>
        <w:ind w:right="-80"/>
        <w:rPr>
          <w:rFonts w:ascii="Courier New" w:eastAsia="Courier New" w:hAnsi="Courier New" w:cs="Courier New"/>
        </w:rPr>
      </w:pPr>
      <w:r>
        <w:rPr>
          <w:rFonts w:ascii="Courier New" w:eastAsia="Courier New" w:hAnsi="Courier New" w:cs="Courier New"/>
        </w:rPr>
        <w:t>Estimated annual cost to the Government.... $1,440</w:t>
      </w:r>
    </w:p>
    <w:p w:rsidR="00A05C50" w14:paraId="2806416B" w14:textId="77777777">
      <w:pPr>
        <w:ind w:right="-80"/>
        <w:rPr>
          <w:rFonts w:ascii="Courier New" w:eastAsia="Courier New" w:hAnsi="Courier New" w:cs="Courier New"/>
        </w:rPr>
      </w:pPr>
    </w:p>
    <w:p w:rsidR="00A05C50" w14:paraId="13085C59" w14:textId="77777777">
      <w:pPr>
        <w:jc w:val="center"/>
        <w:rPr>
          <w:rFonts w:ascii="Courier New" w:eastAsia="Courier New" w:hAnsi="Courier New" w:cs="Courier New"/>
          <w:b/>
          <w:bCs/>
        </w:rPr>
      </w:pPr>
      <w:r>
        <w:rPr>
          <w:rFonts w:ascii="Courier New" w:eastAsia="Courier New" w:hAnsi="Courier New" w:cs="Courier New"/>
          <w:b/>
          <w:bCs/>
        </w:rPr>
        <w:t>Summary of estimated annual cost to the Government</w:t>
      </w:r>
    </w:p>
    <w:p w:rsidR="00A05C50" w14:paraId="42CB77D5" w14:textId="77777777">
      <w:pPr>
        <w:rPr>
          <w:rFonts w:ascii="Courier New" w:eastAsia="Courier New" w:hAnsi="Courier New" w:cs="Courier New"/>
          <w:b/>
          <w:bCs/>
        </w:rPr>
      </w:pPr>
    </w:p>
    <w:p w:rsidR="00A05C50" w14:paraId="12C0F462" w14:textId="77777777">
      <w:pPr>
        <w:rPr>
          <w:rFonts w:ascii="Courier New" w:eastAsia="Courier New" w:hAnsi="Courier New" w:cs="Courier New"/>
        </w:rPr>
      </w:pPr>
      <w:r>
        <w:rPr>
          <w:rFonts w:ascii="Courier New" w:eastAsia="Courier New" w:hAnsi="Courier New" w:cs="Courier New"/>
        </w:rPr>
        <w:t xml:space="preserve">Estimated responses/yr.....................  22,926   </w:t>
      </w:r>
    </w:p>
    <w:p w:rsidR="00A05C50" w14:paraId="0F6C0A74" w14:textId="77777777">
      <w:pPr>
        <w:ind w:right="-80"/>
        <w:rPr>
          <w:rFonts w:ascii="Courier New" w:eastAsia="Courier New" w:hAnsi="Courier New" w:cs="Courier New"/>
        </w:rPr>
      </w:pPr>
      <w:r>
        <w:rPr>
          <w:rFonts w:ascii="Courier New" w:eastAsia="Courier New" w:hAnsi="Courier New" w:cs="Courier New"/>
        </w:rPr>
        <w:t>Review time /yr............................5,746.50</w:t>
      </w:r>
    </w:p>
    <w:p w:rsidR="00A05C50" w14:paraId="3ED9B61E" w14:textId="77777777">
      <w:pPr>
        <w:ind w:right="-80"/>
        <w:rPr>
          <w:rFonts w:ascii="Courier New" w:eastAsia="Courier New" w:hAnsi="Courier New" w:cs="Courier New"/>
          <w:b/>
          <w:bCs/>
        </w:rPr>
      </w:pPr>
      <w:r>
        <w:rPr>
          <w:rFonts w:ascii="Courier New" w:eastAsia="Courier New" w:hAnsi="Courier New" w:cs="Courier New"/>
          <w:b/>
          <w:bCs/>
        </w:rPr>
        <w:t>Total estimated annual cost to the Government</w:t>
      </w:r>
      <w:r>
        <w:rPr>
          <w:rFonts w:ascii="Courier New" w:eastAsia="Courier New" w:hAnsi="Courier New" w:cs="Courier New"/>
          <w:b/>
          <w:bCs/>
        </w:rPr>
        <w:t>....$</w:t>
      </w:r>
      <w:r>
        <w:rPr>
          <w:rFonts w:ascii="Courier New" w:eastAsia="Courier New" w:hAnsi="Courier New" w:cs="Courier New"/>
          <w:b/>
          <w:bCs/>
        </w:rPr>
        <w:t>413,748</w:t>
      </w:r>
    </w:p>
    <w:p w:rsidR="00A05C50" w14:paraId="412C7CA8" w14:textId="77777777">
      <w:pPr>
        <w:rPr>
          <w:rFonts w:ascii="Courier New" w:eastAsia="Courier New" w:hAnsi="Courier New" w:cs="Courier New"/>
        </w:rPr>
      </w:pPr>
    </w:p>
    <w:p w:rsidR="00A05C50" w14:paraId="62B7181D" w14:textId="77777777">
      <w:pPr>
        <w:widowControl w:val="0"/>
        <w:numPr>
          <w:ilvl w:val="0"/>
          <w:numId w:val="2"/>
        </w:numPr>
        <w:tabs>
          <w:tab w:val="left" w:pos="360"/>
          <w:tab w:val="left" w:pos="720"/>
          <w:tab w:val="left" w:pos="1080"/>
        </w:tabs>
        <w:rPr>
          <w:rFonts w:ascii="Courier New" w:eastAsia="Courier New" w:hAnsi="Courier New" w:cs="Courier New"/>
        </w:rPr>
      </w:pPr>
      <w:r>
        <w:rPr>
          <w:rFonts w:ascii="Courier New" w:eastAsia="Courier New" w:hAnsi="Courier New" w:cs="Courier New"/>
          <w:u w:val="single"/>
        </w:rPr>
        <w:t>Reasons for changes</w:t>
      </w:r>
      <w:r>
        <w:rPr>
          <w:rFonts w:ascii="Courier New" w:eastAsia="Courier New" w:hAnsi="Courier New" w:cs="Courier New"/>
        </w:rPr>
        <w:t>. There are no program changes. The FAR requirements remain the same. This extension includes adjustments to the public and Government burden estimates based on the following:</w:t>
      </w:r>
    </w:p>
    <w:p w:rsidR="00A05C50" w14:paraId="2524FDA2" w14:textId="77777777">
      <w:pPr>
        <w:widowControl w:val="0"/>
        <w:tabs>
          <w:tab w:val="left" w:pos="360"/>
          <w:tab w:val="left" w:pos="720"/>
          <w:tab w:val="left" w:pos="1080"/>
        </w:tabs>
        <w:ind w:left="360"/>
        <w:rPr>
          <w:rFonts w:ascii="Courier New" w:eastAsia="Courier New" w:hAnsi="Courier New" w:cs="Courier New"/>
          <w:u w:val="single"/>
        </w:rPr>
      </w:pPr>
    </w:p>
    <w:p w:rsidR="00A05C50" w14:paraId="1722F550" w14:textId="77777777">
      <w:pPr>
        <w:widowControl w:val="0"/>
        <w:numPr>
          <w:ilvl w:val="0"/>
          <w:numId w:val="3"/>
        </w:numPr>
        <w:pBdr>
          <w:top w:val="nil"/>
          <w:left w:val="nil"/>
          <w:bottom w:val="nil"/>
          <w:right w:val="nil"/>
          <w:between w:val="nil"/>
        </w:pBdr>
        <w:tabs>
          <w:tab w:val="left" w:pos="360"/>
          <w:tab w:val="left" w:pos="720"/>
          <w:tab w:val="left" w:pos="1080"/>
        </w:tabs>
        <w:rPr>
          <w:rFonts w:ascii="Courier New" w:eastAsia="Courier New" w:hAnsi="Courier New" w:cs="Courier New"/>
          <w:color w:val="000000"/>
        </w:rPr>
      </w:pPr>
      <w:r>
        <w:rPr>
          <w:rFonts w:ascii="Courier New" w:eastAsia="Courier New" w:hAnsi="Courier New" w:cs="Courier New"/>
          <w:color w:val="000000"/>
        </w:rPr>
        <w:t xml:space="preserve">The estimated number of respondents and responses per year is based on the historical </w:t>
      </w:r>
      <w:r>
        <w:rPr>
          <w:rFonts w:ascii="Courier New" w:eastAsia="Courier New" w:hAnsi="Courier New" w:cs="Courier New"/>
          <w:color w:val="000000"/>
        </w:rPr>
        <w:t>average of</w:t>
      </w:r>
      <w:r>
        <w:rPr>
          <w:rFonts w:ascii="Courier New" w:eastAsia="Courier New" w:hAnsi="Courier New" w:cs="Courier New"/>
          <w:color w:val="000000"/>
        </w:rPr>
        <w:t xml:space="preserve"> procurement data in SAM.gov for the three most recent fiscal years 2023 through 2025.</w:t>
      </w:r>
    </w:p>
    <w:p w:rsidR="00A05C50" w14:paraId="3329C026" w14:textId="77777777">
      <w:pPr>
        <w:widowControl w:val="0"/>
        <w:numPr>
          <w:ilvl w:val="0"/>
          <w:numId w:val="3"/>
        </w:numPr>
        <w:pBdr>
          <w:top w:val="nil"/>
          <w:left w:val="nil"/>
          <w:bottom w:val="nil"/>
          <w:right w:val="nil"/>
          <w:between w:val="nil"/>
        </w:pBdr>
        <w:tabs>
          <w:tab w:val="left" w:pos="360"/>
          <w:tab w:val="left" w:pos="720"/>
          <w:tab w:val="left" w:pos="1080"/>
        </w:tabs>
        <w:rPr>
          <w:rFonts w:ascii="Courier New" w:eastAsia="Courier New" w:hAnsi="Courier New" w:cs="Courier New"/>
          <w:color w:val="000000"/>
        </w:rPr>
      </w:pPr>
      <w:r>
        <w:rPr>
          <w:rFonts w:ascii="Courier New" w:eastAsia="Courier New" w:hAnsi="Courier New" w:cs="Courier New"/>
          <w:color w:val="000000"/>
        </w:rPr>
        <w:t>The estimated cost per hour is based on use of the calendar year 2026 OPM GS wage rate for the rest of the United States.</w:t>
      </w:r>
    </w:p>
    <w:p w:rsidR="00A05C50" w14:paraId="63BD5396" w14:textId="77777777">
      <w:pPr>
        <w:widowControl w:val="0"/>
        <w:pBdr>
          <w:top w:val="nil"/>
          <w:left w:val="nil"/>
          <w:bottom w:val="nil"/>
          <w:right w:val="nil"/>
          <w:between w:val="nil"/>
        </w:pBdr>
        <w:tabs>
          <w:tab w:val="left" w:pos="360"/>
          <w:tab w:val="left" w:pos="720"/>
          <w:tab w:val="left" w:pos="1080"/>
        </w:tabs>
        <w:ind w:left="1080"/>
        <w:rPr>
          <w:rFonts w:ascii="Courier New" w:eastAsia="Courier New" w:hAnsi="Courier New" w:cs="Courier New"/>
          <w:color w:val="000000"/>
        </w:rPr>
      </w:pPr>
    </w:p>
    <w:tbl>
      <w:tblPr>
        <w:tblStyle w:val="a0"/>
        <w:tblW w:w="8539" w:type="dxa"/>
        <w:tblInd w:w="345" w:type="dxa"/>
        <w:tblLayout w:type="fixed"/>
        <w:tblLook w:val="0400"/>
      </w:tblPr>
      <w:tblGrid>
        <w:gridCol w:w="2986"/>
        <w:gridCol w:w="1651"/>
        <w:gridCol w:w="1651"/>
        <w:gridCol w:w="2251"/>
      </w:tblGrid>
      <w:tr w14:paraId="6EEC46BB" w14:textId="77777777">
        <w:tblPrEx>
          <w:tblW w:w="8539" w:type="dxa"/>
          <w:tblInd w:w="345" w:type="dxa"/>
          <w:tblLayout w:type="fixed"/>
          <w:tblLook w:val="0400"/>
        </w:tblPrEx>
        <w:trPr>
          <w:trHeight w:val="300"/>
        </w:trPr>
        <w:tc>
          <w:tcPr>
            <w:tcW w:w="2986" w:type="dxa"/>
            <w:tcBorders>
              <w:top w:val="single" w:sz="12" w:space="0" w:color="000000"/>
              <w:left w:val="single" w:sz="12" w:space="0" w:color="000000"/>
              <w:bottom w:val="single" w:sz="12" w:space="0" w:color="000000"/>
              <w:right w:val="single" w:sz="12" w:space="0" w:color="000000"/>
            </w:tcBorders>
            <w:tcMar>
              <w:top w:w="0" w:type="dxa"/>
              <w:left w:w="45" w:type="dxa"/>
              <w:bottom w:w="0" w:type="dxa"/>
              <w:right w:w="45" w:type="dxa"/>
            </w:tcMar>
            <w:vAlign w:val="bottom"/>
          </w:tcPr>
          <w:p w:rsidR="00A05C50" w14:paraId="713C7CE7" w14:textId="77777777"/>
        </w:tc>
        <w:tc>
          <w:tcPr>
            <w:tcW w:w="1651" w:type="dxa"/>
            <w:tcBorders>
              <w:top w:val="single" w:sz="12" w:space="0" w:color="000000"/>
              <w:left w:val="single" w:sz="6" w:space="0" w:color="CCCCCC"/>
              <w:bottom w:val="single" w:sz="12" w:space="0" w:color="000000"/>
              <w:right w:val="single" w:sz="12" w:space="0" w:color="000000"/>
            </w:tcBorders>
            <w:tcMar>
              <w:top w:w="0" w:type="dxa"/>
              <w:left w:w="45" w:type="dxa"/>
              <w:bottom w:w="0" w:type="dxa"/>
              <w:right w:w="45" w:type="dxa"/>
            </w:tcMar>
            <w:vAlign w:val="bottom"/>
          </w:tcPr>
          <w:p w:rsidR="00A05C50" w14:paraId="38909AD6" w14:textId="77777777">
            <w:pPr>
              <w:jc w:val="right"/>
              <w:rPr>
                <w:rFonts w:ascii="Courier New" w:eastAsia="Courier New" w:hAnsi="Courier New" w:cs="Courier New"/>
                <w:color w:val="222222"/>
                <w:sz w:val="20"/>
                <w:szCs w:val="20"/>
              </w:rPr>
            </w:pPr>
            <w:r>
              <w:rPr>
                <w:rFonts w:ascii="Courier New" w:eastAsia="Courier New" w:hAnsi="Courier New" w:cs="Courier New"/>
                <w:color w:val="222222"/>
                <w:sz w:val="20"/>
                <w:szCs w:val="20"/>
              </w:rPr>
              <w:t>2024 Estimate</w:t>
            </w:r>
          </w:p>
        </w:tc>
        <w:tc>
          <w:tcPr>
            <w:tcW w:w="1651" w:type="dxa"/>
            <w:tcBorders>
              <w:top w:val="single" w:sz="12" w:space="0" w:color="000000"/>
              <w:left w:val="single" w:sz="6" w:space="0" w:color="CCCCCC"/>
              <w:bottom w:val="single" w:sz="12" w:space="0" w:color="000000"/>
              <w:right w:val="single" w:sz="12" w:space="0" w:color="000000"/>
            </w:tcBorders>
            <w:tcMar>
              <w:top w:w="0" w:type="dxa"/>
              <w:left w:w="45" w:type="dxa"/>
              <w:bottom w:w="0" w:type="dxa"/>
              <w:right w:w="45" w:type="dxa"/>
            </w:tcMar>
            <w:vAlign w:val="bottom"/>
          </w:tcPr>
          <w:p w:rsidR="00A05C50" w14:paraId="1E90D365" w14:textId="77777777">
            <w:pPr>
              <w:jc w:val="right"/>
              <w:rPr>
                <w:rFonts w:ascii="Courier New" w:eastAsia="Courier New" w:hAnsi="Courier New" w:cs="Courier New"/>
                <w:color w:val="222222"/>
                <w:sz w:val="20"/>
                <w:szCs w:val="20"/>
              </w:rPr>
            </w:pPr>
            <w:r>
              <w:rPr>
                <w:rFonts w:ascii="Courier New" w:eastAsia="Courier New" w:hAnsi="Courier New" w:cs="Courier New"/>
                <w:color w:val="222222"/>
                <w:sz w:val="20"/>
                <w:szCs w:val="20"/>
              </w:rPr>
              <w:t>2026 Estimate</w:t>
            </w:r>
          </w:p>
        </w:tc>
        <w:tc>
          <w:tcPr>
            <w:tcW w:w="2251" w:type="dxa"/>
            <w:tcBorders>
              <w:top w:val="single" w:sz="12" w:space="0" w:color="000000"/>
              <w:left w:val="single" w:sz="6" w:space="0" w:color="CCCCCC"/>
              <w:bottom w:val="single" w:sz="12" w:space="0" w:color="000000"/>
              <w:right w:val="single" w:sz="12" w:space="0" w:color="000000"/>
            </w:tcBorders>
            <w:tcMar>
              <w:top w:w="0" w:type="dxa"/>
              <w:left w:w="45" w:type="dxa"/>
              <w:bottom w:w="0" w:type="dxa"/>
              <w:right w:w="45" w:type="dxa"/>
            </w:tcMar>
            <w:vAlign w:val="bottom"/>
          </w:tcPr>
          <w:p w:rsidR="00A05C50" w14:paraId="350A8064" w14:textId="77777777">
            <w:pPr>
              <w:jc w:val="right"/>
              <w:rPr>
                <w:rFonts w:ascii="Courier New" w:eastAsia="Courier New" w:hAnsi="Courier New" w:cs="Courier New"/>
                <w:color w:val="222222"/>
                <w:sz w:val="20"/>
                <w:szCs w:val="20"/>
              </w:rPr>
            </w:pPr>
            <w:r>
              <w:rPr>
                <w:rFonts w:ascii="Courier New" w:eastAsia="Courier New" w:hAnsi="Courier New" w:cs="Courier New"/>
                <w:color w:val="222222"/>
                <w:sz w:val="20"/>
                <w:szCs w:val="20"/>
              </w:rPr>
              <w:t>Increase in Burden</w:t>
            </w:r>
          </w:p>
        </w:tc>
      </w:tr>
      <w:tr w14:paraId="45A5E1FA" w14:textId="77777777">
        <w:tblPrEx>
          <w:tblW w:w="8539" w:type="dxa"/>
          <w:tblInd w:w="345" w:type="dxa"/>
          <w:tblLayout w:type="fixed"/>
          <w:tblLook w:val="0400"/>
        </w:tblPrEx>
        <w:trPr>
          <w:trHeight w:val="300"/>
        </w:trPr>
        <w:tc>
          <w:tcPr>
            <w:tcW w:w="2986" w:type="dxa"/>
            <w:tcBorders>
              <w:top w:val="single" w:sz="6" w:space="0" w:color="CCCCCC"/>
              <w:left w:val="single" w:sz="12" w:space="0" w:color="000000"/>
              <w:bottom w:val="single" w:sz="12" w:space="0" w:color="000000"/>
              <w:right w:val="single" w:sz="12" w:space="0" w:color="000000"/>
            </w:tcBorders>
            <w:tcMar>
              <w:top w:w="0" w:type="dxa"/>
              <w:left w:w="45" w:type="dxa"/>
              <w:bottom w:w="0" w:type="dxa"/>
              <w:right w:w="45" w:type="dxa"/>
            </w:tcMar>
            <w:vAlign w:val="bottom"/>
          </w:tcPr>
          <w:p w:rsidR="00A05C50" w14:paraId="79625BEE" w14:textId="77777777">
            <w:pPr>
              <w:rPr>
                <w:rFonts w:ascii="Courier New" w:eastAsia="Courier New" w:hAnsi="Courier New" w:cs="Courier New"/>
                <w:sz w:val="20"/>
                <w:szCs w:val="20"/>
              </w:rPr>
            </w:pPr>
            <w:r>
              <w:rPr>
                <w:rFonts w:ascii="Courier New" w:eastAsia="Courier New" w:hAnsi="Courier New" w:cs="Courier New"/>
                <w:sz w:val="20"/>
                <w:szCs w:val="20"/>
              </w:rPr>
              <w:t>Number of respondents</w:t>
            </w:r>
          </w:p>
        </w:tc>
        <w:tc>
          <w:tcPr>
            <w:tcW w:w="1651"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bottom"/>
          </w:tcPr>
          <w:p w:rsidR="00A05C50" w14:paraId="4D6DBE29" w14:textId="77777777">
            <w:pPr>
              <w:jc w:val="right"/>
              <w:rPr>
                <w:rFonts w:ascii="Courier New" w:eastAsia="Courier New" w:hAnsi="Courier New" w:cs="Courier New"/>
                <w:color w:val="222222"/>
                <w:sz w:val="20"/>
                <w:szCs w:val="20"/>
              </w:rPr>
            </w:pPr>
            <w:r>
              <w:rPr>
                <w:rFonts w:ascii="Courier New" w:eastAsia="Courier New" w:hAnsi="Courier New" w:cs="Courier New"/>
                <w:color w:val="222222"/>
                <w:sz w:val="20"/>
                <w:szCs w:val="20"/>
              </w:rPr>
              <w:t>14,259</w:t>
            </w:r>
          </w:p>
        </w:tc>
        <w:tc>
          <w:tcPr>
            <w:tcW w:w="1651"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bottom"/>
          </w:tcPr>
          <w:p w:rsidR="00A05C50" w14:paraId="0624F8C0" w14:textId="77777777">
            <w:pPr>
              <w:jc w:val="right"/>
              <w:rPr>
                <w:rFonts w:ascii="Courier New" w:eastAsia="Courier New" w:hAnsi="Courier New" w:cs="Courier New"/>
                <w:color w:val="222222"/>
                <w:sz w:val="20"/>
                <w:szCs w:val="20"/>
              </w:rPr>
            </w:pPr>
            <w:r>
              <w:rPr>
                <w:rFonts w:ascii="Courier New" w:eastAsia="Courier New" w:hAnsi="Courier New" w:cs="Courier New"/>
                <w:color w:val="222222"/>
                <w:sz w:val="20"/>
                <w:szCs w:val="20"/>
              </w:rPr>
              <w:t>22,916</w:t>
            </w:r>
          </w:p>
        </w:tc>
        <w:tc>
          <w:tcPr>
            <w:tcW w:w="2251"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bottom"/>
          </w:tcPr>
          <w:p w:rsidR="00A05C50" w14:paraId="536786A9" w14:textId="77777777">
            <w:pPr>
              <w:jc w:val="right"/>
              <w:rPr>
                <w:rFonts w:ascii="Courier New" w:eastAsia="Courier New" w:hAnsi="Courier New" w:cs="Courier New"/>
                <w:color w:val="222222"/>
                <w:sz w:val="20"/>
                <w:szCs w:val="20"/>
              </w:rPr>
            </w:pPr>
            <w:r>
              <w:rPr>
                <w:rFonts w:ascii="Courier New" w:eastAsia="Courier New" w:hAnsi="Courier New" w:cs="Courier New"/>
                <w:color w:val="222222"/>
                <w:sz w:val="20"/>
                <w:szCs w:val="20"/>
              </w:rPr>
              <w:t>8,657</w:t>
            </w:r>
          </w:p>
        </w:tc>
      </w:tr>
      <w:tr w14:paraId="57A940F2" w14:textId="77777777">
        <w:tblPrEx>
          <w:tblW w:w="8539" w:type="dxa"/>
          <w:tblInd w:w="345" w:type="dxa"/>
          <w:tblLayout w:type="fixed"/>
          <w:tblLook w:val="0400"/>
        </w:tblPrEx>
        <w:trPr>
          <w:trHeight w:val="300"/>
        </w:trPr>
        <w:tc>
          <w:tcPr>
            <w:tcW w:w="2986" w:type="dxa"/>
            <w:tcBorders>
              <w:top w:val="single" w:sz="6" w:space="0" w:color="CCCCCC"/>
              <w:left w:val="single" w:sz="12" w:space="0" w:color="000000"/>
              <w:bottom w:val="single" w:sz="12" w:space="0" w:color="000000"/>
              <w:right w:val="single" w:sz="12" w:space="0" w:color="000000"/>
            </w:tcBorders>
            <w:tcMar>
              <w:top w:w="0" w:type="dxa"/>
              <w:left w:w="45" w:type="dxa"/>
              <w:bottom w:w="0" w:type="dxa"/>
              <w:right w:w="45" w:type="dxa"/>
            </w:tcMar>
            <w:vAlign w:val="bottom"/>
          </w:tcPr>
          <w:p w:rsidR="00A05C50" w14:paraId="07DB12D5" w14:textId="77777777">
            <w:pPr>
              <w:rPr>
                <w:rFonts w:ascii="Courier New" w:eastAsia="Courier New" w:hAnsi="Courier New" w:cs="Courier New"/>
                <w:color w:val="222222"/>
                <w:sz w:val="20"/>
                <w:szCs w:val="20"/>
              </w:rPr>
            </w:pPr>
            <w:r>
              <w:rPr>
                <w:rFonts w:ascii="Courier New" w:eastAsia="Courier New" w:hAnsi="Courier New" w:cs="Courier New"/>
                <w:color w:val="222222"/>
                <w:sz w:val="20"/>
                <w:szCs w:val="20"/>
              </w:rPr>
              <w:t>Total annual responses</w:t>
            </w:r>
          </w:p>
        </w:tc>
        <w:tc>
          <w:tcPr>
            <w:tcW w:w="1651"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bottom"/>
          </w:tcPr>
          <w:p w:rsidR="00A05C50" w14:paraId="7A6E3524" w14:textId="77777777">
            <w:pPr>
              <w:jc w:val="right"/>
              <w:rPr>
                <w:rFonts w:ascii="Courier New" w:eastAsia="Courier New" w:hAnsi="Courier New" w:cs="Courier New"/>
                <w:color w:val="222222"/>
                <w:sz w:val="20"/>
                <w:szCs w:val="20"/>
              </w:rPr>
            </w:pPr>
            <w:r>
              <w:rPr>
                <w:rFonts w:ascii="Courier New" w:eastAsia="Courier New" w:hAnsi="Courier New" w:cs="Courier New"/>
                <w:color w:val="222222"/>
                <w:sz w:val="20"/>
                <w:szCs w:val="20"/>
              </w:rPr>
              <w:t>14,269</w:t>
            </w:r>
          </w:p>
        </w:tc>
        <w:tc>
          <w:tcPr>
            <w:tcW w:w="1651"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bottom"/>
          </w:tcPr>
          <w:p w:rsidR="00A05C50" w14:paraId="70F99605" w14:textId="77777777">
            <w:pPr>
              <w:jc w:val="right"/>
              <w:rPr>
                <w:rFonts w:ascii="Courier New" w:eastAsia="Courier New" w:hAnsi="Courier New" w:cs="Courier New"/>
                <w:color w:val="222222"/>
                <w:sz w:val="20"/>
                <w:szCs w:val="20"/>
              </w:rPr>
            </w:pPr>
            <w:r>
              <w:rPr>
                <w:rFonts w:ascii="Courier New" w:eastAsia="Courier New" w:hAnsi="Courier New" w:cs="Courier New"/>
                <w:color w:val="222222"/>
                <w:sz w:val="20"/>
                <w:szCs w:val="20"/>
              </w:rPr>
              <w:t>22,926</w:t>
            </w:r>
          </w:p>
        </w:tc>
        <w:tc>
          <w:tcPr>
            <w:tcW w:w="2251"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bottom"/>
          </w:tcPr>
          <w:p w:rsidR="00A05C50" w14:paraId="31FD260B" w14:textId="77777777">
            <w:pPr>
              <w:jc w:val="right"/>
              <w:rPr>
                <w:rFonts w:ascii="Courier New" w:eastAsia="Courier New" w:hAnsi="Courier New" w:cs="Courier New"/>
                <w:color w:val="222222"/>
                <w:sz w:val="20"/>
                <w:szCs w:val="20"/>
              </w:rPr>
            </w:pPr>
            <w:r>
              <w:rPr>
                <w:rFonts w:ascii="Courier New" w:eastAsia="Courier New" w:hAnsi="Courier New" w:cs="Courier New"/>
                <w:color w:val="222222"/>
                <w:sz w:val="20"/>
                <w:szCs w:val="20"/>
              </w:rPr>
              <w:t>8,657</w:t>
            </w:r>
          </w:p>
        </w:tc>
      </w:tr>
      <w:tr w14:paraId="73013836" w14:textId="77777777">
        <w:tblPrEx>
          <w:tblW w:w="8539" w:type="dxa"/>
          <w:tblInd w:w="345" w:type="dxa"/>
          <w:tblLayout w:type="fixed"/>
          <w:tblLook w:val="0400"/>
        </w:tblPrEx>
        <w:trPr>
          <w:trHeight w:val="300"/>
        </w:trPr>
        <w:tc>
          <w:tcPr>
            <w:tcW w:w="2986" w:type="dxa"/>
            <w:tcBorders>
              <w:top w:val="single" w:sz="6" w:space="0" w:color="CCCCCC"/>
              <w:left w:val="single" w:sz="12" w:space="0" w:color="000000"/>
              <w:bottom w:val="single" w:sz="12" w:space="0" w:color="000000"/>
              <w:right w:val="single" w:sz="12" w:space="0" w:color="000000"/>
            </w:tcBorders>
            <w:tcMar>
              <w:top w:w="0" w:type="dxa"/>
              <w:left w:w="45" w:type="dxa"/>
              <w:bottom w:w="0" w:type="dxa"/>
              <w:right w:w="45" w:type="dxa"/>
            </w:tcMar>
            <w:vAlign w:val="bottom"/>
          </w:tcPr>
          <w:p w:rsidR="00A05C50" w14:paraId="132D72A9" w14:textId="77777777">
            <w:pPr>
              <w:rPr>
                <w:rFonts w:ascii="Courier New" w:eastAsia="Courier New" w:hAnsi="Courier New" w:cs="Courier New"/>
                <w:color w:val="222222"/>
                <w:sz w:val="20"/>
                <w:szCs w:val="20"/>
              </w:rPr>
            </w:pPr>
            <w:r>
              <w:rPr>
                <w:rFonts w:ascii="Courier New" w:eastAsia="Courier New" w:hAnsi="Courier New" w:cs="Courier New"/>
                <w:color w:val="222222"/>
                <w:sz w:val="20"/>
                <w:szCs w:val="20"/>
              </w:rPr>
              <w:t>Total burden hours</w:t>
            </w:r>
          </w:p>
        </w:tc>
        <w:tc>
          <w:tcPr>
            <w:tcW w:w="1651"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bottom"/>
          </w:tcPr>
          <w:p w:rsidR="00A05C50" w14:paraId="519482B4" w14:textId="77777777">
            <w:pPr>
              <w:jc w:val="right"/>
              <w:rPr>
                <w:rFonts w:ascii="Courier New" w:eastAsia="Courier New" w:hAnsi="Courier New" w:cs="Courier New"/>
                <w:color w:val="222222"/>
                <w:sz w:val="20"/>
                <w:szCs w:val="20"/>
              </w:rPr>
            </w:pPr>
            <w:r>
              <w:rPr>
                <w:rFonts w:ascii="Courier New" w:eastAsia="Courier New" w:hAnsi="Courier New" w:cs="Courier New"/>
                <w:color w:val="222222"/>
                <w:sz w:val="20"/>
                <w:szCs w:val="20"/>
              </w:rPr>
              <w:t>14,255</w:t>
            </w:r>
          </w:p>
        </w:tc>
        <w:tc>
          <w:tcPr>
            <w:tcW w:w="1651"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bottom"/>
          </w:tcPr>
          <w:p w:rsidR="00A05C50" w14:paraId="49670DE7" w14:textId="77777777">
            <w:pPr>
              <w:jc w:val="right"/>
              <w:rPr>
                <w:rFonts w:ascii="Courier New" w:eastAsia="Courier New" w:hAnsi="Courier New" w:cs="Courier New"/>
                <w:color w:val="222222"/>
                <w:sz w:val="20"/>
                <w:szCs w:val="20"/>
              </w:rPr>
            </w:pPr>
            <w:r>
              <w:rPr>
                <w:rFonts w:ascii="Courier New" w:eastAsia="Courier New" w:hAnsi="Courier New" w:cs="Courier New"/>
                <w:color w:val="222222"/>
                <w:sz w:val="20"/>
                <w:szCs w:val="20"/>
              </w:rPr>
              <w:t>22,912</w:t>
            </w:r>
          </w:p>
        </w:tc>
        <w:tc>
          <w:tcPr>
            <w:tcW w:w="2251"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bottom"/>
          </w:tcPr>
          <w:p w:rsidR="00A05C50" w14:paraId="118D40F2" w14:textId="77777777">
            <w:pPr>
              <w:jc w:val="right"/>
              <w:rPr>
                <w:rFonts w:ascii="Courier New" w:eastAsia="Courier New" w:hAnsi="Courier New" w:cs="Courier New"/>
                <w:color w:val="222222"/>
                <w:sz w:val="20"/>
                <w:szCs w:val="20"/>
              </w:rPr>
            </w:pPr>
            <w:r>
              <w:rPr>
                <w:rFonts w:ascii="Courier New" w:eastAsia="Courier New" w:hAnsi="Courier New" w:cs="Courier New"/>
                <w:color w:val="222222"/>
                <w:sz w:val="20"/>
                <w:szCs w:val="20"/>
              </w:rPr>
              <w:t>8,657</w:t>
            </w:r>
          </w:p>
        </w:tc>
      </w:tr>
      <w:tr w14:paraId="63D2DCC1" w14:textId="77777777">
        <w:tblPrEx>
          <w:tblW w:w="8539" w:type="dxa"/>
          <w:tblInd w:w="345" w:type="dxa"/>
          <w:tblLayout w:type="fixed"/>
          <w:tblLook w:val="0400"/>
        </w:tblPrEx>
        <w:trPr>
          <w:trHeight w:val="300"/>
        </w:trPr>
        <w:tc>
          <w:tcPr>
            <w:tcW w:w="2986" w:type="dxa"/>
            <w:tcBorders>
              <w:top w:val="single" w:sz="6" w:space="0" w:color="CCCCCC"/>
              <w:left w:val="single" w:sz="12" w:space="0" w:color="000000"/>
              <w:bottom w:val="single" w:sz="12" w:space="0" w:color="000000"/>
              <w:right w:val="single" w:sz="12" w:space="0" w:color="000000"/>
            </w:tcBorders>
            <w:tcMar>
              <w:top w:w="0" w:type="dxa"/>
              <w:left w:w="45" w:type="dxa"/>
              <w:bottom w:w="0" w:type="dxa"/>
              <w:right w:w="45" w:type="dxa"/>
            </w:tcMar>
            <w:vAlign w:val="bottom"/>
          </w:tcPr>
          <w:p w:rsidR="00A05C50" w14:paraId="10D66795" w14:textId="77777777">
            <w:pPr>
              <w:rPr>
                <w:rFonts w:ascii="Courier New" w:eastAsia="Courier New" w:hAnsi="Courier New" w:cs="Courier New"/>
                <w:color w:val="222222"/>
                <w:sz w:val="20"/>
                <w:szCs w:val="20"/>
              </w:rPr>
            </w:pPr>
            <w:r>
              <w:rPr>
                <w:rFonts w:ascii="Courier New" w:eastAsia="Courier New" w:hAnsi="Courier New" w:cs="Courier New"/>
                <w:color w:val="222222"/>
                <w:sz w:val="20"/>
                <w:szCs w:val="20"/>
              </w:rPr>
              <w:t>Total annual cost to public</w:t>
            </w:r>
          </w:p>
        </w:tc>
        <w:tc>
          <w:tcPr>
            <w:tcW w:w="1651"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bottom"/>
          </w:tcPr>
          <w:p w:rsidR="00A05C50" w14:paraId="0C506B44" w14:textId="77777777">
            <w:pPr>
              <w:jc w:val="right"/>
              <w:rPr>
                <w:rFonts w:ascii="Courier New" w:eastAsia="Courier New" w:hAnsi="Courier New" w:cs="Courier New"/>
                <w:color w:val="222222"/>
                <w:sz w:val="20"/>
                <w:szCs w:val="20"/>
              </w:rPr>
            </w:pPr>
            <w:r>
              <w:rPr>
                <w:rFonts w:ascii="Courier New" w:eastAsia="Courier New" w:hAnsi="Courier New" w:cs="Courier New"/>
                <w:color w:val="222222"/>
                <w:sz w:val="20"/>
                <w:szCs w:val="20"/>
              </w:rPr>
              <w:t>$955,085</w:t>
            </w:r>
          </w:p>
        </w:tc>
        <w:tc>
          <w:tcPr>
            <w:tcW w:w="1651"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bottom"/>
          </w:tcPr>
          <w:p w:rsidR="00A05C50" w14:paraId="042FC2A9" w14:textId="77777777">
            <w:pPr>
              <w:jc w:val="right"/>
              <w:rPr>
                <w:rFonts w:ascii="Courier New" w:eastAsia="Courier New" w:hAnsi="Courier New" w:cs="Courier New"/>
                <w:color w:val="222222"/>
                <w:sz w:val="20"/>
                <w:szCs w:val="20"/>
              </w:rPr>
            </w:pPr>
            <w:r>
              <w:rPr>
                <w:rFonts w:ascii="Courier New" w:eastAsia="Courier New" w:hAnsi="Courier New" w:cs="Courier New"/>
                <w:color w:val="222222"/>
                <w:sz w:val="20"/>
                <w:szCs w:val="20"/>
              </w:rPr>
              <w:t>$1,649,640</w:t>
            </w:r>
          </w:p>
        </w:tc>
        <w:tc>
          <w:tcPr>
            <w:tcW w:w="2251"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bottom"/>
          </w:tcPr>
          <w:p w:rsidR="00A05C50" w14:paraId="374B6E4A" w14:textId="77777777">
            <w:pPr>
              <w:jc w:val="right"/>
              <w:rPr>
                <w:rFonts w:ascii="Courier New" w:eastAsia="Courier New" w:hAnsi="Courier New" w:cs="Courier New"/>
                <w:color w:val="222222"/>
                <w:sz w:val="20"/>
                <w:szCs w:val="20"/>
              </w:rPr>
            </w:pPr>
            <w:r>
              <w:rPr>
                <w:rFonts w:ascii="Courier New" w:eastAsia="Courier New" w:hAnsi="Courier New" w:cs="Courier New"/>
                <w:color w:val="222222"/>
                <w:sz w:val="20"/>
                <w:szCs w:val="20"/>
              </w:rPr>
              <w:t>$694,555</w:t>
            </w:r>
          </w:p>
        </w:tc>
      </w:tr>
    </w:tbl>
    <w:p w:rsidR="00A05C50" w14:paraId="2B6BCA15" w14:textId="77777777">
      <w:pPr>
        <w:widowControl w:val="0"/>
        <w:tabs>
          <w:tab w:val="left" w:pos="360"/>
          <w:tab w:val="left" w:pos="720"/>
          <w:tab w:val="left" w:pos="1080"/>
        </w:tabs>
        <w:rPr>
          <w:rFonts w:ascii="Courier New" w:eastAsia="Courier New" w:hAnsi="Courier New" w:cs="Courier New"/>
        </w:rPr>
      </w:pPr>
    </w:p>
    <w:p w:rsidR="00A05C50" w14:paraId="613445AB" w14:textId="77777777">
      <w:pPr>
        <w:widowControl w:val="0"/>
        <w:numPr>
          <w:ilvl w:val="0"/>
          <w:numId w:val="2"/>
        </w:numPr>
        <w:tabs>
          <w:tab w:val="left" w:pos="360"/>
          <w:tab w:val="left" w:pos="720"/>
          <w:tab w:val="left" w:pos="1080"/>
        </w:tabs>
      </w:pPr>
      <w:r>
        <w:rPr>
          <w:rFonts w:ascii="Courier New" w:eastAsia="Courier New" w:hAnsi="Courier New" w:cs="Courier New"/>
          <w:u w:val="single"/>
        </w:rPr>
        <w:t>Publicizing Results.</w:t>
      </w:r>
      <w:r>
        <w:rPr>
          <w:rFonts w:ascii="Courier New" w:eastAsia="Courier New" w:hAnsi="Courier New" w:cs="Courier New"/>
        </w:rPr>
        <w:t xml:space="preserve"> Results will not be tabulated or published.</w:t>
      </w:r>
    </w:p>
    <w:p w:rsidR="00A05C50" w14:paraId="2D619A3F" w14:textId="77777777">
      <w:pPr>
        <w:widowControl w:val="0"/>
        <w:tabs>
          <w:tab w:val="left" w:pos="360"/>
          <w:tab w:val="left" w:pos="720"/>
          <w:tab w:val="left" w:pos="1080"/>
        </w:tabs>
        <w:rPr>
          <w:rFonts w:ascii="Courier New" w:eastAsia="Courier New" w:hAnsi="Courier New" w:cs="Courier New"/>
        </w:rPr>
      </w:pPr>
    </w:p>
    <w:p w:rsidR="00A05C50" w14:paraId="146736A9" w14:textId="77777777">
      <w:pPr>
        <w:widowControl w:val="0"/>
        <w:numPr>
          <w:ilvl w:val="0"/>
          <w:numId w:val="2"/>
        </w:numPr>
        <w:tabs>
          <w:tab w:val="left" w:pos="360"/>
          <w:tab w:val="left" w:pos="720"/>
          <w:tab w:val="left" w:pos="1080"/>
        </w:tabs>
      </w:pPr>
      <w:r>
        <w:rPr>
          <w:rFonts w:ascii="Courier New" w:eastAsia="Courier New" w:hAnsi="Courier New" w:cs="Courier New"/>
          <w:u w:val="single"/>
        </w:rPr>
        <w:t>OMB Not to Display Approval.</w:t>
      </w:r>
      <w:r>
        <w:rPr>
          <w:rFonts w:ascii="Courier New" w:eastAsia="Courier New" w:hAnsi="Courier New" w:cs="Courier New"/>
        </w:rPr>
        <w:t xml:space="preserve"> Approval to </w:t>
      </w:r>
      <w:r>
        <w:rPr>
          <w:rFonts w:ascii="Courier New" w:eastAsia="Courier New" w:hAnsi="Courier New" w:cs="Courier New"/>
          <w:i/>
          <w:iCs/>
        </w:rPr>
        <w:t>not</w:t>
      </w:r>
      <w:r>
        <w:rPr>
          <w:rFonts w:ascii="Courier New" w:eastAsia="Courier New" w:hAnsi="Courier New" w:cs="Courier New"/>
        </w:rPr>
        <w:t xml:space="preserve"> display the expiration date for OMB approval of the information collection is not sought.</w:t>
      </w:r>
    </w:p>
    <w:p w:rsidR="00A05C50" w14:paraId="56A8A7B7" w14:textId="77777777">
      <w:pPr>
        <w:widowControl w:val="0"/>
        <w:tabs>
          <w:tab w:val="left" w:pos="360"/>
          <w:tab w:val="left" w:pos="720"/>
          <w:tab w:val="left" w:pos="1080"/>
        </w:tabs>
        <w:rPr>
          <w:rFonts w:ascii="Courier New" w:eastAsia="Courier New" w:hAnsi="Courier New" w:cs="Courier New"/>
        </w:rPr>
      </w:pPr>
    </w:p>
    <w:p w:rsidR="00A05C50" w14:paraId="1F370BC6" w14:textId="77777777">
      <w:pPr>
        <w:widowControl w:val="0"/>
        <w:numPr>
          <w:ilvl w:val="0"/>
          <w:numId w:val="2"/>
        </w:numPr>
        <w:tabs>
          <w:tab w:val="left" w:pos="360"/>
          <w:tab w:val="left" w:pos="720"/>
          <w:tab w:val="left" w:pos="1080"/>
        </w:tabs>
      </w:pPr>
      <w:r>
        <w:rPr>
          <w:rFonts w:ascii="Courier New" w:eastAsia="Courier New" w:hAnsi="Courier New" w:cs="Courier New"/>
        </w:rPr>
        <w:t xml:space="preserve"> </w:t>
      </w:r>
      <w:r>
        <w:rPr>
          <w:rFonts w:ascii="Courier New" w:eastAsia="Courier New" w:hAnsi="Courier New" w:cs="Courier New"/>
          <w:u w:val="single"/>
        </w:rPr>
        <w:t>Exceptions to "Certification for Paperwork Reduction Submissions."</w:t>
      </w:r>
      <w:r>
        <w:rPr>
          <w:rFonts w:ascii="Courier New" w:eastAsia="Courier New" w:hAnsi="Courier New" w:cs="Courier New"/>
        </w:rPr>
        <w:t xml:space="preserve"> There is no exception to the certification statement.</w:t>
      </w:r>
    </w:p>
    <w:p w:rsidR="00A05C50" w14:paraId="1DCB5AD0" w14:textId="77777777">
      <w:pPr>
        <w:widowControl w:val="0"/>
        <w:tabs>
          <w:tab w:val="left" w:pos="360"/>
          <w:tab w:val="left" w:pos="720"/>
          <w:tab w:val="left" w:pos="1080"/>
        </w:tabs>
        <w:rPr>
          <w:rFonts w:ascii="Courier New" w:eastAsia="Courier New" w:hAnsi="Courier New" w:cs="Courier New"/>
        </w:rPr>
      </w:pPr>
    </w:p>
    <w:p w:rsidR="00A05C50" w14:paraId="1D6793AA" w14:textId="77777777">
      <w:pPr>
        <w:widowControl w:val="0"/>
        <w:numPr>
          <w:ilvl w:val="0"/>
          <w:numId w:val="2"/>
        </w:numPr>
        <w:tabs>
          <w:tab w:val="left" w:pos="360"/>
          <w:tab w:val="left" w:pos="720"/>
          <w:tab w:val="left" w:pos="1080"/>
        </w:tabs>
      </w:pPr>
      <w:r>
        <w:rPr>
          <w:rFonts w:ascii="Courier New" w:eastAsia="Courier New" w:hAnsi="Courier New" w:cs="Courier New"/>
          <w:u w:val="single"/>
        </w:rPr>
        <w:t>Surveys, Censuses, and Other Collections that Employ Statistical Methods.</w:t>
      </w:r>
      <w:r>
        <w:rPr>
          <w:rFonts w:ascii="Courier New" w:eastAsia="Courier New" w:hAnsi="Courier New" w:cs="Courier New"/>
        </w:rPr>
        <w:t xml:space="preserve"> Statistical methods are not used in this information collection. </w:t>
      </w:r>
      <w:r>
        <w:rPr>
          <w:rFonts w:ascii="Courier New" w:eastAsia="Courier New" w:hAnsi="Courier New" w:cs="Courier New"/>
        </w:rPr>
        <w:t>A Part</w:t>
      </w:r>
      <w:r>
        <w:rPr>
          <w:rFonts w:ascii="Courier New" w:eastAsia="Courier New" w:hAnsi="Courier New" w:cs="Courier New"/>
        </w:rPr>
        <w:t xml:space="preserve"> B supporting statement is not needed, or required, and therefore was not completed.</w:t>
      </w:r>
    </w:p>
    <w:sectPr>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sig w:usb0="00000000" w:usb1="00000000" w:usb2="00000000" w:usb3="00000000" w:csb0="00000001" w:csb1="00000000"/>
    <w:embedRegular r:id="rId1" w:fontKey="{993D67ED-EF4E-44D4-BC87-E530D50DFE4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BF03DD38-3612-426B-BB55-BA2879D710B1}"/>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31725F5B-F0F1-40ED-A59D-FC688F53D927}"/>
  </w:font>
  <w:font w:name="Cambria">
    <w:panose1 w:val="02040503050406030204"/>
    <w:charset w:val="00"/>
    <w:family w:val="roman"/>
    <w:pitch w:val="variable"/>
    <w:sig w:usb0="E00006FF" w:usb1="420024FF" w:usb2="02000000" w:usb3="00000000" w:csb0="0000019F" w:csb1="00000000"/>
    <w:embedRegular r:id="rId4" w:fontKey="{0A9E5FC3-9317-4F6C-A3D6-B9E91C37A51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CA23D3"/>
    <w:multiLevelType w:val="multilevel"/>
    <w:tmpl w:val="0D3CFE7C"/>
    <w:lvl w:ilvl="0">
      <w:start w:val="1"/>
      <w:numFmt w:val="upperLetter"/>
      <w:lvlText w:val="%1."/>
      <w:lvlJc w:val="left"/>
      <w:pPr>
        <w:ind w:left="720" w:hanging="360"/>
      </w:pPr>
      <w:rPr>
        <w:rFonts w:ascii="Courier New" w:eastAsia="Courier New" w:hAnsi="Courier New" w:cs="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A5971F7"/>
    <w:multiLevelType w:val="multilevel"/>
    <w:tmpl w:val="A1223A1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nsid w:val="1D0B62C1"/>
    <w:multiLevelType w:val="multilevel"/>
    <w:tmpl w:val="C22ED370"/>
    <w:lvl w:ilvl="0">
      <w:start w:val="1"/>
      <w:numFmt w:val="decimal"/>
      <w:lvlText w:val="%1."/>
      <w:lvlJc w:val="left"/>
      <w:pPr>
        <w:ind w:left="360" w:hanging="360"/>
      </w:pPr>
      <w:rPr>
        <w:rFonts w:ascii="Courier New" w:eastAsia="Courier New" w:hAnsi="Courier New" w:cs="Courier New"/>
        <w:b w:val="0"/>
        <w:bCs w:val="0"/>
        <w:u w:val="no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327F6C09"/>
    <w:multiLevelType w:val="multilevel"/>
    <w:tmpl w:val="1212904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602885764">
    <w:abstractNumId w:val="3"/>
  </w:num>
  <w:num w:numId="2" w16cid:durableId="883253364">
    <w:abstractNumId w:val="2"/>
  </w:num>
  <w:num w:numId="3" w16cid:durableId="880553367">
    <w:abstractNumId w:val="1"/>
  </w:num>
  <w:num w:numId="4" w16cid:durableId="1910991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C50"/>
    <w:rsid w:val="00353015"/>
    <w:rsid w:val="00386F4C"/>
    <w:rsid w:val="00770509"/>
    <w:rsid w:val="00A05C50"/>
    <w:rsid w:val="00A77E6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6D097A1"/>
  <w15:docId w15:val="{997C3BF5-3A85-4878-A45A-F41D49D80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name w:val="a"/>
    <w:basedOn w:val="TableNormal0"/>
    <w:tblPr>
      <w:tblStyleRowBandSize w:val="1"/>
      <w:tblStyleColBandSize w:val="1"/>
      <w:tblCellMar>
        <w:top w:w="0" w:type="dxa"/>
        <w:left w:w="0" w:type="dxa"/>
        <w:bottom w:w="0" w:type="dxa"/>
        <w:right w:w="0" w:type="dxa"/>
      </w:tblCellMar>
    </w:tblPr>
  </w:style>
  <w:style w:type="table" w:customStyle="1" w:styleId="a0">
    <w:name w:val="a0"/>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f7BwGvIpeUJKe2BzyV6As2aiaQ==">CgMxLjAyDmgudDRjYWZtY2Npanc5Mg5oLmV4OGs0bmd1ZnBkZzIOaC55Yjl1bjczNXBoNGIyDWgub3puZTJoNjcxZHMyDmgubDR3ZWl2cDZsZTF1Mg5oLmM3enN6cXI4dWt0ODIOaC43ajJvNHNtbDYydG8yDmguN2xzbHdtbDNlYThhOAByITFFb21vRWpaUXpMSGVINU40dkpVcjk5RkppaFRXbnU3cg==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2280</Words>
  <Characters>12996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General Services Administration</Company>
  <LinksUpToDate>false</LinksUpToDate>
  <CharactersWithSpaces>15246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Nicole D. Bynum</cp:lastModifiedBy>
  <cp:revision>2</cp:revision>
  <dcterms:created xsi:type="dcterms:W3CDTF">2026-10-01T13:28:00Z</dcterms:created>
  <dcterms:modified xsi:type="dcterms:W3CDTF">2026-10-01T13:59:00Z</dcterms:modified>
</cp:coreProperties>
</file>