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71689" w14:paraId="165AD2AF" w14:textId="77777777">
      <w:pPr>
        <w:widowControl w:val="0"/>
        <w:spacing w:line="240" w:lineRule="auto"/>
        <w:jc w:val="center"/>
        <w:rPr>
          <w:rFonts w:ascii="Courier New" w:eastAsia="Courier New" w:hAnsi="Courier New" w:cs="Courier New"/>
          <w:b/>
          <w:bCs/>
          <w:sz w:val="24"/>
          <w:szCs w:val="24"/>
        </w:rPr>
      </w:pPr>
      <w:r>
        <w:rPr>
          <w:rFonts w:ascii="Courier New" w:eastAsia="Courier New" w:hAnsi="Courier New" w:cs="Courier New"/>
          <w:b/>
          <w:bCs/>
          <w:sz w:val="24"/>
          <w:szCs w:val="24"/>
        </w:rPr>
        <w:t>Federal Acquisition Regulation (FAR)</w:t>
      </w:r>
    </w:p>
    <w:p w:rsidR="00771689" w14:paraId="35513374" w14:textId="77777777">
      <w:pPr>
        <w:widowControl w:val="0"/>
        <w:spacing w:line="240" w:lineRule="auto"/>
        <w:jc w:val="center"/>
        <w:rPr>
          <w:rFonts w:ascii="Courier New" w:eastAsia="Courier New" w:hAnsi="Courier New" w:cs="Courier New"/>
          <w:b/>
          <w:bCs/>
          <w:sz w:val="24"/>
          <w:szCs w:val="24"/>
        </w:rPr>
      </w:pPr>
      <w:r>
        <w:rPr>
          <w:rFonts w:ascii="Courier New" w:eastAsia="Courier New" w:hAnsi="Courier New" w:cs="Courier New"/>
          <w:b/>
          <w:bCs/>
          <w:sz w:val="24"/>
          <w:szCs w:val="24"/>
        </w:rPr>
        <w:t>Preaward</w:t>
      </w:r>
      <w:r>
        <w:rPr>
          <w:rFonts w:ascii="Courier New" w:eastAsia="Courier New" w:hAnsi="Courier New" w:cs="Courier New"/>
          <w:b/>
          <w:bCs/>
          <w:sz w:val="24"/>
          <w:szCs w:val="24"/>
        </w:rPr>
        <w:t xml:space="preserve"> Survey Forms (Standard Forms 1403, 1404, 1405, 1406, 1407, and 1408)</w:t>
      </w:r>
    </w:p>
    <w:p w:rsidR="00771689" w14:paraId="072FC59B" w14:textId="77777777">
      <w:pPr>
        <w:spacing w:line="240" w:lineRule="auto"/>
        <w:jc w:val="center"/>
        <w:rPr>
          <w:rFonts w:ascii="Courier New" w:eastAsia="Courier New" w:hAnsi="Courier New" w:cs="Courier New"/>
          <w:b/>
          <w:bCs/>
          <w:color w:val="0000FF"/>
          <w:sz w:val="24"/>
          <w:szCs w:val="24"/>
          <w:u w:val="single"/>
        </w:rPr>
      </w:pPr>
      <w:r>
        <w:rPr>
          <w:rFonts w:ascii="Courier New" w:eastAsia="Courier New" w:hAnsi="Courier New" w:cs="Courier New"/>
          <w:b/>
          <w:bCs/>
          <w:sz w:val="24"/>
          <w:szCs w:val="24"/>
        </w:rPr>
        <w:t>OMB Control No. 9000-0011</w:t>
      </w:r>
    </w:p>
    <w:p w:rsidR="00771689" w14:paraId="4EBC8454" w14:textId="77777777">
      <w:pPr>
        <w:spacing w:line="240" w:lineRule="auto"/>
        <w:jc w:val="center"/>
        <w:rPr>
          <w:rFonts w:ascii="Courier New" w:eastAsia="Courier New" w:hAnsi="Courier New" w:cs="Courier New"/>
          <w:sz w:val="24"/>
          <w:szCs w:val="24"/>
        </w:rPr>
      </w:pPr>
      <w:r>
        <w:rPr>
          <w:rFonts w:ascii="Courier New" w:eastAsia="Courier New" w:hAnsi="Courier New" w:cs="Courier New"/>
          <w:b/>
          <w:bCs/>
          <w:sz w:val="24"/>
          <w:szCs w:val="24"/>
        </w:rPr>
        <w:t>Justification – Part A Supporting Statement</w:t>
      </w:r>
    </w:p>
    <w:p w:rsidR="00771689" w14:paraId="312D6D1F" w14:textId="77777777">
      <w:pPr>
        <w:spacing w:line="240" w:lineRule="auto"/>
        <w:rPr>
          <w:rFonts w:ascii="Courier New" w:eastAsia="Courier New" w:hAnsi="Courier New" w:cs="Courier New"/>
          <w:sz w:val="24"/>
          <w:szCs w:val="24"/>
        </w:rPr>
      </w:pPr>
    </w:p>
    <w:p w:rsidR="00771689" w14:paraId="36C0199A"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FAR sections affected: </w:t>
      </w:r>
      <w:r>
        <w:rPr>
          <w:rFonts w:ascii="Courier New" w:eastAsia="Courier New" w:hAnsi="Courier New" w:cs="Courier New"/>
          <w:sz w:val="24"/>
          <w:szCs w:val="24"/>
        </w:rPr>
        <w:t>Standard Form (SFs) 1403, 1404, 1405, 1406, 1407, and 1408</w:t>
      </w:r>
    </w:p>
    <w:p w:rsidR="00771689" w14:paraId="02A2EC89" w14:textId="77777777">
      <w:pPr>
        <w:widowControl w:val="0"/>
        <w:spacing w:line="240" w:lineRule="auto"/>
        <w:rPr>
          <w:rFonts w:ascii="Courier New" w:eastAsia="Courier New" w:hAnsi="Courier New" w:cs="Courier New"/>
          <w:sz w:val="24"/>
          <w:szCs w:val="24"/>
          <w:u w:val="single"/>
        </w:rPr>
      </w:pPr>
    </w:p>
    <w:p w:rsidR="00771689" w14:paraId="3F58F11A" w14:textId="77777777">
      <w:pPr>
        <w:widowControl w:val="0"/>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Overview of Information Collection:</w:t>
      </w:r>
    </w:p>
    <w:p w:rsidR="00771689" w14:paraId="5226482A" w14:textId="77777777">
      <w:pPr>
        <w:widowControl w:val="0"/>
        <w:tabs>
          <w:tab w:val="left" w:pos="820"/>
          <w:tab w:val="left" w:pos="821"/>
        </w:tabs>
        <w:spacing w:line="240" w:lineRule="auto"/>
        <w:ind w:left="720" w:right="195"/>
        <w:rPr>
          <w:rFonts w:ascii="Courier New" w:eastAsia="Courier New" w:hAnsi="Courier New" w:cs="Courier New"/>
          <w:sz w:val="24"/>
          <w:szCs w:val="24"/>
        </w:rPr>
      </w:pPr>
      <w:r>
        <w:rPr>
          <w:rFonts w:ascii="Courier New" w:eastAsia="Courier New" w:hAnsi="Courier New" w:cs="Courier New"/>
          <w:sz w:val="24"/>
          <w:szCs w:val="24"/>
        </w:rPr>
        <w:t>This justification supports clearance of an extension of the collection.</w:t>
      </w:r>
    </w:p>
    <w:p w:rsidR="00771689" w14:paraId="21AB5C4F" w14:textId="77777777">
      <w:pPr>
        <w:widowControl w:val="0"/>
        <w:tabs>
          <w:tab w:val="left" w:pos="820"/>
          <w:tab w:val="left" w:pos="821"/>
        </w:tabs>
        <w:spacing w:line="240" w:lineRule="auto"/>
        <w:ind w:left="720" w:right="195"/>
        <w:rPr>
          <w:rFonts w:ascii="Courier New" w:eastAsia="Courier New" w:hAnsi="Courier New" w:cs="Courier New"/>
          <w:sz w:val="24"/>
          <w:szCs w:val="24"/>
        </w:rPr>
      </w:pPr>
    </w:p>
    <w:p w:rsidR="00771689" w14:paraId="46010F80" w14:textId="77777777">
      <w:pPr>
        <w:widowControl w:val="0"/>
        <w:tabs>
          <w:tab w:val="left" w:pos="820"/>
          <w:tab w:val="left" w:pos="821"/>
        </w:tabs>
        <w:spacing w:line="240" w:lineRule="auto"/>
        <w:ind w:left="720" w:right="195"/>
        <w:rPr>
          <w:rFonts w:ascii="Courier New" w:eastAsia="Courier New" w:hAnsi="Courier New" w:cs="Courier New"/>
          <w:sz w:val="24"/>
          <w:szCs w:val="24"/>
        </w:rPr>
      </w:pPr>
      <w:r>
        <w:rPr>
          <w:rFonts w:ascii="Courier New" w:eastAsia="Courier New" w:hAnsi="Courier New" w:cs="Courier New"/>
          <w:sz w:val="24"/>
          <w:szCs w:val="24"/>
        </w:rPr>
        <w:t>There are no program changes. The FAR requirements remain the same. This extension includes adjustments to the burden due to use of the latest procurement data available in the System for Award Management (SAM) at SAM.gov (formerly FPDS.gov), and the calendar year 2026 Office of Personnel Management (OPM) General Schedule (GS) wage rates for the rest of the United States as explained in item 15.</w:t>
      </w:r>
    </w:p>
    <w:p w:rsidR="00771689" w14:paraId="31BC824F" w14:textId="77777777">
      <w:pPr>
        <w:widowControl w:val="0"/>
        <w:spacing w:line="240" w:lineRule="auto"/>
        <w:rPr>
          <w:rFonts w:ascii="Courier New" w:eastAsia="Courier New" w:hAnsi="Courier New" w:cs="Courier New"/>
          <w:color w:val="0000FF"/>
          <w:sz w:val="24"/>
          <w:szCs w:val="24"/>
        </w:rPr>
      </w:pPr>
    </w:p>
    <w:p w:rsidR="00771689" w14:paraId="27DFDE40" w14:textId="77777777">
      <w:pPr>
        <w:widowControl w:val="0"/>
        <w:numPr>
          <w:ilvl w:val="0"/>
          <w:numId w:val="3"/>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Need &amp; Method for the Information Collection</w:t>
      </w:r>
      <w:r>
        <w:rPr>
          <w:rFonts w:ascii="Courier New" w:eastAsia="Courier New" w:hAnsi="Courier New" w:cs="Courier New"/>
          <w:sz w:val="24"/>
          <w:szCs w:val="24"/>
        </w:rPr>
        <w:t xml:space="preserve">. Contracting officers, prior to </w:t>
      </w:r>
      <w:r>
        <w:rPr>
          <w:rFonts w:ascii="Courier New" w:eastAsia="Courier New" w:hAnsi="Courier New" w:cs="Courier New"/>
          <w:sz w:val="24"/>
          <w:szCs w:val="24"/>
        </w:rPr>
        <w:t>award,</w:t>
      </w:r>
      <w:r>
        <w:rPr>
          <w:rFonts w:ascii="Courier New" w:eastAsia="Courier New" w:hAnsi="Courier New" w:cs="Courier New"/>
          <w:sz w:val="24"/>
          <w:szCs w:val="24"/>
        </w:rPr>
        <w:t xml:space="preserve"> must make an affirmative determination that the prospective contractor is responsible, i.e., capable of performing the contract. Before making such a determination, the contracting officer must have or obtain sufficient information to establish that the prospective contractor: (</w:t>
      </w:r>
      <w:r>
        <w:rPr>
          <w:rFonts w:ascii="Courier New" w:eastAsia="Courier New" w:hAnsi="Courier New" w:cs="Courier New"/>
          <w:sz w:val="24"/>
          <w:szCs w:val="24"/>
        </w:rPr>
        <w:t>i</w:t>
      </w:r>
      <w:r>
        <w:rPr>
          <w:rFonts w:ascii="Courier New" w:eastAsia="Courier New" w:hAnsi="Courier New" w:cs="Courier New"/>
          <w:sz w:val="24"/>
          <w:szCs w:val="24"/>
        </w:rPr>
        <w:t xml:space="preserve">) has adequate financial resources; or the ability to obtain such resources; (ii) is able to comply with required delivery schedule; (iii) has a satisfactory record of performance; (iv) has a satisfactory record of integrity; and (v) is otherwise qualified and eligible to receive an award under appropriate laws and regulations. If such information is not readily available to the contracting officer, it is obtained through a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conducted by the contract administration office or another organization designated by the agency to conduct the surveys. The necessary data is collected from available data or through plant visits, phone calls, and correspondence in detail commensurate with the dollar value and complexity of the procurement. This clearance covers the information that prospective contractors must provide to ensure proper completion of the following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forms prescribed by the FAR:</w:t>
      </w:r>
    </w:p>
    <w:p w:rsidR="00771689" w14:paraId="525E1703" w14:textId="77777777">
      <w:pPr>
        <w:widowControl w:val="0"/>
        <w:tabs>
          <w:tab w:val="left" w:pos="360"/>
          <w:tab w:val="left" w:pos="630"/>
          <w:tab w:val="left" w:pos="720"/>
          <w:tab w:val="left" w:pos="1080"/>
        </w:tabs>
        <w:spacing w:line="240" w:lineRule="auto"/>
        <w:ind w:left="360"/>
        <w:rPr>
          <w:rFonts w:ascii="Courier New" w:eastAsia="Courier New" w:hAnsi="Courier New" w:cs="Courier New"/>
          <w:sz w:val="24"/>
          <w:szCs w:val="24"/>
        </w:rPr>
      </w:pPr>
    </w:p>
    <w:p w:rsidR="00771689" w14:paraId="7EA5BF27" w14:textId="77777777">
      <w:pPr>
        <w:widowControl w:val="0"/>
        <w:numPr>
          <w:ilvl w:val="0"/>
          <w:numId w:val="4"/>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SF 1403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of Prospective Contractor (General)</w:t>
      </w:r>
    </w:p>
    <w:p w:rsidR="00771689" w14:paraId="37A33F0B" w14:textId="77777777">
      <w:pPr>
        <w:widowControl w:val="0"/>
        <w:numPr>
          <w:ilvl w:val="0"/>
          <w:numId w:val="4"/>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SF 1404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of Prospective Contractor </w:t>
      </w:r>
      <w:r>
        <w:rPr>
          <w:rFonts w:ascii="Courier New" w:eastAsia="Courier New" w:hAnsi="Courier New" w:cs="Courier New"/>
          <w:sz w:val="24"/>
          <w:szCs w:val="24"/>
        </w:rPr>
        <w:t>(Technical)</w:t>
      </w:r>
    </w:p>
    <w:p w:rsidR="00771689" w14:paraId="0CB656DA" w14:textId="77777777">
      <w:pPr>
        <w:widowControl w:val="0"/>
        <w:numPr>
          <w:ilvl w:val="0"/>
          <w:numId w:val="4"/>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SF 1405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of Prospective Contractor (Production)</w:t>
      </w:r>
    </w:p>
    <w:p w:rsidR="00771689" w14:paraId="4A2E921B" w14:textId="77777777">
      <w:pPr>
        <w:widowControl w:val="0"/>
        <w:numPr>
          <w:ilvl w:val="0"/>
          <w:numId w:val="4"/>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SF 1406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of Prospective Contractor (Quality Assurance)</w:t>
      </w:r>
    </w:p>
    <w:p w:rsidR="00771689" w14:paraId="77A7F663" w14:textId="77777777">
      <w:pPr>
        <w:widowControl w:val="0"/>
        <w:numPr>
          <w:ilvl w:val="0"/>
          <w:numId w:val="4"/>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SF 1407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of Prospective Contractor (Financial Capability)</w:t>
      </w:r>
    </w:p>
    <w:p w:rsidR="00771689" w14:paraId="01A43957" w14:textId="77777777">
      <w:pPr>
        <w:widowControl w:val="0"/>
        <w:numPr>
          <w:ilvl w:val="0"/>
          <w:numId w:val="4"/>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SF 1408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of Prospective Contractor (Accounting System)</w:t>
      </w:r>
    </w:p>
    <w:p w:rsidR="00771689" w14:paraId="14387E5F" w14:textId="77777777">
      <w:pPr>
        <w:spacing w:line="240" w:lineRule="auto"/>
        <w:rPr>
          <w:rFonts w:ascii="Courier New" w:eastAsia="Courier New" w:hAnsi="Courier New" w:cs="Courier New"/>
          <w:sz w:val="24"/>
          <w:szCs w:val="24"/>
          <w:u w:val="single"/>
        </w:rPr>
      </w:pPr>
    </w:p>
    <w:p w:rsidR="00771689" w14:paraId="5654CC17" w14:textId="77777777">
      <w:pPr>
        <w:widowControl w:val="0"/>
        <w:numPr>
          <w:ilvl w:val="0"/>
          <w:numId w:val="3"/>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Use of the Information</w:t>
      </w:r>
      <w:r>
        <w:rPr>
          <w:rFonts w:ascii="Courier New" w:eastAsia="Courier New" w:hAnsi="Courier New" w:cs="Courier New"/>
          <w:sz w:val="24"/>
          <w:szCs w:val="24"/>
        </w:rPr>
        <w:t>. The contracting officer uses the information to determine whether a prospective contractor is responsible.</w:t>
      </w:r>
    </w:p>
    <w:p w:rsidR="00771689" w14:paraId="0E2681F0" w14:textId="77777777">
      <w:pPr>
        <w:spacing w:line="240" w:lineRule="auto"/>
        <w:rPr>
          <w:rFonts w:ascii="Courier New" w:eastAsia="Courier New" w:hAnsi="Courier New" w:cs="Courier New"/>
          <w:sz w:val="24"/>
          <w:szCs w:val="24"/>
          <w:u w:val="single"/>
        </w:rPr>
      </w:pPr>
      <w:r>
        <w:rPr>
          <w:rFonts w:ascii="Courier New" w:eastAsia="Courier New" w:hAnsi="Courier New" w:cs="Courier New"/>
          <w:color w:val="FF0000"/>
          <w:sz w:val="24"/>
          <w:szCs w:val="24"/>
        </w:rPr>
        <w:t> </w:t>
      </w:r>
    </w:p>
    <w:p w:rsidR="00771689" w14:paraId="76537B72" w14:textId="77777777">
      <w:pPr>
        <w:widowControl w:val="0"/>
        <w:numPr>
          <w:ilvl w:val="0"/>
          <w:numId w:val="3"/>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Use of Information Technology</w:t>
      </w:r>
      <w:r>
        <w:rPr>
          <w:rFonts w:ascii="Courier New" w:eastAsia="Courier New" w:hAnsi="Courier New" w:cs="Courier New"/>
          <w:sz w:val="24"/>
          <w:szCs w:val="24"/>
        </w:rPr>
        <w:t>. Federal agencies use information technology to the maximum extent practicable. Where both the Government agency and prospective contractors are capable of electronic interchange, the prospective contractors may submit this information collection requirement electronically.</w:t>
      </w:r>
    </w:p>
    <w:p w:rsidR="00771689" w14:paraId="7BB3CB82"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771689" w14:paraId="3B93273F" w14:textId="77777777">
      <w:pPr>
        <w:widowControl w:val="0"/>
        <w:numPr>
          <w:ilvl w:val="0"/>
          <w:numId w:val="3"/>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Non-duplication</w:t>
      </w:r>
      <w:r>
        <w:rPr>
          <w:rFonts w:ascii="Courier New" w:eastAsia="Courier New" w:hAnsi="Courier New" w:cs="Courier New"/>
          <w:sz w:val="24"/>
          <w:szCs w:val="24"/>
        </w:rPr>
        <w:t>. These requirements are issued under the FAR, which has been developed to standardize Federal procurement practices and eliminate unnecessary duplication.</w:t>
      </w:r>
    </w:p>
    <w:p w:rsidR="00771689" w14:paraId="175580D1"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771689" w14:paraId="463B9F1A" w14:textId="77777777">
      <w:pPr>
        <w:widowControl w:val="0"/>
        <w:numPr>
          <w:ilvl w:val="0"/>
          <w:numId w:val="3"/>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Burden on Small Business</w:t>
      </w:r>
      <w:r>
        <w:rPr>
          <w:rFonts w:ascii="Courier New" w:eastAsia="Courier New" w:hAnsi="Courier New" w:cs="Courier New"/>
          <w:sz w:val="24"/>
          <w:szCs w:val="24"/>
        </w:rPr>
        <w:t xml:space="preserve">. The burden applied to small businesses is the minimum consistent with applicable laws, Executive orders, regulations, and prudent business practices. The FAR also provides conditions under which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surveys are to be accomplished that minimize the information collection burden on small businesses. These conditions include:</w:t>
      </w:r>
    </w:p>
    <w:p w:rsidR="00771689" w14:paraId="785385BA" w14:textId="77777777">
      <w:pPr>
        <w:widowControl w:val="0"/>
        <w:numPr>
          <w:ilvl w:val="0"/>
          <w:numId w:val="1"/>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FAR subpart 9.1 provides </w:t>
      </w:r>
      <w:r>
        <w:rPr>
          <w:rFonts w:ascii="Courier New" w:eastAsia="Courier New" w:hAnsi="Courier New" w:cs="Courier New"/>
          <w:sz w:val="24"/>
          <w:szCs w:val="24"/>
        </w:rPr>
        <w:t>a number of</w:t>
      </w:r>
      <w:r>
        <w:rPr>
          <w:rFonts w:ascii="Courier New" w:eastAsia="Courier New" w:hAnsi="Courier New" w:cs="Courier New"/>
          <w:sz w:val="24"/>
          <w:szCs w:val="24"/>
        </w:rPr>
        <w:t xml:space="preserve"> potential sources of information to use in determining the responsibility of a prospective Government contractor. Specifically, FAR 9.105-1 lists sources other than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surveys as preferred sources of contractor responsibility data. </w:t>
      </w:r>
    </w:p>
    <w:p w:rsidR="00771689" w14:paraId="373E363E" w14:textId="77777777">
      <w:pPr>
        <w:widowControl w:val="0"/>
        <w:numPr>
          <w:ilvl w:val="0"/>
          <w:numId w:val="1"/>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Although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surveys may be conducted on large and small business entities, as determined appropriate, the surveys are discouraged for fixed-priced contracts at or below the simplified acquisition threshold (SAT) and for contracts involving the acquisition of commercial products or commercial services, unless circumstances justify the survey’s cost. Actions at or below the SAT are totally set aside for small business, thereby minimizing the circumstances under which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surveys would be conducted on small business entities.</w:t>
      </w:r>
    </w:p>
    <w:p w:rsidR="00771689" w14:paraId="68B3C429" w14:textId="77777777">
      <w:pPr>
        <w:widowControl w:val="0"/>
        <w:numPr>
          <w:ilvl w:val="0"/>
          <w:numId w:val="1"/>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FAR 9.106-4(b) requires that a contract administration office/surveying activity consult the appropriate Small Business Administration field office before making an affirmative recommendation regarding a contractor’s responsibility or </w:t>
      </w:r>
      <w:r>
        <w:rPr>
          <w:rFonts w:ascii="Courier New" w:eastAsia="Courier New" w:hAnsi="Courier New" w:cs="Courier New"/>
          <w:sz w:val="24"/>
          <w:szCs w:val="24"/>
        </w:rPr>
        <w:t>nonresponsibility</w:t>
      </w:r>
      <w:r>
        <w:rPr>
          <w:rFonts w:ascii="Courier New" w:eastAsia="Courier New" w:hAnsi="Courier New" w:cs="Courier New"/>
          <w:sz w:val="24"/>
          <w:szCs w:val="24"/>
        </w:rPr>
        <w:t xml:space="preserve"> when that small business has received preferential treatment on an ongoing contract under Section 8(a) of the Small Business Act (15 U.S.C. 637) or has received a Certificate of Competency from the Small Business Administration during the last 12 months.</w:t>
      </w:r>
    </w:p>
    <w:p w:rsidR="00771689" w14:paraId="5379385A"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771689" w14:paraId="6C73BE44" w14:textId="77777777">
      <w:pPr>
        <w:widowControl w:val="0"/>
        <w:numPr>
          <w:ilvl w:val="0"/>
          <w:numId w:val="3"/>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Less Frequent Collection</w:t>
      </w:r>
      <w:r>
        <w:rPr>
          <w:rFonts w:ascii="Courier New" w:eastAsia="Courier New" w:hAnsi="Courier New" w:cs="Courier New"/>
          <w:sz w:val="24"/>
          <w:szCs w:val="24"/>
        </w:rPr>
        <w:t>. Collection of information on a basis other than solicitation-by-solicitation is not practical.</w:t>
      </w:r>
    </w:p>
    <w:p w:rsidR="00771689" w14:paraId="2F573449" w14:textId="77777777">
      <w:pPr>
        <w:spacing w:line="240" w:lineRule="auto"/>
        <w:rPr>
          <w:rFonts w:ascii="Courier New" w:eastAsia="Courier New" w:hAnsi="Courier New" w:cs="Courier New"/>
          <w:sz w:val="24"/>
          <w:szCs w:val="24"/>
        </w:rPr>
      </w:pPr>
    </w:p>
    <w:p w:rsidR="00771689" w14:paraId="3F7D987B" w14:textId="77777777">
      <w:pPr>
        <w:widowControl w:val="0"/>
        <w:numPr>
          <w:ilvl w:val="0"/>
          <w:numId w:val="3"/>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Paperwork Reduction Act Guidelines</w:t>
      </w:r>
      <w:r>
        <w:rPr>
          <w:rFonts w:ascii="Courier New" w:eastAsia="Courier New" w:hAnsi="Courier New" w:cs="Courier New"/>
          <w:sz w:val="24"/>
          <w:szCs w:val="24"/>
        </w:rPr>
        <w:t>. Collection is consistent with guidelines in 5 CFR 1320.5(d)(2).</w:t>
      </w:r>
    </w:p>
    <w:p w:rsidR="00771689" w14:paraId="504F76DB" w14:textId="77777777">
      <w:pPr>
        <w:widowControl w:val="0"/>
        <w:tabs>
          <w:tab w:val="left" w:pos="360"/>
          <w:tab w:val="left" w:pos="720"/>
          <w:tab w:val="left" w:pos="1080"/>
          <w:tab w:val="left" w:pos="1440"/>
        </w:tabs>
        <w:spacing w:line="240" w:lineRule="auto"/>
        <w:ind w:left="360"/>
        <w:rPr>
          <w:rFonts w:ascii="Courier New" w:eastAsia="Courier New" w:hAnsi="Courier New" w:cs="Courier New"/>
          <w:sz w:val="24"/>
          <w:szCs w:val="24"/>
        </w:rPr>
      </w:pPr>
    </w:p>
    <w:p w:rsidR="00771689" w14:paraId="138F970A" w14:textId="77777777">
      <w:pPr>
        <w:widowControl w:val="0"/>
        <w:numPr>
          <w:ilvl w:val="0"/>
          <w:numId w:val="3"/>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Consultation and Public Comments.</w:t>
      </w:r>
    </w:p>
    <w:p w:rsidR="00771689" w14:paraId="06A20831" w14:textId="78A9540F">
      <w:pPr>
        <w:numPr>
          <w:ilvl w:val="0"/>
          <w:numId w:val="5"/>
        </w:numPr>
        <w:pBdr>
          <w:top w:val="nil"/>
          <w:left w:val="nil"/>
          <w:bottom w:val="nil"/>
          <w:right w:val="nil"/>
          <w:between w:val="nil"/>
        </w:pBdr>
        <w:spacing w:line="240" w:lineRule="auto"/>
      </w:pPr>
      <w:r>
        <w:rPr>
          <w:rFonts w:ascii="Courier New" w:eastAsia="Courier New" w:hAnsi="Courier New" w:cs="Courier New"/>
          <w:color w:val="000000"/>
          <w:sz w:val="24"/>
          <w:szCs w:val="24"/>
        </w:rPr>
        <w:t xml:space="preserve">A 60-day notice was published in the </w:t>
      </w:r>
      <w:r>
        <w:rPr>
          <w:rFonts w:ascii="Courier New" w:eastAsia="Courier New" w:hAnsi="Courier New" w:cs="Courier New"/>
          <w:i/>
          <w:iCs/>
          <w:color w:val="000000"/>
          <w:sz w:val="24"/>
          <w:szCs w:val="24"/>
        </w:rPr>
        <w:t>Federal Register</w:t>
      </w:r>
      <w:r>
        <w:rPr>
          <w:rFonts w:ascii="Courier New" w:eastAsia="Courier New" w:hAnsi="Courier New" w:cs="Courier New"/>
          <w:color w:val="000000"/>
          <w:sz w:val="24"/>
          <w:szCs w:val="24"/>
        </w:rPr>
        <w:t xml:space="preserve"> at 91 FR 27051, on May 13, 2026.</w:t>
      </w:r>
      <w:r>
        <w:rPr>
          <w:rFonts w:ascii="Courier New" w:eastAsia="Courier New" w:hAnsi="Courier New" w:cs="Courier New"/>
          <w:sz w:val="24"/>
          <w:szCs w:val="24"/>
        </w:rPr>
        <w:t xml:space="preserve"> A respondent submitted</w:t>
      </w:r>
      <w:r w:rsidRPr="00F06766" w:rsidR="00F06766">
        <w:rPr>
          <w:rFonts w:ascii="Courier New" w:eastAsia="Courier New" w:hAnsi="Courier New" w:cs="Courier New"/>
          <w:sz w:val="24"/>
          <w:szCs w:val="24"/>
        </w:rPr>
        <w:t xml:space="preserve"> comments which were out of scope as they failed to address the subject matter of </w:t>
      </w:r>
      <w:r w:rsidRPr="00F06766" w:rsidR="00F06766">
        <w:rPr>
          <w:rFonts w:ascii="Courier New" w:eastAsia="Courier New" w:hAnsi="Courier New" w:cs="Courier New"/>
          <w:sz w:val="24"/>
          <w:szCs w:val="24"/>
        </w:rPr>
        <w:t>the May</w:t>
      </w:r>
      <w:r w:rsidRPr="00F06766" w:rsidR="00F06766">
        <w:rPr>
          <w:rFonts w:ascii="Courier New" w:eastAsia="Courier New" w:hAnsi="Courier New" w:cs="Courier New"/>
          <w:sz w:val="24"/>
          <w:szCs w:val="24"/>
        </w:rPr>
        <w:t xml:space="preserve"> 13, 2026, request for comment.</w:t>
      </w:r>
      <w:r>
        <w:rPr>
          <w:rFonts w:ascii="Courier New" w:eastAsia="Courier New" w:hAnsi="Courier New" w:cs="Courier New"/>
          <w:sz w:val="24"/>
          <w:szCs w:val="24"/>
        </w:rPr>
        <w:t xml:space="preserve"> Accordingly, no response is provided.</w:t>
      </w:r>
    </w:p>
    <w:p w:rsidR="00771689" w:rsidRPr="00163D5F" w14:paraId="11210410" w14:textId="77777777">
      <w:pPr>
        <w:pBdr>
          <w:top w:val="nil"/>
          <w:left w:val="nil"/>
          <w:bottom w:val="nil"/>
          <w:right w:val="nil"/>
          <w:between w:val="nil"/>
        </w:pBdr>
        <w:spacing w:line="240" w:lineRule="auto"/>
        <w:ind w:left="720"/>
        <w:rPr>
          <w:rFonts w:ascii="Courier New" w:eastAsia="Courier New" w:hAnsi="Courier New" w:cs="Courier New"/>
          <w:sz w:val="24"/>
          <w:szCs w:val="24"/>
        </w:rPr>
      </w:pPr>
    </w:p>
    <w:p w:rsidR="00771689" w:rsidRPr="00163D5F" w14:paraId="3AA59F7F" w14:textId="35ED1EED">
      <w:pPr>
        <w:widowControl w:val="0"/>
        <w:numPr>
          <w:ilvl w:val="0"/>
          <w:numId w:val="5"/>
        </w:numPr>
        <w:pBdr>
          <w:top w:val="nil"/>
          <w:left w:val="nil"/>
          <w:bottom w:val="nil"/>
          <w:right w:val="nil"/>
          <w:between w:val="nil"/>
        </w:pBdr>
        <w:tabs>
          <w:tab w:val="left" w:pos="360"/>
          <w:tab w:val="left" w:pos="720"/>
          <w:tab w:val="left" w:pos="1080"/>
          <w:tab w:val="left" w:pos="1440"/>
        </w:tabs>
        <w:spacing w:line="240" w:lineRule="auto"/>
        <w:ind w:right="183"/>
        <w:rPr>
          <w:sz w:val="24"/>
          <w:szCs w:val="24"/>
        </w:rPr>
      </w:pPr>
      <w:r w:rsidRPr="00163D5F">
        <w:rPr>
          <w:rFonts w:ascii="Courier New" w:eastAsia="Courier New" w:hAnsi="Courier New" w:cs="Courier New"/>
          <w:sz w:val="24"/>
          <w:szCs w:val="24"/>
        </w:rPr>
        <w:t xml:space="preserve">A 30-day notice was published in the </w:t>
      </w:r>
      <w:r w:rsidRPr="00163D5F">
        <w:rPr>
          <w:rFonts w:ascii="Courier New" w:eastAsia="Courier New" w:hAnsi="Courier New" w:cs="Courier New"/>
          <w:i/>
          <w:iCs/>
          <w:sz w:val="24"/>
          <w:szCs w:val="24"/>
        </w:rPr>
        <w:t>Federal Register</w:t>
      </w:r>
      <w:r w:rsidRPr="00163D5F">
        <w:rPr>
          <w:rFonts w:ascii="Courier New" w:eastAsia="Courier New" w:hAnsi="Courier New" w:cs="Courier New"/>
          <w:sz w:val="24"/>
          <w:szCs w:val="24"/>
        </w:rPr>
        <w:t xml:space="preserve"> at </w:t>
      </w:r>
      <w:r w:rsidRPr="00163D5F" w:rsidR="00163D5F">
        <w:rPr>
          <w:rFonts w:ascii="Courier New" w:eastAsia="Courier New" w:hAnsi="Courier New" w:cs="Courier New"/>
          <w:sz w:val="24"/>
          <w:szCs w:val="24"/>
        </w:rPr>
        <w:t>91</w:t>
      </w:r>
      <w:r w:rsidRPr="00163D5F">
        <w:rPr>
          <w:rFonts w:ascii="Courier New" w:eastAsia="Courier New" w:hAnsi="Courier New" w:cs="Courier New"/>
          <w:sz w:val="24"/>
          <w:szCs w:val="24"/>
        </w:rPr>
        <w:t xml:space="preserve"> FR </w:t>
      </w:r>
      <w:r w:rsidRPr="00163D5F" w:rsidR="00163D5F">
        <w:rPr>
          <w:rFonts w:ascii="Courier New" w:eastAsia="Courier New" w:hAnsi="Courier New" w:cs="Courier New"/>
          <w:sz w:val="24"/>
          <w:szCs w:val="24"/>
        </w:rPr>
        <w:t>62518</w:t>
      </w:r>
      <w:r w:rsidRPr="00163D5F">
        <w:rPr>
          <w:rFonts w:ascii="Courier New" w:eastAsia="Courier New" w:hAnsi="Courier New" w:cs="Courier New"/>
          <w:sz w:val="24"/>
          <w:szCs w:val="24"/>
        </w:rPr>
        <w:t xml:space="preserve">, on </w:t>
      </w:r>
      <w:r w:rsidRPr="00163D5F" w:rsidR="00163D5F">
        <w:rPr>
          <w:rFonts w:ascii="Courier New" w:eastAsia="Courier New" w:hAnsi="Courier New" w:cs="Courier New"/>
          <w:sz w:val="24"/>
          <w:szCs w:val="24"/>
        </w:rPr>
        <w:t>October 1, 2026</w:t>
      </w:r>
      <w:r w:rsidRPr="00163D5F">
        <w:rPr>
          <w:rFonts w:ascii="Courier New" w:eastAsia="Courier New" w:hAnsi="Courier New" w:cs="Courier New"/>
          <w:sz w:val="24"/>
          <w:szCs w:val="24"/>
        </w:rPr>
        <w:t>.</w:t>
      </w:r>
    </w:p>
    <w:p w:rsidR="00771689" w:rsidRPr="00163D5F" w14:paraId="7EE4A220"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771689" w14:paraId="242CA169" w14:textId="77777777">
      <w:pPr>
        <w:widowControl w:val="0"/>
        <w:numPr>
          <w:ilvl w:val="0"/>
          <w:numId w:val="3"/>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Gifts or Payment</w:t>
      </w:r>
      <w:r>
        <w:rPr>
          <w:rFonts w:ascii="Courier New" w:eastAsia="Courier New" w:hAnsi="Courier New" w:cs="Courier New"/>
          <w:sz w:val="24"/>
          <w:szCs w:val="24"/>
        </w:rPr>
        <w:t>. This collection does not provide any payment or gift to respondents, other than remuneration of contractors.</w:t>
      </w:r>
    </w:p>
    <w:p w:rsidR="00771689" w14:paraId="5F38EF51" w14:textId="77777777">
      <w:pPr>
        <w:widowControl w:val="0"/>
        <w:tabs>
          <w:tab w:val="left" w:pos="360"/>
          <w:tab w:val="left" w:pos="720"/>
          <w:tab w:val="left" w:pos="820"/>
          <w:tab w:val="left" w:pos="821"/>
          <w:tab w:val="left" w:pos="1080"/>
          <w:tab w:val="left" w:pos="1440"/>
        </w:tabs>
        <w:spacing w:line="240" w:lineRule="auto"/>
        <w:ind w:left="720" w:right="183"/>
        <w:rPr>
          <w:rFonts w:ascii="Courier New" w:eastAsia="Courier New" w:hAnsi="Courier New" w:cs="Courier New"/>
          <w:color w:val="0000FF"/>
          <w:sz w:val="24"/>
          <w:szCs w:val="24"/>
        </w:rPr>
      </w:pPr>
    </w:p>
    <w:p w:rsidR="00771689" w14:paraId="2641DCC8" w14:textId="77777777">
      <w:pPr>
        <w:widowControl w:val="0"/>
        <w:numPr>
          <w:ilvl w:val="0"/>
          <w:numId w:val="3"/>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Privacy &amp; Confidentiality</w:t>
      </w:r>
      <w:r>
        <w:rPr>
          <w:rFonts w:ascii="Courier New" w:eastAsia="Courier New" w:hAnsi="Courier New" w:cs="Courier New"/>
          <w:sz w:val="24"/>
          <w:szCs w:val="24"/>
        </w:rPr>
        <w:t>. This information is disclosed only to the extent consistent with prudent business practices, current regulations, and statutory requirements.</w:t>
      </w:r>
    </w:p>
    <w:p w:rsidR="00771689" w14:paraId="47BF9CC7" w14:textId="77777777">
      <w:pPr>
        <w:spacing w:line="240" w:lineRule="auto"/>
        <w:rPr>
          <w:rFonts w:ascii="Courier New" w:eastAsia="Courier New" w:hAnsi="Courier New" w:cs="Courier New"/>
          <w:sz w:val="24"/>
          <w:szCs w:val="24"/>
        </w:rPr>
      </w:pPr>
    </w:p>
    <w:p w:rsidR="00771689" w14:paraId="1CEE5A02" w14:textId="77777777">
      <w:pPr>
        <w:widowControl w:val="0"/>
        <w:numPr>
          <w:ilvl w:val="0"/>
          <w:numId w:val="3"/>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Sensitive Questions</w:t>
      </w:r>
      <w:r>
        <w:rPr>
          <w:rFonts w:ascii="Courier New" w:eastAsia="Courier New" w:hAnsi="Courier New" w:cs="Courier New"/>
          <w:sz w:val="24"/>
          <w:szCs w:val="24"/>
        </w:rPr>
        <w:t>. No sensitive questions are involved.</w:t>
      </w:r>
    </w:p>
    <w:p w:rsidR="00771689" w14:paraId="7EFFBEC9" w14:textId="77777777">
      <w:pPr>
        <w:spacing w:line="240" w:lineRule="auto"/>
        <w:rPr>
          <w:rFonts w:ascii="Courier New" w:eastAsia="Courier New" w:hAnsi="Courier New" w:cs="Courier New"/>
          <w:sz w:val="24"/>
          <w:szCs w:val="24"/>
        </w:rPr>
      </w:pPr>
    </w:p>
    <w:p w:rsidR="00771689" w14:paraId="344730D6" w14:textId="77777777">
      <w:pPr>
        <w:widowControl w:val="0"/>
        <w:numPr>
          <w:ilvl w:val="0"/>
          <w:numId w:val="3"/>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Burden Estimate.</w:t>
      </w:r>
    </w:p>
    <w:p w:rsidR="00771689" w14:paraId="2A29597C" w14:textId="77777777">
      <w:pPr>
        <w:spacing w:line="240" w:lineRule="auto"/>
        <w:ind w:right="-40"/>
        <w:jc w:val="center"/>
        <w:rPr>
          <w:rFonts w:ascii="Courier New" w:eastAsia="Courier New" w:hAnsi="Courier New" w:cs="Courier New"/>
          <w:sz w:val="24"/>
          <w:szCs w:val="24"/>
        </w:rPr>
      </w:pPr>
      <w:r>
        <w:rPr>
          <w:rFonts w:ascii="Courier New" w:eastAsia="Courier New" w:hAnsi="Courier New" w:cs="Courier New"/>
          <w:b/>
          <w:bCs/>
          <w:sz w:val="24"/>
          <w:szCs w:val="24"/>
        </w:rPr>
        <w:t>Estimated total annual public hour and cost burden</w:t>
      </w:r>
      <w:r>
        <w:rPr>
          <w:rFonts w:ascii="Courier New" w:eastAsia="Courier New" w:hAnsi="Courier New" w:cs="Courier New"/>
          <w:sz w:val="24"/>
          <w:szCs w:val="24"/>
        </w:rPr>
        <w:t>.</w:t>
      </w:r>
    </w:p>
    <w:p w:rsidR="00771689" w14:paraId="0F5AB86D" w14:textId="77777777">
      <w:pPr>
        <w:spacing w:line="240" w:lineRule="auto"/>
        <w:ind w:firstLine="720"/>
        <w:rPr>
          <w:rFonts w:ascii="Courier New" w:eastAsia="Courier New" w:hAnsi="Courier New" w:cs="Courier New"/>
          <w:sz w:val="24"/>
          <w:szCs w:val="24"/>
        </w:rPr>
      </w:pPr>
      <w:bookmarkStart w:id="0" w:name="_heading=h.p8x6jj4r8rq6" w:colFirst="0" w:colLast="0"/>
      <w:bookmarkEnd w:id="0"/>
      <w:r>
        <w:rPr>
          <w:rFonts w:ascii="Courier New" w:eastAsia="Courier New" w:hAnsi="Courier New" w:cs="Courier New"/>
          <w:sz w:val="24"/>
          <w:szCs w:val="24"/>
          <w:highlight w:val="white"/>
        </w:rPr>
        <w:t xml:space="preserve">There are no Governmentwide systems for collecting the number of </w:t>
      </w:r>
      <w:r>
        <w:rPr>
          <w:rFonts w:ascii="Courier New" w:eastAsia="Courier New" w:hAnsi="Courier New" w:cs="Courier New"/>
          <w:sz w:val="24"/>
          <w:szCs w:val="24"/>
          <w:highlight w:val="white"/>
        </w:rPr>
        <w:t>preaward</w:t>
      </w:r>
      <w:r>
        <w:rPr>
          <w:rFonts w:ascii="Courier New" w:eastAsia="Courier New" w:hAnsi="Courier New" w:cs="Courier New"/>
          <w:sz w:val="24"/>
          <w:szCs w:val="24"/>
          <w:highlight w:val="white"/>
        </w:rPr>
        <w:t xml:space="preserve"> surveys completed in a fiscal year as </w:t>
      </w:r>
      <w:r>
        <w:rPr>
          <w:rFonts w:ascii="Courier New" w:eastAsia="Courier New" w:hAnsi="Courier New" w:cs="Courier New"/>
          <w:sz w:val="24"/>
          <w:szCs w:val="24"/>
          <w:highlight w:val="white"/>
        </w:rPr>
        <w:t>preaward</w:t>
      </w:r>
      <w:r>
        <w:rPr>
          <w:rFonts w:ascii="Courier New" w:eastAsia="Courier New" w:hAnsi="Courier New" w:cs="Courier New"/>
          <w:sz w:val="24"/>
          <w:szCs w:val="24"/>
          <w:highlight w:val="white"/>
        </w:rPr>
        <w:t xml:space="preserve"> surveys are only </w:t>
      </w:r>
      <w:r>
        <w:rPr>
          <w:rFonts w:ascii="Courier New" w:eastAsia="Courier New" w:hAnsi="Courier New" w:cs="Courier New"/>
          <w:sz w:val="24"/>
          <w:szCs w:val="24"/>
        </w:rPr>
        <w:t>required in limited circumstances where information for the prospective contractor cannot be obtained by the contracting officer to make an affirmative statement of responsibility.</w:t>
      </w:r>
      <w:r>
        <w:rPr>
          <w:rFonts w:ascii="Courier New" w:eastAsia="Courier New" w:hAnsi="Courier New" w:cs="Courier New"/>
          <w:sz w:val="24"/>
          <w:szCs w:val="24"/>
        </w:rPr>
        <w:br/>
      </w:r>
      <w:r>
        <w:rPr>
          <w:rFonts w:ascii="Courier New" w:eastAsia="Courier New" w:hAnsi="Courier New" w:cs="Courier New"/>
          <w:sz w:val="24"/>
          <w:szCs w:val="24"/>
        </w:rPr>
        <w:br/>
        <w:t xml:space="preserve">     A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would be needed only if the firm had not </w:t>
      </w:r>
      <w:r>
        <w:rPr>
          <w:rFonts w:ascii="Courier New" w:eastAsia="Courier New" w:hAnsi="Courier New" w:cs="Courier New"/>
          <w:sz w:val="24"/>
          <w:szCs w:val="24"/>
        </w:rPr>
        <w:t xml:space="preserve">previously been a </w:t>
      </w:r>
      <w:r>
        <w:rPr>
          <w:rFonts w:ascii="Courier New" w:eastAsia="Courier New" w:hAnsi="Courier New" w:cs="Courier New"/>
          <w:sz w:val="24"/>
          <w:szCs w:val="24"/>
        </w:rPr>
        <w:t>Government</w:t>
      </w:r>
      <w:r>
        <w:rPr>
          <w:rFonts w:ascii="Courier New" w:eastAsia="Courier New" w:hAnsi="Courier New" w:cs="Courier New"/>
          <w:sz w:val="24"/>
          <w:szCs w:val="24"/>
        </w:rPr>
        <w:t xml:space="preserve"> contractor and therefore had no record of past performance. The following estimates are based on averages of historical award data available in SAM.gov for fiscal years 2023 through 2025. Accordingly, a total of 1,593 contracts were awarded by the General Services Administration (GSA) valued over the SAT ($350,000), and for which commercial acquisition procedures were not used. The estimate for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surveys is 15% of the total or 239 (15% of 1,593). Of the six standard forms, we estimated that the SF 1403 is used most frequently because it is a general form and accounts for 30 percent or 72 times, SFs 1404 and 1407 account for 15 percent or 36 times each, SF 1408 accounts for 20 percent or 48 times, and SFs 1405 and 1406 account 10 percent or 24 times each.</w:t>
      </w:r>
      <w:r>
        <w:rPr>
          <w:rFonts w:ascii="Courier New" w:eastAsia="Courier New" w:hAnsi="Courier New" w:cs="Courier New"/>
          <w:sz w:val="24"/>
          <w:szCs w:val="24"/>
        </w:rPr>
        <w:br/>
      </w:r>
      <w:r>
        <w:rPr>
          <w:rFonts w:ascii="Courier New" w:eastAsia="Courier New" w:hAnsi="Courier New" w:cs="Courier New"/>
          <w:sz w:val="24"/>
          <w:szCs w:val="24"/>
          <w:highlight w:val="white"/>
        </w:rPr>
        <w:t xml:space="preserve">     </w:t>
      </w:r>
      <w:r>
        <w:rPr>
          <w:rFonts w:ascii="Courier New" w:eastAsia="Courier New" w:hAnsi="Courier New" w:cs="Courier New"/>
          <w:sz w:val="24"/>
          <w:szCs w:val="24"/>
          <w:highlight w:val="white"/>
        </w:rPr>
        <w:br/>
        <w:t xml:space="preserve">     After consultation with subject matter experts, it was determined that the time</w:t>
      </w:r>
      <w:r>
        <w:rPr>
          <w:rFonts w:ascii="Courier New" w:eastAsia="Courier New" w:hAnsi="Courier New" w:cs="Courier New"/>
          <w:sz w:val="24"/>
          <w:szCs w:val="24"/>
        </w:rPr>
        <w:t xml:space="preserve"> required to prepare and </w:t>
      </w:r>
      <w:r>
        <w:rPr>
          <w:rFonts w:ascii="Courier New" w:eastAsia="Courier New" w:hAnsi="Courier New" w:cs="Courier New"/>
          <w:sz w:val="24"/>
          <w:szCs w:val="24"/>
          <w:highlight w:val="white"/>
        </w:rPr>
        <w:t xml:space="preserve">complete the standard forms </w:t>
      </w:r>
      <w:r>
        <w:rPr>
          <w:rFonts w:ascii="Courier New" w:eastAsia="Courier New" w:hAnsi="Courier New" w:cs="Courier New"/>
          <w:sz w:val="24"/>
          <w:szCs w:val="24"/>
        </w:rPr>
        <w:t xml:space="preserve">is estimated at 24 hours per response. Because </w:t>
      </w:r>
      <w:r>
        <w:rPr>
          <w:rFonts w:ascii="Courier New" w:eastAsia="Courier New" w:hAnsi="Courier New" w:cs="Courier New"/>
          <w:sz w:val="24"/>
          <w:szCs w:val="24"/>
        </w:rPr>
        <w:t>preaward</w:t>
      </w:r>
      <w:r>
        <w:rPr>
          <w:rFonts w:ascii="Courier New" w:eastAsia="Courier New" w:hAnsi="Courier New" w:cs="Courier New"/>
          <w:sz w:val="24"/>
          <w:szCs w:val="24"/>
        </w:rPr>
        <w:t xml:space="preserve"> survey data is generally used for multiple contracts awarded within a </w:t>
      </w:r>
      <w:r>
        <w:rPr>
          <w:rFonts w:ascii="Courier New" w:eastAsia="Courier New" w:hAnsi="Courier New" w:cs="Courier New"/>
          <w:sz w:val="24"/>
          <w:szCs w:val="24"/>
        </w:rPr>
        <w:t>12 month</w:t>
      </w:r>
      <w:r>
        <w:rPr>
          <w:rFonts w:ascii="Courier New" w:eastAsia="Courier New" w:hAnsi="Courier New" w:cs="Courier New"/>
          <w:sz w:val="24"/>
          <w:szCs w:val="24"/>
        </w:rPr>
        <w:t xml:space="preserve"> period, it is estimated that only one (1) response would be reported annually per respondent per form.</w:t>
      </w:r>
    </w:p>
    <w:p w:rsidR="00771689" w14:paraId="2661E0ED" w14:textId="77777777">
      <w:pPr>
        <w:rPr>
          <w:rFonts w:ascii="Courier New" w:eastAsia="Courier New" w:hAnsi="Courier New" w:cs="Courier New"/>
          <w:sz w:val="24"/>
          <w:szCs w:val="24"/>
        </w:rPr>
      </w:pPr>
    </w:p>
    <w:p w:rsidR="00771689" w14:paraId="13FEA7D6" w14:textId="77777777">
      <w:pPr>
        <w:spacing w:line="240" w:lineRule="auto"/>
        <w:rPr>
          <w:rFonts w:ascii="Courier New" w:eastAsia="Courier New" w:hAnsi="Courier New" w:cs="Courier New"/>
          <w:b/>
          <w:bCs/>
          <w:sz w:val="24"/>
          <w:szCs w:val="24"/>
          <w:u w:val="single"/>
        </w:rPr>
      </w:pPr>
      <w:r>
        <w:rPr>
          <w:rFonts w:ascii="Courier New" w:eastAsia="Courier New" w:hAnsi="Courier New" w:cs="Courier New"/>
          <w:b/>
          <w:bCs/>
          <w:sz w:val="24"/>
          <w:szCs w:val="24"/>
          <w:u w:val="single"/>
        </w:rPr>
        <w:t>General Services Administration</w:t>
      </w:r>
    </w:p>
    <w:p w:rsidR="00771689" w14:paraId="2B797803" w14:textId="77777777">
      <w:pPr>
        <w:spacing w:line="240" w:lineRule="auto"/>
        <w:ind w:right="-40"/>
        <w:rPr>
          <w:rFonts w:ascii="Courier New" w:eastAsia="Courier New" w:hAnsi="Courier New" w:cs="Courier New"/>
          <w:sz w:val="24"/>
          <w:szCs w:val="24"/>
        </w:rPr>
      </w:pPr>
    </w:p>
    <w:tbl>
      <w:tblPr>
        <w:tblStyle w:val="a2"/>
        <w:tblW w:w="9360" w:type="dxa"/>
        <w:tblBorders>
          <w:top w:val="nil"/>
          <w:left w:val="nil"/>
          <w:bottom w:val="nil"/>
          <w:right w:val="nil"/>
          <w:insideH w:val="nil"/>
          <w:insideV w:val="nil"/>
        </w:tblBorders>
        <w:tblLayout w:type="fixed"/>
        <w:tblLook w:val="0600"/>
      </w:tblPr>
      <w:tblGrid>
        <w:gridCol w:w="2456"/>
        <w:gridCol w:w="969"/>
        <w:gridCol w:w="969"/>
        <w:gridCol w:w="970"/>
        <w:gridCol w:w="970"/>
        <w:gridCol w:w="970"/>
        <w:gridCol w:w="970"/>
        <w:gridCol w:w="1086"/>
      </w:tblGrid>
      <w:tr w14:paraId="03D3319F" w14:textId="77777777">
        <w:tblPrEx>
          <w:tblW w:w="9360" w:type="dxa"/>
          <w:tblBorders>
            <w:top w:val="nil"/>
            <w:left w:val="nil"/>
            <w:bottom w:val="nil"/>
            <w:right w:val="nil"/>
            <w:insideH w:val="nil"/>
            <w:insideV w:val="nil"/>
          </w:tblBorders>
          <w:tblLayout w:type="fixed"/>
          <w:tblLook w:val="0600"/>
        </w:tblPrEx>
        <w:trPr>
          <w:trHeight w:val="300"/>
        </w:trPr>
        <w:tc>
          <w:tcPr>
            <w:tcW w:w="245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6DFDD890" w14:textId="77777777">
            <w:pPr>
              <w:widowControl w:val="0"/>
              <w:rPr>
                <w:sz w:val="24"/>
                <w:szCs w:val="24"/>
              </w:rPr>
            </w:pPr>
            <w:r>
              <w:rPr>
                <w:sz w:val="20"/>
                <w:szCs w:val="20"/>
              </w:rPr>
              <w:t>Standard Form</w:t>
            </w:r>
          </w:p>
        </w:tc>
        <w:tc>
          <w:tcPr>
            <w:tcW w:w="969"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3E6A0579" w14:textId="77777777">
            <w:pPr>
              <w:widowControl w:val="0"/>
              <w:jc w:val="center"/>
              <w:rPr>
                <w:sz w:val="24"/>
                <w:szCs w:val="24"/>
              </w:rPr>
            </w:pPr>
            <w:r>
              <w:rPr>
                <w:sz w:val="20"/>
                <w:szCs w:val="20"/>
                <w:u w:val="single"/>
              </w:rPr>
              <w:t>1403</w:t>
            </w:r>
          </w:p>
        </w:tc>
        <w:tc>
          <w:tcPr>
            <w:tcW w:w="969"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0460C1DC" w14:textId="77777777">
            <w:pPr>
              <w:widowControl w:val="0"/>
              <w:jc w:val="center"/>
              <w:rPr>
                <w:sz w:val="24"/>
                <w:szCs w:val="24"/>
              </w:rPr>
            </w:pPr>
            <w:r>
              <w:rPr>
                <w:sz w:val="20"/>
                <w:szCs w:val="20"/>
                <w:u w:val="single"/>
              </w:rPr>
              <w:t>1404</w:t>
            </w:r>
          </w:p>
        </w:tc>
        <w:tc>
          <w:tcPr>
            <w:tcW w:w="9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0EF9D2AB" w14:textId="77777777">
            <w:pPr>
              <w:widowControl w:val="0"/>
              <w:jc w:val="center"/>
              <w:rPr>
                <w:sz w:val="24"/>
                <w:szCs w:val="24"/>
              </w:rPr>
            </w:pPr>
            <w:r>
              <w:rPr>
                <w:sz w:val="20"/>
                <w:szCs w:val="20"/>
                <w:u w:val="single"/>
              </w:rPr>
              <w:t>1405</w:t>
            </w:r>
          </w:p>
        </w:tc>
        <w:tc>
          <w:tcPr>
            <w:tcW w:w="9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21139103" w14:textId="77777777">
            <w:pPr>
              <w:widowControl w:val="0"/>
              <w:jc w:val="center"/>
              <w:rPr>
                <w:sz w:val="24"/>
                <w:szCs w:val="24"/>
              </w:rPr>
            </w:pPr>
            <w:r>
              <w:rPr>
                <w:sz w:val="20"/>
                <w:szCs w:val="20"/>
                <w:u w:val="single"/>
              </w:rPr>
              <w:t>1406</w:t>
            </w:r>
          </w:p>
        </w:tc>
        <w:tc>
          <w:tcPr>
            <w:tcW w:w="9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06AEDDFC" w14:textId="77777777">
            <w:pPr>
              <w:widowControl w:val="0"/>
              <w:jc w:val="center"/>
              <w:rPr>
                <w:sz w:val="24"/>
                <w:szCs w:val="24"/>
              </w:rPr>
            </w:pPr>
            <w:r>
              <w:rPr>
                <w:sz w:val="20"/>
                <w:szCs w:val="20"/>
                <w:u w:val="single"/>
              </w:rPr>
              <w:t>1407</w:t>
            </w:r>
          </w:p>
        </w:tc>
        <w:tc>
          <w:tcPr>
            <w:tcW w:w="9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7D86C15E" w14:textId="77777777">
            <w:pPr>
              <w:widowControl w:val="0"/>
              <w:jc w:val="center"/>
              <w:rPr>
                <w:sz w:val="24"/>
                <w:szCs w:val="24"/>
              </w:rPr>
            </w:pPr>
            <w:r>
              <w:rPr>
                <w:sz w:val="20"/>
                <w:szCs w:val="20"/>
                <w:u w:val="single"/>
              </w:rPr>
              <w:t>1408</w:t>
            </w:r>
          </w:p>
        </w:tc>
        <w:tc>
          <w:tcPr>
            <w:tcW w:w="1086"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35B53586" w14:textId="77777777">
            <w:pPr>
              <w:widowControl w:val="0"/>
              <w:jc w:val="center"/>
              <w:rPr>
                <w:sz w:val="24"/>
                <w:szCs w:val="24"/>
              </w:rPr>
            </w:pPr>
            <w:r>
              <w:rPr>
                <w:sz w:val="20"/>
                <w:szCs w:val="20"/>
                <w:u w:val="single"/>
              </w:rPr>
              <w:t>Total</w:t>
            </w:r>
          </w:p>
        </w:tc>
      </w:tr>
      <w:tr w14:paraId="163B47D2" w14:textId="77777777">
        <w:tblPrEx>
          <w:tblW w:w="9360" w:type="dxa"/>
          <w:tblLayout w:type="fixed"/>
          <w:tblLook w:val="0600"/>
        </w:tblPrEx>
        <w:trPr>
          <w:trHeight w:val="300"/>
        </w:trPr>
        <w:tc>
          <w:tcPr>
            <w:tcW w:w="2456"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58234F5E" w14:textId="77777777">
            <w:pPr>
              <w:widowControl w:val="0"/>
              <w:rPr>
                <w:sz w:val="24"/>
                <w:szCs w:val="24"/>
              </w:rPr>
            </w:pPr>
            <w:r>
              <w:rPr>
                <w:sz w:val="20"/>
                <w:szCs w:val="20"/>
              </w:rPr>
              <w:t>Estimated respondents/yr</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DA8A23D" w14:textId="77777777">
            <w:pPr>
              <w:widowControl w:val="0"/>
              <w:jc w:val="center"/>
              <w:rPr>
                <w:sz w:val="24"/>
                <w:szCs w:val="24"/>
              </w:rPr>
            </w:pPr>
            <w:r>
              <w:rPr>
                <w:sz w:val="20"/>
                <w:szCs w:val="20"/>
              </w:rPr>
              <w:t>72</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2964D6E1" w14:textId="77777777">
            <w:pPr>
              <w:widowControl w:val="0"/>
              <w:jc w:val="center"/>
              <w:rPr>
                <w:sz w:val="24"/>
                <w:szCs w:val="24"/>
              </w:rPr>
            </w:pPr>
            <w:r>
              <w:rPr>
                <w:sz w:val="20"/>
                <w:szCs w:val="20"/>
              </w:rPr>
              <w:t>36</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1C942B9D" w14:textId="77777777">
            <w:pPr>
              <w:widowControl w:val="0"/>
              <w:jc w:val="center"/>
              <w:rPr>
                <w:sz w:val="24"/>
                <w:szCs w:val="24"/>
              </w:rPr>
            </w:pPr>
            <w:r>
              <w:rPr>
                <w:sz w:val="20"/>
                <w:szCs w:val="20"/>
              </w:rPr>
              <w:t>24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7B59F083" w14:textId="77777777">
            <w:pPr>
              <w:widowControl w:val="0"/>
              <w:jc w:val="center"/>
              <w:rPr>
                <w:sz w:val="24"/>
                <w:szCs w:val="24"/>
              </w:rPr>
            </w:pPr>
            <w:r>
              <w:rPr>
                <w:sz w:val="20"/>
                <w:szCs w:val="20"/>
              </w:rPr>
              <w:t>24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46CC08F" w14:textId="77777777">
            <w:pPr>
              <w:widowControl w:val="0"/>
              <w:jc w:val="center"/>
              <w:rPr>
                <w:sz w:val="24"/>
                <w:szCs w:val="24"/>
              </w:rPr>
            </w:pPr>
            <w:r>
              <w:rPr>
                <w:sz w:val="20"/>
                <w:szCs w:val="20"/>
              </w:rPr>
              <w:t>36</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1B24083E" w14:textId="77777777">
            <w:pPr>
              <w:widowControl w:val="0"/>
              <w:jc w:val="center"/>
              <w:rPr>
                <w:sz w:val="24"/>
                <w:szCs w:val="24"/>
              </w:rPr>
            </w:pPr>
            <w:r>
              <w:rPr>
                <w:sz w:val="20"/>
                <w:szCs w:val="20"/>
              </w:rPr>
              <w:t>48</w:t>
            </w:r>
          </w:p>
        </w:tc>
        <w:tc>
          <w:tcPr>
            <w:tcW w:w="1086"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05CE147" w14:textId="77777777">
            <w:pPr>
              <w:widowControl w:val="0"/>
              <w:jc w:val="right"/>
              <w:rPr>
                <w:sz w:val="24"/>
                <w:szCs w:val="24"/>
              </w:rPr>
            </w:pPr>
            <w:r>
              <w:rPr>
                <w:sz w:val="20"/>
                <w:szCs w:val="20"/>
              </w:rPr>
              <w:t>239</w:t>
            </w:r>
          </w:p>
        </w:tc>
      </w:tr>
      <w:tr w14:paraId="69CDC9CE" w14:textId="77777777">
        <w:tblPrEx>
          <w:tblW w:w="9360" w:type="dxa"/>
          <w:tblLayout w:type="fixed"/>
          <w:tblLook w:val="0600"/>
        </w:tblPrEx>
        <w:trPr>
          <w:trHeight w:val="300"/>
        </w:trPr>
        <w:tc>
          <w:tcPr>
            <w:tcW w:w="2456"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7B3F13C2" w14:textId="77777777">
            <w:pPr>
              <w:widowControl w:val="0"/>
              <w:rPr>
                <w:sz w:val="24"/>
                <w:szCs w:val="24"/>
              </w:rPr>
            </w:pPr>
            <w:r>
              <w:rPr>
                <w:sz w:val="20"/>
                <w:szCs w:val="20"/>
              </w:rPr>
              <w:t>Responses annually</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3DE5FCD4" w14:textId="77777777">
            <w:pPr>
              <w:widowControl w:val="0"/>
              <w:jc w:val="center"/>
              <w:rPr>
                <w:sz w:val="24"/>
                <w:szCs w:val="24"/>
              </w:rPr>
            </w:pPr>
            <w:r>
              <w:rPr>
                <w:sz w:val="20"/>
                <w:szCs w:val="20"/>
              </w:rPr>
              <w:t>1</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3B211487" w14:textId="77777777">
            <w:pPr>
              <w:widowControl w:val="0"/>
              <w:jc w:val="center"/>
              <w:rPr>
                <w:sz w:val="24"/>
                <w:szCs w:val="24"/>
              </w:rPr>
            </w:pPr>
            <w:r>
              <w:rPr>
                <w:sz w:val="20"/>
                <w:szCs w:val="20"/>
              </w:rPr>
              <w:t>1</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7F1D4BC4" w14:textId="77777777">
            <w:pPr>
              <w:widowControl w:val="0"/>
              <w:jc w:val="center"/>
              <w:rPr>
                <w:sz w:val="24"/>
                <w:szCs w:val="24"/>
              </w:rPr>
            </w:pPr>
            <w:r>
              <w:rPr>
                <w:sz w:val="20"/>
                <w:szCs w:val="20"/>
              </w:rPr>
              <w:t>1</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21F09E68" w14:textId="77777777">
            <w:pPr>
              <w:widowControl w:val="0"/>
              <w:jc w:val="center"/>
              <w:rPr>
                <w:sz w:val="24"/>
                <w:szCs w:val="24"/>
              </w:rPr>
            </w:pPr>
            <w:r>
              <w:rPr>
                <w:sz w:val="20"/>
                <w:szCs w:val="20"/>
              </w:rPr>
              <w:t>1</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26F9CD88" w14:textId="77777777">
            <w:pPr>
              <w:widowControl w:val="0"/>
              <w:jc w:val="center"/>
              <w:rPr>
                <w:sz w:val="24"/>
                <w:szCs w:val="24"/>
              </w:rPr>
            </w:pPr>
            <w:r>
              <w:rPr>
                <w:sz w:val="20"/>
                <w:szCs w:val="20"/>
              </w:rPr>
              <w:t>1</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84E9466" w14:textId="77777777">
            <w:pPr>
              <w:widowControl w:val="0"/>
              <w:jc w:val="center"/>
              <w:rPr>
                <w:sz w:val="24"/>
                <w:szCs w:val="24"/>
              </w:rPr>
            </w:pPr>
            <w:r>
              <w:rPr>
                <w:sz w:val="20"/>
                <w:szCs w:val="20"/>
              </w:rPr>
              <w:t>1</w:t>
            </w:r>
          </w:p>
        </w:tc>
        <w:tc>
          <w:tcPr>
            <w:tcW w:w="1086"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99FFD85" w14:textId="77777777">
            <w:pPr>
              <w:widowControl w:val="0"/>
              <w:jc w:val="right"/>
              <w:rPr>
                <w:sz w:val="24"/>
                <w:szCs w:val="24"/>
              </w:rPr>
            </w:pPr>
            <w:r>
              <w:rPr>
                <w:sz w:val="20"/>
                <w:szCs w:val="20"/>
              </w:rPr>
              <w:t>1</w:t>
            </w:r>
          </w:p>
        </w:tc>
      </w:tr>
      <w:tr w14:paraId="279C0A91" w14:textId="77777777">
        <w:tblPrEx>
          <w:tblW w:w="9360" w:type="dxa"/>
          <w:tblLayout w:type="fixed"/>
          <w:tblLook w:val="0600"/>
        </w:tblPrEx>
        <w:trPr>
          <w:trHeight w:val="300"/>
        </w:trPr>
        <w:tc>
          <w:tcPr>
            <w:tcW w:w="2456"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16C3D2A8" w14:textId="77777777">
            <w:pPr>
              <w:widowControl w:val="0"/>
              <w:rPr>
                <w:sz w:val="24"/>
                <w:szCs w:val="24"/>
              </w:rPr>
            </w:pPr>
            <w:r>
              <w:rPr>
                <w:sz w:val="20"/>
                <w:szCs w:val="20"/>
              </w:rPr>
              <w:t>Total annual responses</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7175434E" w14:textId="77777777">
            <w:pPr>
              <w:widowControl w:val="0"/>
              <w:jc w:val="center"/>
              <w:rPr>
                <w:sz w:val="24"/>
                <w:szCs w:val="24"/>
              </w:rPr>
            </w:pPr>
            <w:r>
              <w:rPr>
                <w:sz w:val="20"/>
                <w:szCs w:val="20"/>
              </w:rPr>
              <w:t>72</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3AA40418" w14:textId="77777777">
            <w:pPr>
              <w:widowControl w:val="0"/>
              <w:jc w:val="center"/>
              <w:rPr>
                <w:sz w:val="24"/>
                <w:szCs w:val="24"/>
              </w:rPr>
            </w:pPr>
            <w:r>
              <w:rPr>
                <w:sz w:val="20"/>
                <w:szCs w:val="20"/>
              </w:rPr>
              <w:t>36</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13DD0D4" w14:textId="77777777">
            <w:pPr>
              <w:widowControl w:val="0"/>
              <w:jc w:val="center"/>
              <w:rPr>
                <w:sz w:val="24"/>
                <w:szCs w:val="24"/>
              </w:rPr>
            </w:pPr>
            <w:r>
              <w:rPr>
                <w:sz w:val="20"/>
                <w:szCs w:val="20"/>
              </w:rPr>
              <w:t>24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7B81331F" w14:textId="77777777">
            <w:pPr>
              <w:widowControl w:val="0"/>
              <w:jc w:val="center"/>
              <w:rPr>
                <w:sz w:val="24"/>
                <w:szCs w:val="24"/>
              </w:rPr>
            </w:pPr>
            <w:r>
              <w:rPr>
                <w:sz w:val="20"/>
                <w:szCs w:val="20"/>
              </w:rPr>
              <w:t>24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269331DC" w14:textId="77777777">
            <w:pPr>
              <w:widowControl w:val="0"/>
              <w:jc w:val="center"/>
              <w:rPr>
                <w:sz w:val="24"/>
                <w:szCs w:val="24"/>
              </w:rPr>
            </w:pPr>
            <w:r>
              <w:rPr>
                <w:sz w:val="20"/>
                <w:szCs w:val="20"/>
              </w:rPr>
              <w:t>36</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77EC99AA" w14:textId="77777777">
            <w:pPr>
              <w:widowControl w:val="0"/>
              <w:jc w:val="center"/>
              <w:rPr>
                <w:sz w:val="24"/>
                <w:szCs w:val="24"/>
              </w:rPr>
            </w:pPr>
            <w:r>
              <w:rPr>
                <w:sz w:val="20"/>
                <w:szCs w:val="20"/>
              </w:rPr>
              <w:t>48</w:t>
            </w:r>
          </w:p>
        </w:tc>
        <w:tc>
          <w:tcPr>
            <w:tcW w:w="1086"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ACFF94E" w14:textId="77777777">
            <w:pPr>
              <w:widowControl w:val="0"/>
              <w:jc w:val="right"/>
              <w:rPr>
                <w:sz w:val="24"/>
                <w:szCs w:val="24"/>
              </w:rPr>
            </w:pPr>
            <w:r>
              <w:rPr>
                <w:sz w:val="20"/>
                <w:szCs w:val="20"/>
              </w:rPr>
              <w:t>239</w:t>
            </w:r>
          </w:p>
        </w:tc>
      </w:tr>
      <w:tr w14:paraId="3B4377CD" w14:textId="77777777">
        <w:tblPrEx>
          <w:tblW w:w="9360" w:type="dxa"/>
          <w:tblLayout w:type="fixed"/>
          <w:tblLook w:val="0600"/>
        </w:tblPrEx>
        <w:trPr>
          <w:trHeight w:val="300"/>
        </w:trPr>
        <w:tc>
          <w:tcPr>
            <w:tcW w:w="2456"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284E1F5D" w14:textId="77777777">
            <w:pPr>
              <w:widowControl w:val="0"/>
              <w:rPr>
                <w:sz w:val="24"/>
                <w:szCs w:val="24"/>
              </w:rPr>
            </w:pPr>
            <w:r>
              <w:rPr>
                <w:sz w:val="20"/>
                <w:szCs w:val="20"/>
              </w:rPr>
              <w:t xml:space="preserve">Estimated </w:t>
            </w:r>
            <w:r>
              <w:rPr>
                <w:sz w:val="20"/>
                <w:szCs w:val="20"/>
              </w:rPr>
              <w:t>hrs</w:t>
            </w:r>
            <w:r>
              <w:rPr>
                <w:sz w:val="20"/>
                <w:szCs w:val="20"/>
              </w:rPr>
              <w:t>/response</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815FF96" w14:textId="77777777">
            <w:pPr>
              <w:widowControl w:val="0"/>
              <w:jc w:val="center"/>
              <w:rPr>
                <w:sz w:val="24"/>
                <w:szCs w:val="24"/>
              </w:rPr>
            </w:pPr>
            <w:r>
              <w:rPr>
                <w:sz w:val="20"/>
                <w:szCs w:val="20"/>
              </w:rPr>
              <w:t>24</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EFAFE4C" w14:textId="77777777">
            <w:pPr>
              <w:widowControl w:val="0"/>
              <w:jc w:val="center"/>
              <w:rPr>
                <w:sz w:val="24"/>
                <w:szCs w:val="24"/>
              </w:rPr>
            </w:pPr>
            <w:r>
              <w:rPr>
                <w:sz w:val="20"/>
                <w:szCs w:val="20"/>
              </w:rPr>
              <w:t>24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DFA9D86" w14:textId="77777777">
            <w:pPr>
              <w:widowControl w:val="0"/>
              <w:jc w:val="center"/>
              <w:rPr>
                <w:sz w:val="24"/>
                <w:szCs w:val="24"/>
              </w:rPr>
            </w:pPr>
            <w:r>
              <w:rPr>
                <w:sz w:val="20"/>
                <w:szCs w:val="20"/>
              </w:rPr>
              <w:t>24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7279F771" w14:textId="77777777">
            <w:pPr>
              <w:widowControl w:val="0"/>
              <w:jc w:val="center"/>
              <w:rPr>
                <w:sz w:val="24"/>
                <w:szCs w:val="24"/>
              </w:rPr>
            </w:pPr>
            <w:r>
              <w:rPr>
                <w:sz w:val="20"/>
                <w:szCs w:val="20"/>
              </w:rPr>
              <w:t>24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C169B1E" w14:textId="77777777">
            <w:pPr>
              <w:widowControl w:val="0"/>
              <w:jc w:val="center"/>
              <w:rPr>
                <w:sz w:val="24"/>
                <w:szCs w:val="24"/>
              </w:rPr>
            </w:pPr>
            <w:r>
              <w:rPr>
                <w:sz w:val="20"/>
                <w:szCs w:val="20"/>
              </w:rPr>
              <w:t>24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1A49AB7D" w14:textId="77777777">
            <w:pPr>
              <w:widowControl w:val="0"/>
              <w:jc w:val="center"/>
              <w:rPr>
                <w:sz w:val="24"/>
                <w:szCs w:val="24"/>
              </w:rPr>
            </w:pPr>
            <w:r>
              <w:rPr>
                <w:sz w:val="20"/>
                <w:szCs w:val="20"/>
              </w:rPr>
              <w:t>24</w:t>
            </w:r>
          </w:p>
        </w:tc>
        <w:tc>
          <w:tcPr>
            <w:tcW w:w="1086"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174488DE" w14:textId="77777777">
            <w:pPr>
              <w:widowControl w:val="0"/>
              <w:jc w:val="right"/>
              <w:rPr>
                <w:sz w:val="24"/>
                <w:szCs w:val="24"/>
              </w:rPr>
            </w:pPr>
            <w:r>
              <w:rPr>
                <w:sz w:val="20"/>
                <w:szCs w:val="20"/>
              </w:rPr>
              <w:t>24</w:t>
            </w:r>
          </w:p>
        </w:tc>
      </w:tr>
      <w:tr w14:paraId="426881E6" w14:textId="77777777">
        <w:tblPrEx>
          <w:tblW w:w="9360" w:type="dxa"/>
          <w:tblLayout w:type="fixed"/>
          <w:tblLook w:val="0600"/>
        </w:tblPrEx>
        <w:trPr>
          <w:trHeight w:val="300"/>
        </w:trPr>
        <w:tc>
          <w:tcPr>
            <w:tcW w:w="2456"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2657D46F" w14:textId="77777777">
            <w:pPr>
              <w:widowControl w:val="0"/>
              <w:rPr>
                <w:sz w:val="24"/>
                <w:szCs w:val="24"/>
              </w:rPr>
            </w:pPr>
            <w:r>
              <w:rPr>
                <w:sz w:val="20"/>
                <w:szCs w:val="20"/>
              </w:rPr>
              <w:t xml:space="preserve">Estimated total burden </w:t>
            </w:r>
            <w:r>
              <w:rPr>
                <w:sz w:val="20"/>
                <w:szCs w:val="20"/>
              </w:rPr>
              <w:t>hrs</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127D5B74" w14:textId="77777777">
            <w:pPr>
              <w:widowControl w:val="0"/>
              <w:jc w:val="center"/>
              <w:rPr>
                <w:sz w:val="24"/>
                <w:szCs w:val="24"/>
              </w:rPr>
            </w:pPr>
            <w:r>
              <w:rPr>
                <w:sz w:val="20"/>
                <w:szCs w:val="20"/>
              </w:rPr>
              <w:t>1721</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6E2A1C4C" w14:textId="77777777">
            <w:pPr>
              <w:widowControl w:val="0"/>
              <w:jc w:val="center"/>
              <w:rPr>
                <w:sz w:val="24"/>
                <w:szCs w:val="24"/>
              </w:rPr>
            </w:pPr>
            <w:r>
              <w:rPr>
                <w:sz w:val="20"/>
                <w:szCs w:val="20"/>
              </w:rPr>
              <w:t>860.4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608C816C" w14:textId="77777777">
            <w:pPr>
              <w:widowControl w:val="0"/>
              <w:jc w:val="center"/>
              <w:rPr>
                <w:sz w:val="24"/>
                <w:szCs w:val="24"/>
              </w:rPr>
            </w:pPr>
            <w:r>
              <w:rPr>
                <w:sz w:val="20"/>
                <w:szCs w:val="20"/>
              </w:rPr>
              <w:t>573.6</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094E0925" w14:textId="77777777">
            <w:pPr>
              <w:widowControl w:val="0"/>
              <w:jc w:val="center"/>
              <w:rPr>
                <w:sz w:val="24"/>
                <w:szCs w:val="24"/>
              </w:rPr>
            </w:pPr>
            <w:r>
              <w:rPr>
                <w:sz w:val="20"/>
                <w:szCs w:val="20"/>
              </w:rPr>
              <w:t>573.6</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11C17C0E" w14:textId="77777777">
            <w:pPr>
              <w:widowControl w:val="0"/>
              <w:jc w:val="center"/>
              <w:rPr>
                <w:sz w:val="24"/>
                <w:szCs w:val="24"/>
              </w:rPr>
            </w:pPr>
            <w:r>
              <w:rPr>
                <w:sz w:val="20"/>
                <w:szCs w:val="20"/>
              </w:rPr>
              <w:t>860.4</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6C0CD9F" w14:textId="77777777">
            <w:pPr>
              <w:widowControl w:val="0"/>
              <w:jc w:val="center"/>
              <w:rPr>
                <w:sz w:val="24"/>
                <w:szCs w:val="24"/>
              </w:rPr>
            </w:pPr>
            <w:r>
              <w:rPr>
                <w:sz w:val="20"/>
                <w:szCs w:val="20"/>
              </w:rPr>
              <w:t>1147.2</w:t>
            </w:r>
          </w:p>
        </w:tc>
        <w:tc>
          <w:tcPr>
            <w:tcW w:w="1086"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6D9D30DD" w14:textId="77777777">
            <w:pPr>
              <w:widowControl w:val="0"/>
              <w:jc w:val="right"/>
              <w:rPr>
                <w:sz w:val="24"/>
                <w:szCs w:val="24"/>
              </w:rPr>
            </w:pPr>
            <w:r>
              <w:rPr>
                <w:sz w:val="20"/>
                <w:szCs w:val="20"/>
              </w:rPr>
              <w:t>5736</w:t>
            </w:r>
          </w:p>
        </w:tc>
      </w:tr>
      <w:tr w14:paraId="1203D5A5" w14:textId="77777777">
        <w:tblPrEx>
          <w:tblW w:w="9360" w:type="dxa"/>
          <w:tblLayout w:type="fixed"/>
          <w:tblLook w:val="0600"/>
        </w:tblPrEx>
        <w:trPr>
          <w:trHeight w:val="300"/>
        </w:trPr>
        <w:tc>
          <w:tcPr>
            <w:tcW w:w="2456"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3E4C38E2" w14:textId="77777777">
            <w:pPr>
              <w:widowControl w:val="0"/>
              <w:rPr>
                <w:sz w:val="24"/>
                <w:szCs w:val="24"/>
              </w:rPr>
            </w:pPr>
            <w:r>
              <w:rPr>
                <w:sz w:val="20"/>
                <w:szCs w:val="20"/>
              </w:rPr>
              <w:t>Hourly rate (</w:t>
            </w:r>
            <w:r>
              <w:rPr>
                <w:sz w:val="20"/>
                <w:szCs w:val="20"/>
              </w:rPr>
              <w:t>$)*</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0D2F1843" w14:textId="77777777">
            <w:pPr>
              <w:widowControl w:val="0"/>
              <w:jc w:val="center"/>
              <w:rPr>
                <w:sz w:val="24"/>
                <w:szCs w:val="24"/>
              </w:rPr>
            </w:pPr>
            <w:r>
              <w:rPr>
                <w:sz w:val="20"/>
                <w:szCs w:val="20"/>
              </w:rPr>
              <w:t>72</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62C273DE" w14:textId="77777777">
            <w:pPr>
              <w:widowControl w:val="0"/>
              <w:jc w:val="center"/>
              <w:rPr>
                <w:sz w:val="24"/>
                <w:szCs w:val="24"/>
              </w:rPr>
            </w:pPr>
            <w:r>
              <w:rPr>
                <w:sz w:val="20"/>
                <w:szCs w:val="20"/>
              </w:rPr>
              <w:t>72</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8E3E7F5" w14:textId="77777777">
            <w:pPr>
              <w:widowControl w:val="0"/>
              <w:jc w:val="center"/>
              <w:rPr>
                <w:sz w:val="24"/>
                <w:szCs w:val="24"/>
              </w:rPr>
            </w:pPr>
            <w:r>
              <w:rPr>
                <w:sz w:val="20"/>
                <w:szCs w:val="20"/>
              </w:rPr>
              <w:t>72</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3A4699D1" w14:textId="77777777">
            <w:pPr>
              <w:widowControl w:val="0"/>
              <w:jc w:val="center"/>
              <w:rPr>
                <w:sz w:val="24"/>
                <w:szCs w:val="24"/>
              </w:rPr>
            </w:pPr>
            <w:r>
              <w:rPr>
                <w:sz w:val="20"/>
                <w:szCs w:val="20"/>
              </w:rPr>
              <w:t>72</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187AB69" w14:textId="77777777">
            <w:pPr>
              <w:widowControl w:val="0"/>
              <w:jc w:val="center"/>
              <w:rPr>
                <w:sz w:val="24"/>
                <w:szCs w:val="24"/>
              </w:rPr>
            </w:pPr>
            <w:r>
              <w:rPr>
                <w:sz w:val="20"/>
                <w:szCs w:val="20"/>
              </w:rPr>
              <w:t>72</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0CC7B5BC" w14:textId="77777777">
            <w:pPr>
              <w:widowControl w:val="0"/>
              <w:jc w:val="center"/>
              <w:rPr>
                <w:sz w:val="24"/>
                <w:szCs w:val="24"/>
              </w:rPr>
            </w:pPr>
            <w:r>
              <w:rPr>
                <w:sz w:val="20"/>
                <w:szCs w:val="20"/>
              </w:rPr>
              <w:t>72</w:t>
            </w:r>
          </w:p>
        </w:tc>
        <w:tc>
          <w:tcPr>
            <w:tcW w:w="1086"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6493B7EC" w14:textId="77777777">
            <w:pPr>
              <w:widowControl w:val="0"/>
              <w:jc w:val="center"/>
              <w:rPr>
                <w:sz w:val="24"/>
                <w:szCs w:val="24"/>
              </w:rPr>
            </w:pPr>
            <w:r>
              <w:rPr>
                <w:sz w:val="20"/>
                <w:szCs w:val="20"/>
              </w:rPr>
              <w:t>72</w:t>
            </w:r>
          </w:p>
        </w:tc>
      </w:tr>
      <w:tr w14:paraId="0F569CF3" w14:textId="77777777">
        <w:tblPrEx>
          <w:tblW w:w="9360" w:type="dxa"/>
          <w:tblLayout w:type="fixed"/>
          <w:tblLook w:val="0600"/>
        </w:tblPrEx>
        <w:trPr>
          <w:trHeight w:val="300"/>
        </w:trPr>
        <w:tc>
          <w:tcPr>
            <w:tcW w:w="2456"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3827C68D" w14:textId="77777777">
            <w:pPr>
              <w:widowControl w:val="0"/>
              <w:rPr>
                <w:sz w:val="24"/>
                <w:szCs w:val="24"/>
              </w:rPr>
            </w:pPr>
            <w:r>
              <w:rPr>
                <w:sz w:val="20"/>
                <w:szCs w:val="20"/>
              </w:rPr>
              <w:t>Estimated cost to public</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68F8DE1F" w14:textId="77777777">
            <w:pPr>
              <w:widowControl w:val="0"/>
              <w:jc w:val="center"/>
              <w:rPr>
                <w:sz w:val="24"/>
                <w:szCs w:val="24"/>
              </w:rPr>
            </w:pPr>
            <w:r>
              <w:rPr>
                <w:sz w:val="20"/>
                <w:szCs w:val="20"/>
              </w:rPr>
              <w:t>$ 123,898</w:t>
            </w:r>
          </w:p>
        </w:tc>
        <w:tc>
          <w:tcPr>
            <w:tcW w:w="96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2E6E2F5E" w14:textId="77777777">
            <w:pPr>
              <w:widowControl w:val="0"/>
              <w:jc w:val="center"/>
              <w:rPr>
                <w:sz w:val="24"/>
                <w:szCs w:val="24"/>
              </w:rPr>
            </w:pPr>
            <w:r>
              <w:rPr>
                <w:sz w:val="20"/>
                <w:szCs w:val="20"/>
              </w:rPr>
              <w:t>$ 61,949</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41BF666" w14:textId="77777777">
            <w:pPr>
              <w:widowControl w:val="0"/>
              <w:jc w:val="center"/>
              <w:rPr>
                <w:sz w:val="24"/>
                <w:szCs w:val="24"/>
              </w:rPr>
            </w:pPr>
            <w:r>
              <w:rPr>
                <w:sz w:val="20"/>
                <w:szCs w:val="20"/>
              </w:rPr>
              <w:t>$ 41,299</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FC88B4F" w14:textId="77777777">
            <w:pPr>
              <w:widowControl w:val="0"/>
              <w:jc w:val="center"/>
              <w:rPr>
                <w:sz w:val="24"/>
                <w:szCs w:val="24"/>
              </w:rPr>
            </w:pPr>
            <w:r>
              <w:rPr>
                <w:sz w:val="20"/>
                <w:szCs w:val="20"/>
              </w:rPr>
              <w:t>$ 41,299</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B9530E3" w14:textId="77777777">
            <w:pPr>
              <w:widowControl w:val="0"/>
              <w:jc w:val="center"/>
              <w:rPr>
                <w:sz w:val="24"/>
                <w:szCs w:val="24"/>
              </w:rPr>
            </w:pPr>
            <w:r>
              <w:rPr>
                <w:sz w:val="20"/>
                <w:szCs w:val="20"/>
              </w:rPr>
              <w:t>$ 61,949</w:t>
            </w:r>
          </w:p>
        </w:tc>
        <w:tc>
          <w:tcPr>
            <w:tcW w:w="9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0581507B" w14:textId="77777777">
            <w:pPr>
              <w:widowControl w:val="0"/>
              <w:jc w:val="center"/>
              <w:rPr>
                <w:sz w:val="24"/>
                <w:szCs w:val="24"/>
              </w:rPr>
            </w:pPr>
            <w:r>
              <w:rPr>
                <w:sz w:val="20"/>
                <w:szCs w:val="20"/>
              </w:rPr>
              <w:t>$ 82,598</w:t>
            </w:r>
          </w:p>
        </w:tc>
        <w:tc>
          <w:tcPr>
            <w:tcW w:w="1086"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CF93442" w14:textId="77777777">
            <w:pPr>
              <w:widowControl w:val="0"/>
              <w:jc w:val="right"/>
              <w:rPr>
                <w:sz w:val="24"/>
                <w:szCs w:val="24"/>
              </w:rPr>
            </w:pPr>
            <w:r>
              <w:rPr>
                <w:sz w:val="20"/>
                <w:szCs w:val="20"/>
              </w:rPr>
              <w:t>$ 412,992</w:t>
            </w:r>
          </w:p>
        </w:tc>
      </w:tr>
    </w:tbl>
    <w:p w:rsidR="00771689" w14:paraId="08CFC902" w14:textId="77777777">
      <w:pPr>
        <w:spacing w:line="240" w:lineRule="auto"/>
        <w:ind w:right="-40"/>
        <w:rPr>
          <w:rFonts w:ascii="Courier New" w:eastAsia="Courier New" w:hAnsi="Courier New" w:cs="Courier New"/>
          <w:sz w:val="24"/>
          <w:szCs w:val="24"/>
        </w:rPr>
      </w:pPr>
    </w:p>
    <w:p w:rsidR="00771689" w14:paraId="265F0415"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w:t>
      </w:r>
      <w:r>
        <w:rPr>
          <w:rFonts w:ascii="Courier New" w:eastAsia="Courier New" w:hAnsi="Courier New" w:cs="Courier New"/>
          <w:sz w:val="24"/>
          <w:szCs w:val="24"/>
        </w:rPr>
        <w:t xml:space="preserve"> </w:t>
      </w:r>
      <w:r>
        <w:rPr>
          <w:rFonts w:ascii="Courier New" w:eastAsia="Courier New" w:hAnsi="Courier New" w:cs="Courier New"/>
          <w:b/>
          <w:bCs/>
          <w:sz w:val="24"/>
          <w:szCs w:val="24"/>
          <w:u w:val="single"/>
        </w:rPr>
        <w:t>Note</w:t>
      </w:r>
      <w:r>
        <w:rPr>
          <w:rFonts w:ascii="Courier New" w:eastAsia="Courier New" w:hAnsi="Courier New" w:cs="Courier New"/>
          <w:b/>
          <w:bCs/>
          <w:sz w:val="24"/>
          <w:szCs w:val="24"/>
        </w:rPr>
        <w:t>:</w:t>
      </w:r>
    </w:p>
    <w:p w:rsidR="00771689" w14:paraId="262C4F81" w14:textId="77777777">
      <w:pPr>
        <w:rPr>
          <w:rFonts w:ascii="Courier New" w:eastAsia="Courier New" w:hAnsi="Courier New" w:cs="Courier New"/>
          <w:sz w:val="24"/>
          <w:szCs w:val="24"/>
        </w:rPr>
      </w:pPr>
      <w:r>
        <w:rPr>
          <w:rFonts w:ascii="Courier New" w:eastAsia="Courier New" w:hAnsi="Courier New" w:cs="Courier New"/>
          <w:sz w:val="24"/>
          <w:szCs w:val="24"/>
        </w:rPr>
        <w:t xml:space="preserve">The hourly rate is calculated by applying 36.25 percent </w:t>
      </w:r>
    </w:p>
    <w:p w:rsidR="00771689" w14:paraId="0CF2D258" w14:textId="77777777">
      <w:pPr>
        <w:rPr>
          <w:rFonts w:ascii="Courier New" w:eastAsia="Courier New" w:hAnsi="Courier New" w:cs="Courier New"/>
          <w:sz w:val="24"/>
          <w:szCs w:val="24"/>
        </w:rPr>
      </w:pPr>
      <w:r>
        <w:rPr>
          <w:rFonts w:ascii="Courier New" w:eastAsia="Courier New" w:hAnsi="Courier New" w:cs="Courier New"/>
          <w:sz w:val="24"/>
          <w:szCs w:val="24"/>
        </w:rPr>
        <w:t xml:space="preserve">fringe factor and a 12 percent overhead factor to a base hourly rate and then rounding to the nearest whole dollar. The base hourly rate is derived from the OPM 2026 GS Locality Pay Table for the rest of the U.S. (“Salary Table 2026-RUS”). The fringe factor is derived from OMB memorandum M-08-13. The overhead factor is derived from the OMB Circular No. A-76 Revised Supplemental Handbook. </w:t>
      </w:r>
    </w:p>
    <w:p w:rsidR="00771689" w14:paraId="5A7C4293"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w:t>
      </w:r>
      <w:r>
        <w:rPr>
          <w:rFonts w:ascii="Courier New" w:eastAsia="Courier New" w:hAnsi="Courier New" w:cs="Courier New"/>
          <w:sz w:val="24"/>
          <w:szCs w:val="24"/>
        </w:rPr>
        <w:t xml:space="preserve"> For a GS-12/step 5, the base hourly rate is $48.61 and loaded rounding to the nearest whole dollar is $72.</w:t>
      </w:r>
    </w:p>
    <w:p w:rsidR="00771689" w14:paraId="6C12DB9D"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u w:val="single"/>
        </w:rPr>
      </w:pPr>
    </w:p>
    <w:p w:rsidR="00771689" w14:paraId="2A800A8D" w14:textId="77777777">
      <w:pPr>
        <w:widowControl w:val="0"/>
        <w:numPr>
          <w:ilvl w:val="0"/>
          <w:numId w:val="3"/>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 xml:space="preserve">Estimated </w:t>
      </w:r>
      <w:r>
        <w:rPr>
          <w:rFonts w:ascii="Courier New" w:eastAsia="Courier New" w:hAnsi="Courier New" w:cs="Courier New"/>
          <w:sz w:val="24"/>
          <w:szCs w:val="24"/>
          <w:u w:val="single"/>
        </w:rPr>
        <w:t>nonrecurring</w:t>
      </w:r>
      <w:r>
        <w:rPr>
          <w:rFonts w:ascii="Courier New" w:eastAsia="Courier New" w:hAnsi="Courier New" w:cs="Courier New"/>
          <w:sz w:val="24"/>
          <w:szCs w:val="24"/>
          <w:u w:val="single"/>
        </w:rPr>
        <w:t xml:space="preserve"> costs</w:t>
      </w:r>
      <w:r>
        <w:rPr>
          <w:rFonts w:ascii="Courier New" w:eastAsia="Courier New" w:hAnsi="Courier New" w:cs="Courier New"/>
          <w:sz w:val="24"/>
          <w:szCs w:val="24"/>
        </w:rPr>
        <w:t>. Not applicable.</w:t>
      </w:r>
    </w:p>
    <w:p w:rsidR="00771689" w14:paraId="0D218816"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771689" w14:paraId="5A6E64B2" w14:textId="77777777">
      <w:pPr>
        <w:widowControl w:val="0"/>
        <w:numPr>
          <w:ilvl w:val="0"/>
          <w:numId w:val="3"/>
        </w:numPr>
        <w:tabs>
          <w:tab w:val="left" w:pos="360"/>
          <w:tab w:val="left" w:pos="720"/>
          <w:tab w:val="left" w:pos="1080"/>
        </w:tabs>
        <w:spacing w:line="240" w:lineRule="auto"/>
        <w:rPr>
          <w:rFonts w:ascii="Times New Roman" w:eastAsia="Times New Roman" w:hAnsi="Times New Roman" w:cs="Times New Roman"/>
          <w:sz w:val="24"/>
          <w:szCs w:val="24"/>
        </w:rPr>
      </w:pPr>
      <w:r>
        <w:rPr>
          <w:rFonts w:ascii="Courier New" w:eastAsia="Courier New" w:hAnsi="Courier New" w:cs="Courier New"/>
          <w:sz w:val="24"/>
          <w:szCs w:val="24"/>
          <w:u w:val="single"/>
        </w:rPr>
        <w:t>Estimated cost to the Government</w:t>
      </w:r>
      <w:r>
        <w:rPr>
          <w:rFonts w:ascii="Courier New" w:eastAsia="Courier New" w:hAnsi="Courier New" w:cs="Courier New"/>
          <w:sz w:val="24"/>
          <w:szCs w:val="24"/>
        </w:rPr>
        <w:t>. Time required for Government review is estimated at 48 hours per response.</w:t>
      </w:r>
    </w:p>
    <w:p w:rsidR="00771689" w14:paraId="5819DD0D" w14:textId="77777777">
      <w:pPr>
        <w:spacing w:line="240" w:lineRule="auto"/>
        <w:ind w:left="360"/>
        <w:rPr>
          <w:rFonts w:ascii="Courier New" w:eastAsia="Courier New" w:hAnsi="Courier New" w:cs="Courier New"/>
          <w:sz w:val="24"/>
          <w:szCs w:val="24"/>
        </w:rPr>
      </w:pPr>
    </w:p>
    <w:p w:rsidR="00771689" w14:paraId="73421423" w14:textId="77777777">
      <w:pPr>
        <w:spacing w:line="240" w:lineRule="auto"/>
        <w:rPr>
          <w:rFonts w:ascii="Courier New" w:eastAsia="Courier New" w:hAnsi="Courier New" w:cs="Courier New"/>
          <w:b/>
          <w:bCs/>
          <w:sz w:val="24"/>
          <w:szCs w:val="24"/>
          <w:u w:val="single"/>
        </w:rPr>
      </w:pPr>
      <w:r>
        <w:rPr>
          <w:rFonts w:ascii="Courier New" w:eastAsia="Courier New" w:hAnsi="Courier New" w:cs="Courier New"/>
          <w:b/>
          <w:bCs/>
          <w:sz w:val="24"/>
          <w:szCs w:val="24"/>
          <w:u w:val="single"/>
        </w:rPr>
        <w:t>General Services Administration</w:t>
      </w:r>
    </w:p>
    <w:p w:rsidR="00771689" w14:paraId="490B6971" w14:textId="77777777">
      <w:pPr>
        <w:spacing w:line="240" w:lineRule="auto"/>
        <w:rPr>
          <w:rFonts w:ascii="Courier New" w:eastAsia="Courier New" w:hAnsi="Courier New" w:cs="Courier New"/>
          <w:sz w:val="24"/>
          <w:szCs w:val="24"/>
        </w:rPr>
      </w:pPr>
    </w:p>
    <w:p w:rsidR="00771689" w14:paraId="55D8EF16"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Estimated responses/yr....................... 239</w:t>
      </w:r>
    </w:p>
    <w:p w:rsidR="00771689" w14:paraId="7E59136D" w14:textId="77777777">
      <w:pPr>
        <w:spacing w:line="240" w:lineRule="auto"/>
        <w:ind w:right="-80"/>
        <w:rPr>
          <w:rFonts w:ascii="Courier New" w:eastAsia="Courier New" w:hAnsi="Courier New" w:cs="Courier New"/>
          <w:sz w:val="24"/>
          <w:szCs w:val="24"/>
        </w:rPr>
      </w:pPr>
      <w:r>
        <w:rPr>
          <w:rFonts w:ascii="Courier New" w:eastAsia="Courier New" w:hAnsi="Courier New" w:cs="Courier New"/>
          <w:sz w:val="24"/>
          <w:szCs w:val="24"/>
        </w:rPr>
        <w:t>Reviewing time (</w:t>
      </w:r>
      <w:r>
        <w:rPr>
          <w:rFonts w:ascii="Courier New" w:eastAsia="Courier New" w:hAnsi="Courier New" w:cs="Courier New"/>
          <w:sz w:val="24"/>
          <w:szCs w:val="24"/>
        </w:rPr>
        <w:t>hr</w:t>
      </w:r>
      <w:r>
        <w:rPr>
          <w:rFonts w:ascii="Courier New" w:eastAsia="Courier New" w:hAnsi="Courier New" w:cs="Courier New"/>
          <w:sz w:val="24"/>
          <w:szCs w:val="24"/>
        </w:rPr>
        <w:t>)/response................</w:t>
      </w:r>
      <w:r>
        <w:rPr>
          <w:rFonts w:ascii="Courier New" w:eastAsia="Courier New" w:hAnsi="Courier New" w:cs="Courier New"/>
          <w:sz w:val="24"/>
          <w:szCs w:val="24"/>
          <w:u w:val="single"/>
        </w:rPr>
        <w:t>x  48</w:t>
      </w:r>
    </w:p>
    <w:p w:rsidR="00771689" w14:paraId="3A4B4724" w14:textId="77777777">
      <w:pPr>
        <w:spacing w:line="240" w:lineRule="auto"/>
        <w:ind w:right="-80"/>
        <w:rPr>
          <w:rFonts w:ascii="Courier New" w:eastAsia="Courier New" w:hAnsi="Courier New" w:cs="Courier New"/>
          <w:sz w:val="24"/>
          <w:szCs w:val="24"/>
        </w:rPr>
      </w:pPr>
      <w:r>
        <w:rPr>
          <w:rFonts w:ascii="Courier New" w:eastAsia="Courier New" w:hAnsi="Courier New" w:cs="Courier New"/>
          <w:sz w:val="24"/>
          <w:szCs w:val="24"/>
        </w:rPr>
        <w:t>Review time /yr............................11,472</w:t>
      </w:r>
    </w:p>
    <w:p w:rsidR="00771689" w14:paraId="74F5045F"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Hourly rate</w:t>
      </w:r>
      <w:r>
        <w:rPr>
          <w:rFonts w:ascii="Courier New" w:eastAsia="Courier New" w:hAnsi="Courier New" w:cs="Courier New"/>
          <w:b/>
          <w:bCs/>
          <w:sz w:val="24"/>
          <w:szCs w:val="24"/>
        </w:rPr>
        <w:t>*</w:t>
      </w:r>
      <w:r>
        <w:rPr>
          <w:rFonts w:ascii="Courier New" w:eastAsia="Courier New" w:hAnsi="Courier New" w:cs="Courier New"/>
          <w:sz w:val="24"/>
          <w:szCs w:val="24"/>
        </w:rPr>
        <w:t>................................</w:t>
      </w:r>
      <w:r>
        <w:rPr>
          <w:rFonts w:ascii="Courier New" w:eastAsia="Courier New" w:hAnsi="Courier New" w:cs="Courier New"/>
          <w:sz w:val="24"/>
          <w:szCs w:val="24"/>
          <w:u w:val="single"/>
        </w:rPr>
        <w:t>x $72</w:t>
      </w:r>
    </w:p>
    <w:p w:rsidR="00771689" w14:paraId="76B5979C"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Estimated annual cost to the </w:t>
      </w:r>
      <w:r>
        <w:rPr>
          <w:rFonts w:ascii="Courier New" w:eastAsia="Courier New" w:hAnsi="Courier New" w:cs="Courier New"/>
          <w:sz w:val="24"/>
          <w:szCs w:val="24"/>
        </w:rPr>
        <w:t>Government..</w:t>
      </w:r>
      <w:r>
        <w:rPr>
          <w:rFonts w:ascii="Courier New" w:eastAsia="Courier New" w:hAnsi="Courier New" w:cs="Courier New"/>
          <w:sz w:val="24"/>
          <w:szCs w:val="24"/>
        </w:rPr>
        <w:t>$825,984</w:t>
      </w:r>
    </w:p>
    <w:p w:rsidR="00771689" w14:paraId="2F86397A" w14:textId="77777777">
      <w:pPr>
        <w:spacing w:line="240" w:lineRule="auto"/>
        <w:rPr>
          <w:rFonts w:ascii="Courier New" w:eastAsia="Courier New" w:hAnsi="Courier New" w:cs="Courier New"/>
          <w:sz w:val="24"/>
          <w:szCs w:val="24"/>
        </w:rPr>
      </w:pPr>
    </w:p>
    <w:p w:rsidR="00771689" w14:paraId="4B57D643" w14:textId="77777777">
      <w:pPr>
        <w:widowControl w:val="0"/>
        <w:numPr>
          <w:ilvl w:val="0"/>
          <w:numId w:val="3"/>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Reasons for changes</w:t>
      </w:r>
      <w:r>
        <w:rPr>
          <w:rFonts w:ascii="Courier New" w:eastAsia="Courier New" w:hAnsi="Courier New" w:cs="Courier New"/>
          <w:sz w:val="24"/>
          <w:szCs w:val="24"/>
        </w:rPr>
        <w:t>. There are no program changes. The FAR requirements remain the same. This extension includes adjustments to the public and Government burden estimates based on the following:</w:t>
      </w:r>
    </w:p>
    <w:p w:rsidR="00771689" w14:paraId="03C3931F"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The estimated number of respondents and responses per year is based on the historical average of SAM.gov data for the three most recent fiscal years (2023 through 2025) for GSA.</w:t>
      </w:r>
    </w:p>
    <w:p w:rsidR="00771689" w14:paraId="00EFCA62"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The estimated cost per hour is based on use of the calendar year 2026 OPM GS wage rate for the rest of the United States.</w:t>
      </w:r>
    </w:p>
    <w:p w:rsidR="00771689" w14:paraId="0A33B4F9" w14:textId="77777777">
      <w:pPr>
        <w:widowControl w:val="0"/>
        <w:tabs>
          <w:tab w:val="left" w:pos="360"/>
          <w:tab w:val="left" w:pos="720"/>
          <w:tab w:val="left" w:pos="1080"/>
        </w:tabs>
        <w:spacing w:line="240" w:lineRule="auto"/>
        <w:rPr>
          <w:rFonts w:ascii="Courier New" w:eastAsia="Courier New" w:hAnsi="Courier New" w:cs="Courier New"/>
          <w:sz w:val="24"/>
          <w:szCs w:val="24"/>
        </w:rPr>
      </w:pPr>
    </w:p>
    <w:tbl>
      <w:tblPr>
        <w:tblStyle w:val="a3"/>
        <w:tblW w:w="6195" w:type="dxa"/>
        <w:tblInd w:w="615" w:type="dxa"/>
        <w:tblBorders>
          <w:top w:val="nil"/>
          <w:left w:val="nil"/>
          <w:bottom w:val="nil"/>
          <w:right w:val="nil"/>
          <w:insideH w:val="nil"/>
          <w:insideV w:val="nil"/>
        </w:tblBorders>
        <w:tblLayout w:type="fixed"/>
        <w:tblLook w:val="0600"/>
      </w:tblPr>
      <w:tblGrid>
        <w:gridCol w:w="1635"/>
        <w:gridCol w:w="1530"/>
        <w:gridCol w:w="1755"/>
        <w:gridCol w:w="1275"/>
      </w:tblGrid>
      <w:tr w14:paraId="7F1F33B4" w14:textId="77777777">
        <w:tblPrEx>
          <w:tblW w:w="6195" w:type="dxa"/>
          <w:tblInd w:w="615" w:type="dxa"/>
          <w:tblBorders>
            <w:top w:val="nil"/>
            <w:left w:val="nil"/>
            <w:bottom w:val="nil"/>
            <w:right w:val="nil"/>
            <w:insideH w:val="nil"/>
            <w:insideV w:val="nil"/>
          </w:tblBorders>
          <w:tblLayout w:type="fixed"/>
          <w:tblLook w:val="0600"/>
        </w:tblPrEx>
        <w:trPr>
          <w:trHeight w:val="570"/>
        </w:trPr>
        <w:tc>
          <w:tcPr>
            <w:tcW w:w="1635" w:type="dxa"/>
            <w:tcBorders>
              <w:top w:val="single" w:sz="12" w:space="0" w:color="000000"/>
              <w:left w:val="single" w:sz="12" w:space="0" w:color="000000"/>
              <w:bottom w:val="single" w:sz="12" w:space="0" w:color="000000"/>
              <w:right w:val="single" w:sz="12" w:space="0" w:color="000000"/>
            </w:tcBorders>
            <w:tcMar>
              <w:top w:w="0" w:type="dxa"/>
              <w:left w:w="40" w:type="dxa"/>
              <w:bottom w:w="0" w:type="dxa"/>
              <w:right w:w="40" w:type="dxa"/>
            </w:tcMar>
            <w:vAlign w:val="bottom"/>
          </w:tcPr>
          <w:p w:rsidR="00771689" w14:paraId="7CB25DBE" w14:textId="77777777">
            <w:pPr>
              <w:widowControl w:val="0"/>
              <w:rPr>
                <w:sz w:val="24"/>
                <w:szCs w:val="24"/>
              </w:rPr>
            </w:pPr>
          </w:p>
        </w:tc>
        <w:tc>
          <w:tcPr>
            <w:tcW w:w="1530" w:type="dxa"/>
            <w:tcBorders>
              <w:top w:val="single" w:sz="12" w:space="0" w:color="000000"/>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61C32A96" w14:textId="77777777">
            <w:pPr>
              <w:widowControl w:val="0"/>
              <w:jc w:val="right"/>
              <w:rPr>
                <w:sz w:val="24"/>
                <w:szCs w:val="24"/>
              </w:rPr>
            </w:pPr>
            <w:r>
              <w:rPr>
                <w:rFonts w:ascii="Times New Roman" w:eastAsia="Times New Roman" w:hAnsi="Times New Roman" w:cs="Times New Roman"/>
                <w:color w:val="222222"/>
                <w:sz w:val="24"/>
                <w:szCs w:val="24"/>
              </w:rPr>
              <w:t>2023 Estimate</w:t>
            </w:r>
          </w:p>
        </w:tc>
        <w:tc>
          <w:tcPr>
            <w:tcW w:w="1755" w:type="dxa"/>
            <w:tcBorders>
              <w:top w:val="single" w:sz="12" w:space="0" w:color="000000"/>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17459596" w14:textId="77777777">
            <w:pPr>
              <w:widowControl w:val="0"/>
              <w:jc w:val="right"/>
              <w:rPr>
                <w:sz w:val="24"/>
                <w:szCs w:val="24"/>
              </w:rPr>
            </w:pPr>
            <w:r>
              <w:rPr>
                <w:rFonts w:ascii="Times New Roman" w:eastAsia="Times New Roman" w:hAnsi="Times New Roman" w:cs="Times New Roman"/>
                <w:color w:val="222222"/>
                <w:sz w:val="24"/>
                <w:szCs w:val="24"/>
              </w:rPr>
              <w:t>2026 Estimate</w:t>
            </w:r>
          </w:p>
        </w:tc>
        <w:tc>
          <w:tcPr>
            <w:tcW w:w="1275" w:type="dxa"/>
            <w:tcBorders>
              <w:top w:val="single" w:sz="12" w:space="0" w:color="000000"/>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63884DD8" w14:textId="77777777">
            <w:pPr>
              <w:widowControl w:val="0"/>
              <w:jc w:val="right"/>
              <w:rPr>
                <w:sz w:val="24"/>
                <w:szCs w:val="24"/>
              </w:rPr>
            </w:pPr>
            <w:r>
              <w:rPr>
                <w:rFonts w:ascii="Times New Roman" w:eastAsia="Times New Roman" w:hAnsi="Times New Roman" w:cs="Times New Roman"/>
                <w:color w:val="222222"/>
                <w:sz w:val="24"/>
                <w:szCs w:val="24"/>
              </w:rPr>
              <w:t>Increase in Burden</w:t>
            </w:r>
          </w:p>
        </w:tc>
      </w:tr>
      <w:tr w14:paraId="09CC0699" w14:textId="77777777">
        <w:tblPrEx>
          <w:tblW w:w="6195" w:type="dxa"/>
          <w:tblInd w:w="615" w:type="dxa"/>
          <w:tblLayout w:type="fixed"/>
          <w:tblLook w:val="0600"/>
        </w:tblPrEx>
        <w:trPr>
          <w:trHeight w:val="570"/>
        </w:trPr>
        <w:tc>
          <w:tcPr>
            <w:tcW w:w="1635" w:type="dxa"/>
            <w:tcBorders>
              <w:top w:val="single" w:sz="6" w:space="0" w:color="CCCCCC"/>
              <w:left w:val="single" w:sz="12" w:space="0" w:color="000000"/>
              <w:bottom w:val="single" w:sz="12" w:space="0" w:color="000000"/>
              <w:right w:val="single" w:sz="12" w:space="0" w:color="000000"/>
            </w:tcBorders>
            <w:tcMar>
              <w:top w:w="0" w:type="dxa"/>
              <w:left w:w="40" w:type="dxa"/>
              <w:bottom w:w="0" w:type="dxa"/>
              <w:right w:w="40" w:type="dxa"/>
            </w:tcMar>
            <w:vAlign w:val="bottom"/>
          </w:tcPr>
          <w:p w:rsidR="00771689" w14:paraId="6B0F713B" w14:textId="77777777">
            <w:pPr>
              <w:widowControl w:val="0"/>
              <w:rPr>
                <w:sz w:val="24"/>
                <w:szCs w:val="24"/>
              </w:rPr>
            </w:pPr>
            <w:r>
              <w:rPr>
                <w:rFonts w:ascii="Times New Roman" w:eastAsia="Times New Roman" w:hAnsi="Times New Roman" w:cs="Times New Roman"/>
                <w:color w:val="222222"/>
                <w:sz w:val="24"/>
                <w:szCs w:val="24"/>
              </w:rPr>
              <w:t>Number of respondents</w:t>
            </w:r>
          </w:p>
        </w:tc>
        <w:tc>
          <w:tcPr>
            <w:tcW w:w="1530"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4A77D38D" w14:textId="77777777">
            <w:pPr>
              <w:widowControl w:val="0"/>
              <w:jc w:val="right"/>
              <w:rPr>
                <w:sz w:val="24"/>
                <w:szCs w:val="24"/>
              </w:rPr>
            </w:pPr>
            <w:r>
              <w:rPr>
                <w:rFonts w:ascii="Times New Roman" w:eastAsia="Times New Roman" w:hAnsi="Times New Roman" w:cs="Times New Roman"/>
                <w:color w:val="222222"/>
                <w:sz w:val="24"/>
                <w:szCs w:val="24"/>
              </w:rPr>
              <w:t>168</w:t>
            </w:r>
          </w:p>
        </w:tc>
        <w:tc>
          <w:tcPr>
            <w:tcW w:w="1755"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71FBB072" w14:textId="77777777">
            <w:pPr>
              <w:widowControl w:val="0"/>
              <w:jc w:val="right"/>
              <w:rPr>
                <w:sz w:val="24"/>
                <w:szCs w:val="24"/>
              </w:rPr>
            </w:pPr>
            <w:r>
              <w:rPr>
                <w:rFonts w:ascii="Times New Roman" w:eastAsia="Times New Roman" w:hAnsi="Times New Roman" w:cs="Times New Roman"/>
                <w:color w:val="222222"/>
                <w:sz w:val="24"/>
                <w:szCs w:val="24"/>
              </w:rPr>
              <w:t>239</w:t>
            </w:r>
          </w:p>
        </w:tc>
        <w:tc>
          <w:tcPr>
            <w:tcW w:w="1275"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5FACF8A7" w14:textId="77777777">
            <w:pPr>
              <w:widowControl w:val="0"/>
              <w:jc w:val="right"/>
              <w:rPr>
                <w:sz w:val="24"/>
                <w:szCs w:val="24"/>
              </w:rPr>
            </w:pPr>
            <w:r>
              <w:rPr>
                <w:rFonts w:ascii="Times New Roman" w:eastAsia="Times New Roman" w:hAnsi="Times New Roman" w:cs="Times New Roman"/>
                <w:color w:val="222222"/>
                <w:sz w:val="24"/>
                <w:szCs w:val="24"/>
              </w:rPr>
              <w:t>71</w:t>
            </w:r>
          </w:p>
        </w:tc>
      </w:tr>
      <w:tr w14:paraId="3D6C09A8" w14:textId="77777777">
        <w:tblPrEx>
          <w:tblW w:w="6195" w:type="dxa"/>
          <w:tblInd w:w="615" w:type="dxa"/>
          <w:tblLayout w:type="fixed"/>
          <w:tblLook w:val="0600"/>
        </w:tblPrEx>
        <w:trPr>
          <w:trHeight w:val="570"/>
        </w:trPr>
        <w:tc>
          <w:tcPr>
            <w:tcW w:w="1635" w:type="dxa"/>
            <w:tcBorders>
              <w:top w:val="single" w:sz="6" w:space="0" w:color="CCCCCC"/>
              <w:left w:val="single" w:sz="12" w:space="0" w:color="000000"/>
              <w:bottom w:val="single" w:sz="12" w:space="0" w:color="000000"/>
              <w:right w:val="single" w:sz="12" w:space="0" w:color="000000"/>
            </w:tcBorders>
            <w:tcMar>
              <w:top w:w="0" w:type="dxa"/>
              <w:left w:w="40" w:type="dxa"/>
              <w:bottom w:w="0" w:type="dxa"/>
              <w:right w:w="40" w:type="dxa"/>
            </w:tcMar>
            <w:vAlign w:val="bottom"/>
          </w:tcPr>
          <w:p w:rsidR="00771689" w14:paraId="7325CC95" w14:textId="77777777">
            <w:pPr>
              <w:widowControl w:val="0"/>
              <w:rPr>
                <w:sz w:val="24"/>
                <w:szCs w:val="24"/>
              </w:rPr>
            </w:pPr>
            <w:r>
              <w:rPr>
                <w:rFonts w:ascii="Times New Roman" w:eastAsia="Times New Roman" w:hAnsi="Times New Roman" w:cs="Times New Roman"/>
                <w:color w:val="222222"/>
                <w:sz w:val="24"/>
                <w:szCs w:val="24"/>
              </w:rPr>
              <w:t>Total annual responses</w:t>
            </w:r>
          </w:p>
        </w:tc>
        <w:tc>
          <w:tcPr>
            <w:tcW w:w="1530"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0C266864" w14:textId="77777777">
            <w:pPr>
              <w:widowControl w:val="0"/>
              <w:jc w:val="right"/>
              <w:rPr>
                <w:sz w:val="24"/>
                <w:szCs w:val="24"/>
              </w:rPr>
            </w:pPr>
            <w:r>
              <w:rPr>
                <w:rFonts w:ascii="Times New Roman" w:eastAsia="Times New Roman" w:hAnsi="Times New Roman" w:cs="Times New Roman"/>
                <w:color w:val="222222"/>
                <w:sz w:val="24"/>
                <w:szCs w:val="24"/>
              </w:rPr>
              <w:t>168</w:t>
            </w:r>
          </w:p>
        </w:tc>
        <w:tc>
          <w:tcPr>
            <w:tcW w:w="1755"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387F8C56" w14:textId="77777777">
            <w:pPr>
              <w:widowControl w:val="0"/>
              <w:jc w:val="right"/>
              <w:rPr>
                <w:sz w:val="24"/>
                <w:szCs w:val="24"/>
              </w:rPr>
            </w:pPr>
            <w:r>
              <w:rPr>
                <w:rFonts w:ascii="Times New Roman" w:eastAsia="Times New Roman" w:hAnsi="Times New Roman" w:cs="Times New Roman"/>
                <w:color w:val="222222"/>
                <w:sz w:val="24"/>
                <w:szCs w:val="24"/>
              </w:rPr>
              <w:t>239</w:t>
            </w:r>
          </w:p>
        </w:tc>
        <w:tc>
          <w:tcPr>
            <w:tcW w:w="1275"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10378813" w14:textId="77777777">
            <w:pPr>
              <w:widowControl w:val="0"/>
              <w:jc w:val="right"/>
              <w:rPr>
                <w:sz w:val="24"/>
                <w:szCs w:val="24"/>
              </w:rPr>
            </w:pPr>
            <w:r>
              <w:rPr>
                <w:rFonts w:ascii="Times New Roman" w:eastAsia="Times New Roman" w:hAnsi="Times New Roman" w:cs="Times New Roman"/>
                <w:color w:val="222222"/>
                <w:sz w:val="24"/>
                <w:szCs w:val="24"/>
              </w:rPr>
              <w:t>71</w:t>
            </w:r>
          </w:p>
        </w:tc>
      </w:tr>
      <w:tr w14:paraId="7C6B1220" w14:textId="77777777">
        <w:tblPrEx>
          <w:tblW w:w="6195" w:type="dxa"/>
          <w:tblInd w:w="615" w:type="dxa"/>
          <w:tblLayout w:type="fixed"/>
          <w:tblLook w:val="0600"/>
        </w:tblPrEx>
        <w:trPr>
          <w:trHeight w:val="570"/>
        </w:trPr>
        <w:tc>
          <w:tcPr>
            <w:tcW w:w="1635" w:type="dxa"/>
            <w:tcBorders>
              <w:top w:val="single" w:sz="6" w:space="0" w:color="CCCCCC"/>
              <w:left w:val="single" w:sz="12" w:space="0" w:color="000000"/>
              <w:bottom w:val="single" w:sz="12" w:space="0" w:color="000000"/>
              <w:right w:val="single" w:sz="12" w:space="0" w:color="000000"/>
            </w:tcBorders>
            <w:tcMar>
              <w:top w:w="0" w:type="dxa"/>
              <w:left w:w="40" w:type="dxa"/>
              <w:bottom w:w="0" w:type="dxa"/>
              <w:right w:w="40" w:type="dxa"/>
            </w:tcMar>
            <w:vAlign w:val="bottom"/>
          </w:tcPr>
          <w:p w:rsidR="00771689" w14:paraId="74BB5A2E" w14:textId="77777777">
            <w:pPr>
              <w:widowControl w:val="0"/>
              <w:rPr>
                <w:sz w:val="24"/>
                <w:szCs w:val="24"/>
              </w:rPr>
            </w:pPr>
            <w:r>
              <w:rPr>
                <w:rFonts w:ascii="Times New Roman" w:eastAsia="Times New Roman" w:hAnsi="Times New Roman" w:cs="Times New Roman"/>
                <w:color w:val="222222"/>
                <w:sz w:val="24"/>
                <w:szCs w:val="24"/>
              </w:rPr>
              <w:t>Total burden hours</w:t>
            </w:r>
          </w:p>
        </w:tc>
        <w:tc>
          <w:tcPr>
            <w:tcW w:w="1530"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527F82FB" w14:textId="77777777">
            <w:pPr>
              <w:widowControl w:val="0"/>
              <w:jc w:val="right"/>
              <w:rPr>
                <w:sz w:val="24"/>
                <w:szCs w:val="24"/>
              </w:rPr>
            </w:pPr>
            <w:r>
              <w:rPr>
                <w:rFonts w:ascii="Times New Roman" w:eastAsia="Times New Roman" w:hAnsi="Times New Roman" w:cs="Times New Roman"/>
                <w:color w:val="222222"/>
                <w:sz w:val="24"/>
                <w:szCs w:val="24"/>
              </w:rPr>
              <w:t>4,032</w:t>
            </w:r>
          </w:p>
        </w:tc>
        <w:tc>
          <w:tcPr>
            <w:tcW w:w="1755"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00D0C329" w14:textId="77777777">
            <w:pPr>
              <w:widowControl w:val="0"/>
              <w:jc w:val="right"/>
              <w:rPr>
                <w:sz w:val="24"/>
                <w:szCs w:val="24"/>
              </w:rPr>
            </w:pPr>
            <w:r>
              <w:rPr>
                <w:rFonts w:ascii="Times New Roman" w:eastAsia="Times New Roman" w:hAnsi="Times New Roman" w:cs="Times New Roman"/>
                <w:color w:val="222222"/>
                <w:sz w:val="24"/>
                <w:szCs w:val="24"/>
              </w:rPr>
              <w:t>5,736</w:t>
            </w:r>
          </w:p>
        </w:tc>
        <w:tc>
          <w:tcPr>
            <w:tcW w:w="1275"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63DBA58E" w14:textId="77777777">
            <w:pPr>
              <w:widowControl w:val="0"/>
              <w:jc w:val="right"/>
              <w:rPr>
                <w:sz w:val="24"/>
                <w:szCs w:val="24"/>
              </w:rPr>
            </w:pPr>
            <w:r>
              <w:rPr>
                <w:rFonts w:ascii="Times New Roman" w:eastAsia="Times New Roman" w:hAnsi="Times New Roman" w:cs="Times New Roman"/>
                <w:color w:val="222222"/>
                <w:sz w:val="24"/>
                <w:szCs w:val="24"/>
              </w:rPr>
              <w:t>1,704</w:t>
            </w:r>
          </w:p>
        </w:tc>
      </w:tr>
      <w:tr w14:paraId="38EE0BF3" w14:textId="77777777">
        <w:tblPrEx>
          <w:tblW w:w="6195" w:type="dxa"/>
          <w:tblInd w:w="615" w:type="dxa"/>
          <w:tblLayout w:type="fixed"/>
          <w:tblLook w:val="0600"/>
        </w:tblPrEx>
        <w:trPr>
          <w:trHeight w:val="570"/>
        </w:trPr>
        <w:tc>
          <w:tcPr>
            <w:tcW w:w="1635" w:type="dxa"/>
            <w:tcBorders>
              <w:top w:val="single" w:sz="6" w:space="0" w:color="CCCCCC"/>
              <w:left w:val="single" w:sz="12" w:space="0" w:color="000000"/>
              <w:bottom w:val="single" w:sz="12" w:space="0" w:color="000000"/>
              <w:right w:val="single" w:sz="12" w:space="0" w:color="000000"/>
            </w:tcBorders>
            <w:tcMar>
              <w:top w:w="0" w:type="dxa"/>
              <w:left w:w="40" w:type="dxa"/>
              <w:bottom w:w="0" w:type="dxa"/>
              <w:right w:w="40" w:type="dxa"/>
            </w:tcMar>
            <w:vAlign w:val="bottom"/>
          </w:tcPr>
          <w:p w:rsidR="00771689" w14:paraId="32A33D41" w14:textId="77777777">
            <w:pPr>
              <w:widowControl w:val="0"/>
              <w:rPr>
                <w:sz w:val="24"/>
                <w:szCs w:val="24"/>
              </w:rPr>
            </w:pPr>
            <w:r>
              <w:rPr>
                <w:rFonts w:ascii="Times New Roman" w:eastAsia="Times New Roman" w:hAnsi="Times New Roman" w:cs="Times New Roman"/>
                <w:color w:val="222222"/>
                <w:sz w:val="24"/>
                <w:szCs w:val="24"/>
              </w:rPr>
              <w:t>Total annual cost to public</w:t>
            </w:r>
          </w:p>
        </w:tc>
        <w:tc>
          <w:tcPr>
            <w:tcW w:w="1530"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3B71A22F" w14:textId="77777777">
            <w:pPr>
              <w:widowControl w:val="0"/>
              <w:jc w:val="right"/>
              <w:rPr>
                <w:sz w:val="24"/>
                <w:szCs w:val="24"/>
              </w:rPr>
            </w:pPr>
            <w:r>
              <w:rPr>
                <w:rFonts w:ascii="Times New Roman" w:eastAsia="Times New Roman" w:hAnsi="Times New Roman" w:cs="Times New Roman"/>
                <w:color w:val="222222"/>
                <w:sz w:val="24"/>
                <w:szCs w:val="24"/>
              </w:rPr>
              <w:t>$270,144</w:t>
            </w:r>
          </w:p>
        </w:tc>
        <w:tc>
          <w:tcPr>
            <w:tcW w:w="1755"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1167A810" w14:textId="77777777">
            <w:pPr>
              <w:widowControl w:val="0"/>
              <w:jc w:val="right"/>
              <w:rPr>
                <w:sz w:val="24"/>
                <w:szCs w:val="24"/>
              </w:rPr>
            </w:pPr>
            <w:r>
              <w:rPr>
                <w:rFonts w:ascii="Times New Roman" w:eastAsia="Times New Roman" w:hAnsi="Times New Roman" w:cs="Times New Roman"/>
                <w:color w:val="222222"/>
                <w:sz w:val="24"/>
                <w:szCs w:val="24"/>
              </w:rPr>
              <w:t>$412,992</w:t>
            </w:r>
          </w:p>
        </w:tc>
        <w:tc>
          <w:tcPr>
            <w:tcW w:w="1275" w:type="dxa"/>
            <w:tcBorders>
              <w:top w:val="single" w:sz="6" w:space="0" w:color="CCCCCC"/>
              <w:left w:val="single" w:sz="6" w:space="0" w:color="CCCCCC"/>
              <w:bottom w:val="single" w:sz="12" w:space="0" w:color="000000"/>
              <w:right w:val="single" w:sz="12" w:space="0" w:color="000000"/>
            </w:tcBorders>
            <w:tcMar>
              <w:top w:w="0" w:type="dxa"/>
              <w:left w:w="40" w:type="dxa"/>
              <w:bottom w:w="0" w:type="dxa"/>
              <w:right w:w="40" w:type="dxa"/>
            </w:tcMar>
            <w:vAlign w:val="bottom"/>
          </w:tcPr>
          <w:p w:rsidR="00771689" w14:paraId="50A73020" w14:textId="77777777">
            <w:pPr>
              <w:widowControl w:val="0"/>
              <w:jc w:val="right"/>
              <w:rPr>
                <w:sz w:val="24"/>
                <w:szCs w:val="24"/>
              </w:rPr>
            </w:pPr>
            <w:r>
              <w:rPr>
                <w:rFonts w:ascii="Times New Roman" w:eastAsia="Times New Roman" w:hAnsi="Times New Roman" w:cs="Times New Roman"/>
                <w:color w:val="222222"/>
                <w:sz w:val="24"/>
                <w:szCs w:val="24"/>
              </w:rPr>
              <w:t>$142,848</w:t>
            </w:r>
          </w:p>
        </w:tc>
      </w:tr>
    </w:tbl>
    <w:p w:rsidR="00771689" w14:paraId="1F4D3854"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771689" w14:paraId="7076BA31" w14:textId="77777777">
      <w:pPr>
        <w:widowControl w:val="0"/>
        <w:numPr>
          <w:ilvl w:val="0"/>
          <w:numId w:val="3"/>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Publicizing Results</w:t>
      </w:r>
      <w:r>
        <w:rPr>
          <w:rFonts w:ascii="Courier New" w:eastAsia="Courier New" w:hAnsi="Courier New" w:cs="Courier New"/>
          <w:sz w:val="24"/>
          <w:szCs w:val="24"/>
        </w:rPr>
        <w:t>. Results will not be tabulated or published.</w:t>
      </w:r>
    </w:p>
    <w:p w:rsidR="00771689" w14:paraId="15D1D52D"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771689" w14:paraId="2DEBDE10" w14:textId="77777777">
      <w:pPr>
        <w:widowControl w:val="0"/>
        <w:numPr>
          <w:ilvl w:val="0"/>
          <w:numId w:val="3"/>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OMB Not to Display Approval</w:t>
      </w:r>
      <w:r>
        <w:rPr>
          <w:rFonts w:ascii="Courier New" w:eastAsia="Courier New" w:hAnsi="Courier New" w:cs="Courier New"/>
          <w:sz w:val="24"/>
          <w:szCs w:val="24"/>
        </w:rPr>
        <w:t xml:space="preserve">. Approval to </w:t>
      </w:r>
      <w:r>
        <w:rPr>
          <w:rFonts w:ascii="Courier New" w:eastAsia="Courier New" w:hAnsi="Courier New" w:cs="Courier New"/>
          <w:i/>
          <w:iCs/>
          <w:sz w:val="24"/>
          <w:szCs w:val="24"/>
        </w:rPr>
        <w:t>not</w:t>
      </w:r>
      <w:r>
        <w:rPr>
          <w:rFonts w:ascii="Courier New" w:eastAsia="Courier New" w:hAnsi="Courier New" w:cs="Courier New"/>
          <w:sz w:val="24"/>
          <w:szCs w:val="24"/>
        </w:rPr>
        <w:t xml:space="preserve"> display the expiration date for OMB approval of the information collection is not sought.</w:t>
      </w:r>
    </w:p>
    <w:p w:rsidR="00771689" w14:paraId="4CB2E6ED"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771689" w14:paraId="0651E725" w14:textId="77777777">
      <w:pPr>
        <w:widowControl w:val="0"/>
        <w:numPr>
          <w:ilvl w:val="0"/>
          <w:numId w:val="3"/>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Exceptions to "Certification for Paperwork Reduction Submissions.</w:t>
      </w:r>
      <w:r>
        <w:rPr>
          <w:rFonts w:ascii="Courier New" w:eastAsia="Courier New" w:hAnsi="Courier New" w:cs="Courier New"/>
          <w:sz w:val="24"/>
          <w:szCs w:val="24"/>
        </w:rPr>
        <w:t>" There is no exception to the certification statement.</w:t>
      </w:r>
    </w:p>
    <w:p w:rsidR="00771689" w14:paraId="0F1D3024"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771689" w14:paraId="6DCC834E" w14:textId="77777777">
      <w:pPr>
        <w:widowControl w:val="0"/>
        <w:numPr>
          <w:ilvl w:val="0"/>
          <w:numId w:val="3"/>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Surveys, Censuses, and Other Collections that Employ Statistical Methods</w:t>
      </w:r>
      <w:r>
        <w:rPr>
          <w:rFonts w:ascii="Courier New" w:eastAsia="Courier New" w:hAnsi="Courier New" w:cs="Courier New"/>
          <w:sz w:val="24"/>
          <w:szCs w:val="24"/>
        </w:rPr>
        <w:t xml:space="preserve">. Statistical methods are not used in this information collection. </w:t>
      </w:r>
      <w:r>
        <w:rPr>
          <w:rFonts w:ascii="Courier New" w:eastAsia="Courier New" w:hAnsi="Courier New" w:cs="Courier New"/>
          <w:sz w:val="24"/>
          <w:szCs w:val="24"/>
        </w:rPr>
        <w:t>A Part</w:t>
      </w:r>
      <w:r>
        <w:rPr>
          <w:rFonts w:ascii="Courier New" w:eastAsia="Courier New" w:hAnsi="Courier New" w:cs="Courier New"/>
          <w:sz w:val="24"/>
          <w:szCs w:val="24"/>
        </w:rPr>
        <w:t xml:space="preserve"> B supporting statement is not needed, or required, and therefore was not completed.</w:t>
      </w:r>
    </w:p>
    <w:p w:rsidR="00771689" w14:paraId="59D64A4F"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771689" w14:paraId="0CEDA606"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771689" w14:paraId="1406E82F" w14:textId="77777777">
      <w:pPr>
        <w:widowControl w:val="0"/>
        <w:tabs>
          <w:tab w:val="left" w:pos="360"/>
          <w:tab w:val="left" w:pos="720"/>
          <w:tab w:val="left" w:pos="1080"/>
        </w:tabs>
        <w:spacing w:line="240" w:lineRule="auto"/>
        <w:rPr>
          <w:rFonts w:ascii="Courier New" w:eastAsia="Courier New" w:hAnsi="Courier New" w:cs="Courier New"/>
          <w:sz w:val="24"/>
          <w:szCs w:val="24"/>
        </w:rPr>
      </w:pPr>
    </w:p>
    <w:tbl>
      <w:tblPr>
        <w:tblStyle w:val="a4"/>
        <w:tblW w:w="3000" w:type="dxa"/>
        <w:tblBorders>
          <w:top w:val="nil"/>
          <w:left w:val="nil"/>
          <w:bottom w:val="nil"/>
          <w:right w:val="nil"/>
          <w:insideH w:val="nil"/>
          <w:insideV w:val="nil"/>
        </w:tblBorders>
        <w:tblLayout w:type="fixed"/>
        <w:tblLook w:val="0600"/>
      </w:tblPr>
      <w:tblGrid>
        <w:gridCol w:w="1500"/>
        <w:gridCol w:w="1500"/>
      </w:tblGrid>
      <w:tr w14:paraId="05D9334E" w14:textId="77777777">
        <w:tblPrEx>
          <w:tblW w:w="3000" w:type="dxa"/>
          <w:tblBorders>
            <w:top w:val="nil"/>
            <w:left w:val="nil"/>
            <w:bottom w:val="nil"/>
            <w:right w:val="nil"/>
            <w:insideH w:val="nil"/>
            <w:insideV w:val="nil"/>
          </w:tblBorders>
          <w:tblLayout w:type="fixed"/>
          <w:tblLook w:val="0600"/>
        </w:tblPrEx>
        <w:trPr>
          <w:trHeight w:val="555"/>
        </w:trPr>
        <w:tc>
          <w:tcPr>
            <w:tcW w:w="15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680608CC" w14:textId="77777777">
            <w:pPr>
              <w:widowControl w:val="0"/>
              <w:jc w:val="center"/>
              <w:rPr>
                <w:sz w:val="24"/>
                <w:szCs w:val="24"/>
              </w:rPr>
            </w:pPr>
            <w:r>
              <w:rPr>
                <w:b/>
                <w:bCs/>
                <w:sz w:val="24"/>
                <w:szCs w:val="24"/>
                <w:u w:val="single"/>
              </w:rPr>
              <w:t>FY</w:t>
            </w:r>
          </w:p>
        </w:tc>
        <w:tc>
          <w:tcPr>
            <w:tcW w:w="150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A8C5D04" w14:textId="77777777">
            <w:pPr>
              <w:widowControl w:val="0"/>
              <w:jc w:val="center"/>
              <w:rPr>
                <w:sz w:val="24"/>
                <w:szCs w:val="24"/>
              </w:rPr>
            </w:pPr>
            <w:r>
              <w:rPr>
                <w:b/>
                <w:bCs/>
                <w:sz w:val="24"/>
                <w:szCs w:val="24"/>
                <w:u w:val="single"/>
              </w:rPr>
              <w:t>GSA No. of Awards</w:t>
            </w:r>
          </w:p>
        </w:tc>
      </w:tr>
      <w:tr w14:paraId="549168CF" w14:textId="77777777">
        <w:tblPrEx>
          <w:tblW w:w="3000" w:type="dxa"/>
          <w:tblLayout w:type="fixed"/>
          <w:tblLook w:val="0600"/>
        </w:tblPrEx>
        <w:trPr>
          <w:trHeight w:val="300"/>
        </w:trPr>
        <w:tc>
          <w:tcPr>
            <w:tcW w:w="150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7891EA6F" w14:textId="77777777">
            <w:pPr>
              <w:widowControl w:val="0"/>
              <w:jc w:val="right"/>
              <w:rPr>
                <w:sz w:val="24"/>
                <w:szCs w:val="24"/>
              </w:rPr>
            </w:pPr>
            <w:r>
              <w:rPr>
                <w:sz w:val="24"/>
                <w:szCs w:val="24"/>
              </w:rPr>
              <w:t>2023</w:t>
            </w:r>
          </w:p>
        </w:tc>
        <w:tc>
          <w:tcPr>
            <w:tcW w:w="1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10DB9FE2" w14:textId="77777777">
            <w:pPr>
              <w:widowControl w:val="0"/>
              <w:jc w:val="right"/>
              <w:rPr>
                <w:sz w:val="24"/>
                <w:szCs w:val="24"/>
              </w:rPr>
            </w:pPr>
            <w:r>
              <w:rPr>
                <w:sz w:val="24"/>
                <w:szCs w:val="24"/>
              </w:rPr>
              <w:t>331</w:t>
            </w:r>
          </w:p>
        </w:tc>
      </w:tr>
      <w:tr w14:paraId="2790193D" w14:textId="77777777">
        <w:tblPrEx>
          <w:tblW w:w="3000" w:type="dxa"/>
          <w:tblLayout w:type="fixed"/>
          <w:tblLook w:val="0600"/>
        </w:tblPrEx>
        <w:trPr>
          <w:trHeight w:val="300"/>
        </w:trPr>
        <w:tc>
          <w:tcPr>
            <w:tcW w:w="150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696EA084" w14:textId="77777777">
            <w:pPr>
              <w:widowControl w:val="0"/>
              <w:jc w:val="right"/>
              <w:rPr>
                <w:sz w:val="24"/>
                <w:szCs w:val="24"/>
              </w:rPr>
            </w:pPr>
            <w:r>
              <w:rPr>
                <w:sz w:val="24"/>
                <w:szCs w:val="24"/>
              </w:rPr>
              <w:t>2024</w:t>
            </w:r>
          </w:p>
        </w:tc>
        <w:tc>
          <w:tcPr>
            <w:tcW w:w="1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5410E78E" w14:textId="77777777">
            <w:pPr>
              <w:widowControl w:val="0"/>
              <w:jc w:val="right"/>
              <w:rPr>
                <w:sz w:val="24"/>
                <w:szCs w:val="24"/>
              </w:rPr>
            </w:pPr>
            <w:r>
              <w:rPr>
                <w:sz w:val="24"/>
                <w:szCs w:val="24"/>
              </w:rPr>
              <w:t>1152</w:t>
            </w:r>
          </w:p>
        </w:tc>
      </w:tr>
      <w:tr w14:paraId="33833467" w14:textId="77777777">
        <w:tblPrEx>
          <w:tblW w:w="3000" w:type="dxa"/>
          <w:tblLayout w:type="fixed"/>
          <w:tblLook w:val="0600"/>
        </w:tblPrEx>
        <w:trPr>
          <w:trHeight w:val="300"/>
        </w:trPr>
        <w:tc>
          <w:tcPr>
            <w:tcW w:w="150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5E250D27" w14:textId="77777777">
            <w:pPr>
              <w:widowControl w:val="0"/>
              <w:jc w:val="right"/>
              <w:rPr>
                <w:sz w:val="24"/>
                <w:szCs w:val="24"/>
              </w:rPr>
            </w:pPr>
            <w:r>
              <w:rPr>
                <w:sz w:val="24"/>
                <w:szCs w:val="24"/>
              </w:rPr>
              <w:t>2025</w:t>
            </w:r>
          </w:p>
        </w:tc>
        <w:tc>
          <w:tcPr>
            <w:tcW w:w="1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E7682C2" w14:textId="77777777">
            <w:pPr>
              <w:widowControl w:val="0"/>
              <w:jc w:val="right"/>
              <w:rPr>
                <w:sz w:val="24"/>
                <w:szCs w:val="24"/>
              </w:rPr>
            </w:pPr>
            <w:r>
              <w:rPr>
                <w:sz w:val="24"/>
                <w:szCs w:val="24"/>
              </w:rPr>
              <w:t>3297</w:t>
            </w:r>
          </w:p>
        </w:tc>
      </w:tr>
      <w:tr w14:paraId="1A7A294E" w14:textId="77777777">
        <w:tblPrEx>
          <w:tblW w:w="3000" w:type="dxa"/>
          <w:tblLayout w:type="fixed"/>
          <w:tblLook w:val="0600"/>
        </w:tblPrEx>
        <w:trPr>
          <w:trHeight w:val="300"/>
        </w:trPr>
        <w:tc>
          <w:tcPr>
            <w:tcW w:w="150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771689" w14:paraId="4B7E2AC9" w14:textId="77777777">
            <w:pPr>
              <w:widowControl w:val="0"/>
              <w:rPr>
                <w:sz w:val="24"/>
                <w:szCs w:val="24"/>
              </w:rPr>
            </w:pPr>
            <w:r>
              <w:rPr>
                <w:b/>
                <w:bCs/>
                <w:sz w:val="24"/>
                <w:szCs w:val="24"/>
              </w:rPr>
              <w:t>Average</w:t>
            </w:r>
          </w:p>
        </w:tc>
        <w:tc>
          <w:tcPr>
            <w:tcW w:w="1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771689" w14:paraId="423C32EB" w14:textId="77777777">
            <w:pPr>
              <w:widowControl w:val="0"/>
              <w:jc w:val="right"/>
              <w:rPr>
                <w:sz w:val="24"/>
                <w:szCs w:val="24"/>
              </w:rPr>
            </w:pPr>
            <w:r>
              <w:rPr>
                <w:b/>
                <w:bCs/>
                <w:sz w:val="24"/>
                <w:szCs w:val="24"/>
              </w:rPr>
              <w:t>1593</w:t>
            </w:r>
          </w:p>
        </w:tc>
      </w:tr>
    </w:tbl>
    <w:p w:rsidR="00771689" w14:paraId="5B8F5732" w14:textId="77777777">
      <w:pPr>
        <w:widowControl w:val="0"/>
        <w:tabs>
          <w:tab w:val="left" w:pos="360"/>
          <w:tab w:val="left" w:pos="720"/>
          <w:tab w:val="left" w:pos="1080"/>
        </w:tabs>
        <w:spacing w:line="240" w:lineRule="auto"/>
        <w:rPr>
          <w:rFonts w:ascii="Courier New" w:eastAsia="Courier New" w:hAnsi="Courier New" w:cs="Courier New"/>
          <w:sz w:val="24"/>
          <w:szCs w:val="24"/>
        </w:rPr>
      </w:pPr>
    </w:p>
    <w:sectPr>
      <w:footerReference w:type="default" r:id="rId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D4836E6-8181-4C45-BD9E-C5000DEA3392}"/>
  </w:font>
  <w:font w:name="Cambria">
    <w:panose1 w:val="02040503050406030204"/>
    <w:charset w:val="00"/>
    <w:family w:val="roman"/>
    <w:pitch w:val="variable"/>
    <w:sig w:usb0="E00006FF" w:usb1="420024FF" w:usb2="02000000" w:usb3="00000000" w:csb0="0000019F" w:csb1="00000000"/>
    <w:embedRegular r:id="rId2" w:fontKey="{07690CA8-A761-4F29-98F7-FB64B86D40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1689" w14:paraId="2C0352A6" w14:textId="77777777">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F06766">
      <w:rPr>
        <w:noProof/>
        <w:color w:val="000000"/>
      </w:rPr>
      <w:t>1</w:t>
    </w:r>
    <w:r>
      <w:rPr>
        <w:color w:val="000000"/>
      </w:rPr>
      <w:fldChar w:fldCharType="end"/>
    </w:r>
  </w:p>
  <w:p w:rsidR="00771689" w14:paraId="16867CBB" w14:textId="77777777">
    <w:pPr>
      <w:pBdr>
        <w:top w:val="nil"/>
        <w:left w:val="nil"/>
        <w:bottom w:val="nil"/>
        <w:right w:val="nil"/>
        <w:between w:val="nil"/>
      </w:pBdr>
      <w:tabs>
        <w:tab w:val="center" w:pos="4680"/>
        <w:tab w:val="right" w:pos="9360"/>
      </w:tabs>
      <w:spacing w:line="240" w:lineRule="auto"/>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F21519"/>
    <w:multiLevelType w:val="multilevel"/>
    <w:tmpl w:val="1BC26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F667D34"/>
    <w:multiLevelType w:val="multilevel"/>
    <w:tmpl w:val="26504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6CA6748"/>
    <w:multiLevelType w:val="multilevel"/>
    <w:tmpl w:val="1FA67B80"/>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52060444"/>
    <w:multiLevelType w:val="multilevel"/>
    <w:tmpl w:val="AF608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77AD7155"/>
    <w:multiLevelType w:val="multilevel"/>
    <w:tmpl w:val="3AE865A8"/>
    <w:lvl w:ilvl="0">
      <w:start w:val="1"/>
      <w:numFmt w:val="upperLetter"/>
      <w:lvlText w:val="%1."/>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626108">
    <w:abstractNumId w:val="3"/>
  </w:num>
  <w:num w:numId="2" w16cid:durableId="1381395945">
    <w:abstractNumId w:val="0"/>
  </w:num>
  <w:num w:numId="3" w16cid:durableId="1312490162">
    <w:abstractNumId w:val="2"/>
  </w:num>
  <w:num w:numId="4" w16cid:durableId="1561556970">
    <w:abstractNumId w:val="1"/>
  </w:num>
  <w:num w:numId="5" w16cid:durableId="2016704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689"/>
    <w:rsid w:val="00163D5F"/>
    <w:rsid w:val="002036E3"/>
    <w:rsid w:val="002C7336"/>
    <w:rsid w:val="00771689"/>
    <w:rsid w:val="0078509A"/>
    <w:rsid w:val="00D400B5"/>
    <w:rsid w:val="00F067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AE97BD"/>
  <w15:docId w15:val="{8B114E20-CB1E-4807-ACB3-5174E801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Pr>
  </w:style>
  <w:style w:type="table" w:customStyle="1" w:styleId="a0">
    <w:name w:val="a0"/>
    <w:basedOn w:val="TableNormal00"/>
    <w:tblPr>
      <w:tblStyleRowBandSize w:val="1"/>
      <w:tblStyleColBandSize w:val="1"/>
    </w:tblPr>
  </w:style>
  <w:style w:type="table" w:customStyle="1" w:styleId="a1">
    <w:name w:val="a1"/>
    <w:basedOn w:val="TableNormal00"/>
    <w:tblPr>
      <w:tblStyleRowBandSize w:val="1"/>
      <w:tblStyleColBandSize w:val="1"/>
    </w:tblPr>
  </w:style>
  <w:style w:type="paragraph" w:styleId="NormalWeb">
    <w:name w:val="Normal (Web)"/>
    <w:basedOn w:val="Normal"/>
    <w:uiPriority w:val="99"/>
    <w:unhideWhenUsed/>
    <w:rsid w:val="007B3E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B3E6D"/>
    <w:pPr>
      <w:ind w:left="720"/>
      <w:contextualSpacing/>
    </w:p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name w:val="a2"/>
    <w:basedOn w:val="TableNormal"/>
    <w:tblPr>
      <w:tblStyleRowBandSize w:val="1"/>
      <w:tblStyleColBandSize w:val="1"/>
      <w:tblCellMar>
        <w:top w:w="100" w:type="dxa"/>
        <w:left w:w="100" w:type="dxa"/>
        <w:bottom w:w="100" w:type="dxa"/>
        <w:right w:w="100" w:type="dxa"/>
      </w:tblCellMar>
    </w:tblPr>
  </w:style>
  <w:style w:type="table" w:customStyle="1" w:styleId="a3">
    <w:name w:val="a3"/>
    <w:basedOn w:val="TableNormal"/>
    <w:tblPr>
      <w:tblStyleRowBandSize w:val="1"/>
      <w:tblStyleColBandSize w:val="1"/>
      <w:tblCellMar>
        <w:top w:w="100" w:type="dxa"/>
        <w:left w:w="100" w:type="dxa"/>
        <w:bottom w:w="100" w:type="dxa"/>
        <w:right w:w="100" w:type="dxa"/>
      </w:tblCellMar>
    </w:tblPr>
  </w:style>
  <w:style w:type="table" w:customStyle="1" w:styleId="a4">
    <w:name w:val="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QieyQm+CGwCe/8XidO/VhsSxg==">CgMxLjAyDmgucDh4NmpqNHI4cnE2OAByITFtX1BEdWljLVhieWpJSktsbFkzUkRwQ1h4N0llSU0tWg==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1517</Words>
  <Characters>8652</Characters>
  <Application>Microsoft Office Word</Application>
  <DocSecurity>0</DocSecurity>
  <Lines>72</Lines>
  <Paragraphs>20</Paragraphs>
  <ScaleCrop>false</ScaleCrop>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D. Bynum</cp:lastModifiedBy>
  <cp:revision>3</cp:revision>
  <dcterms:created xsi:type="dcterms:W3CDTF">2026-04-24T16:36:00Z</dcterms:created>
  <dcterms:modified xsi:type="dcterms:W3CDTF">2026-10-01T14:21:00Z</dcterms:modified>
</cp:coreProperties>
</file>