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D6B79" w14:paraId="4934B57D" w14:textId="77777777">
      <w:pPr>
        <w:spacing w:after="319" w:line="253" w:lineRule="auto"/>
        <w:ind w:left="10" w:right="74"/>
        <w:jc w:val="center"/>
      </w:pPr>
      <w:r>
        <w:rPr>
          <w:b/>
        </w:rPr>
        <w:t xml:space="preserve">Supporting Statement Part-A </w:t>
      </w:r>
    </w:p>
    <w:p w:rsidR="005D6B79" w14:paraId="06234851" w14:textId="77777777">
      <w:pPr>
        <w:spacing w:after="221" w:line="253" w:lineRule="auto"/>
        <w:ind w:left="10"/>
        <w:jc w:val="center"/>
      </w:pPr>
      <w:r>
        <w:rPr>
          <w:b/>
        </w:rPr>
        <w:t xml:space="preserve">The In-Center Hemodialysis Consumer Assessment of Healthcare Providers and Systems Survey Mode Experiment </w:t>
      </w:r>
    </w:p>
    <w:p w:rsidR="005D6B79" w14:paraId="1299FEFB" w14:textId="77777777">
      <w:pPr>
        <w:spacing w:after="221" w:line="253" w:lineRule="auto"/>
        <w:ind w:left="10" w:right="62"/>
        <w:jc w:val="center"/>
      </w:pPr>
      <w:r>
        <w:rPr>
          <w:b/>
        </w:rPr>
        <w:t>(CMS-10105; OMB# 0938-0926)</w:t>
      </w:r>
      <w:r>
        <w:t xml:space="preserve"> </w:t>
      </w:r>
    </w:p>
    <w:p w:rsidR="005D6B79" w14:paraId="38D79576" w14:textId="77777777">
      <w:pPr>
        <w:pStyle w:val="Heading1"/>
        <w:ind w:left="-5" w:right="0"/>
      </w:pPr>
      <w:r>
        <w:t xml:space="preserve"> BACKGROUND </w:t>
      </w:r>
    </w:p>
    <w:p w:rsidR="005D6B79" w14:paraId="418DA523" w14:textId="77777777">
      <w:pPr>
        <w:spacing w:after="0" w:line="259" w:lineRule="auto"/>
        <w:ind w:left="74" w:firstLine="0"/>
        <w:jc w:val="center"/>
      </w:pPr>
      <w:r>
        <w:rPr>
          <w:b/>
          <w:sz w:val="20"/>
        </w:rPr>
        <w:t xml:space="preserve"> </w:t>
      </w:r>
      <w:r>
        <w:t xml:space="preserve">The Centers for Medicare &amp; Medicaid Services (CMS) implements the In-Center </w:t>
      </w:r>
    </w:p>
    <w:p w:rsidR="005D6B79" w14:paraId="7204FE50" w14:textId="77777777">
      <w:pPr>
        <w:spacing w:after="4"/>
        <w:ind w:left="213" w:right="2"/>
      </w:pPr>
      <w:r>
        <w:t xml:space="preserve">Hemodialysis Consumer Assessment of Healthcare Providers and Systems (ICH CAHPS) </w:t>
      </w:r>
    </w:p>
    <w:p w:rsidR="005D6B79" w14:paraId="449D31A8" w14:textId="77777777">
      <w:pPr>
        <w:ind w:left="213" w:right="2"/>
      </w:pPr>
      <w:r>
        <w:t xml:space="preserve">Survey to measure patients’ experience of care with in-center hemodialysis facilities under Contract Number GS-00F-354CA - 75FCMC25FJ128. The survey is designed to meet the following goals:   </w:t>
      </w:r>
    </w:p>
    <w:p w:rsidR="005D6B79" w14:paraId="5D86D7C4" w14:textId="77777777">
      <w:pPr>
        <w:numPr>
          <w:ilvl w:val="0"/>
          <w:numId w:val="1"/>
        </w:numPr>
        <w:ind w:right="2" w:hanging="359"/>
      </w:pPr>
      <w:r>
        <w:t>Produce comparable data from the patient’s perspective that will allow objective and meaningful comparisons between dialysis centers on domains that are important to consumers.</w:t>
      </w:r>
    </w:p>
    <w:p w:rsidR="005D6B79" w14:paraId="19105CF6" w14:textId="77777777">
      <w:pPr>
        <w:numPr>
          <w:ilvl w:val="0"/>
          <w:numId w:val="1"/>
        </w:numPr>
        <w:ind w:right="2" w:hanging="359"/>
      </w:pPr>
      <w:r>
        <w:t>Create incentives for dialysis centers to improve their quality of care.</w:t>
      </w:r>
    </w:p>
    <w:p w:rsidR="005D6B79" w14:paraId="23CB0C48" w14:textId="77777777">
      <w:pPr>
        <w:numPr>
          <w:ilvl w:val="0"/>
          <w:numId w:val="1"/>
        </w:numPr>
        <w:ind w:right="2" w:hanging="359"/>
      </w:pPr>
      <w:r>
        <w:t>Enhance public accountability in health care by increasing the transparency of the quality of care provided in return for public investment.</w:t>
      </w:r>
    </w:p>
    <w:p w:rsidR="005D6B79" w14:paraId="3FA2E180" w14:textId="77777777">
      <w:pPr>
        <w:ind w:left="203" w:right="2" w:firstLine="710"/>
      </w:pPr>
      <w:r>
        <w:t xml:space="preserve">Since 2014, CMS and its contractor </w:t>
      </w:r>
      <w:r>
        <w:t>has</w:t>
      </w:r>
      <w:r>
        <w:t xml:space="preserve"> conducted the ICH CAHPS survey twice a year. The results are publicly reported on Care Compare on Medicare.gov. The data are refreshed on Care Compare in April and October based on a rolling average of the two most recent survey periods. Patients with end-stage renal disease (ESRD) can compare the services and quality of care that dialysis facilities provide. Survey results from ICH CAHPS complement the clinical quality measures that CMS has been publicly reporting on Care Compare on Medicare.gov. Both </w:t>
      </w:r>
      <w:r>
        <w:t xml:space="preserve">clinical and patient experience quality measures enable consumers to make more informed decisions when choosing a dialysis facility. Furthermore, survey results can aid facilities in their quality improvement efforts and help CMS monitor the performance of ICH facilities. ICH CAHPS is part of the ESRD Quality Incentive Program (QIP) and is required as part of the value-based purchasing program for payments under the Medicare program. </w:t>
      </w:r>
    </w:p>
    <w:p w:rsidR="005D6B79" w14:paraId="66B1BFF1" w14:textId="77777777">
      <w:pPr>
        <w:ind w:left="203" w:right="2" w:firstLine="710"/>
      </w:pPr>
      <w:r>
        <w:t>Recently, CMS reduced the length of the ICH CAHPS survey to decrease the burden on patients and improve response rates. The shortened survey was approved under OMB 0938-0926 and was implemented in the Spring 2026 data collection period. The survey is currently offered in three modes of administration: mail-only, telephone-only, and mail with telephone follow-up. In recent years, CMS has received feedback from ESRD stakeholders requesting 1) the option to administer the survey using a web mode as an alternat</w:t>
      </w:r>
      <w:r>
        <w:t xml:space="preserve">ive to the existing approved modes of administration, and 2) to test a survey that includes home dialysis patients in addition to ICH patients. Both suggestions are the focus of this OMB/PRA submission.  </w:t>
      </w:r>
    </w:p>
    <w:p w:rsidR="005D6B79" w14:paraId="4C1D7597" w14:textId="77777777">
      <w:pPr>
        <w:ind w:left="203" w:right="2" w:firstLine="710"/>
      </w:pPr>
      <w:r>
        <w:t>The addition of a web-based mode has the potential to improve response rates, which have been declining across surveys in recent years. According to Pew Research, 90% of adults age 65 and older and 96% of adults 50-64 years of age use the internet and 70% and 79%, respectively, have broadband internet at home.</w:t>
      </w:r>
      <w:r>
        <w:rPr>
          <w:vertAlign w:val="superscript"/>
        </w:rPr>
        <w:footnoteReference w:id="2"/>
      </w:r>
      <w:r>
        <w:t xml:space="preserve"> Additionally, 78% of adults age 65 and older and </w:t>
      </w:r>
      <w:r>
        <w:t>90% of adults 50-64 years of age own a smartphone.</w:t>
      </w:r>
      <w:r>
        <w:rPr>
          <w:vertAlign w:val="superscript"/>
        </w:rPr>
        <w:footnoteReference w:id="3"/>
      </w:r>
      <w:r>
        <w:t xml:space="preserve"> In 2021-2022, CMS tested a web-based mode of the survey with the ICH dialysis population under CMS-10694, OMB Control number: 0938-1370. Due to a lack of adequate patient email addresses in the sampling frame, CMS was unable to determine whether a web mode was appropriate for this population. In the intervening years, CMS and its contractor have been working towards strategies to obtain more patient email addresses to conduct another web mode experiment. At this time 10% of patients in the ESRD Quality Rep</w:t>
      </w:r>
      <w:r>
        <w:t xml:space="preserve">orting System (EQRS) have email addresses and the percentage may increase as certain dialysis organizations continue adding patient email addresses to the ESRD Quality Reporting System (EQRS), which is used as the sampling frame for the ICH CAHPS Survey. In addition to emailing links to a web-based survey to those patients with email addresses, CMS also plans to send letters to patients assigned to the web mode that contain short URLs and QR codes to direct respondents to complete the survey online.  </w:t>
      </w:r>
    </w:p>
    <w:p w:rsidR="005D6B79" w14:paraId="2134F10F" w14:textId="77777777">
      <w:pPr>
        <w:ind w:left="203" w:right="2" w:firstLine="710"/>
      </w:pPr>
      <w:r>
        <w:t xml:space="preserve">The mode experiment will also include a revised survey that was designed with questions that are applicable to both home dialysis and in-center dialysis patients. The revised survey was developed and refined with input from ESRD stakeholders and home dialysis patients. All four proposed modes of administration for the experiment will use the revised combined home/ICH survey: </w:t>
      </w:r>
    </w:p>
    <w:p w:rsidR="005D6B79" w14:paraId="07107FB4" w14:textId="77777777">
      <w:pPr>
        <w:numPr>
          <w:ilvl w:val="0"/>
          <w:numId w:val="2"/>
        </w:numPr>
        <w:spacing w:after="66"/>
        <w:ind w:right="2" w:hanging="360"/>
      </w:pPr>
      <w:r>
        <w:t xml:space="preserve">Mail only </w:t>
      </w:r>
    </w:p>
    <w:p w:rsidR="005D6B79" w14:paraId="1EFFD929" w14:textId="77777777">
      <w:pPr>
        <w:numPr>
          <w:ilvl w:val="0"/>
          <w:numId w:val="2"/>
        </w:numPr>
        <w:spacing w:after="65"/>
        <w:ind w:right="2" w:hanging="360"/>
      </w:pPr>
      <w:r>
        <w:t xml:space="preserve">Telephone only </w:t>
      </w:r>
    </w:p>
    <w:p w:rsidR="005D6B79" w14:paraId="583AB948" w14:textId="77777777">
      <w:pPr>
        <w:numPr>
          <w:ilvl w:val="0"/>
          <w:numId w:val="2"/>
        </w:numPr>
        <w:spacing w:after="65"/>
        <w:ind w:right="2" w:hanging="360"/>
      </w:pPr>
      <w:r>
        <w:t xml:space="preserve">Mail with telephone follow-up </w:t>
      </w:r>
    </w:p>
    <w:p w:rsidR="005D6B79" w14:paraId="5FE2F29E" w14:textId="77777777">
      <w:pPr>
        <w:numPr>
          <w:ilvl w:val="0"/>
          <w:numId w:val="2"/>
        </w:numPr>
        <w:spacing w:after="57"/>
        <w:ind w:right="2" w:hanging="360"/>
      </w:pPr>
      <w:r>
        <w:t xml:space="preserve">(New) Web with mail and telephone follow-up </w:t>
      </w:r>
    </w:p>
    <w:p w:rsidR="005D6B79" w14:paraId="20829415" w14:textId="77777777">
      <w:pPr>
        <w:ind w:left="203" w:right="2" w:firstLine="710"/>
      </w:pPr>
      <w:r>
        <w:t xml:space="preserve">The web/mail/telephone mode is proposed because historically the ICH CAHPS Survey has the highest response rates for the mail with telephone follow-up mode, which many of the facilities choose to administer in this setting.  </w:t>
      </w:r>
    </w:p>
    <w:p w:rsidR="005D6B79" w14:paraId="4C77A6B2" w14:textId="77777777">
      <w:pPr>
        <w:ind w:left="203" w:right="2" w:firstLine="710"/>
      </w:pPr>
      <w:r>
        <w:t xml:space="preserve">The ICH CAHPS Survey is currently approved for data collection using mail-only, telephone-only, or mail with telephone follow-up modes of survey administration. Through this revision submission, CMS proposes investigating the feasibility of implementing a web-based mode with mail and telephone follow-up for OMB approval. </w:t>
      </w:r>
    </w:p>
    <w:p w:rsidR="005D6B79" w14:paraId="2542D5EE" w14:textId="77777777">
      <w:pPr>
        <w:ind w:left="203" w:right="2" w:firstLine="710"/>
      </w:pPr>
      <w:r>
        <w:t xml:space="preserve">The revised survey and a crosswalk of changes from the approved ICH CAHPS survey are available in </w:t>
      </w:r>
      <w:r>
        <w:rPr>
          <w:b/>
          <w:i/>
        </w:rPr>
        <w:t>Attachment A</w:t>
      </w:r>
      <w:r>
        <w:t xml:space="preserve">.  </w:t>
      </w:r>
    </w:p>
    <w:p w:rsidR="005D6B79" w:rsidP="003471E3" w14:paraId="55F3AF06" w14:textId="14A7EC1A">
      <w:pPr>
        <w:spacing w:after="63" w:line="259" w:lineRule="auto"/>
        <w:ind w:left="868" w:firstLine="0"/>
      </w:pPr>
      <w:r>
        <w:t xml:space="preserve"> </w:t>
      </w:r>
      <w:r>
        <w:t xml:space="preserve"> </w:t>
      </w:r>
    </w:p>
    <w:p w:rsidR="003471E3" w14:paraId="3A3E9258" w14:textId="77777777">
      <w:pPr>
        <w:pStyle w:val="Heading1"/>
        <w:ind w:left="-5" w:right="0"/>
        <w:rPr>
          <w:rFonts w:ascii="Calibri" w:eastAsia="Calibri" w:hAnsi="Calibri" w:cs="Calibri"/>
          <w:b w:val="0"/>
          <w:sz w:val="22"/>
        </w:rPr>
      </w:pPr>
      <w:r>
        <w:t xml:space="preserve">   A.</w:t>
      </w:r>
      <w:r>
        <w:rPr>
          <w:rFonts w:ascii="Arial" w:eastAsia="Arial" w:hAnsi="Arial" w:cs="Arial"/>
          <w:b w:val="0"/>
        </w:rPr>
        <w:t xml:space="preserve">  </w:t>
      </w:r>
      <w:r>
        <w:t>JUSTIFICATION</w:t>
      </w:r>
      <w:r>
        <w:rPr>
          <w:b w:val="0"/>
        </w:rPr>
        <w:t xml:space="preserve"> </w:t>
      </w:r>
      <w:r>
        <w:rPr>
          <w:rFonts w:ascii="Calibri" w:eastAsia="Calibri" w:hAnsi="Calibri" w:cs="Calibri"/>
          <w:b w:val="0"/>
          <w:sz w:val="22"/>
        </w:rPr>
        <w:t xml:space="preserve"> </w:t>
      </w:r>
    </w:p>
    <w:p w:rsidR="005D6B79" w14:paraId="008E63A8" w14:textId="71CC0090">
      <w:pPr>
        <w:pStyle w:val="Heading1"/>
        <w:ind w:left="-5" w:right="0"/>
      </w:pPr>
      <w:r>
        <w:t>A.1</w:t>
      </w:r>
      <w:r>
        <w:rPr>
          <w:rFonts w:ascii="Arial" w:eastAsia="Arial" w:hAnsi="Arial" w:cs="Arial"/>
        </w:rPr>
        <w:t xml:space="preserve">  </w:t>
      </w:r>
      <w:r>
        <w:t>Circumstances</w:t>
      </w:r>
      <w:r>
        <w:t xml:space="preserve"> Making the Collection of Information Necessary  </w:t>
      </w:r>
    </w:p>
    <w:p w:rsidR="005D6B79" w14:paraId="7191DBC6" w14:textId="5DF3ECB0">
      <w:pPr>
        <w:spacing w:after="136"/>
        <w:ind w:left="203" w:right="2" w:firstLine="710"/>
      </w:pPr>
      <w:r>
        <w:rPr>
          <w:b/>
          <w:sz w:val="20"/>
        </w:rPr>
        <w:t xml:space="preserve"> </w:t>
      </w:r>
      <w:r>
        <w:t>CMS plans to use information from this mode experiment to determine whether an additional mode of administration – web with mail and telephone follow-up – should be included in the national implementation of the ICH CAHPS Survey, and whether a revised survey works with both home dialysis and ICH patients. The ICH CAHPS Survey is used by dialysis facilities to improve their internal quality assurance. Additionally, Medicare-certified ICH facilities serving 30 or more survey-eligible patients in the preceding</w:t>
      </w:r>
      <w:r>
        <w:t xml:space="preserve"> year are required to collect and submit to CMS the ICH CAHPS Survey data as part of the value-based purchasing program for payments under the Medicare program. ICH facilities are required to contract with a </w:t>
      </w:r>
      <w:r w:rsidR="003471E3">
        <w:t xml:space="preserve">CMS </w:t>
      </w:r>
      <w:r w:rsidR="003471E3">
        <w:t>approved</w:t>
      </w:r>
      <w:r>
        <w:t>, independent third-party survey vendor to implement the ICH CAHPS survey on their behalf and to submit ICH CAHPS Survey data to CMS.  ICH CAHPS survey results for all participating ICH facilities that had 30 or more completed surveys from the two most recent semiannual surveys are publicly reported on Care Compare on Medicare.gov. Increasing response rates such as through a web-based mode of administration may help to maximize the number of ICH facilities with data on Care Compare, thus empowering patients</w:t>
      </w:r>
      <w:r>
        <w:t xml:space="preserve"> to make informed choices about where to receive their dialysis care. Implementing a survey that can also include home dialysis patients would assist additional ESRD patients in making informed dialysis decisions. The survey is available in English in </w:t>
      </w:r>
      <w:r>
        <w:rPr>
          <w:b/>
          <w:i/>
        </w:rPr>
        <w:t>Attachment A</w:t>
      </w:r>
      <w:r>
        <w:t xml:space="preserve">.  </w:t>
      </w:r>
    </w:p>
    <w:p w:rsidR="005D6B79" w14:paraId="03A94088" w14:textId="77777777">
      <w:pPr>
        <w:pStyle w:val="Heading1"/>
        <w:tabs>
          <w:tab w:val="center" w:pos="2656"/>
        </w:tabs>
        <w:ind w:left="-15" w:right="0" w:firstLine="0"/>
      </w:pPr>
      <w:r>
        <w:rPr>
          <w:rFonts w:ascii="Calibri" w:eastAsia="Calibri" w:hAnsi="Calibri" w:cs="Calibri"/>
          <w:b w:val="0"/>
          <w:sz w:val="22"/>
        </w:rPr>
        <w:t xml:space="preserve"> </w:t>
      </w:r>
      <w:r>
        <w:t>A.2</w:t>
      </w:r>
      <w:r>
        <w:rPr>
          <w:rFonts w:ascii="Arial" w:eastAsia="Arial" w:hAnsi="Arial" w:cs="Arial"/>
        </w:rPr>
        <w:t xml:space="preserve">  </w:t>
      </w:r>
      <w:r>
        <w:rPr>
          <w:rFonts w:ascii="Arial" w:eastAsia="Arial" w:hAnsi="Arial" w:cs="Arial"/>
        </w:rPr>
        <w:tab/>
      </w:r>
      <w:r>
        <w:t xml:space="preserve">Purpose and Use of Information  </w:t>
      </w:r>
    </w:p>
    <w:p w:rsidR="005D6B79" w14:paraId="0F1D5B54" w14:textId="77777777">
      <w:pPr>
        <w:ind w:left="203" w:right="2" w:firstLine="710"/>
      </w:pPr>
      <w:r>
        <w:rPr>
          <w:b/>
          <w:sz w:val="20"/>
        </w:rPr>
        <w:t xml:space="preserve"> </w:t>
      </w:r>
      <w:r>
        <w:t xml:space="preserve">Data collected from the ICH CAHPS mode experiment will be used for the following purposes:  </w:t>
      </w:r>
    </w:p>
    <w:p w:rsidR="005D6B79" w14:paraId="744568A6" w14:textId="77777777">
      <w:pPr>
        <w:numPr>
          <w:ilvl w:val="0"/>
          <w:numId w:val="3"/>
        </w:numPr>
        <w:ind w:right="2" w:hanging="359"/>
      </w:pPr>
      <w:r>
        <w:t xml:space="preserve">To determine if the questions work for both ICH patients (existing respondents) as well as home dialysis patients (new respondents);  </w:t>
      </w:r>
    </w:p>
    <w:p w:rsidR="005D6B79" w14:paraId="25CC9EEB" w14:textId="77777777">
      <w:pPr>
        <w:numPr>
          <w:ilvl w:val="0"/>
          <w:numId w:val="3"/>
        </w:numPr>
        <w:ind w:right="2" w:hanging="359"/>
      </w:pPr>
      <w:r>
        <w:t xml:space="preserve">To determine whether a web-based mode of data collection is appropriate for the dialysis population; </w:t>
      </w:r>
    </w:p>
    <w:p w:rsidR="005D6B79" w14:paraId="35F96587" w14:textId="77777777">
      <w:pPr>
        <w:numPr>
          <w:ilvl w:val="0"/>
          <w:numId w:val="3"/>
        </w:numPr>
        <w:ind w:right="2" w:hanging="359"/>
      </w:pPr>
      <w:r>
        <w:t xml:space="preserve">To compare survey responses across the four proposed modes to determine if adjustments are needed to ensure data collection mode does not influence the results; and </w:t>
      </w:r>
    </w:p>
    <w:p w:rsidR="005D6B79" w14:paraId="3BB8C2CF" w14:textId="77777777">
      <w:pPr>
        <w:numPr>
          <w:ilvl w:val="0"/>
          <w:numId w:val="3"/>
        </w:numPr>
        <w:spacing w:after="136"/>
        <w:ind w:right="2" w:hanging="359"/>
      </w:pPr>
      <w:r>
        <w:t xml:space="preserve">To determine if and by how much patient characteristics affect the patients’ rating of the care they receive and adjust results based on those factors.  </w:t>
      </w:r>
    </w:p>
    <w:p w:rsidR="005D6B79" w14:paraId="3A166614" w14:textId="77777777">
      <w:pPr>
        <w:pStyle w:val="Heading1"/>
        <w:tabs>
          <w:tab w:val="center" w:pos="3144"/>
        </w:tabs>
        <w:ind w:left="-15" w:right="0" w:firstLine="0"/>
      </w:pPr>
      <w:r>
        <w:rPr>
          <w:rFonts w:ascii="Calibri" w:eastAsia="Calibri" w:hAnsi="Calibri" w:cs="Calibri"/>
          <w:b w:val="0"/>
          <w:sz w:val="22"/>
        </w:rPr>
        <w:t xml:space="preserve"> </w:t>
      </w:r>
      <w:r>
        <w:t>A.3</w:t>
      </w:r>
      <w:r>
        <w:rPr>
          <w:rFonts w:ascii="Arial" w:eastAsia="Arial" w:hAnsi="Arial" w:cs="Arial"/>
        </w:rPr>
        <w:t xml:space="preserve">  </w:t>
      </w:r>
      <w:r>
        <w:rPr>
          <w:rFonts w:ascii="Arial" w:eastAsia="Arial" w:hAnsi="Arial" w:cs="Arial"/>
        </w:rPr>
        <w:tab/>
      </w:r>
      <w:r>
        <w:t xml:space="preserve">Use of Improved Information Technology  </w:t>
      </w:r>
    </w:p>
    <w:p w:rsidR="005D6B79" w14:paraId="0856CFCE" w14:textId="77777777">
      <w:pPr>
        <w:ind w:left="203" w:right="2" w:firstLine="710"/>
      </w:pPr>
      <w:r>
        <w:rPr>
          <w:b/>
          <w:sz w:val="20"/>
        </w:rPr>
        <w:t xml:space="preserve"> </w:t>
      </w:r>
      <w:r>
        <w:t>The ICH CAHPS Survey is currently approved for data collection using mail-only, telephone-only, or mail with telephone follow-up modes of survey administration. Through this submission, CMS proposes investigating the feasibility of implementing a web-based mode with mail and telephone follow-up. If CMS determines the response rates for completing the survey on the web are sufficient, an additional mode option for web with mail and telephone follow-up may be incorporated into the national implementation of t</w:t>
      </w:r>
      <w:r>
        <w:t xml:space="preserve">he ICH CAHPS Survey through the rulemaking process.  </w:t>
      </w:r>
    </w:p>
    <w:p w:rsidR="005D6B79" w14:paraId="056ED0B4" w14:textId="77777777">
      <w:pPr>
        <w:ind w:left="203" w:right="2" w:firstLine="710"/>
      </w:pPr>
      <w:r>
        <w:t xml:space="preserve">As with a Computer Assisted Telephone Interview (CATI) system, web administration offers numerous advantages, including the following: </w:t>
      </w:r>
    </w:p>
    <w:p w:rsidR="005D6B79" w14:paraId="07494C15" w14:textId="77777777">
      <w:pPr>
        <w:numPr>
          <w:ilvl w:val="0"/>
          <w:numId w:val="4"/>
        </w:numPr>
        <w:ind w:right="2" w:hanging="359"/>
      </w:pPr>
      <w:r>
        <w:t xml:space="preserve">costs less than in-person data collection;  </w:t>
      </w:r>
    </w:p>
    <w:p w:rsidR="005D6B79" w14:paraId="21F86812" w14:textId="77777777">
      <w:pPr>
        <w:numPr>
          <w:ilvl w:val="0"/>
          <w:numId w:val="4"/>
        </w:numPr>
        <w:ind w:right="2" w:hanging="359"/>
      </w:pPr>
      <w:r>
        <w:t xml:space="preserve">allows for a shorter data collection period;  </w:t>
      </w:r>
    </w:p>
    <w:p w:rsidR="005D6B79" w14:paraId="62A67519" w14:textId="77777777">
      <w:pPr>
        <w:ind w:left="1309" w:right="2"/>
      </w:pPr>
      <w:r>
        <w:t xml:space="preserve">allows for less item nonresponse because the system controls the flow of the interview and complex routing;  </w:t>
      </w:r>
    </w:p>
    <w:p w:rsidR="005D6B79" w14:paraId="26E719D9" w14:textId="77777777">
      <w:pPr>
        <w:numPr>
          <w:ilvl w:val="0"/>
          <w:numId w:val="4"/>
        </w:numPr>
        <w:ind w:right="2" w:hanging="359"/>
      </w:pPr>
      <w:r>
        <w:t>i</w:t>
      </w:r>
      <w:r>
        <w:t xml:space="preserve">ncreases data quality by allowing consistency and data range checks on respondent answers;  </w:t>
      </w:r>
    </w:p>
    <w:p w:rsidR="005D6B79" w14:paraId="0AD7648A" w14:textId="77777777">
      <w:pPr>
        <w:numPr>
          <w:ilvl w:val="0"/>
          <w:numId w:val="4"/>
        </w:numPr>
        <w:ind w:right="2" w:hanging="359"/>
      </w:pPr>
      <w:r>
        <w:t xml:space="preserve">creates a centralization of process/quality control; and  </w:t>
      </w:r>
    </w:p>
    <w:p w:rsidR="005D6B79" w14:paraId="0438B949" w14:textId="77777777">
      <w:pPr>
        <w:numPr>
          <w:ilvl w:val="0"/>
          <w:numId w:val="4"/>
        </w:numPr>
        <w:ind w:right="2" w:hanging="359"/>
      </w:pPr>
      <w:r>
        <w:t xml:space="preserve">reduces post-interview processing time and costs.  </w:t>
      </w:r>
    </w:p>
    <w:p w:rsidR="005D6B79" w14:paraId="0F28CD03" w14:textId="77777777">
      <w:pPr>
        <w:spacing w:after="136"/>
        <w:ind w:left="203" w:right="2" w:firstLine="710"/>
      </w:pPr>
      <w:r>
        <w:t xml:space="preserve"> Since response rates are typically higher when multiple modes are used and not all dialysis facility patients have access to the internet or email addresses available in EQRS, CMS is electing to combine the web mode with mail and telephone follow-up options for nonrespondents.  </w:t>
      </w:r>
    </w:p>
    <w:p w:rsidR="005D6B79" w14:paraId="2B4D9501" w14:textId="77777777">
      <w:pPr>
        <w:pStyle w:val="Heading1"/>
        <w:tabs>
          <w:tab w:val="center" w:pos="2625"/>
        </w:tabs>
        <w:ind w:left="-15" w:right="0" w:firstLine="0"/>
      </w:pPr>
      <w:r>
        <w:rPr>
          <w:rFonts w:ascii="Calibri" w:eastAsia="Calibri" w:hAnsi="Calibri" w:cs="Calibri"/>
          <w:b w:val="0"/>
          <w:sz w:val="22"/>
        </w:rPr>
        <w:t xml:space="preserve"> </w:t>
      </w:r>
      <w:r>
        <w:t>A.4</w:t>
      </w:r>
      <w:r>
        <w:rPr>
          <w:rFonts w:ascii="Arial" w:eastAsia="Arial" w:hAnsi="Arial" w:cs="Arial"/>
        </w:rPr>
        <w:t xml:space="preserve">  </w:t>
      </w:r>
      <w:r>
        <w:rPr>
          <w:rFonts w:ascii="Arial" w:eastAsia="Arial" w:hAnsi="Arial" w:cs="Arial"/>
        </w:rPr>
        <w:tab/>
      </w:r>
      <w:r>
        <w:t xml:space="preserve">Efforts to Identify Duplication  </w:t>
      </w:r>
    </w:p>
    <w:p w:rsidR="005D6B79" w14:paraId="5A5A0195" w14:textId="77777777">
      <w:pPr>
        <w:ind w:left="203" w:right="2" w:firstLine="710"/>
      </w:pPr>
      <w:r>
        <w:t xml:space="preserve">The proposed mode experiment will most likely run concurrently with the 2027 Spring national implementation of the ICH CAHPS Survey, assuming OMB approval is received in time. Sample patients will be included in either the mode experiment or the national implementation; no sample patients will be included in both efforts. Sample patients in the national implementation will use the currently approved ICH CAHPS survey. Sample patients included in the mode experiment will receive the revised survey.  </w:t>
      </w:r>
    </w:p>
    <w:p w:rsidR="005D6B79" w14:paraId="49FB9023" w14:textId="77777777">
      <w:pPr>
        <w:spacing w:after="137"/>
        <w:ind w:left="203" w:right="2" w:firstLine="710"/>
      </w:pPr>
      <w:r>
        <w:t>In addition, facilities will be asked to consider the survey burden that may be caused by implementing their own facility-specific surveys during the data collection period, and that additional surveys could negatively affect the ICH CAHPS Survey response rates and number of completed interviews per survey period for the facility (which could impact whether data for the facility are publicly reported). ICH facilities will continue to be strongly encouraged to refrain from fielding their own surveys during c</w:t>
      </w:r>
      <w:r>
        <w:t xml:space="preserve">ritical data collection points in both the national implementation and mode experiment.  </w:t>
      </w:r>
    </w:p>
    <w:p w:rsidR="005D6B79" w14:paraId="52D574D7" w14:textId="77777777">
      <w:pPr>
        <w:tabs>
          <w:tab w:val="center" w:pos="2578"/>
        </w:tabs>
        <w:spacing w:after="2" w:line="259" w:lineRule="auto"/>
        <w:ind w:left="-15" w:firstLine="0"/>
      </w:pPr>
      <w:r>
        <w:rPr>
          <w:rFonts w:ascii="Calibri" w:eastAsia="Calibri" w:hAnsi="Calibri" w:cs="Calibri"/>
          <w:b/>
          <w:sz w:val="22"/>
        </w:rPr>
        <w:t xml:space="preserve"> </w:t>
      </w:r>
      <w:r>
        <w:rPr>
          <w:b/>
        </w:rPr>
        <w:t xml:space="preserve">A.5 </w:t>
      </w:r>
      <w:r>
        <w:rPr>
          <w:b/>
        </w:rPr>
        <w:tab/>
        <w:t xml:space="preserve">Involvement of Small Entities  </w:t>
      </w:r>
    </w:p>
    <w:p w:rsidR="005D6B79" w14:paraId="61F04C0C" w14:textId="77777777">
      <w:pPr>
        <w:spacing w:after="135"/>
        <w:ind w:left="938" w:right="2"/>
      </w:pPr>
      <w:r>
        <w:t xml:space="preserve">This information collection request does not involve any small businesses.  </w:t>
      </w:r>
    </w:p>
    <w:p w:rsidR="005D6B79" w14:paraId="5AA2506F" w14:textId="77777777">
      <w:pPr>
        <w:pStyle w:val="Heading1"/>
        <w:tabs>
          <w:tab w:val="center" w:pos="4028"/>
        </w:tabs>
        <w:ind w:left="-15" w:right="0" w:firstLine="0"/>
      </w:pPr>
      <w:r>
        <w:rPr>
          <w:rFonts w:ascii="Calibri" w:eastAsia="Calibri" w:hAnsi="Calibri" w:cs="Calibri"/>
          <w:b w:val="0"/>
          <w:sz w:val="22"/>
        </w:rPr>
        <w:t xml:space="preserve"> </w:t>
      </w:r>
      <w:r>
        <w:t>A.6</w:t>
      </w:r>
      <w:r>
        <w:rPr>
          <w:rFonts w:ascii="Arial" w:eastAsia="Arial" w:hAnsi="Arial" w:cs="Arial"/>
        </w:rPr>
        <w:t xml:space="preserve"> </w:t>
      </w:r>
      <w:r>
        <w:rPr>
          <w:rFonts w:ascii="Arial" w:eastAsia="Arial" w:hAnsi="Arial" w:cs="Arial"/>
        </w:rPr>
        <w:tab/>
      </w:r>
      <w:r>
        <w:t xml:space="preserve">Consequences If Information is Collected Less Frequently  </w:t>
      </w:r>
    </w:p>
    <w:p w:rsidR="005D6B79" w14:paraId="1FF497A1" w14:textId="77777777">
      <w:pPr>
        <w:spacing w:after="137"/>
        <w:ind w:left="203" w:right="2" w:firstLine="710"/>
      </w:pPr>
      <w:r>
        <w:t xml:space="preserve">CMS is proposing a one-time mode experiment under this request. No impact </w:t>
      </w:r>
      <w:r>
        <w:t>to</w:t>
      </w:r>
      <w:r>
        <w:t xml:space="preserve"> facilities </w:t>
      </w:r>
      <w:r>
        <w:t>is</w:t>
      </w:r>
      <w:r>
        <w:t xml:space="preserve"> expected from this mode experiment.  If this mode experiment is not conducted, CMS will not be able to investigate the feasibility of a web-based data collection mode or determine whether a revised survey will work for home dialysis patients. Survey response rates may continue to decline without a web-based mode, which may have a detrimental impact on public reporting. Without a test of a revised survey with home dialysis patients, CMS will not be able to respond to stakeholder requests to </w:t>
      </w:r>
      <w:r>
        <w:t xml:space="preserve">add home dialysis patients to the national implementation of the ICH CAHPS Survey.      </w:t>
      </w:r>
    </w:p>
    <w:p w:rsidR="005D6B79" w14:paraId="0569C526" w14:textId="77777777">
      <w:pPr>
        <w:tabs>
          <w:tab w:val="center" w:pos="2218"/>
        </w:tabs>
        <w:spacing w:after="2" w:line="259" w:lineRule="auto"/>
        <w:ind w:left="-15" w:firstLine="0"/>
      </w:pPr>
      <w:r>
        <w:rPr>
          <w:rFonts w:ascii="Calibri" w:eastAsia="Calibri" w:hAnsi="Calibri" w:cs="Calibri"/>
          <w:b/>
          <w:sz w:val="22"/>
        </w:rPr>
        <w:t xml:space="preserve"> </w:t>
      </w:r>
      <w:r>
        <w:rPr>
          <w:b/>
        </w:rPr>
        <w:t>A.7</w:t>
      </w:r>
      <w:r>
        <w:rPr>
          <w:rFonts w:ascii="Arial" w:eastAsia="Arial" w:hAnsi="Arial" w:cs="Arial"/>
          <w:b/>
        </w:rPr>
        <w:t xml:space="preserve"> </w:t>
      </w:r>
      <w:r>
        <w:rPr>
          <w:rFonts w:ascii="Arial" w:eastAsia="Arial" w:hAnsi="Arial" w:cs="Arial"/>
          <w:b/>
        </w:rPr>
        <w:tab/>
      </w:r>
      <w:r>
        <w:rPr>
          <w:b/>
        </w:rPr>
        <w:t xml:space="preserve">Special Circumstances </w:t>
      </w:r>
      <w:r>
        <w:rPr>
          <w:b/>
          <w:sz w:val="20"/>
        </w:rPr>
        <w:t xml:space="preserve"> </w:t>
      </w:r>
      <w:r>
        <w:rPr>
          <w:b/>
        </w:rPr>
        <w:t xml:space="preserve"> </w:t>
      </w:r>
    </w:p>
    <w:p w:rsidR="005D6B79" w14:paraId="45BCE51F" w14:textId="77777777">
      <w:pPr>
        <w:spacing w:after="134"/>
        <w:ind w:left="938" w:right="2"/>
      </w:pPr>
      <w:r>
        <w:t xml:space="preserve">There are no special circumstances.  </w:t>
      </w:r>
    </w:p>
    <w:p w:rsidR="005D6B79" w14:paraId="7AAEB771" w14:textId="77777777">
      <w:pPr>
        <w:pStyle w:val="Heading1"/>
        <w:tabs>
          <w:tab w:val="center" w:pos="3661"/>
        </w:tabs>
        <w:ind w:left="-15" w:right="0" w:firstLine="0"/>
      </w:pPr>
      <w:r>
        <w:rPr>
          <w:rFonts w:ascii="Calibri" w:eastAsia="Calibri" w:hAnsi="Calibri" w:cs="Calibri"/>
          <w:b w:val="0"/>
          <w:sz w:val="22"/>
        </w:rPr>
        <w:t xml:space="preserve"> </w:t>
      </w:r>
      <w:r>
        <w:t>A.8</w:t>
      </w:r>
      <w:r>
        <w:rPr>
          <w:rFonts w:ascii="Arial" w:eastAsia="Arial" w:hAnsi="Arial" w:cs="Arial"/>
        </w:rPr>
        <w:t xml:space="preserve">  </w:t>
      </w:r>
      <w:r>
        <w:rPr>
          <w:rFonts w:ascii="Arial" w:eastAsia="Arial" w:hAnsi="Arial" w:cs="Arial"/>
        </w:rPr>
        <w:tab/>
      </w:r>
      <w:r>
        <w:t xml:space="preserve">Federal Register Notice and Outside Consultations  </w:t>
      </w:r>
    </w:p>
    <w:p w:rsidR="005D6B79" w14:paraId="1BC05A72" w14:textId="77777777">
      <w:pPr>
        <w:pStyle w:val="Heading2"/>
        <w:ind w:left="127"/>
      </w:pPr>
      <w:r>
        <w:t>A.8.1</w:t>
      </w:r>
      <w:r>
        <w:rPr>
          <w:rFonts w:ascii="Arial" w:eastAsia="Arial" w:hAnsi="Arial" w:cs="Arial"/>
        </w:rPr>
        <w:t xml:space="preserve">  </w:t>
      </w:r>
      <w:r>
        <w:t>Federal</w:t>
      </w:r>
      <w:r>
        <w:t xml:space="preserve"> Register Notice  </w:t>
      </w:r>
    </w:p>
    <w:p w:rsidR="005D6B79" w14:paraId="3D5A8C93" w14:textId="7A6369AD">
      <w:pPr>
        <w:ind w:left="203" w:right="2" w:firstLine="710"/>
      </w:pPr>
      <w:r>
        <w:t xml:space="preserve">The 60-day </w:t>
      </w:r>
      <w:r>
        <w:rPr>
          <w:i/>
        </w:rPr>
        <w:t xml:space="preserve">Federal Register </w:t>
      </w:r>
      <w:r>
        <w:t>notice</w:t>
      </w:r>
      <w:r w:rsidR="003471E3">
        <w:t xml:space="preserve"> (</w:t>
      </w:r>
      <w:r w:rsidRPr="003471E3" w:rsidR="003471E3">
        <w:t>91 FR 45818</w:t>
      </w:r>
      <w:r w:rsidR="003471E3">
        <w:t>)</w:t>
      </w:r>
      <w:r>
        <w:t xml:space="preserve"> was published on July 21, 2026. Two comments were received. Below is a summary of their recommendations and CMS’s responses:  </w:t>
      </w:r>
    </w:p>
    <w:p w:rsidR="005D6B79" w14:paraId="55CFAFFA" w14:textId="77777777">
      <w:pPr>
        <w:spacing w:after="0" w:line="259" w:lineRule="auto"/>
        <w:ind w:left="0" w:firstLine="0"/>
      </w:pPr>
      <w:r>
        <w:rPr>
          <w:b/>
        </w:rPr>
        <w:t xml:space="preserve"> </w:t>
      </w:r>
    </w:p>
    <w:p w:rsidR="005D6B79" w14:paraId="1B9EFC17" w14:textId="77777777">
      <w:pPr>
        <w:spacing w:after="177" w:line="279" w:lineRule="auto"/>
        <w:ind w:left="355" w:hanging="370"/>
      </w:pPr>
      <w:r>
        <w:rPr>
          <w:rFonts w:ascii="Calibri" w:eastAsia="Calibri" w:hAnsi="Calibri" w:cs="Calibri"/>
          <w:b/>
          <w:sz w:val="22"/>
        </w:rPr>
        <w:t>1.</w:t>
      </w:r>
      <w:r>
        <w:rPr>
          <w:rFonts w:ascii="Arial" w:eastAsia="Arial" w:hAnsi="Arial" w:cs="Arial"/>
          <w:b/>
          <w:sz w:val="22"/>
        </w:rPr>
        <w:t xml:space="preserve"> </w:t>
      </w:r>
      <w:r>
        <w:rPr>
          <w:rFonts w:ascii="Calibri" w:eastAsia="Calibri" w:hAnsi="Calibri" w:cs="Calibri"/>
          <w:b/>
          <w:sz w:val="22"/>
        </w:rPr>
        <w:t xml:space="preserve">A comment was received from an existing third-party survey vendor on the ICH CAHPS Survey. Below is a summary of their recommendations and CMS’s responses: </w:t>
      </w:r>
    </w:p>
    <w:p w:rsidR="005D6B79" w14:paraId="3D39B1E8" w14:textId="77777777">
      <w:pPr>
        <w:ind w:left="213" w:right="2"/>
      </w:pPr>
      <w:r>
        <w:rPr>
          <w:b/>
        </w:rPr>
        <w:t xml:space="preserve">Comment: </w:t>
      </w:r>
      <w:r>
        <w:t xml:space="preserve">The commenter recommended that a web mode should also include both mail and telephone follow-up, rather than just mail follow-up like was tested in the 2022 mode experiment. They also provided suggested timing to make sure that all three modes could be included within the data collection period.  </w:t>
      </w:r>
    </w:p>
    <w:p w:rsidR="005D6B79" w14:paraId="696AE9EB" w14:textId="77777777">
      <w:pPr>
        <w:ind w:left="213" w:right="2"/>
      </w:pPr>
      <w:r>
        <w:rPr>
          <w:b/>
        </w:rPr>
        <w:t xml:space="preserve">Response: </w:t>
      </w:r>
      <w:r>
        <w:t xml:space="preserve">The 2027 mode experiment will test mail-only, telephone-only, mail with telephone follow-up, and web with mail and telephone follow-up. The timeline for this web-based mode will be </w:t>
      </w:r>
      <w:r>
        <w:t>similar to</w:t>
      </w:r>
      <w:r>
        <w:t xml:space="preserve"> what the commenter recommends in their question submission. As suggested by the commenter, the total length of time in the field will not be reduced.  </w:t>
      </w:r>
    </w:p>
    <w:p w:rsidR="005D6B79" w14:paraId="459CD801" w14:textId="77777777">
      <w:pPr>
        <w:ind w:left="213" w:right="2"/>
      </w:pPr>
      <w:r>
        <w:rPr>
          <w:b/>
        </w:rPr>
        <w:t xml:space="preserve">Comment: </w:t>
      </w:r>
      <w:r>
        <w:t>The commenter suggested CMS include a survey URL and personal access code (</w:t>
      </w:r>
      <w:r>
        <w:t>WebID</w:t>
      </w:r>
      <w:r>
        <w:t xml:space="preserve">) on the Prenotification Letter. </w:t>
      </w:r>
      <w:r>
        <w:rPr>
          <w:b/>
        </w:rPr>
        <w:t xml:space="preserve"> </w:t>
      </w:r>
    </w:p>
    <w:p w:rsidR="005D6B79" w14:paraId="2D176CF7" w14:textId="77777777">
      <w:pPr>
        <w:ind w:left="213" w:right="2"/>
      </w:pPr>
      <w:r>
        <w:rPr>
          <w:b/>
        </w:rPr>
        <w:t xml:space="preserve">Response: </w:t>
      </w:r>
      <w:r>
        <w:t>The prenotification letter for ICH CAHPS is required as the sampling frame for the survey comes directly from a CMS database. As such, the prenotification letter must be the same for all sample patients and provide information about the forthcoming survey, including that a vendor will be contacting them soon. The prenotification tested in the mode experiment will be very similar to the prenotification letter that is used in national implementation. If the web-based mode is implemented nationally, because ea</w:t>
      </w:r>
      <w:r>
        <w:t xml:space="preserve">ch dialysis facility will determine which mode(s) their authorized survey vendor will administer, not all sample patients will have a web-based mode option and therefore will not be provided with this website information. For these reasons, a survey URL and personal access code will be included in all other correspondence with sample patients (emails, web invite by mail, mail survey cover letter) in the web-based </w:t>
      </w:r>
      <w:r>
        <w:t>mode, but</w:t>
      </w:r>
      <w:r>
        <w:t xml:space="preserve"> will not be included in the prenotification letter.  </w:t>
      </w:r>
    </w:p>
    <w:p w:rsidR="005D6B79" w14:paraId="76BC07F5" w14:textId="77777777">
      <w:pPr>
        <w:ind w:left="213" w:right="2"/>
      </w:pPr>
      <w:r>
        <w:rPr>
          <w:b/>
        </w:rPr>
        <w:t>Comment:</w:t>
      </w:r>
      <w:r>
        <w:t xml:space="preserve"> The commenter suggested CMS adding a QR code to all survey materials sent to the sample patients. </w:t>
      </w:r>
      <w:r>
        <w:rPr>
          <w:b/>
        </w:rPr>
        <w:t xml:space="preserve">  </w:t>
      </w:r>
    </w:p>
    <w:p w:rsidR="005D6B79" w14:paraId="268A461B" w14:textId="77777777">
      <w:pPr>
        <w:ind w:left="213" w:right="2"/>
      </w:pPr>
      <w:r>
        <w:rPr>
          <w:b/>
        </w:rPr>
        <w:t>Response:</w:t>
      </w:r>
      <w:r>
        <w:t xml:space="preserve"> The mode experiment will test a QR code that will be included in all correspondence with the sample patients in the web-based mode, other than the prenotification letter for the same reasons as noted above.  </w:t>
      </w:r>
    </w:p>
    <w:p w:rsidR="005D6B79" w14:paraId="21B03647" w14:textId="77777777">
      <w:pPr>
        <w:spacing w:after="86"/>
        <w:ind w:left="203" w:right="2" w:firstLine="710"/>
      </w:pPr>
      <w:r>
        <w:t xml:space="preserve">Once the mode experiment has </w:t>
      </w:r>
      <w:r>
        <w:t>concluded</w:t>
      </w:r>
      <w:r>
        <w:t xml:space="preserve"> and data </w:t>
      </w:r>
      <w:r>
        <w:t>have</w:t>
      </w:r>
      <w:r>
        <w:t xml:space="preserve"> been analyzed, CMS will determine whether a web-based mode will be adopted for the national implementation of the ICH CAHPS Survey, and whether any changes should be made to the protocols tested. </w:t>
      </w:r>
    </w:p>
    <w:p w:rsidR="005D6B79" w14:paraId="001F0BAD" w14:textId="77777777">
      <w:pPr>
        <w:spacing w:after="177" w:line="279" w:lineRule="auto"/>
        <w:ind w:left="355" w:hanging="370"/>
      </w:pPr>
      <w:r>
        <w:rPr>
          <w:rFonts w:ascii="Calibri" w:eastAsia="Calibri" w:hAnsi="Calibri" w:cs="Calibri"/>
          <w:b/>
          <w:sz w:val="22"/>
        </w:rPr>
        <w:t>2.</w:t>
      </w:r>
      <w:r>
        <w:rPr>
          <w:rFonts w:ascii="Arial" w:eastAsia="Arial" w:hAnsi="Arial" w:cs="Arial"/>
          <w:b/>
          <w:sz w:val="22"/>
        </w:rPr>
        <w:t xml:space="preserve"> </w:t>
      </w:r>
      <w:r>
        <w:rPr>
          <w:rFonts w:ascii="Calibri" w:eastAsia="Calibri" w:hAnsi="Calibri" w:cs="Calibri"/>
          <w:b/>
          <w:sz w:val="22"/>
        </w:rPr>
        <w:t>A comment was submitted by Mayo Clinic.</w:t>
      </w:r>
      <w:r>
        <w:rPr>
          <w:rFonts w:ascii="Calibri" w:eastAsia="Calibri" w:hAnsi="Calibri" w:cs="Calibri"/>
          <w:sz w:val="22"/>
        </w:rPr>
        <w:t xml:space="preserve"> </w:t>
      </w:r>
      <w:r>
        <w:rPr>
          <w:rFonts w:ascii="Calibri" w:eastAsia="Calibri" w:hAnsi="Calibri" w:cs="Calibri"/>
          <w:b/>
          <w:sz w:val="22"/>
        </w:rPr>
        <w:t>Below is a summary of their recommendations and CMS’s responses:</w:t>
      </w:r>
      <w:r>
        <w:rPr>
          <w:rFonts w:ascii="Calibri" w:eastAsia="Calibri" w:hAnsi="Calibri" w:cs="Calibri"/>
          <w:sz w:val="22"/>
        </w:rPr>
        <w:t xml:space="preserve"> </w:t>
      </w:r>
    </w:p>
    <w:p w:rsidR="005D6B79" w14:paraId="420FA312" w14:textId="77777777">
      <w:pPr>
        <w:ind w:left="213" w:right="2"/>
      </w:pPr>
      <w:r>
        <w:rPr>
          <w:b/>
        </w:rPr>
        <w:t>Comment:</w:t>
      </w:r>
      <w:r>
        <w:t xml:space="preserve"> The commenter suggested the following wording changes to two of the home dialysis only questions.  </w:t>
      </w:r>
    </w:p>
    <w:p w:rsidR="005D6B79" w14:paraId="6CEFBE5B" w14:textId="77777777">
      <w:pPr>
        <w:ind w:left="213" w:right="2"/>
      </w:pPr>
      <w:r>
        <w:t xml:space="preserve">To best reflect the partnership between the dialysis clinic staff and the patient's equipment and supply vendors, we recommend the wording of questions 23 and 24 be changed as follows: </w:t>
      </w:r>
    </w:p>
    <w:p w:rsidR="005D6B79" w14:paraId="4466A8F6" w14:textId="77777777">
      <w:pPr>
        <w:ind w:left="1299" w:right="2" w:hanging="359"/>
      </w:pPr>
      <w:r>
        <w:rPr>
          <w:sz w:val="20"/>
        </w:rPr>
        <w:t>•</w:t>
      </w:r>
      <w:r>
        <w:rPr>
          <w:rFonts w:ascii="Arial" w:eastAsia="Arial" w:hAnsi="Arial" w:cs="Arial"/>
          <w:sz w:val="20"/>
        </w:rPr>
        <w:t xml:space="preserve"> </w:t>
      </w:r>
      <w:r>
        <w:rPr>
          <w:rFonts w:ascii="Arial" w:eastAsia="Arial" w:hAnsi="Arial" w:cs="Arial"/>
          <w:sz w:val="20"/>
        </w:rPr>
        <w:tab/>
      </w:r>
      <w:r>
        <w:t xml:space="preserve">Q23: In the last 3 months, if you had problems with your home dialysis equipment and needed support from your dialysis center staff, how often were the staff able to help you? </w:t>
      </w:r>
    </w:p>
    <w:p w:rsidR="005D6B79" w14:paraId="316CC19B" w14:textId="77777777">
      <w:pPr>
        <w:ind w:left="1309" w:right="2"/>
      </w:pPr>
      <w:r>
        <w:t xml:space="preserve">Q24: In the last 3 months, if you had problems receiving your home dialysis supplies and needed support from your dialysis center staff, how often were the staff able to help you? </w:t>
      </w:r>
    </w:p>
    <w:p w:rsidR="005D6B79" w14:paraId="344C21CA" w14:textId="77777777">
      <w:pPr>
        <w:spacing w:after="0"/>
        <w:ind w:left="213" w:right="2"/>
      </w:pPr>
      <w:r>
        <w:rPr>
          <w:b/>
        </w:rPr>
        <w:t>Response:</w:t>
      </w:r>
      <w:r>
        <w:t xml:space="preserve"> For these questions, we want to know that if a patient had a problem, and contacted their dialysis center staff, whether the staff were able to help solve the problem. The suggested edits change the interpretation of these questions and remove our ability to understand whether the patient’s problems were solved. To address their comment, we will add another Not </w:t>
      </w:r>
    </w:p>
    <w:p w:rsidR="005D6B79" w14:paraId="67B90AFC" w14:textId="77777777">
      <w:pPr>
        <w:ind w:left="213" w:right="2"/>
      </w:pPr>
      <w:r>
        <w:t xml:space="preserve">Applicable (NA) option to Questions 23, 24, and 25. These will now each have two NA options:  </w:t>
      </w:r>
    </w:p>
    <w:p w:rsidR="005D6B79" w14:paraId="40E76620" w14:textId="77777777">
      <w:pPr>
        <w:numPr>
          <w:ilvl w:val="0"/>
          <w:numId w:val="5"/>
        </w:numPr>
        <w:spacing w:after="2" w:line="259" w:lineRule="auto"/>
        <w:ind w:firstLine="711"/>
      </w:pPr>
      <w:r>
        <w:rPr>
          <w:b/>
        </w:rPr>
        <w:t xml:space="preserve">In the last 3 months, when you had problems with your </w:t>
      </w:r>
      <w:r>
        <w:rPr>
          <w:b/>
          <w:i/>
        </w:rPr>
        <w:t>home dialysis equipment</w:t>
      </w:r>
      <w:r>
        <w:rPr>
          <w:b/>
        </w:rPr>
        <w:t>, how often did dialysis center staff help you solve them?</w:t>
      </w:r>
      <w:r>
        <w:t xml:space="preserve"> </w:t>
      </w:r>
      <w:r>
        <w:rPr>
          <w:rFonts w:ascii="Segoe UI Symbol" w:eastAsia="Segoe UI Symbol" w:hAnsi="Segoe UI Symbol" w:cs="Segoe UI Symbol"/>
        </w:rPr>
        <w:t>☐</w:t>
      </w:r>
      <w:r>
        <w:t xml:space="preserve">    Never </w:t>
      </w:r>
    </w:p>
    <w:tbl>
      <w:tblPr>
        <w:tblStyle w:val="TableGrid"/>
        <w:tblW w:w="7793" w:type="dxa"/>
        <w:tblInd w:w="1440" w:type="dxa"/>
        <w:tblCellMar>
          <w:top w:w="2" w:type="dxa"/>
          <w:left w:w="0" w:type="dxa"/>
          <w:bottom w:w="0" w:type="dxa"/>
          <w:right w:w="0" w:type="dxa"/>
        </w:tblCellMar>
        <w:tblLook w:val="04A0"/>
      </w:tblPr>
      <w:tblGrid>
        <w:gridCol w:w="450"/>
        <w:gridCol w:w="7343"/>
      </w:tblGrid>
      <w:tr w14:paraId="4FEDC95D" w14:textId="77777777">
        <w:tblPrEx>
          <w:tblW w:w="7793" w:type="dxa"/>
          <w:tblInd w:w="1440" w:type="dxa"/>
          <w:tblCellMar>
            <w:top w:w="2" w:type="dxa"/>
            <w:left w:w="0" w:type="dxa"/>
            <w:bottom w:w="0" w:type="dxa"/>
            <w:right w:w="0" w:type="dxa"/>
          </w:tblCellMar>
          <w:tblLook w:val="04A0"/>
        </w:tblPrEx>
        <w:trPr>
          <w:trHeight w:val="338"/>
        </w:trPr>
        <w:tc>
          <w:tcPr>
            <w:tcW w:w="450" w:type="dxa"/>
            <w:tcBorders>
              <w:top w:val="nil"/>
              <w:left w:val="nil"/>
              <w:bottom w:val="nil"/>
              <w:right w:val="nil"/>
            </w:tcBorders>
          </w:tcPr>
          <w:p w:rsidR="005D6B79" w14:paraId="0845A7C7" w14:textId="77777777">
            <w:pPr>
              <w:spacing w:after="0" w:line="259" w:lineRule="auto"/>
              <w:ind w:left="0" w:firstLine="0"/>
            </w:pPr>
            <w:r>
              <w:rPr>
                <w:rFonts w:ascii="Segoe UI Symbol" w:eastAsia="Segoe UI Symbol" w:hAnsi="Segoe UI Symbol" w:cs="Segoe UI Symbol"/>
              </w:rPr>
              <w:t>☐</w:t>
            </w:r>
            <w:r>
              <w:t xml:space="preserve"> </w:t>
            </w:r>
          </w:p>
        </w:tc>
        <w:tc>
          <w:tcPr>
            <w:tcW w:w="7343" w:type="dxa"/>
            <w:tcBorders>
              <w:top w:val="nil"/>
              <w:left w:val="nil"/>
              <w:bottom w:val="nil"/>
              <w:right w:val="nil"/>
            </w:tcBorders>
          </w:tcPr>
          <w:p w:rsidR="005D6B79" w14:paraId="73424213" w14:textId="77777777">
            <w:pPr>
              <w:spacing w:after="0" w:line="259" w:lineRule="auto"/>
              <w:ind w:left="0" w:firstLine="0"/>
            </w:pPr>
            <w:r>
              <w:t xml:space="preserve">Sometimes </w:t>
            </w:r>
          </w:p>
        </w:tc>
      </w:tr>
      <w:tr w14:paraId="378622A9" w14:textId="77777777">
        <w:tblPrEx>
          <w:tblW w:w="7793" w:type="dxa"/>
          <w:tblInd w:w="1440" w:type="dxa"/>
          <w:tblCellMar>
            <w:top w:w="2" w:type="dxa"/>
            <w:left w:w="0" w:type="dxa"/>
            <w:bottom w:w="0" w:type="dxa"/>
            <w:right w:w="0" w:type="dxa"/>
          </w:tblCellMar>
          <w:tblLook w:val="04A0"/>
        </w:tblPrEx>
        <w:trPr>
          <w:trHeight w:val="442"/>
        </w:trPr>
        <w:tc>
          <w:tcPr>
            <w:tcW w:w="450" w:type="dxa"/>
            <w:tcBorders>
              <w:top w:val="nil"/>
              <w:left w:val="nil"/>
              <w:bottom w:val="nil"/>
              <w:right w:val="nil"/>
            </w:tcBorders>
            <w:vAlign w:val="center"/>
          </w:tcPr>
          <w:p w:rsidR="005D6B79" w14:paraId="7052D55D" w14:textId="77777777">
            <w:pPr>
              <w:spacing w:after="0" w:line="259" w:lineRule="auto"/>
              <w:ind w:left="0" w:firstLine="0"/>
            </w:pPr>
            <w:r>
              <w:rPr>
                <w:rFonts w:ascii="Segoe UI Symbol" w:eastAsia="Segoe UI Symbol" w:hAnsi="Segoe UI Symbol" w:cs="Segoe UI Symbol"/>
              </w:rPr>
              <w:t>☐</w:t>
            </w:r>
            <w:r>
              <w:t xml:space="preserve"> </w:t>
            </w:r>
          </w:p>
        </w:tc>
        <w:tc>
          <w:tcPr>
            <w:tcW w:w="7343" w:type="dxa"/>
            <w:tcBorders>
              <w:top w:val="nil"/>
              <w:left w:val="nil"/>
              <w:bottom w:val="nil"/>
              <w:right w:val="nil"/>
            </w:tcBorders>
            <w:vAlign w:val="center"/>
          </w:tcPr>
          <w:p w:rsidR="005D6B79" w14:paraId="34D05629" w14:textId="77777777">
            <w:pPr>
              <w:spacing w:after="0" w:line="259" w:lineRule="auto"/>
              <w:ind w:left="0" w:firstLine="0"/>
            </w:pPr>
            <w:r>
              <w:t>Usually</w:t>
            </w:r>
            <w:r>
              <w:t xml:space="preserve"> </w:t>
            </w:r>
          </w:p>
        </w:tc>
      </w:tr>
      <w:tr w14:paraId="2E7644B6" w14:textId="77777777">
        <w:tblPrEx>
          <w:tblW w:w="7793" w:type="dxa"/>
          <w:tblInd w:w="1440" w:type="dxa"/>
          <w:tblCellMar>
            <w:top w:w="2" w:type="dxa"/>
            <w:left w:w="0" w:type="dxa"/>
            <w:bottom w:w="0" w:type="dxa"/>
            <w:right w:w="0" w:type="dxa"/>
          </w:tblCellMar>
          <w:tblLook w:val="04A0"/>
        </w:tblPrEx>
        <w:trPr>
          <w:trHeight w:val="442"/>
        </w:trPr>
        <w:tc>
          <w:tcPr>
            <w:tcW w:w="450" w:type="dxa"/>
            <w:tcBorders>
              <w:top w:val="nil"/>
              <w:left w:val="nil"/>
              <w:bottom w:val="nil"/>
              <w:right w:val="nil"/>
            </w:tcBorders>
            <w:vAlign w:val="center"/>
          </w:tcPr>
          <w:p w:rsidR="005D6B79" w14:paraId="2FEC76FA" w14:textId="77777777">
            <w:pPr>
              <w:spacing w:after="0" w:line="259" w:lineRule="auto"/>
              <w:ind w:left="0" w:firstLine="0"/>
            </w:pPr>
            <w:r>
              <w:rPr>
                <w:rFonts w:ascii="Segoe UI Symbol" w:eastAsia="Segoe UI Symbol" w:hAnsi="Segoe UI Symbol" w:cs="Segoe UI Symbol"/>
              </w:rPr>
              <w:t>☐</w:t>
            </w:r>
            <w:r>
              <w:t xml:space="preserve"> </w:t>
            </w:r>
          </w:p>
        </w:tc>
        <w:tc>
          <w:tcPr>
            <w:tcW w:w="7343" w:type="dxa"/>
            <w:tcBorders>
              <w:top w:val="nil"/>
              <w:left w:val="nil"/>
              <w:bottom w:val="nil"/>
              <w:right w:val="nil"/>
            </w:tcBorders>
            <w:vAlign w:val="center"/>
          </w:tcPr>
          <w:p w:rsidR="005D6B79" w14:paraId="1D9D1689" w14:textId="77777777">
            <w:pPr>
              <w:spacing w:after="0" w:line="259" w:lineRule="auto"/>
              <w:ind w:left="0" w:firstLine="0"/>
            </w:pPr>
            <w:r>
              <w:t xml:space="preserve">Always </w:t>
            </w:r>
          </w:p>
        </w:tc>
      </w:tr>
      <w:tr w14:paraId="36BE80DB" w14:textId="77777777">
        <w:tblPrEx>
          <w:tblW w:w="7793" w:type="dxa"/>
          <w:tblInd w:w="1440" w:type="dxa"/>
          <w:tblCellMar>
            <w:top w:w="2" w:type="dxa"/>
            <w:left w:w="0" w:type="dxa"/>
            <w:bottom w:w="0" w:type="dxa"/>
            <w:right w:w="0" w:type="dxa"/>
          </w:tblCellMar>
          <w:tblLook w:val="04A0"/>
        </w:tblPrEx>
        <w:trPr>
          <w:trHeight w:val="442"/>
        </w:trPr>
        <w:tc>
          <w:tcPr>
            <w:tcW w:w="450" w:type="dxa"/>
            <w:tcBorders>
              <w:top w:val="nil"/>
              <w:left w:val="nil"/>
              <w:bottom w:val="nil"/>
              <w:right w:val="nil"/>
            </w:tcBorders>
            <w:vAlign w:val="center"/>
          </w:tcPr>
          <w:p w:rsidR="005D6B79" w14:paraId="0A36C3C6" w14:textId="77777777">
            <w:pPr>
              <w:spacing w:after="0" w:line="259" w:lineRule="auto"/>
              <w:ind w:left="0" w:firstLine="0"/>
            </w:pPr>
            <w:r>
              <w:rPr>
                <w:rFonts w:ascii="Segoe UI Symbol" w:eastAsia="Segoe UI Symbol" w:hAnsi="Segoe UI Symbol" w:cs="Segoe UI Symbol"/>
              </w:rPr>
              <w:t>☐</w:t>
            </w:r>
            <w:r>
              <w:t xml:space="preserve"> </w:t>
            </w:r>
          </w:p>
        </w:tc>
        <w:tc>
          <w:tcPr>
            <w:tcW w:w="7343" w:type="dxa"/>
            <w:tcBorders>
              <w:top w:val="nil"/>
              <w:left w:val="nil"/>
              <w:bottom w:val="nil"/>
              <w:right w:val="nil"/>
            </w:tcBorders>
            <w:vAlign w:val="center"/>
          </w:tcPr>
          <w:p w:rsidR="005D6B79" w14:paraId="72014B9B" w14:textId="77777777">
            <w:pPr>
              <w:spacing w:after="0" w:line="259" w:lineRule="auto"/>
              <w:ind w:left="0" w:firstLine="0"/>
            </w:pPr>
            <w:r>
              <w:t xml:space="preserve">I did not have any problems with my dialysis equipment </w:t>
            </w:r>
          </w:p>
        </w:tc>
      </w:tr>
      <w:tr w14:paraId="334A10EC" w14:textId="77777777">
        <w:tblPrEx>
          <w:tblW w:w="7793" w:type="dxa"/>
          <w:tblInd w:w="1440" w:type="dxa"/>
          <w:tblCellMar>
            <w:top w:w="2" w:type="dxa"/>
            <w:left w:w="0" w:type="dxa"/>
            <w:bottom w:w="0" w:type="dxa"/>
            <w:right w:w="0" w:type="dxa"/>
          </w:tblCellMar>
          <w:tblLook w:val="04A0"/>
        </w:tblPrEx>
        <w:trPr>
          <w:trHeight w:val="627"/>
        </w:trPr>
        <w:tc>
          <w:tcPr>
            <w:tcW w:w="450" w:type="dxa"/>
            <w:tcBorders>
              <w:top w:val="nil"/>
              <w:left w:val="nil"/>
              <w:bottom w:val="nil"/>
              <w:right w:val="nil"/>
            </w:tcBorders>
          </w:tcPr>
          <w:p w:rsidR="005D6B79" w14:paraId="45621BAA" w14:textId="77777777">
            <w:pPr>
              <w:spacing w:after="0" w:line="259" w:lineRule="auto"/>
              <w:ind w:left="0" w:firstLine="0"/>
            </w:pPr>
            <w:r>
              <w:rPr>
                <w:rFonts w:ascii="Segoe UI Symbol" w:eastAsia="Segoe UI Symbol" w:hAnsi="Segoe UI Symbol" w:cs="Segoe UI Symbol"/>
              </w:rPr>
              <w:t>☐</w:t>
            </w:r>
            <w:r>
              <w:t xml:space="preserve"> </w:t>
            </w:r>
          </w:p>
        </w:tc>
        <w:tc>
          <w:tcPr>
            <w:tcW w:w="7343" w:type="dxa"/>
            <w:tcBorders>
              <w:top w:val="nil"/>
              <w:left w:val="nil"/>
              <w:bottom w:val="nil"/>
              <w:right w:val="nil"/>
            </w:tcBorders>
            <w:vAlign w:val="bottom"/>
          </w:tcPr>
          <w:p w:rsidR="005D6B79" w14:paraId="5FCC14E2" w14:textId="77777777">
            <w:pPr>
              <w:spacing w:after="0" w:line="259" w:lineRule="auto"/>
              <w:ind w:left="0" w:firstLine="0"/>
              <w:jc w:val="both"/>
            </w:pPr>
            <w:r>
              <w:t xml:space="preserve">I had a problem with my dialysis equipment but did not need dialysis center staff </w:t>
            </w:r>
            <w:r>
              <w:t>help  *</w:t>
            </w:r>
            <w:r>
              <w:rPr>
                <w:b/>
              </w:rPr>
              <w:t>NEW</w:t>
            </w:r>
            <w:r>
              <w:t xml:space="preserve">* </w:t>
            </w:r>
          </w:p>
        </w:tc>
      </w:tr>
    </w:tbl>
    <w:p w:rsidR="005D6B79" w14:paraId="3B77FA03" w14:textId="77777777">
      <w:pPr>
        <w:numPr>
          <w:ilvl w:val="0"/>
          <w:numId w:val="5"/>
        </w:numPr>
        <w:spacing w:after="2" w:line="259" w:lineRule="auto"/>
        <w:ind w:firstLine="711"/>
      </w:pPr>
      <w:r>
        <w:rPr>
          <w:b/>
        </w:rPr>
        <w:t xml:space="preserve">In the last 3 months, when you had problems </w:t>
      </w:r>
      <w:r>
        <w:rPr>
          <w:b/>
          <w:i/>
        </w:rPr>
        <w:t>receiving supplies</w:t>
      </w:r>
      <w:r>
        <w:rPr>
          <w:b/>
        </w:rPr>
        <w:t xml:space="preserve"> for your home dialysis, how often did dialysis center staff help you solve them?</w:t>
      </w:r>
      <w:r>
        <w:t xml:space="preserve"> </w:t>
      </w:r>
    </w:p>
    <w:tbl>
      <w:tblPr>
        <w:tblStyle w:val="TableGrid"/>
        <w:tblW w:w="8154" w:type="dxa"/>
        <w:tblInd w:w="1440" w:type="dxa"/>
        <w:tblCellMar>
          <w:top w:w="2" w:type="dxa"/>
          <w:left w:w="0" w:type="dxa"/>
          <w:bottom w:w="0" w:type="dxa"/>
          <w:right w:w="0" w:type="dxa"/>
        </w:tblCellMar>
        <w:tblLook w:val="04A0"/>
      </w:tblPr>
      <w:tblGrid>
        <w:gridCol w:w="450"/>
        <w:gridCol w:w="7704"/>
      </w:tblGrid>
      <w:tr w14:paraId="12A484C6" w14:textId="77777777">
        <w:tblPrEx>
          <w:tblW w:w="8154" w:type="dxa"/>
          <w:tblInd w:w="1440" w:type="dxa"/>
          <w:tblCellMar>
            <w:top w:w="2" w:type="dxa"/>
            <w:left w:w="0" w:type="dxa"/>
            <w:bottom w:w="0" w:type="dxa"/>
            <w:right w:w="0" w:type="dxa"/>
          </w:tblCellMar>
          <w:tblLook w:val="04A0"/>
        </w:tblPrEx>
        <w:trPr>
          <w:trHeight w:val="339"/>
        </w:trPr>
        <w:tc>
          <w:tcPr>
            <w:tcW w:w="450" w:type="dxa"/>
            <w:tcBorders>
              <w:top w:val="nil"/>
              <w:left w:val="nil"/>
              <w:bottom w:val="nil"/>
              <w:right w:val="nil"/>
            </w:tcBorders>
          </w:tcPr>
          <w:p w:rsidR="005D6B79" w14:paraId="04BF1B7C" w14:textId="77777777">
            <w:pPr>
              <w:spacing w:after="0" w:line="259" w:lineRule="auto"/>
              <w:ind w:left="0" w:firstLine="0"/>
            </w:pPr>
            <w:r>
              <w:rPr>
                <w:rFonts w:ascii="Segoe UI Symbol" w:eastAsia="Segoe UI Symbol" w:hAnsi="Segoe UI Symbol" w:cs="Segoe UI Symbol"/>
              </w:rPr>
              <w:t>☐</w:t>
            </w:r>
            <w:r>
              <w:t xml:space="preserve"> </w:t>
            </w:r>
          </w:p>
        </w:tc>
        <w:tc>
          <w:tcPr>
            <w:tcW w:w="7704" w:type="dxa"/>
            <w:tcBorders>
              <w:top w:val="nil"/>
              <w:left w:val="nil"/>
              <w:bottom w:val="nil"/>
              <w:right w:val="nil"/>
            </w:tcBorders>
          </w:tcPr>
          <w:p w:rsidR="005D6B79" w14:paraId="328E2815" w14:textId="77777777">
            <w:pPr>
              <w:spacing w:after="0" w:line="259" w:lineRule="auto"/>
              <w:ind w:left="0" w:firstLine="0"/>
            </w:pPr>
            <w:r>
              <w:t xml:space="preserve">Never </w:t>
            </w:r>
          </w:p>
        </w:tc>
      </w:tr>
      <w:tr w14:paraId="0E6659A6" w14:textId="77777777">
        <w:tblPrEx>
          <w:tblW w:w="8154" w:type="dxa"/>
          <w:tblInd w:w="1440" w:type="dxa"/>
          <w:tblCellMar>
            <w:top w:w="2" w:type="dxa"/>
            <w:left w:w="0" w:type="dxa"/>
            <w:bottom w:w="0" w:type="dxa"/>
            <w:right w:w="0" w:type="dxa"/>
          </w:tblCellMar>
          <w:tblLook w:val="04A0"/>
        </w:tblPrEx>
        <w:trPr>
          <w:trHeight w:val="442"/>
        </w:trPr>
        <w:tc>
          <w:tcPr>
            <w:tcW w:w="450" w:type="dxa"/>
            <w:tcBorders>
              <w:top w:val="nil"/>
              <w:left w:val="nil"/>
              <w:bottom w:val="nil"/>
              <w:right w:val="nil"/>
            </w:tcBorders>
            <w:vAlign w:val="center"/>
          </w:tcPr>
          <w:p w:rsidR="005D6B79" w14:paraId="4C865CEC" w14:textId="77777777">
            <w:pPr>
              <w:spacing w:after="0" w:line="259" w:lineRule="auto"/>
              <w:ind w:left="0" w:firstLine="0"/>
            </w:pPr>
            <w:r>
              <w:rPr>
                <w:rFonts w:ascii="Segoe UI Symbol" w:eastAsia="Segoe UI Symbol" w:hAnsi="Segoe UI Symbol" w:cs="Segoe UI Symbol"/>
              </w:rPr>
              <w:t>☐</w:t>
            </w:r>
            <w:r>
              <w:t xml:space="preserve"> </w:t>
            </w:r>
          </w:p>
        </w:tc>
        <w:tc>
          <w:tcPr>
            <w:tcW w:w="7704" w:type="dxa"/>
            <w:tcBorders>
              <w:top w:val="nil"/>
              <w:left w:val="nil"/>
              <w:bottom w:val="nil"/>
              <w:right w:val="nil"/>
            </w:tcBorders>
            <w:vAlign w:val="center"/>
          </w:tcPr>
          <w:p w:rsidR="005D6B79" w14:paraId="59A79E07" w14:textId="77777777">
            <w:pPr>
              <w:spacing w:after="0" w:line="259" w:lineRule="auto"/>
              <w:ind w:left="0" w:firstLine="0"/>
            </w:pPr>
            <w:r>
              <w:t xml:space="preserve">Sometimes </w:t>
            </w:r>
          </w:p>
        </w:tc>
      </w:tr>
      <w:tr w14:paraId="5E62BD67" w14:textId="77777777">
        <w:tblPrEx>
          <w:tblW w:w="8154" w:type="dxa"/>
          <w:tblInd w:w="1440" w:type="dxa"/>
          <w:tblCellMar>
            <w:top w:w="2" w:type="dxa"/>
            <w:left w:w="0" w:type="dxa"/>
            <w:bottom w:w="0" w:type="dxa"/>
            <w:right w:w="0" w:type="dxa"/>
          </w:tblCellMar>
          <w:tblLook w:val="04A0"/>
        </w:tblPrEx>
        <w:trPr>
          <w:trHeight w:val="442"/>
        </w:trPr>
        <w:tc>
          <w:tcPr>
            <w:tcW w:w="450" w:type="dxa"/>
            <w:tcBorders>
              <w:top w:val="nil"/>
              <w:left w:val="nil"/>
              <w:bottom w:val="nil"/>
              <w:right w:val="nil"/>
            </w:tcBorders>
            <w:vAlign w:val="center"/>
          </w:tcPr>
          <w:p w:rsidR="005D6B79" w14:paraId="0789E663" w14:textId="77777777">
            <w:pPr>
              <w:spacing w:after="0" w:line="259" w:lineRule="auto"/>
              <w:ind w:left="0" w:firstLine="0"/>
            </w:pPr>
            <w:r>
              <w:rPr>
                <w:rFonts w:ascii="Segoe UI Symbol" w:eastAsia="Segoe UI Symbol" w:hAnsi="Segoe UI Symbol" w:cs="Segoe UI Symbol"/>
              </w:rPr>
              <w:t>☐</w:t>
            </w:r>
            <w:r>
              <w:t xml:space="preserve"> </w:t>
            </w:r>
          </w:p>
        </w:tc>
        <w:tc>
          <w:tcPr>
            <w:tcW w:w="7704" w:type="dxa"/>
            <w:tcBorders>
              <w:top w:val="nil"/>
              <w:left w:val="nil"/>
              <w:bottom w:val="nil"/>
              <w:right w:val="nil"/>
            </w:tcBorders>
            <w:vAlign w:val="center"/>
          </w:tcPr>
          <w:p w:rsidR="005D6B79" w14:paraId="50581677" w14:textId="77777777">
            <w:pPr>
              <w:spacing w:after="0" w:line="259" w:lineRule="auto"/>
              <w:ind w:left="0" w:firstLine="0"/>
            </w:pPr>
            <w:r>
              <w:t>Usually</w:t>
            </w:r>
            <w:r>
              <w:t xml:space="preserve"> </w:t>
            </w:r>
          </w:p>
        </w:tc>
      </w:tr>
      <w:tr w14:paraId="1222F928" w14:textId="77777777">
        <w:tblPrEx>
          <w:tblW w:w="8154" w:type="dxa"/>
          <w:tblInd w:w="1440" w:type="dxa"/>
          <w:tblCellMar>
            <w:top w:w="2" w:type="dxa"/>
            <w:left w:w="0" w:type="dxa"/>
            <w:bottom w:w="0" w:type="dxa"/>
            <w:right w:w="0" w:type="dxa"/>
          </w:tblCellMar>
          <w:tblLook w:val="04A0"/>
        </w:tblPrEx>
        <w:trPr>
          <w:trHeight w:val="442"/>
        </w:trPr>
        <w:tc>
          <w:tcPr>
            <w:tcW w:w="450" w:type="dxa"/>
            <w:tcBorders>
              <w:top w:val="nil"/>
              <w:left w:val="nil"/>
              <w:bottom w:val="nil"/>
              <w:right w:val="nil"/>
            </w:tcBorders>
            <w:vAlign w:val="center"/>
          </w:tcPr>
          <w:p w:rsidR="005D6B79" w14:paraId="0D090105" w14:textId="77777777">
            <w:pPr>
              <w:spacing w:after="0" w:line="259" w:lineRule="auto"/>
              <w:ind w:left="0" w:firstLine="0"/>
            </w:pPr>
            <w:r>
              <w:rPr>
                <w:rFonts w:ascii="Segoe UI Symbol" w:eastAsia="Segoe UI Symbol" w:hAnsi="Segoe UI Symbol" w:cs="Segoe UI Symbol"/>
              </w:rPr>
              <w:t>☐</w:t>
            </w:r>
            <w:r>
              <w:t xml:space="preserve"> </w:t>
            </w:r>
          </w:p>
        </w:tc>
        <w:tc>
          <w:tcPr>
            <w:tcW w:w="7704" w:type="dxa"/>
            <w:tcBorders>
              <w:top w:val="nil"/>
              <w:left w:val="nil"/>
              <w:bottom w:val="nil"/>
              <w:right w:val="nil"/>
            </w:tcBorders>
            <w:vAlign w:val="center"/>
          </w:tcPr>
          <w:p w:rsidR="005D6B79" w14:paraId="2D78E62C" w14:textId="77777777">
            <w:pPr>
              <w:spacing w:after="0" w:line="259" w:lineRule="auto"/>
              <w:ind w:left="0" w:firstLine="0"/>
            </w:pPr>
            <w:r>
              <w:t xml:space="preserve">Always </w:t>
            </w:r>
          </w:p>
        </w:tc>
      </w:tr>
      <w:tr w14:paraId="221A30AD" w14:textId="77777777">
        <w:tblPrEx>
          <w:tblW w:w="8154" w:type="dxa"/>
          <w:tblInd w:w="1440" w:type="dxa"/>
          <w:tblCellMar>
            <w:top w:w="2" w:type="dxa"/>
            <w:left w:w="0" w:type="dxa"/>
            <w:bottom w:w="0" w:type="dxa"/>
            <w:right w:w="0" w:type="dxa"/>
          </w:tblCellMar>
          <w:tblLook w:val="04A0"/>
        </w:tblPrEx>
        <w:trPr>
          <w:trHeight w:val="442"/>
        </w:trPr>
        <w:tc>
          <w:tcPr>
            <w:tcW w:w="450" w:type="dxa"/>
            <w:tcBorders>
              <w:top w:val="nil"/>
              <w:left w:val="nil"/>
              <w:bottom w:val="nil"/>
              <w:right w:val="nil"/>
            </w:tcBorders>
            <w:vAlign w:val="center"/>
          </w:tcPr>
          <w:p w:rsidR="005D6B79" w14:paraId="62BD3ED5" w14:textId="77777777">
            <w:pPr>
              <w:spacing w:after="0" w:line="259" w:lineRule="auto"/>
              <w:ind w:left="0" w:firstLine="0"/>
            </w:pPr>
            <w:r>
              <w:rPr>
                <w:rFonts w:ascii="Segoe UI Symbol" w:eastAsia="Segoe UI Symbol" w:hAnsi="Segoe UI Symbol" w:cs="Segoe UI Symbol"/>
              </w:rPr>
              <w:t>☐</w:t>
            </w:r>
            <w:r>
              <w:t xml:space="preserve"> </w:t>
            </w:r>
          </w:p>
        </w:tc>
        <w:tc>
          <w:tcPr>
            <w:tcW w:w="7704" w:type="dxa"/>
            <w:tcBorders>
              <w:top w:val="nil"/>
              <w:left w:val="nil"/>
              <w:bottom w:val="nil"/>
              <w:right w:val="nil"/>
            </w:tcBorders>
            <w:vAlign w:val="center"/>
          </w:tcPr>
          <w:p w:rsidR="005D6B79" w14:paraId="11206047" w14:textId="77777777">
            <w:pPr>
              <w:spacing w:after="0" w:line="259" w:lineRule="auto"/>
              <w:ind w:left="0" w:firstLine="0"/>
            </w:pPr>
            <w:r>
              <w:t xml:space="preserve">I did not have any problems receiving dialysis supplies </w:t>
            </w:r>
          </w:p>
        </w:tc>
      </w:tr>
      <w:tr w14:paraId="2381A61B" w14:textId="77777777">
        <w:tblPrEx>
          <w:tblW w:w="8154" w:type="dxa"/>
          <w:tblInd w:w="1440" w:type="dxa"/>
          <w:tblCellMar>
            <w:top w:w="2" w:type="dxa"/>
            <w:left w:w="0" w:type="dxa"/>
            <w:bottom w:w="0" w:type="dxa"/>
            <w:right w:w="0" w:type="dxa"/>
          </w:tblCellMar>
          <w:tblLook w:val="04A0"/>
        </w:tblPrEx>
        <w:trPr>
          <w:trHeight w:val="627"/>
        </w:trPr>
        <w:tc>
          <w:tcPr>
            <w:tcW w:w="450" w:type="dxa"/>
            <w:tcBorders>
              <w:top w:val="nil"/>
              <w:left w:val="nil"/>
              <w:bottom w:val="nil"/>
              <w:right w:val="nil"/>
            </w:tcBorders>
          </w:tcPr>
          <w:p w:rsidR="005D6B79" w14:paraId="61CA2F1E" w14:textId="77777777">
            <w:pPr>
              <w:spacing w:after="0" w:line="259" w:lineRule="auto"/>
              <w:ind w:left="0" w:firstLine="0"/>
            </w:pPr>
            <w:r>
              <w:rPr>
                <w:rFonts w:ascii="Segoe UI Symbol" w:eastAsia="Segoe UI Symbol" w:hAnsi="Segoe UI Symbol" w:cs="Segoe UI Symbol"/>
              </w:rPr>
              <w:t>☐</w:t>
            </w:r>
            <w:r>
              <w:t xml:space="preserve"> </w:t>
            </w:r>
          </w:p>
        </w:tc>
        <w:tc>
          <w:tcPr>
            <w:tcW w:w="7704" w:type="dxa"/>
            <w:tcBorders>
              <w:top w:val="nil"/>
              <w:left w:val="nil"/>
              <w:bottom w:val="nil"/>
              <w:right w:val="nil"/>
            </w:tcBorders>
            <w:vAlign w:val="bottom"/>
          </w:tcPr>
          <w:p w:rsidR="005D6B79" w14:paraId="247E7CAC" w14:textId="77777777">
            <w:pPr>
              <w:spacing w:after="0" w:line="259" w:lineRule="auto"/>
              <w:ind w:left="0" w:firstLine="0"/>
            </w:pPr>
            <w:r>
              <w:t>I had a problem receiving dialysis supplies but did not need dialysis center staff help *</w:t>
            </w:r>
            <w:r>
              <w:rPr>
                <w:b/>
              </w:rPr>
              <w:t>NEW</w:t>
            </w:r>
            <w:r>
              <w:t xml:space="preserve">* </w:t>
            </w:r>
          </w:p>
        </w:tc>
      </w:tr>
    </w:tbl>
    <w:p w:rsidR="005D6B79" w14:paraId="3FCE288F" w14:textId="77777777">
      <w:pPr>
        <w:numPr>
          <w:ilvl w:val="0"/>
          <w:numId w:val="5"/>
        </w:numPr>
        <w:spacing w:after="2" w:line="259" w:lineRule="auto"/>
        <w:ind w:firstLine="711"/>
      </w:pPr>
      <w:r>
        <w:rPr>
          <w:b/>
        </w:rPr>
        <w:t xml:space="preserve">Think about any other problems you had with your home dialysis, not including problems with your equipment or receiving supplies. In the last 3 months, when you had </w:t>
      </w:r>
      <w:r>
        <w:rPr>
          <w:b/>
          <w:i/>
        </w:rPr>
        <w:t>any other problems</w:t>
      </w:r>
      <w:r>
        <w:rPr>
          <w:b/>
        </w:rPr>
        <w:t xml:space="preserve"> with your home dialysis, how often did dialysis center staff help you solve them?</w:t>
      </w:r>
      <w:r>
        <w:t xml:space="preserve"> </w:t>
      </w:r>
    </w:p>
    <w:tbl>
      <w:tblPr>
        <w:tblStyle w:val="TableGrid"/>
        <w:tblW w:w="3808" w:type="dxa"/>
        <w:tblInd w:w="1440" w:type="dxa"/>
        <w:tblCellMar>
          <w:top w:w="2" w:type="dxa"/>
          <w:left w:w="0" w:type="dxa"/>
          <w:bottom w:w="2" w:type="dxa"/>
          <w:right w:w="0" w:type="dxa"/>
        </w:tblCellMar>
        <w:tblLook w:val="04A0"/>
      </w:tblPr>
      <w:tblGrid>
        <w:gridCol w:w="450"/>
        <w:gridCol w:w="3358"/>
      </w:tblGrid>
      <w:tr w14:paraId="1F418FD6" w14:textId="77777777">
        <w:tblPrEx>
          <w:tblW w:w="3808" w:type="dxa"/>
          <w:tblInd w:w="1440" w:type="dxa"/>
          <w:tblCellMar>
            <w:top w:w="2" w:type="dxa"/>
            <w:left w:w="0" w:type="dxa"/>
            <w:bottom w:w="2" w:type="dxa"/>
            <w:right w:w="0" w:type="dxa"/>
          </w:tblCellMar>
          <w:tblLook w:val="04A0"/>
        </w:tblPrEx>
        <w:trPr>
          <w:trHeight w:val="338"/>
        </w:trPr>
        <w:tc>
          <w:tcPr>
            <w:tcW w:w="450" w:type="dxa"/>
            <w:tcBorders>
              <w:top w:val="nil"/>
              <w:left w:val="nil"/>
              <w:bottom w:val="nil"/>
              <w:right w:val="nil"/>
            </w:tcBorders>
          </w:tcPr>
          <w:p w:rsidR="005D6B79" w14:paraId="62F6CC1D" w14:textId="77777777">
            <w:pPr>
              <w:spacing w:after="0" w:line="259" w:lineRule="auto"/>
              <w:ind w:left="0" w:firstLine="0"/>
            </w:pPr>
            <w:r>
              <w:rPr>
                <w:rFonts w:ascii="Segoe UI Symbol" w:eastAsia="Segoe UI Symbol" w:hAnsi="Segoe UI Symbol" w:cs="Segoe UI Symbol"/>
              </w:rPr>
              <w:t>☐</w:t>
            </w:r>
            <w:r>
              <w:t xml:space="preserve"> </w:t>
            </w:r>
          </w:p>
        </w:tc>
        <w:tc>
          <w:tcPr>
            <w:tcW w:w="3358" w:type="dxa"/>
            <w:tcBorders>
              <w:top w:val="nil"/>
              <w:left w:val="nil"/>
              <w:bottom w:val="nil"/>
              <w:right w:val="nil"/>
            </w:tcBorders>
          </w:tcPr>
          <w:p w:rsidR="005D6B79" w14:paraId="31017065" w14:textId="77777777">
            <w:pPr>
              <w:spacing w:after="0" w:line="259" w:lineRule="auto"/>
              <w:ind w:left="0" w:firstLine="0"/>
            </w:pPr>
            <w:r>
              <w:t xml:space="preserve">Never </w:t>
            </w:r>
          </w:p>
        </w:tc>
      </w:tr>
      <w:tr w14:paraId="662BDC98" w14:textId="77777777">
        <w:tblPrEx>
          <w:tblW w:w="3808" w:type="dxa"/>
          <w:tblInd w:w="1440" w:type="dxa"/>
          <w:tblCellMar>
            <w:top w:w="2" w:type="dxa"/>
            <w:left w:w="0" w:type="dxa"/>
            <w:bottom w:w="2" w:type="dxa"/>
            <w:right w:w="0" w:type="dxa"/>
          </w:tblCellMar>
          <w:tblLook w:val="04A0"/>
        </w:tblPrEx>
        <w:trPr>
          <w:trHeight w:val="442"/>
        </w:trPr>
        <w:tc>
          <w:tcPr>
            <w:tcW w:w="450" w:type="dxa"/>
            <w:tcBorders>
              <w:top w:val="nil"/>
              <w:left w:val="nil"/>
              <w:bottom w:val="nil"/>
              <w:right w:val="nil"/>
            </w:tcBorders>
            <w:vAlign w:val="center"/>
          </w:tcPr>
          <w:p w:rsidR="005D6B79" w14:paraId="3137C09C" w14:textId="77777777">
            <w:pPr>
              <w:spacing w:after="0" w:line="259" w:lineRule="auto"/>
              <w:ind w:left="0" w:firstLine="0"/>
            </w:pPr>
            <w:r>
              <w:rPr>
                <w:rFonts w:ascii="Segoe UI Symbol" w:eastAsia="Segoe UI Symbol" w:hAnsi="Segoe UI Symbol" w:cs="Segoe UI Symbol"/>
              </w:rPr>
              <w:t>☐</w:t>
            </w:r>
            <w:r>
              <w:t xml:space="preserve"> </w:t>
            </w:r>
          </w:p>
        </w:tc>
        <w:tc>
          <w:tcPr>
            <w:tcW w:w="3358" w:type="dxa"/>
            <w:tcBorders>
              <w:top w:val="nil"/>
              <w:left w:val="nil"/>
              <w:bottom w:val="nil"/>
              <w:right w:val="nil"/>
            </w:tcBorders>
            <w:vAlign w:val="center"/>
          </w:tcPr>
          <w:p w:rsidR="005D6B79" w14:paraId="42E4FF88" w14:textId="77777777">
            <w:pPr>
              <w:spacing w:after="0" w:line="259" w:lineRule="auto"/>
              <w:ind w:left="0" w:firstLine="0"/>
            </w:pPr>
            <w:r>
              <w:t xml:space="preserve">Sometimes </w:t>
            </w:r>
          </w:p>
        </w:tc>
      </w:tr>
      <w:tr w14:paraId="7407E65E" w14:textId="77777777">
        <w:tblPrEx>
          <w:tblW w:w="3808" w:type="dxa"/>
          <w:tblInd w:w="1440" w:type="dxa"/>
          <w:tblCellMar>
            <w:top w:w="2" w:type="dxa"/>
            <w:left w:w="0" w:type="dxa"/>
            <w:bottom w:w="2" w:type="dxa"/>
            <w:right w:w="0" w:type="dxa"/>
          </w:tblCellMar>
          <w:tblLook w:val="04A0"/>
        </w:tblPrEx>
        <w:trPr>
          <w:trHeight w:val="442"/>
        </w:trPr>
        <w:tc>
          <w:tcPr>
            <w:tcW w:w="450" w:type="dxa"/>
            <w:tcBorders>
              <w:top w:val="nil"/>
              <w:left w:val="nil"/>
              <w:bottom w:val="nil"/>
              <w:right w:val="nil"/>
            </w:tcBorders>
            <w:vAlign w:val="center"/>
          </w:tcPr>
          <w:p w:rsidR="005D6B79" w14:paraId="3BBAAB68" w14:textId="77777777">
            <w:pPr>
              <w:spacing w:after="0" w:line="259" w:lineRule="auto"/>
              <w:ind w:left="0" w:firstLine="0"/>
            </w:pPr>
            <w:r>
              <w:rPr>
                <w:rFonts w:ascii="Segoe UI Symbol" w:eastAsia="Segoe UI Symbol" w:hAnsi="Segoe UI Symbol" w:cs="Segoe UI Symbol"/>
              </w:rPr>
              <w:t>☐</w:t>
            </w:r>
            <w:r>
              <w:t xml:space="preserve"> </w:t>
            </w:r>
          </w:p>
        </w:tc>
        <w:tc>
          <w:tcPr>
            <w:tcW w:w="3358" w:type="dxa"/>
            <w:tcBorders>
              <w:top w:val="nil"/>
              <w:left w:val="nil"/>
              <w:bottom w:val="nil"/>
              <w:right w:val="nil"/>
            </w:tcBorders>
            <w:vAlign w:val="center"/>
          </w:tcPr>
          <w:p w:rsidR="005D6B79" w14:paraId="034E75C0" w14:textId="77777777">
            <w:pPr>
              <w:spacing w:after="0" w:line="259" w:lineRule="auto"/>
              <w:ind w:left="0" w:firstLine="0"/>
            </w:pPr>
            <w:r>
              <w:t>Usually</w:t>
            </w:r>
            <w:r>
              <w:t xml:space="preserve"> </w:t>
            </w:r>
          </w:p>
        </w:tc>
      </w:tr>
      <w:tr w14:paraId="6513E15F" w14:textId="77777777">
        <w:tblPrEx>
          <w:tblW w:w="3808" w:type="dxa"/>
          <w:tblInd w:w="1440" w:type="dxa"/>
          <w:tblCellMar>
            <w:top w:w="2" w:type="dxa"/>
            <w:left w:w="0" w:type="dxa"/>
            <w:bottom w:w="2" w:type="dxa"/>
            <w:right w:w="0" w:type="dxa"/>
          </w:tblCellMar>
          <w:tblLook w:val="04A0"/>
        </w:tblPrEx>
        <w:trPr>
          <w:trHeight w:val="442"/>
        </w:trPr>
        <w:tc>
          <w:tcPr>
            <w:tcW w:w="450" w:type="dxa"/>
            <w:tcBorders>
              <w:top w:val="nil"/>
              <w:left w:val="nil"/>
              <w:bottom w:val="nil"/>
              <w:right w:val="nil"/>
            </w:tcBorders>
            <w:vAlign w:val="center"/>
          </w:tcPr>
          <w:p w:rsidR="005D6B79" w14:paraId="6E1D9703" w14:textId="77777777">
            <w:pPr>
              <w:spacing w:after="0" w:line="259" w:lineRule="auto"/>
              <w:ind w:left="0" w:firstLine="0"/>
            </w:pPr>
            <w:r>
              <w:rPr>
                <w:rFonts w:ascii="Segoe UI Symbol" w:eastAsia="Segoe UI Symbol" w:hAnsi="Segoe UI Symbol" w:cs="Segoe UI Symbol"/>
              </w:rPr>
              <w:t>☐</w:t>
            </w:r>
            <w:r>
              <w:t xml:space="preserve"> </w:t>
            </w:r>
          </w:p>
        </w:tc>
        <w:tc>
          <w:tcPr>
            <w:tcW w:w="3358" w:type="dxa"/>
            <w:tcBorders>
              <w:top w:val="nil"/>
              <w:left w:val="nil"/>
              <w:bottom w:val="nil"/>
              <w:right w:val="nil"/>
            </w:tcBorders>
            <w:vAlign w:val="center"/>
          </w:tcPr>
          <w:p w:rsidR="005D6B79" w14:paraId="00375065" w14:textId="77777777">
            <w:pPr>
              <w:spacing w:after="0" w:line="259" w:lineRule="auto"/>
              <w:ind w:left="0" w:firstLine="0"/>
            </w:pPr>
            <w:r>
              <w:t xml:space="preserve">Always </w:t>
            </w:r>
          </w:p>
        </w:tc>
      </w:tr>
      <w:tr w14:paraId="43E72CA2" w14:textId="77777777">
        <w:tblPrEx>
          <w:tblW w:w="3808" w:type="dxa"/>
          <w:tblInd w:w="1440" w:type="dxa"/>
          <w:tblCellMar>
            <w:top w:w="2" w:type="dxa"/>
            <w:left w:w="0" w:type="dxa"/>
            <w:bottom w:w="2" w:type="dxa"/>
            <w:right w:w="0" w:type="dxa"/>
          </w:tblCellMar>
          <w:tblLook w:val="04A0"/>
        </w:tblPrEx>
        <w:trPr>
          <w:trHeight w:val="339"/>
        </w:trPr>
        <w:tc>
          <w:tcPr>
            <w:tcW w:w="450" w:type="dxa"/>
            <w:tcBorders>
              <w:top w:val="nil"/>
              <w:left w:val="nil"/>
              <w:bottom w:val="nil"/>
              <w:right w:val="nil"/>
            </w:tcBorders>
            <w:vAlign w:val="bottom"/>
          </w:tcPr>
          <w:p w:rsidR="005D6B79" w14:paraId="46B9D992" w14:textId="77777777">
            <w:pPr>
              <w:spacing w:after="0" w:line="259" w:lineRule="auto"/>
              <w:ind w:left="0" w:firstLine="0"/>
            </w:pPr>
            <w:r>
              <w:rPr>
                <w:rFonts w:ascii="Segoe UI Symbol" w:eastAsia="Segoe UI Symbol" w:hAnsi="Segoe UI Symbol" w:cs="Segoe UI Symbol"/>
              </w:rPr>
              <w:t>☐</w:t>
            </w:r>
            <w:r>
              <w:t xml:space="preserve"> </w:t>
            </w:r>
          </w:p>
        </w:tc>
        <w:tc>
          <w:tcPr>
            <w:tcW w:w="3358" w:type="dxa"/>
            <w:tcBorders>
              <w:top w:val="nil"/>
              <w:left w:val="nil"/>
              <w:bottom w:val="nil"/>
              <w:right w:val="nil"/>
            </w:tcBorders>
            <w:vAlign w:val="bottom"/>
          </w:tcPr>
          <w:p w:rsidR="005D6B79" w14:paraId="62DC9904" w14:textId="77777777">
            <w:pPr>
              <w:spacing w:after="0" w:line="259" w:lineRule="auto"/>
              <w:ind w:left="0" w:firstLine="0"/>
              <w:jc w:val="both"/>
            </w:pPr>
            <w:r>
              <w:t xml:space="preserve">I did not have any other problems  </w:t>
            </w:r>
          </w:p>
        </w:tc>
      </w:tr>
    </w:tbl>
    <w:p w:rsidR="005D6B79" w14:paraId="16A81833" w14:textId="77777777">
      <w:pPr>
        <w:tabs>
          <w:tab w:val="center" w:pos="1544"/>
          <w:tab w:val="center" w:pos="5330"/>
        </w:tabs>
        <w:spacing w:after="75"/>
        <w:ind w:left="0" w:firstLine="0"/>
      </w:pPr>
      <w:r>
        <w:rPr>
          <w:rFonts w:ascii="Calibri" w:eastAsia="Calibri" w:hAnsi="Calibri" w:cs="Calibri"/>
          <w:color w:val="000000"/>
          <w:sz w:val="22"/>
        </w:rPr>
        <w:tab/>
      </w:r>
      <w:r>
        <w:rPr>
          <w:rFonts w:ascii="Segoe UI Symbol" w:eastAsia="Segoe UI Symbol" w:hAnsi="Segoe UI Symbol" w:cs="Segoe UI Symbol"/>
        </w:rPr>
        <w:t>☐</w:t>
      </w:r>
      <w:r>
        <w:t xml:space="preserve"> </w:t>
      </w:r>
      <w:r>
        <w:tab/>
        <w:t>I had other problems but did not need dialysis center staff help *</w:t>
      </w:r>
      <w:r>
        <w:rPr>
          <w:b/>
        </w:rPr>
        <w:t>NEW</w:t>
      </w:r>
      <w:r>
        <w:t xml:space="preserve">* </w:t>
      </w:r>
    </w:p>
    <w:p w:rsidR="003471E3" w14:paraId="74FD3F79" w14:textId="549721C9">
      <w:pPr>
        <w:tabs>
          <w:tab w:val="center" w:pos="1544"/>
          <w:tab w:val="center" w:pos="5330"/>
        </w:tabs>
        <w:spacing w:after="75"/>
        <w:ind w:left="0" w:firstLine="0"/>
      </w:pPr>
      <w:r w:rsidRPr="003471E3">
        <w:t xml:space="preserve">The </w:t>
      </w:r>
      <w:r>
        <w:t>3</w:t>
      </w:r>
      <w:r w:rsidRPr="003471E3">
        <w:t xml:space="preserve">0-day </w:t>
      </w:r>
      <w:r w:rsidRPr="003471E3">
        <w:rPr>
          <w:i/>
        </w:rPr>
        <w:t xml:space="preserve">Federal Register </w:t>
      </w:r>
      <w:r w:rsidRPr="003471E3">
        <w:t>notice</w:t>
      </w:r>
      <w:r>
        <w:t xml:space="preserve"> (</w:t>
      </w:r>
      <w:r w:rsidRPr="003471E3">
        <w:t>91 FR 69848</w:t>
      </w:r>
      <w:r>
        <w:t>)</w:t>
      </w:r>
      <w:r w:rsidRPr="003471E3">
        <w:t xml:space="preserve"> was published on </w:t>
      </w:r>
      <w:r>
        <w:t>November</w:t>
      </w:r>
      <w:r w:rsidRPr="003471E3">
        <w:t xml:space="preserve"> </w:t>
      </w:r>
      <w:r>
        <w:t>5</w:t>
      </w:r>
      <w:r w:rsidRPr="003471E3">
        <w:t>, 2026.</w:t>
      </w:r>
    </w:p>
    <w:p w:rsidR="003471E3" w14:paraId="0A4C96BF" w14:textId="77777777">
      <w:pPr>
        <w:tabs>
          <w:tab w:val="center" w:pos="1544"/>
          <w:tab w:val="center" w:pos="5330"/>
        </w:tabs>
        <w:spacing w:after="75"/>
        <w:ind w:left="0" w:firstLine="0"/>
      </w:pPr>
    </w:p>
    <w:p w:rsidR="005D6B79" w14:paraId="49B50BBB" w14:textId="77777777">
      <w:pPr>
        <w:pStyle w:val="Heading2"/>
        <w:ind w:left="127"/>
      </w:pPr>
      <w:r>
        <w:t>A.8.2  Outside</w:t>
      </w:r>
      <w:r>
        <w:t xml:space="preserve"> Consultations  </w:t>
      </w:r>
    </w:p>
    <w:p w:rsidR="005D6B79" w14:paraId="418FEF68" w14:textId="77777777">
      <w:pPr>
        <w:ind w:left="203" w:right="2" w:firstLine="710"/>
      </w:pPr>
      <w:r>
        <w:t xml:space="preserve">CMS’s ICH CAHPS contractor convened a TEP in January 2026 with 11 members. They obtained guidance and input from the TEP on testing a combined ICH/home dialysis survey and the feasibility of a web-based mode for this population. The TEP members consulted represented the following organizations:  </w:t>
      </w:r>
    </w:p>
    <w:p w:rsidR="005D6B79" w14:paraId="49E046E4" w14:textId="77777777">
      <w:pPr>
        <w:numPr>
          <w:ilvl w:val="0"/>
          <w:numId w:val="6"/>
        </w:numPr>
        <w:ind w:right="2" w:hanging="359"/>
      </w:pPr>
      <w:r>
        <w:t xml:space="preserve">National Kidney Foundation </w:t>
      </w:r>
    </w:p>
    <w:p w:rsidR="005D6B79" w14:paraId="3C0C7810" w14:textId="77777777">
      <w:pPr>
        <w:numPr>
          <w:ilvl w:val="0"/>
          <w:numId w:val="6"/>
        </w:numPr>
        <w:ind w:right="2" w:hanging="359"/>
      </w:pPr>
      <w:r>
        <w:t xml:space="preserve">American Society of Nephrology    </w:t>
      </w:r>
    </w:p>
    <w:p w:rsidR="005D6B79" w14:paraId="4566D27B" w14:textId="77777777">
      <w:pPr>
        <w:numPr>
          <w:ilvl w:val="0"/>
          <w:numId w:val="6"/>
        </w:numPr>
        <w:ind w:right="2" w:hanging="359"/>
      </w:pPr>
      <w:r>
        <w:t xml:space="preserve">DaVita (a large dialysis organization)  </w:t>
      </w:r>
    </w:p>
    <w:p w:rsidR="005D6B79" w14:paraId="14A59C44" w14:textId="77777777">
      <w:pPr>
        <w:numPr>
          <w:ilvl w:val="0"/>
          <w:numId w:val="6"/>
        </w:numPr>
        <w:ind w:right="2" w:hanging="359"/>
      </w:pPr>
      <w:r>
        <w:t xml:space="preserve">Dialysis Patient Citizens (ESRD patient advocacy organization)  </w:t>
      </w:r>
    </w:p>
    <w:p w:rsidR="005D6B79" w14:paraId="30689F8A" w14:textId="77777777">
      <w:pPr>
        <w:numPr>
          <w:ilvl w:val="0"/>
          <w:numId w:val="6"/>
        </w:numPr>
        <w:ind w:right="2" w:hanging="359"/>
      </w:pPr>
      <w:r>
        <w:t xml:space="preserve">American Nephrology Nurses Association </w:t>
      </w:r>
    </w:p>
    <w:p w:rsidR="005D6B79" w14:paraId="38BD4BDF" w14:textId="77777777">
      <w:pPr>
        <w:numPr>
          <w:ilvl w:val="0"/>
          <w:numId w:val="6"/>
        </w:numPr>
        <w:ind w:right="2" w:hanging="359"/>
      </w:pPr>
      <w:r>
        <w:t xml:space="preserve">Fresenius Medicare Care (a large dialysis organization)  </w:t>
      </w:r>
    </w:p>
    <w:p w:rsidR="005D6B79" w14:paraId="51148294" w14:textId="77777777">
      <w:pPr>
        <w:numPr>
          <w:ilvl w:val="0"/>
          <w:numId w:val="6"/>
        </w:numPr>
        <w:ind w:right="2" w:hanging="359"/>
      </w:pPr>
      <w:r>
        <w:t xml:space="preserve">RAND Corporation  </w:t>
      </w:r>
    </w:p>
    <w:p w:rsidR="005D6B79" w14:paraId="1AE23611" w14:textId="77777777">
      <w:pPr>
        <w:spacing w:after="138"/>
        <w:ind w:left="203" w:right="2" w:firstLine="710"/>
      </w:pPr>
      <w:r>
        <w:t xml:space="preserve">In addition to the TEP, cognitive interviews and focus groups were held with nine or fewer home dialysis patients per round. </w:t>
      </w:r>
    </w:p>
    <w:p w:rsidR="005D6B79" w14:paraId="7340FCE5" w14:textId="77777777">
      <w:pPr>
        <w:tabs>
          <w:tab w:val="center" w:pos="2611"/>
        </w:tabs>
        <w:spacing w:after="2" w:line="259" w:lineRule="auto"/>
        <w:ind w:left="-15" w:firstLine="0"/>
      </w:pPr>
      <w:r>
        <w:rPr>
          <w:b/>
        </w:rPr>
        <w:t xml:space="preserve"> A.9 </w:t>
      </w:r>
      <w:r>
        <w:rPr>
          <w:b/>
        </w:rPr>
        <w:tab/>
        <w:t xml:space="preserve">Payments/Gifts to Respondents  </w:t>
      </w:r>
    </w:p>
    <w:p w:rsidR="005D6B79" w14:paraId="1F32CB6A" w14:textId="77777777">
      <w:pPr>
        <w:spacing w:after="135"/>
        <w:ind w:left="938" w:right="2"/>
      </w:pPr>
      <w:r>
        <w:t xml:space="preserve">No payments or gifts will be provided to respondents.  </w:t>
      </w:r>
    </w:p>
    <w:p w:rsidR="005D6B79" w14:paraId="7AB25C79" w14:textId="77777777">
      <w:pPr>
        <w:pStyle w:val="Heading1"/>
        <w:tabs>
          <w:tab w:val="center" w:pos="2538"/>
        </w:tabs>
        <w:ind w:left="-15" w:right="0" w:firstLine="0"/>
      </w:pPr>
      <w:r>
        <w:rPr>
          <w:rFonts w:ascii="Calibri" w:eastAsia="Calibri" w:hAnsi="Calibri" w:cs="Calibri"/>
          <w:b w:val="0"/>
          <w:sz w:val="22"/>
        </w:rPr>
        <w:t xml:space="preserve"> </w:t>
      </w:r>
      <w:r>
        <w:t>A.10</w:t>
      </w:r>
      <w:r>
        <w:rPr>
          <w:rFonts w:ascii="Arial" w:eastAsia="Arial" w:hAnsi="Arial" w:cs="Arial"/>
        </w:rPr>
        <w:t xml:space="preserve">  </w:t>
      </w:r>
      <w:r>
        <w:rPr>
          <w:rFonts w:ascii="Arial" w:eastAsia="Arial" w:hAnsi="Arial" w:cs="Arial"/>
        </w:rPr>
        <w:tab/>
      </w:r>
      <w:r>
        <w:t xml:space="preserve">Assurance of Confidentiality  </w:t>
      </w:r>
    </w:p>
    <w:p w:rsidR="005D6B79" w14:paraId="27928C4A" w14:textId="77777777">
      <w:pPr>
        <w:ind w:left="203" w:right="2" w:firstLine="710"/>
      </w:pPr>
      <w:r>
        <w:t xml:space="preserve">Individuals contacted as part of this data collection are assured of the confidentiality of their replies under 42 U.S.C. 1306, 20 CFR 401 and 422, 5 U.S.C. 552 (Freedom of Information Act), 5 U.S.C. 552a (Privacy Act of 1974), and OMB Circular A-130.  </w:t>
      </w:r>
    </w:p>
    <w:p w:rsidR="005D6B79" w14:paraId="3C1CAFF3" w14:textId="77777777">
      <w:pPr>
        <w:ind w:left="203" w:right="2" w:firstLine="710"/>
      </w:pPr>
      <w:r>
        <w:t xml:space="preserve">Concern </w:t>
      </w:r>
      <w:r>
        <w:t>for</w:t>
      </w:r>
      <w:r>
        <w:t xml:space="preserve"> </w:t>
      </w:r>
      <w:r>
        <w:t>the confidentiality</w:t>
      </w:r>
      <w:r>
        <w:t xml:space="preserve"> and protection of respondents’ rights is critically important </w:t>
      </w:r>
      <w:r>
        <w:t>on</w:t>
      </w:r>
      <w:r>
        <w:t xml:space="preserve"> any patient experience of care survey. Because ESRD patients are dependent on dialysis treatments for their survival, they are an especially vulnerable patient population. Some dialysis patients might not be willing to participate in the survey for fear of retribution from the facility staff. There is also a concern that some patients might respond to the survey but might respond in a way that does not reflect their act</w:t>
      </w:r>
      <w:r>
        <w:t xml:space="preserve">ual experiences with dialysis care. Therefore, assurances of confidentiality are even more critically important with this patient population.  </w:t>
      </w:r>
    </w:p>
    <w:p w:rsidR="005D6B79" w14:paraId="3396D88B" w14:textId="77777777">
      <w:pPr>
        <w:ind w:left="203" w:right="2" w:firstLine="710"/>
      </w:pPr>
      <w:r>
        <w:t>Mode experiment respondents will be told not to ask the dialysis facility to assist in questionnaire completion because it might introduce bias, especially because among other things, patients are being asked to evaluate both the facility and the staff employed there. However, we recognize that because of fatigue and existing comorbidities, completing the survey without assistance might prove difficult for this patient population. As a result, it is permissible for respondents to ask family members or frien</w:t>
      </w:r>
      <w:r>
        <w:t xml:space="preserve">ds to help with completing the survey such as by reading the questions aloud to the respondent, translating questions into the language they speak, or writing the answers on the mail survey for the respondent.  </w:t>
      </w:r>
    </w:p>
    <w:p w:rsidR="005D6B79" w14:paraId="3CFE091D" w14:textId="77777777">
      <w:pPr>
        <w:ind w:left="203" w:right="2" w:firstLine="710"/>
      </w:pPr>
      <w:r>
        <w:t xml:space="preserve">The cover letters and web invitation letters that will be sent to sample patients will encourage patients to call CMS’s contractor if they have any questions about the mode experiment survey (the official mode experiment letters and emails in English are included in </w:t>
      </w:r>
      <w:r>
        <w:rPr>
          <w:b/>
          <w:i/>
        </w:rPr>
        <w:t>Attachment B)</w:t>
      </w:r>
      <w:r>
        <w:rPr>
          <w:i/>
        </w:rPr>
        <w:t>.</w:t>
      </w:r>
      <w:r>
        <w:rPr>
          <w:b/>
          <w:i/>
        </w:rPr>
        <w:t xml:space="preserve"> </w:t>
      </w:r>
      <w:r>
        <w:t xml:space="preserve"> </w:t>
      </w:r>
    </w:p>
    <w:p w:rsidR="005D6B79" w14:paraId="78B07559" w14:textId="77777777">
      <w:pPr>
        <w:ind w:left="938" w:right="2"/>
      </w:pPr>
      <w:r>
        <w:t xml:space="preserve">Communications with ICH CAHPS sample patients will include the following:  </w:t>
      </w:r>
    </w:p>
    <w:p w:rsidR="005D6B79" w14:paraId="2492D30A" w14:textId="77777777">
      <w:pPr>
        <w:ind w:left="1309" w:right="2"/>
      </w:pPr>
      <w:r>
        <w:t xml:space="preserve">the purposes of the survey and how survey results will be used;  </w:t>
      </w:r>
    </w:p>
    <w:p w:rsidR="005D6B79" w14:paraId="2FB6FC47" w14:textId="77777777">
      <w:pPr>
        <w:numPr>
          <w:ilvl w:val="0"/>
          <w:numId w:val="7"/>
        </w:numPr>
        <w:ind w:right="2" w:hanging="359"/>
      </w:pPr>
      <w:r>
        <w:t xml:space="preserve">participation in the ICH CAHPS Survey is voluntary;  </w:t>
      </w:r>
    </w:p>
    <w:p w:rsidR="005D6B79" w14:paraId="19F8FAE0" w14:textId="77777777">
      <w:pPr>
        <w:numPr>
          <w:ilvl w:val="0"/>
          <w:numId w:val="7"/>
        </w:numPr>
        <w:spacing w:after="104"/>
        <w:ind w:right="2" w:hanging="359"/>
      </w:pPr>
      <w:r>
        <w:t xml:space="preserve">the information they provide is protected by the Federal Privacy Act </w:t>
      </w:r>
      <w:r>
        <w:rPr>
          <w:sz w:val="23"/>
        </w:rPr>
        <w:t>of 1974 (and that all ICH CAHPS project staff have signed affidavits of confidentiality and are prohibited by law from using survey information for anything other than this research study)</w:t>
      </w:r>
      <w:r>
        <w:t xml:space="preserve">;  </w:t>
      </w:r>
    </w:p>
    <w:p w:rsidR="005D6B79" w14:paraId="7FBD16FF" w14:textId="77777777">
      <w:pPr>
        <w:numPr>
          <w:ilvl w:val="0"/>
          <w:numId w:val="7"/>
        </w:numPr>
        <w:ind w:right="2" w:hanging="359"/>
      </w:pPr>
      <w:r>
        <w:t xml:space="preserve">their survey responses will never be linked to their name or other identifying information;  </w:t>
      </w:r>
    </w:p>
    <w:p w:rsidR="005D6B79" w14:paraId="14283A9D" w14:textId="77777777">
      <w:pPr>
        <w:numPr>
          <w:ilvl w:val="0"/>
          <w:numId w:val="7"/>
        </w:numPr>
        <w:ind w:right="2" w:hanging="359"/>
      </w:pPr>
      <w:r>
        <w:t xml:space="preserve">all respondents’ survey responses will be reported in aggregate, no ICH facility will see their individual answers;  </w:t>
      </w:r>
    </w:p>
    <w:p w:rsidR="005D6B79" w14:paraId="665D43D1" w14:textId="77777777">
      <w:pPr>
        <w:numPr>
          <w:ilvl w:val="0"/>
          <w:numId w:val="7"/>
        </w:numPr>
        <w:spacing w:after="104"/>
        <w:ind w:right="2" w:hanging="359"/>
      </w:pPr>
      <w:r>
        <w:rPr>
          <w:sz w:val="23"/>
        </w:rPr>
        <w:t>they can skip or refuse to answer any question they do not feel comfortable with.</w:t>
      </w:r>
      <w:r>
        <w:t xml:space="preserve">  </w:t>
      </w:r>
    </w:p>
    <w:p w:rsidR="005D6B79" w14:paraId="22FF9E44" w14:textId="77777777">
      <w:pPr>
        <w:pStyle w:val="Heading2"/>
        <w:ind w:left="127"/>
      </w:pPr>
      <w:r>
        <w:t xml:space="preserve">A.10.1 Data Security  </w:t>
      </w:r>
    </w:p>
    <w:p w:rsidR="005D6B79" w14:paraId="43675B6A" w14:textId="77777777">
      <w:pPr>
        <w:ind w:left="203" w:right="2" w:firstLine="710"/>
      </w:pPr>
      <w:r>
        <w:t>CMS’s contractor, RTI, has extensive systems and methods in place to protect the identity of sampled patients and the confidential nature of the data that they provide during the mode experiment. All data for this project will be housed on RTI’s FIPS Moderate environment, a segregated area of the RTI network that handles data whose impact level has been determined to be “moderate” regarding the Integrity, Confidentiality, and Availability classification areas. All sample data and survey data exported from t</w:t>
      </w:r>
      <w:r>
        <w:t xml:space="preserve">he data collection systems will be stored on a HIPAA-compliant share drive, and only a small number of people at RTI will have access to these data. </w:t>
      </w:r>
    </w:p>
    <w:p w:rsidR="005D6B79" w14:paraId="6F2ABAA3" w14:textId="77777777">
      <w:pPr>
        <w:pStyle w:val="Heading1"/>
        <w:tabs>
          <w:tab w:val="center" w:pos="216"/>
          <w:tab w:val="center" w:pos="2680"/>
        </w:tabs>
        <w:ind w:left="0" w:right="0" w:firstLine="0"/>
      </w:pPr>
      <w:r>
        <w:rPr>
          <w:rFonts w:ascii="Calibri" w:eastAsia="Calibri" w:hAnsi="Calibri" w:cs="Calibri"/>
          <w:b w:val="0"/>
          <w:color w:val="000000"/>
          <w:sz w:val="22"/>
        </w:rPr>
        <w:tab/>
      </w:r>
      <w:r>
        <w:rPr>
          <w:sz w:val="21"/>
        </w:rPr>
        <w:t xml:space="preserve"> </w:t>
      </w:r>
      <w:r>
        <w:rPr>
          <w:rFonts w:ascii="Calibri" w:eastAsia="Calibri" w:hAnsi="Calibri" w:cs="Calibri"/>
          <w:sz w:val="22"/>
        </w:rPr>
        <w:t xml:space="preserve"> </w:t>
      </w:r>
      <w:r>
        <w:rPr>
          <w:rFonts w:ascii="Calibri" w:eastAsia="Calibri" w:hAnsi="Calibri" w:cs="Calibri"/>
          <w:sz w:val="22"/>
        </w:rPr>
        <w:tab/>
      </w:r>
      <w:r>
        <w:t>A.11</w:t>
      </w:r>
      <w:r>
        <w:rPr>
          <w:rFonts w:ascii="Arial" w:eastAsia="Arial" w:hAnsi="Arial" w:cs="Arial"/>
        </w:rPr>
        <w:t xml:space="preserve">  </w:t>
      </w:r>
      <w:r>
        <w:t>Questions</w:t>
      </w:r>
      <w:r>
        <w:t xml:space="preserve"> of </w:t>
      </w:r>
      <w:r>
        <w:t>a Sensitive</w:t>
      </w:r>
      <w:r>
        <w:t xml:space="preserve"> Nature  </w:t>
      </w:r>
    </w:p>
    <w:p w:rsidR="005D6B79" w14:paraId="5546E3D8" w14:textId="77777777">
      <w:pPr>
        <w:ind w:left="203" w:right="2" w:firstLine="710"/>
      </w:pPr>
      <w:r>
        <w:t>There are no questions of a sensitive nature included in this survey; that is, there are no questions that ask about what is typically considered as “sensitive,” such as questions about illegal or criminal activities, sexual behavior or orientation, or income. However, although the questions in the ICH CAHPS survey might not be deemed sensitive themselves, it must be acknowledged that responding to a survey about life-sustaining dialysis care might be a sensitive issue to a vulnerable ESRD patient populatio</w:t>
      </w:r>
      <w:r>
        <w:t xml:space="preserve">n. Administration of the ICH CAHPS mode experiment survey by CMS’s subcontractor and the steps described in </w:t>
      </w:r>
      <w:r>
        <w:rPr>
          <w:b/>
        </w:rPr>
        <w:t xml:space="preserve">Section A.10 </w:t>
      </w:r>
      <w:r>
        <w:t xml:space="preserve">should help minimize or assuage any concerns that patients have about responding to this survey.  </w:t>
      </w:r>
    </w:p>
    <w:p w:rsidR="005D6B79" w14:paraId="1B9FAD36" w14:textId="77777777">
      <w:pPr>
        <w:pStyle w:val="Heading1"/>
        <w:tabs>
          <w:tab w:val="center" w:pos="216"/>
          <w:tab w:val="center" w:pos="3627"/>
        </w:tabs>
        <w:ind w:left="0" w:right="0" w:firstLine="0"/>
      </w:pPr>
      <w:r>
        <w:rPr>
          <w:rFonts w:ascii="Calibri" w:eastAsia="Calibri" w:hAnsi="Calibri" w:cs="Calibri"/>
          <w:b w:val="0"/>
          <w:color w:val="000000"/>
          <w:sz w:val="22"/>
        </w:rPr>
        <w:tab/>
      </w:r>
      <w:r>
        <w:rPr>
          <w:sz w:val="21"/>
        </w:rPr>
        <w:t xml:space="preserve"> </w:t>
      </w:r>
      <w:r>
        <w:rPr>
          <w:rFonts w:ascii="Calibri" w:eastAsia="Calibri" w:hAnsi="Calibri" w:cs="Calibri"/>
          <w:sz w:val="22"/>
        </w:rPr>
        <w:t xml:space="preserve"> </w:t>
      </w:r>
      <w:r>
        <w:rPr>
          <w:rFonts w:ascii="Calibri" w:eastAsia="Calibri" w:hAnsi="Calibri" w:cs="Calibri"/>
          <w:sz w:val="22"/>
        </w:rPr>
        <w:tab/>
      </w:r>
      <w:r>
        <w:t>A.12</w:t>
      </w:r>
      <w:r>
        <w:rPr>
          <w:rFonts w:ascii="Arial" w:eastAsia="Arial" w:hAnsi="Arial" w:cs="Arial"/>
        </w:rPr>
        <w:t xml:space="preserve">  </w:t>
      </w:r>
      <w:r>
        <w:t>Estimates</w:t>
      </w:r>
      <w:r>
        <w:t xml:space="preserve"> of Annualized Burden Hours and Costs  </w:t>
      </w:r>
    </w:p>
    <w:p w:rsidR="005D6B79" w14:paraId="57C4BEFE" w14:textId="77777777">
      <w:pPr>
        <w:ind w:left="203" w:right="2" w:firstLine="710"/>
      </w:pPr>
      <w:r>
        <w:t xml:space="preserve">The mode experiment will be conducted with an estimated 20,235 home and ICH patients. Patients will be administered the revised survey, which is 41 items long and is estimated to require 11 minutes of their time to complete the survey. Estimated burden hours and costs to the respondent in the mode experiment for the ICH CAHPS Survey are shown in </w:t>
      </w:r>
      <w:r>
        <w:rPr>
          <w:b/>
        </w:rPr>
        <w:t xml:space="preserve">Exhibits A.1 </w:t>
      </w:r>
      <w:r>
        <w:t xml:space="preserve">and </w:t>
      </w:r>
      <w:r>
        <w:rPr>
          <w:b/>
        </w:rPr>
        <w:t>A.2</w:t>
      </w:r>
      <w:r>
        <w:t xml:space="preserve">. We have estimated the maximum burden possible by assuming that 21.0% of approximately 20,235 ICH patients will complete the survey.  </w:t>
      </w:r>
    </w:p>
    <w:p w:rsidR="005D6B79" w14:paraId="31DFEFF7" w14:textId="77777777">
      <w:pPr>
        <w:pStyle w:val="Heading1"/>
        <w:ind w:left="1646" w:right="0" w:hanging="1440"/>
      </w:pPr>
      <w:r>
        <w:t xml:space="preserve">Exhibit A.1 </w:t>
      </w:r>
      <w:r>
        <w:tab/>
        <w:t xml:space="preserve">Estimated Annualized Burden Hours: ICH CAHPS Survey Web Mode Experiment and National Implementation  </w:t>
      </w:r>
    </w:p>
    <w:tbl>
      <w:tblPr>
        <w:tblStyle w:val="TableGrid"/>
        <w:tblW w:w="9350" w:type="dxa"/>
        <w:tblInd w:w="232" w:type="dxa"/>
        <w:tblCellMar>
          <w:top w:w="156" w:type="dxa"/>
          <w:left w:w="109" w:type="dxa"/>
          <w:bottom w:w="27" w:type="dxa"/>
          <w:right w:w="29" w:type="dxa"/>
        </w:tblCellMar>
        <w:tblLook w:val="04A0"/>
      </w:tblPr>
      <w:tblGrid>
        <w:gridCol w:w="3336"/>
        <w:gridCol w:w="1501"/>
        <w:gridCol w:w="1503"/>
        <w:gridCol w:w="1505"/>
        <w:gridCol w:w="1505"/>
      </w:tblGrid>
      <w:tr w14:paraId="65FCE679" w14:textId="77777777">
        <w:tblPrEx>
          <w:tblW w:w="9350" w:type="dxa"/>
          <w:tblInd w:w="232" w:type="dxa"/>
          <w:tblCellMar>
            <w:top w:w="156" w:type="dxa"/>
            <w:left w:w="109" w:type="dxa"/>
            <w:bottom w:w="27" w:type="dxa"/>
            <w:right w:w="29" w:type="dxa"/>
          </w:tblCellMar>
          <w:tblLook w:val="04A0"/>
        </w:tblPrEx>
        <w:trPr>
          <w:trHeight w:val="1045"/>
        </w:trPr>
        <w:tc>
          <w:tcPr>
            <w:tcW w:w="3336" w:type="dxa"/>
            <w:tcBorders>
              <w:top w:val="single" w:sz="4" w:space="0" w:color="181717"/>
              <w:left w:val="single" w:sz="4" w:space="0" w:color="181717"/>
              <w:bottom w:val="single" w:sz="6" w:space="0" w:color="181717"/>
              <w:right w:val="single" w:sz="6" w:space="0" w:color="181717"/>
            </w:tcBorders>
          </w:tcPr>
          <w:p w:rsidR="005D6B79" w14:paraId="77059A76" w14:textId="77777777">
            <w:pPr>
              <w:spacing w:after="0" w:line="259" w:lineRule="auto"/>
              <w:ind w:left="0" w:right="81" w:firstLine="0"/>
              <w:jc w:val="center"/>
            </w:pPr>
            <w:r>
              <w:rPr>
                <w:b/>
                <w:sz w:val="22"/>
              </w:rPr>
              <w:t xml:space="preserve">Form name </w:t>
            </w:r>
            <w:r>
              <w:t xml:space="preserve"> </w:t>
            </w:r>
          </w:p>
        </w:tc>
        <w:tc>
          <w:tcPr>
            <w:tcW w:w="1501" w:type="dxa"/>
            <w:tcBorders>
              <w:top w:val="single" w:sz="4" w:space="0" w:color="181717"/>
              <w:left w:val="single" w:sz="6" w:space="0" w:color="181717"/>
              <w:bottom w:val="single" w:sz="6" w:space="0" w:color="181717"/>
              <w:right w:val="single" w:sz="6" w:space="0" w:color="181717"/>
            </w:tcBorders>
          </w:tcPr>
          <w:p w:rsidR="005D6B79" w14:paraId="2D03A8DD" w14:textId="77777777">
            <w:pPr>
              <w:spacing w:after="0" w:line="259" w:lineRule="auto"/>
              <w:ind w:left="0" w:firstLine="0"/>
              <w:jc w:val="center"/>
            </w:pPr>
            <w:r>
              <w:rPr>
                <w:b/>
                <w:sz w:val="22"/>
              </w:rPr>
              <w:t xml:space="preserve">Number of respondents </w:t>
            </w:r>
            <w:r>
              <w:t xml:space="preserve"> </w:t>
            </w:r>
          </w:p>
        </w:tc>
        <w:tc>
          <w:tcPr>
            <w:tcW w:w="1503" w:type="dxa"/>
            <w:tcBorders>
              <w:top w:val="single" w:sz="4" w:space="0" w:color="181717"/>
              <w:left w:val="single" w:sz="6" w:space="0" w:color="181717"/>
              <w:bottom w:val="single" w:sz="6" w:space="0" w:color="181717"/>
              <w:right w:val="single" w:sz="6" w:space="0" w:color="181717"/>
            </w:tcBorders>
            <w:vAlign w:val="center"/>
          </w:tcPr>
          <w:p w:rsidR="005D6B79" w14:paraId="0071F3D7" w14:textId="77777777">
            <w:pPr>
              <w:spacing w:after="0" w:line="259" w:lineRule="auto"/>
              <w:ind w:left="0" w:firstLine="0"/>
              <w:jc w:val="center"/>
            </w:pPr>
            <w:r>
              <w:rPr>
                <w:b/>
                <w:sz w:val="22"/>
              </w:rPr>
              <w:t xml:space="preserve">Number of responses per respondent </w:t>
            </w:r>
            <w:r>
              <w:t xml:space="preserve"> </w:t>
            </w:r>
          </w:p>
        </w:tc>
        <w:tc>
          <w:tcPr>
            <w:tcW w:w="1505" w:type="dxa"/>
            <w:tcBorders>
              <w:top w:val="single" w:sz="4" w:space="0" w:color="181717"/>
              <w:left w:val="single" w:sz="6" w:space="0" w:color="181717"/>
              <w:bottom w:val="single" w:sz="6" w:space="0" w:color="181717"/>
              <w:right w:val="single" w:sz="6" w:space="0" w:color="181717"/>
            </w:tcBorders>
          </w:tcPr>
          <w:p w:rsidR="005D6B79" w14:paraId="2EA43282" w14:textId="77777777">
            <w:pPr>
              <w:spacing w:after="0" w:line="259" w:lineRule="auto"/>
              <w:ind w:left="0" w:firstLine="0"/>
              <w:jc w:val="center"/>
            </w:pPr>
            <w:r>
              <w:rPr>
                <w:b/>
                <w:sz w:val="22"/>
              </w:rPr>
              <w:t xml:space="preserve">Hours per response </w:t>
            </w:r>
            <w:r>
              <w:t xml:space="preserve"> </w:t>
            </w:r>
          </w:p>
        </w:tc>
        <w:tc>
          <w:tcPr>
            <w:tcW w:w="1505" w:type="dxa"/>
            <w:tcBorders>
              <w:top w:val="single" w:sz="4" w:space="0" w:color="181717"/>
              <w:left w:val="single" w:sz="6" w:space="0" w:color="181717"/>
              <w:bottom w:val="single" w:sz="6" w:space="0" w:color="181717"/>
              <w:right w:val="single" w:sz="4" w:space="0" w:color="181717"/>
            </w:tcBorders>
          </w:tcPr>
          <w:p w:rsidR="005D6B79" w14:paraId="6C326FEE" w14:textId="77777777">
            <w:pPr>
              <w:spacing w:after="0" w:line="259" w:lineRule="auto"/>
              <w:ind w:left="0" w:firstLine="0"/>
              <w:jc w:val="center"/>
            </w:pPr>
            <w:r>
              <w:rPr>
                <w:b/>
                <w:sz w:val="22"/>
              </w:rPr>
              <w:t xml:space="preserve">Total burden hours </w:t>
            </w:r>
            <w:r>
              <w:t xml:space="preserve"> </w:t>
            </w:r>
          </w:p>
        </w:tc>
      </w:tr>
      <w:tr w14:paraId="35DA0942" w14:textId="77777777">
        <w:tblPrEx>
          <w:tblW w:w="9350" w:type="dxa"/>
          <w:tblInd w:w="232" w:type="dxa"/>
          <w:tblCellMar>
            <w:top w:w="156" w:type="dxa"/>
            <w:left w:w="109" w:type="dxa"/>
            <w:bottom w:w="27" w:type="dxa"/>
            <w:right w:w="29" w:type="dxa"/>
          </w:tblCellMar>
          <w:tblLook w:val="04A0"/>
        </w:tblPrEx>
        <w:trPr>
          <w:trHeight w:val="1752"/>
        </w:trPr>
        <w:tc>
          <w:tcPr>
            <w:tcW w:w="3336" w:type="dxa"/>
            <w:tcBorders>
              <w:top w:val="single" w:sz="6" w:space="0" w:color="181717"/>
              <w:left w:val="single" w:sz="4" w:space="0" w:color="181717"/>
              <w:bottom w:val="single" w:sz="6" w:space="0" w:color="181717"/>
              <w:right w:val="single" w:sz="6" w:space="0" w:color="181717"/>
            </w:tcBorders>
            <w:vAlign w:val="bottom"/>
          </w:tcPr>
          <w:p w:rsidR="005D6B79" w14:paraId="32228C7F" w14:textId="77777777">
            <w:pPr>
              <w:spacing w:after="0" w:line="259" w:lineRule="auto"/>
              <w:ind w:left="0" w:firstLine="0"/>
            </w:pPr>
            <w:r>
              <w:rPr>
                <w:sz w:val="22"/>
              </w:rPr>
              <w:t xml:space="preserve">Mode Experiment: ICH CAHPS Survey for ICH and Home (mail only, telephone only, mail with telephone follow-up, and web with mail and telephone follow-up data collection modes) </w:t>
            </w:r>
            <w:r>
              <w:t xml:space="preserve"> </w:t>
            </w:r>
          </w:p>
        </w:tc>
        <w:tc>
          <w:tcPr>
            <w:tcW w:w="1501" w:type="dxa"/>
            <w:tcBorders>
              <w:top w:val="single" w:sz="6" w:space="0" w:color="181717"/>
              <w:left w:val="single" w:sz="6" w:space="0" w:color="181717"/>
              <w:bottom w:val="single" w:sz="6" w:space="0" w:color="181717"/>
              <w:right w:val="single" w:sz="6" w:space="0" w:color="181717"/>
            </w:tcBorders>
          </w:tcPr>
          <w:p w:rsidR="005D6B79" w14:paraId="7274A41F" w14:textId="77777777">
            <w:pPr>
              <w:spacing w:after="0" w:line="259" w:lineRule="auto"/>
              <w:ind w:left="0" w:right="70" w:firstLine="0"/>
              <w:jc w:val="center"/>
            </w:pPr>
            <w:r>
              <w:rPr>
                <w:sz w:val="22"/>
              </w:rPr>
              <w:t>4,270</w:t>
            </w:r>
            <w:r>
              <w:t xml:space="preserve"> </w:t>
            </w:r>
          </w:p>
        </w:tc>
        <w:tc>
          <w:tcPr>
            <w:tcW w:w="1503" w:type="dxa"/>
            <w:tcBorders>
              <w:top w:val="single" w:sz="6" w:space="0" w:color="181717"/>
              <w:left w:val="single" w:sz="6" w:space="0" w:color="181717"/>
              <w:bottom w:val="single" w:sz="6" w:space="0" w:color="181717"/>
              <w:right w:val="single" w:sz="6" w:space="0" w:color="181717"/>
            </w:tcBorders>
          </w:tcPr>
          <w:p w:rsidR="005D6B79" w14:paraId="7FC93E1B" w14:textId="77777777">
            <w:pPr>
              <w:spacing w:after="0" w:line="259" w:lineRule="auto"/>
              <w:ind w:left="0" w:right="74" w:firstLine="0"/>
              <w:jc w:val="center"/>
            </w:pPr>
            <w:r>
              <w:rPr>
                <w:sz w:val="22"/>
              </w:rPr>
              <w:t xml:space="preserve">1 </w:t>
            </w:r>
            <w:r>
              <w:t xml:space="preserve"> </w:t>
            </w:r>
          </w:p>
        </w:tc>
        <w:tc>
          <w:tcPr>
            <w:tcW w:w="1505" w:type="dxa"/>
            <w:tcBorders>
              <w:top w:val="single" w:sz="6" w:space="0" w:color="181717"/>
              <w:left w:val="single" w:sz="6" w:space="0" w:color="181717"/>
              <w:bottom w:val="single" w:sz="6" w:space="0" w:color="181717"/>
              <w:right w:val="single" w:sz="6" w:space="0" w:color="181717"/>
            </w:tcBorders>
          </w:tcPr>
          <w:p w:rsidR="005D6B79" w14:paraId="666093F5" w14:textId="77777777">
            <w:pPr>
              <w:spacing w:after="0" w:line="259" w:lineRule="auto"/>
              <w:ind w:left="0" w:right="69" w:firstLine="0"/>
              <w:jc w:val="center"/>
            </w:pPr>
            <w:r>
              <w:rPr>
                <w:sz w:val="22"/>
              </w:rPr>
              <w:t xml:space="preserve">.18 </w:t>
            </w:r>
            <w:r>
              <w:t xml:space="preserve"> </w:t>
            </w:r>
          </w:p>
        </w:tc>
        <w:tc>
          <w:tcPr>
            <w:tcW w:w="1505" w:type="dxa"/>
            <w:tcBorders>
              <w:top w:val="single" w:sz="6" w:space="0" w:color="181717"/>
              <w:left w:val="single" w:sz="6" w:space="0" w:color="181717"/>
              <w:bottom w:val="single" w:sz="6" w:space="0" w:color="181717"/>
              <w:right w:val="single" w:sz="4" w:space="0" w:color="181717"/>
            </w:tcBorders>
          </w:tcPr>
          <w:p w:rsidR="005D6B79" w14:paraId="22190B7A" w14:textId="77777777">
            <w:pPr>
              <w:spacing w:after="0" w:line="259" w:lineRule="auto"/>
              <w:ind w:left="0" w:right="66" w:firstLine="0"/>
              <w:jc w:val="center"/>
            </w:pPr>
            <w:r>
              <w:rPr>
                <w:sz w:val="22"/>
              </w:rPr>
              <w:t xml:space="preserve">768.6 </w:t>
            </w:r>
            <w:r>
              <w:t xml:space="preserve"> </w:t>
            </w:r>
          </w:p>
        </w:tc>
      </w:tr>
      <w:tr w14:paraId="7AB2DDB3" w14:textId="77777777">
        <w:tblPrEx>
          <w:tblW w:w="9350" w:type="dxa"/>
          <w:tblInd w:w="232" w:type="dxa"/>
          <w:tblCellMar>
            <w:top w:w="156" w:type="dxa"/>
            <w:left w:w="109" w:type="dxa"/>
            <w:bottom w:w="27" w:type="dxa"/>
            <w:right w:w="29" w:type="dxa"/>
          </w:tblCellMar>
          <w:tblLook w:val="04A0"/>
        </w:tblPrEx>
        <w:trPr>
          <w:trHeight w:val="1752"/>
        </w:trPr>
        <w:tc>
          <w:tcPr>
            <w:tcW w:w="3336" w:type="dxa"/>
            <w:tcBorders>
              <w:top w:val="single" w:sz="6" w:space="0" w:color="181717"/>
              <w:left w:val="single" w:sz="4" w:space="0" w:color="181717"/>
              <w:bottom w:val="single" w:sz="6" w:space="0" w:color="181717"/>
              <w:right w:val="single" w:sz="6" w:space="0" w:color="181717"/>
            </w:tcBorders>
            <w:vAlign w:val="bottom"/>
          </w:tcPr>
          <w:p w:rsidR="005D6B79" w14:paraId="08A1FCD3" w14:textId="77777777">
            <w:pPr>
              <w:spacing w:after="0" w:line="259" w:lineRule="auto"/>
              <w:ind w:left="0" w:firstLine="0"/>
            </w:pPr>
            <w:r>
              <w:rPr>
                <w:sz w:val="22"/>
              </w:rPr>
              <w:t xml:space="preserve">Previously Approved Data </w:t>
            </w:r>
          </w:p>
          <w:p w:rsidR="005D6B79" w14:paraId="496CE7F2" w14:textId="77777777">
            <w:pPr>
              <w:spacing w:after="0" w:line="259" w:lineRule="auto"/>
              <w:ind w:left="0" w:firstLine="0"/>
            </w:pPr>
            <w:r>
              <w:rPr>
                <w:sz w:val="22"/>
              </w:rPr>
              <w:t xml:space="preserve">Collection for the National </w:t>
            </w:r>
          </w:p>
          <w:p w:rsidR="005D6B79" w14:paraId="720AF8B7" w14:textId="77777777">
            <w:pPr>
              <w:spacing w:after="0" w:line="259" w:lineRule="auto"/>
              <w:ind w:left="0" w:right="48" w:firstLine="0"/>
            </w:pPr>
            <w:r>
              <w:rPr>
                <w:sz w:val="22"/>
              </w:rPr>
              <w:t xml:space="preserve">Implementation of the ICH CAHPS Survey (mail only, telephone only, mail with telephone follow-up) </w:t>
            </w:r>
          </w:p>
        </w:tc>
        <w:tc>
          <w:tcPr>
            <w:tcW w:w="1501" w:type="dxa"/>
            <w:tcBorders>
              <w:top w:val="single" w:sz="6" w:space="0" w:color="181717"/>
              <w:left w:val="single" w:sz="6" w:space="0" w:color="181717"/>
              <w:bottom w:val="single" w:sz="6" w:space="0" w:color="181717"/>
              <w:right w:val="single" w:sz="6" w:space="0" w:color="181717"/>
            </w:tcBorders>
          </w:tcPr>
          <w:p w:rsidR="005D6B79" w14:paraId="29F48176" w14:textId="77777777">
            <w:pPr>
              <w:spacing w:after="0" w:line="259" w:lineRule="auto"/>
              <w:ind w:left="0" w:right="70" w:firstLine="0"/>
              <w:jc w:val="center"/>
            </w:pPr>
            <w:r>
              <w:rPr>
                <w:sz w:val="22"/>
              </w:rPr>
              <w:t xml:space="preserve">103,750 </w:t>
            </w:r>
          </w:p>
        </w:tc>
        <w:tc>
          <w:tcPr>
            <w:tcW w:w="1503" w:type="dxa"/>
            <w:tcBorders>
              <w:top w:val="single" w:sz="6" w:space="0" w:color="181717"/>
              <w:left w:val="single" w:sz="6" w:space="0" w:color="181717"/>
              <w:bottom w:val="single" w:sz="6" w:space="0" w:color="181717"/>
              <w:right w:val="single" w:sz="6" w:space="0" w:color="181717"/>
            </w:tcBorders>
          </w:tcPr>
          <w:p w:rsidR="005D6B79" w14:paraId="241764CF" w14:textId="77777777">
            <w:pPr>
              <w:spacing w:after="0" w:line="259" w:lineRule="auto"/>
              <w:ind w:left="0" w:right="74" w:firstLine="0"/>
              <w:jc w:val="center"/>
            </w:pPr>
            <w:r>
              <w:rPr>
                <w:sz w:val="22"/>
              </w:rPr>
              <w:t xml:space="preserve">2 </w:t>
            </w:r>
          </w:p>
        </w:tc>
        <w:tc>
          <w:tcPr>
            <w:tcW w:w="1505" w:type="dxa"/>
            <w:tcBorders>
              <w:top w:val="single" w:sz="6" w:space="0" w:color="181717"/>
              <w:left w:val="single" w:sz="6" w:space="0" w:color="181717"/>
              <w:bottom w:val="single" w:sz="6" w:space="0" w:color="181717"/>
              <w:right w:val="single" w:sz="6" w:space="0" w:color="181717"/>
            </w:tcBorders>
          </w:tcPr>
          <w:p w:rsidR="005D6B79" w14:paraId="308323FB" w14:textId="77777777">
            <w:pPr>
              <w:spacing w:after="0" w:line="259" w:lineRule="auto"/>
              <w:ind w:left="0" w:right="68" w:firstLine="0"/>
              <w:jc w:val="center"/>
            </w:pPr>
            <w:r>
              <w:rPr>
                <w:sz w:val="22"/>
              </w:rPr>
              <w:t xml:space="preserve">.20 </w:t>
            </w:r>
          </w:p>
        </w:tc>
        <w:tc>
          <w:tcPr>
            <w:tcW w:w="1505" w:type="dxa"/>
            <w:tcBorders>
              <w:top w:val="single" w:sz="6" w:space="0" w:color="181717"/>
              <w:left w:val="single" w:sz="6" w:space="0" w:color="181717"/>
              <w:bottom w:val="single" w:sz="6" w:space="0" w:color="181717"/>
              <w:right w:val="single" w:sz="4" w:space="0" w:color="181717"/>
            </w:tcBorders>
          </w:tcPr>
          <w:p w:rsidR="005D6B79" w14:paraId="3208124D" w14:textId="77777777">
            <w:pPr>
              <w:spacing w:after="0" w:line="259" w:lineRule="auto"/>
              <w:ind w:left="0" w:right="67" w:firstLine="0"/>
              <w:jc w:val="center"/>
            </w:pPr>
            <w:r>
              <w:rPr>
                <w:sz w:val="22"/>
              </w:rPr>
              <w:t xml:space="preserve">41,500 </w:t>
            </w:r>
          </w:p>
        </w:tc>
      </w:tr>
      <w:tr w14:paraId="320A925E" w14:textId="77777777">
        <w:tblPrEx>
          <w:tblW w:w="9350" w:type="dxa"/>
          <w:tblInd w:w="232" w:type="dxa"/>
          <w:tblCellMar>
            <w:top w:w="156" w:type="dxa"/>
            <w:left w:w="109" w:type="dxa"/>
            <w:bottom w:w="27" w:type="dxa"/>
            <w:right w:w="29" w:type="dxa"/>
          </w:tblCellMar>
          <w:tblLook w:val="04A0"/>
        </w:tblPrEx>
        <w:trPr>
          <w:trHeight w:val="1217"/>
        </w:trPr>
        <w:tc>
          <w:tcPr>
            <w:tcW w:w="3336" w:type="dxa"/>
            <w:tcBorders>
              <w:top w:val="single" w:sz="6" w:space="0" w:color="181717"/>
              <w:left w:val="single" w:sz="4" w:space="0" w:color="181717"/>
              <w:bottom w:val="single" w:sz="4" w:space="0" w:color="181717"/>
              <w:right w:val="single" w:sz="6" w:space="0" w:color="181717"/>
            </w:tcBorders>
            <w:vAlign w:val="bottom"/>
          </w:tcPr>
          <w:p w:rsidR="005D6B79" w14:paraId="3AF0120A" w14:textId="77777777">
            <w:pPr>
              <w:spacing w:after="0" w:line="259" w:lineRule="auto"/>
              <w:ind w:left="0" w:firstLine="0"/>
            </w:pPr>
            <w:r>
              <w:rPr>
                <w:sz w:val="22"/>
              </w:rPr>
              <w:t xml:space="preserve">Total Annualized Burden </w:t>
            </w:r>
          </w:p>
          <w:p w:rsidR="005D6B79" w14:paraId="26F0E6C5" w14:textId="77777777">
            <w:pPr>
              <w:spacing w:after="1" w:line="257" w:lineRule="auto"/>
              <w:ind w:left="0" w:firstLine="0"/>
            </w:pPr>
            <w:r>
              <w:rPr>
                <w:sz w:val="22"/>
              </w:rPr>
              <w:t>(</w:t>
            </w:r>
            <w:r>
              <w:rPr>
                <w:sz w:val="22"/>
              </w:rPr>
              <w:t>combined</w:t>
            </w:r>
            <w:r>
              <w:rPr>
                <w:sz w:val="22"/>
              </w:rPr>
              <w:t xml:space="preserve"> Mode Experiment and National Implementation of the </w:t>
            </w:r>
          </w:p>
          <w:p w:rsidR="005D6B79" w14:paraId="02D1E4F1" w14:textId="77777777">
            <w:pPr>
              <w:spacing w:after="0" w:line="259" w:lineRule="auto"/>
              <w:ind w:left="0" w:firstLine="0"/>
            </w:pPr>
            <w:r>
              <w:rPr>
                <w:sz w:val="22"/>
              </w:rPr>
              <w:t xml:space="preserve">ICH CAHPS Survey)  </w:t>
            </w:r>
          </w:p>
        </w:tc>
        <w:tc>
          <w:tcPr>
            <w:tcW w:w="1501" w:type="dxa"/>
            <w:tcBorders>
              <w:top w:val="single" w:sz="6" w:space="0" w:color="181717"/>
              <w:left w:val="single" w:sz="6" w:space="0" w:color="181717"/>
              <w:bottom w:val="single" w:sz="4" w:space="0" w:color="181717"/>
              <w:right w:val="single" w:sz="6" w:space="0" w:color="181717"/>
            </w:tcBorders>
          </w:tcPr>
          <w:p w:rsidR="005D6B79" w14:paraId="4948AF11" w14:textId="77777777">
            <w:pPr>
              <w:spacing w:after="0" w:line="259" w:lineRule="auto"/>
              <w:ind w:left="0" w:right="70" w:firstLine="0"/>
              <w:jc w:val="center"/>
            </w:pPr>
            <w:r>
              <w:rPr>
                <w:sz w:val="22"/>
              </w:rPr>
              <w:t xml:space="preserve">211,770 </w:t>
            </w:r>
          </w:p>
        </w:tc>
        <w:tc>
          <w:tcPr>
            <w:tcW w:w="1503" w:type="dxa"/>
            <w:tcBorders>
              <w:top w:val="single" w:sz="6" w:space="0" w:color="181717"/>
              <w:left w:val="single" w:sz="6" w:space="0" w:color="181717"/>
              <w:bottom w:val="single" w:sz="4" w:space="0" w:color="181717"/>
              <w:right w:val="single" w:sz="6" w:space="0" w:color="181717"/>
            </w:tcBorders>
          </w:tcPr>
          <w:p w:rsidR="005D6B79" w14:paraId="0470FDE4" w14:textId="77777777">
            <w:pPr>
              <w:spacing w:after="0" w:line="259" w:lineRule="auto"/>
              <w:ind w:left="0" w:right="73" w:firstLine="0"/>
              <w:jc w:val="center"/>
            </w:pPr>
            <w:r>
              <w:rPr>
                <w:sz w:val="22"/>
              </w:rPr>
              <w:t xml:space="preserve">NA </w:t>
            </w:r>
          </w:p>
        </w:tc>
        <w:tc>
          <w:tcPr>
            <w:tcW w:w="1505" w:type="dxa"/>
            <w:tcBorders>
              <w:top w:val="single" w:sz="6" w:space="0" w:color="181717"/>
              <w:left w:val="single" w:sz="6" w:space="0" w:color="181717"/>
              <w:bottom w:val="single" w:sz="4" w:space="0" w:color="181717"/>
              <w:right w:val="single" w:sz="6" w:space="0" w:color="181717"/>
            </w:tcBorders>
          </w:tcPr>
          <w:p w:rsidR="005D6B79" w14:paraId="7DC8CEB8" w14:textId="77777777">
            <w:pPr>
              <w:spacing w:after="0" w:line="259" w:lineRule="auto"/>
              <w:ind w:left="0" w:right="68" w:firstLine="0"/>
              <w:jc w:val="center"/>
            </w:pPr>
            <w:r>
              <w:rPr>
                <w:sz w:val="22"/>
              </w:rPr>
              <w:t xml:space="preserve">NA </w:t>
            </w:r>
          </w:p>
        </w:tc>
        <w:tc>
          <w:tcPr>
            <w:tcW w:w="1505" w:type="dxa"/>
            <w:tcBorders>
              <w:top w:val="single" w:sz="6" w:space="0" w:color="181717"/>
              <w:left w:val="single" w:sz="6" w:space="0" w:color="181717"/>
              <w:bottom w:val="single" w:sz="4" w:space="0" w:color="181717"/>
              <w:right w:val="single" w:sz="4" w:space="0" w:color="181717"/>
            </w:tcBorders>
          </w:tcPr>
          <w:p w:rsidR="005D6B79" w14:paraId="1BAF6035" w14:textId="77777777">
            <w:pPr>
              <w:spacing w:after="0" w:line="259" w:lineRule="auto"/>
              <w:ind w:left="0" w:right="67" w:firstLine="0"/>
              <w:jc w:val="center"/>
            </w:pPr>
            <w:r>
              <w:rPr>
                <w:sz w:val="22"/>
              </w:rPr>
              <w:t xml:space="preserve">42,268.6 </w:t>
            </w:r>
          </w:p>
        </w:tc>
      </w:tr>
    </w:tbl>
    <w:p w:rsidR="005D6B79" w14:paraId="5A9DF411" w14:textId="77777777">
      <w:pPr>
        <w:spacing w:after="1" w:line="259" w:lineRule="auto"/>
        <w:ind w:left="0" w:firstLine="0"/>
      </w:pPr>
      <w:r>
        <w:rPr>
          <w:b/>
          <w:sz w:val="20"/>
        </w:rPr>
        <w:t xml:space="preserve"> </w:t>
      </w:r>
      <w:r>
        <w:t xml:space="preserve"> </w:t>
      </w:r>
    </w:p>
    <w:p w:rsidR="005D6B79" w14:paraId="78A91ACC" w14:textId="77777777">
      <w:pPr>
        <w:pStyle w:val="Heading1"/>
        <w:ind w:left="1646" w:right="0" w:hanging="1440"/>
      </w:pPr>
      <w:r>
        <w:t xml:space="preserve">Exhibit </w:t>
      </w:r>
      <w:r>
        <w:t>A.2  Estimated</w:t>
      </w:r>
      <w:r>
        <w:t xml:space="preserve"> Annualized Cost Burden: ICH CAHPS Survey Web Mode Experiment and National Implementation </w:t>
      </w:r>
    </w:p>
    <w:tbl>
      <w:tblPr>
        <w:tblStyle w:val="TableGrid"/>
        <w:tblW w:w="9350" w:type="dxa"/>
        <w:tblInd w:w="232" w:type="dxa"/>
        <w:tblCellMar>
          <w:top w:w="158" w:type="dxa"/>
          <w:left w:w="0" w:type="dxa"/>
          <w:bottom w:w="27" w:type="dxa"/>
          <w:right w:w="0" w:type="dxa"/>
        </w:tblCellMar>
        <w:tblLook w:val="04A0"/>
      </w:tblPr>
      <w:tblGrid>
        <w:gridCol w:w="3234"/>
        <w:gridCol w:w="1523"/>
        <w:gridCol w:w="1510"/>
        <w:gridCol w:w="1463"/>
        <w:gridCol w:w="1620"/>
      </w:tblGrid>
      <w:tr w14:paraId="4E691052" w14:textId="77777777">
        <w:tblPrEx>
          <w:tblW w:w="9350" w:type="dxa"/>
          <w:tblInd w:w="232" w:type="dxa"/>
          <w:tblCellMar>
            <w:top w:w="158" w:type="dxa"/>
            <w:left w:w="0" w:type="dxa"/>
            <w:bottom w:w="27" w:type="dxa"/>
            <w:right w:w="0" w:type="dxa"/>
          </w:tblCellMar>
          <w:tblLook w:val="04A0"/>
        </w:tblPrEx>
        <w:trPr>
          <w:trHeight w:val="966"/>
        </w:trPr>
        <w:tc>
          <w:tcPr>
            <w:tcW w:w="3234" w:type="dxa"/>
            <w:tcBorders>
              <w:top w:val="single" w:sz="4" w:space="0" w:color="181717"/>
              <w:left w:val="single" w:sz="4" w:space="0" w:color="181717"/>
              <w:bottom w:val="single" w:sz="6" w:space="0" w:color="181717"/>
              <w:right w:val="single" w:sz="6" w:space="0" w:color="181717"/>
            </w:tcBorders>
          </w:tcPr>
          <w:p w:rsidR="005D6B79" w14:paraId="0A75F029" w14:textId="77777777">
            <w:pPr>
              <w:spacing w:after="0" w:line="259" w:lineRule="auto"/>
              <w:ind w:left="1" w:firstLine="0"/>
              <w:jc w:val="center"/>
            </w:pPr>
            <w:r>
              <w:rPr>
                <w:b/>
                <w:sz w:val="22"/>
              </w:rPr>
              <w:t xml:space="preserve">Form name </w:t>
            </w:r>
            <w:r>
              <w:t xml:space="preserve"> </w:t>
            </w:r>
          </w:p>
        </w:tc>
        <w:tc>
          <w:tcPr>
            <w:tcW w:w="1523" w:type="dxa"/>
            <w:tcBorders>
              <w:top w:val="single" w:sz="4" w:space="0" w:color="181717"/>
              <w:left w:val="single" w:sz="6" w:space="0" w:color="181717"/>
              <w:bottom w:val="single" w:sz="6" w:space="0" w:color="181717"/>
              <w:right w:val="single" w:sz="6" w:space="0" w:color="181717"/>
            </w:tcBorders>
          </w:tcPr>
          <w:p w:rsidR="005D6B79" w14:paraId="698B05AC" w14:textId="77777777">
            <w:pPr>
              <w:spacing w:after="0" w:line="259" w:lineRule="auto"/>
              <w:ind w:left="0" w:firstLine="0"/>
              <w:jc w:val="center"/>
            </w:pPr>
            <w:r>
              <w:rPr>
                <w:b/>
                <w:sz w:val="22"/>
              </w:rPr>
              <w:t xml:space="preserve">Number of respondents </w:t>
            </w:r>
            <w:r>
              <w:t xml:space="preserve"> </w:t>
            </w:r>
          </w:p>
        </w:tc>
        <w:tc>
          <w:tcPr>
            <w:tcW w:w="1510" w:type="dxa"/>
            <w:tcBorders>
              <w:top w:val="single" w:sz="4" w:space="0" w:color="181717"/>
              <w:left w:val="single" w:sz="6" w:space="0" w:color="181717"/>
              <w:bottom w:val="single" w:sz="6" w:space="0" w:color="181717"/>
              <w:right w:val="single" w:sz="6" w:space="0" w:color="181717"/>
            </w:tcBorders>
          </w:tcPr>
          <w:p w:rsidR="005D6B79" w14:paraId="15657AD8" w14:textId="77777777">
            <w:pPr>
              <w:spacing w:after="0" w:line="259" w:lineRule="auto"/>
              <w:ind w:left="0" w:firstLine="0"/>
              <w:jc w:val="center"/>
            </w:pPr>
            <w:r>
              <w:rPr>
                <w:b/>
                <w:sz w:val="22"/>
              </w:rPr>
              <w:t xml:space="preserve">Total burden hours </w:t>
            </w:r>
            <w:r>
              <w:t xml:space="preserve"> </w:t>
            </w:r>
          </w:p>
        </w:tc>
        <w:tc>
          <w:tcPr>
            <w:tcW w:w="1463" w:type="dxa"/>
            <w:tcBorders>
              <w:top w:val="single" w:sz="4" w:space="0" w:color="181717"/>
              <w:left w:val="single" w:sz="6" w:space="0" w:color="181717"/>
              <w:bottom w:val="single" w:sz="6" w:space="0" w:color="181717"/>
              <w:right w:val="single" w:sz="6" w:space="0" w:color="181717"/>
            </w:tcBorders>
          </w:tcPr>
          <w:p w:rsidR="005D6B79" w14:paraId="71265E66" w14:textId="77777777">
            <w:pPr>
              <w:spacing w:after="0" w:line="259" w:lineRule="auto"/>
              <w:ind w:left="176" w:firstLine="197"/>
            </w:pPr>
            <w:r>
              <w:rPr>
                <w:b/>
                <w:sz w:val="22"/>
              </w:rPr>
              <w:t>Average hourly wage rate + fringe*</w:t>
            </w:r>
          </w:p>
        </w:tc>
        <w:tc>
          <w:tcPr>
            <w:tcW w:w="1620" w:type="dxa"/>
            <w:tcBorders>
              <w:top w:val="single" w:sz="4" w:space="0" w:color="181717"/>
              <w:left w:val="single" w:sz="6" w:space="0" w:color="181717"/>
              <w:bottom w:val="single" w:sz="6" w:space="0" w:color="181717"/>
              <w:right w:val="single" w:sz="4" w:space="0" w:color="181717"/>
            </w:tcBorders>
          </w:tcPr>
          <w:p w:rsidR="005D6B79" w14:paraId="68005627" w14:textId="77777777">
            <w:pPr>
              <w:spacing w:after="0" w:line="250" w:lineRule="auto"/>
              <w:ind w:left="41" w:firstLine="0"/>
              <w:jc w:val="center"/>
            </w:pPr>
            <w:r>
              <w:rPr>
                <w:b/>
                <w:sz w:val="22"/>
              </w:rPr>
              <w:t xml:space="preserve">Total cost burden </w:t>
            </w:r>
            <w:r>
              <w:t xml:space="preserve"> </w:t>
            </w:r>
          </w:p>
          <w:p w:rsidR="005D6B79" w14:paraId="6FF613F8" w14:textId="77777777">
            <w:pPr>
              <w:spacing w:after="0" w:line="259" w:lineRule="auto"/>
              <w:ind w:left="-1" w:firstLine="0"/>
            </w:pPr>
            <w:r>
              <w:rPr>
                <w:b/>
                <w:sz w:val="22"/>
              </w:rPr>
              <w:t xml:space="preserve"> </w:t>
            </w:r>
          </w:p>
        </w:tc>
      </w:tr>
      <w:tr w14:paraId="2D42C4F3" w14:textId="77777777">
        <w:tblPrEx>
          <w:tblW w:w="9350" w:type="dxa"/>
          <w:tblInd w:w="232" w:type="dxa"/>
          <w:tblCellMar>
            <w:top w:w="158" w:type="dxa"/>
            <w:left w:w="0" w:type="dxa"/>
            <w:bottom w:w="27" w:type="dxa"/>
            <w:right w:w="0" w:type="dxa"/>
          </w:tblCellMar>
          <w:tblLook w:val="04A0"/>
        </w:tblPrEx>
        <w:trPr>
          <w:trHeight w:val="1478"/>
        </w:trPr>
        <w:tc>
          <w:tcPr>
            <w:tcW w:w="3234" w:type="dxa"/>
            <w:tcBorders>
              <w:top w:val="single" w:sz="6" w:space="0" w:color="181717"/>
              <w:left w:val="single" w:sz="4" w:space="0" w:color="181717"/>
              <w:bottom w:val="single" w:sz="6" w:space="0" w:color="181717"/>
              <w:right w:val="single" w:sz="6" w:space="0" w:color="181717"/>
            </w:tcBorders>
            <w:vAlign w:val="bottom"/>
          </w:tcPr>
          <w:p w:rsidR="005D6B79" w14:paraId="2FA4041D" w14:textId="77777777">
            <w:pPr>
              <w:spacing w:after="0" w:line="259" w:lineRule="auto"/>
              <w:ind w:left="109" w:firstLine="0"/>
            </w:pPr>
            <w:r>
              <w:rPr>
                <w:sz w:val="22"/>
              </w:rPr>
              <w:t xml:space="preserve">ICH CAHPS Survey for ICH and </w:t>
            </w:r>
          </w:p>
          <w:p w:rsidR="005D6B79" w14:paraId="423E9CB5" w14:textId="77777777">
            <w:pPr>
              <w:spacing w:after="0" w:line="259" w:lineRule="auto"/>
              <w:ind w:left="109" w:right="27" w:firstLine="0"/>
            </w:pPr>
            <w:r>
              <w:rPr>
                <w:sz w:val="22"/>
              </w:rPr>
              <w:t xml:space="preserve">Home (mail only, telephone only, mail with telephone follow-up, and web with mail and telephone data collection modes) </w:t>
            </w:r>
            <w:r>
              <w:t xml:space="preserve"> </w:t>
            </w:r>
          </w:p>
        </w:tc>
        <w:tc>
          <w:tcPr>
            <w:tcW w:w="1523" w:type="dxa"/>
            <w:tcBorders>
              <w:top w:val="single" w:sz="6" w:space="0" w:color="181717"/>
              <w:left w:val="single" w:sz="6" w:space="0" w:color="181717"/>
              <w:bottom w:val="single" w:sz="6" w:space="0" w:color="181717"/>
              <w:right w:val="single" w:sz="6" w:space="0" w:color="181717"/>
            </w:tcBorders>
          </w:tcPr>
          <w:p w:rsidR="005D6B79" w14:paraId="770EB33A" w14:textId="77777777">
            <w:pPr>
              <w:spacing w:after="0" w:line="259" w:lineRule="auto"/>
              <w:ind w:left="9" w:firstLine="0"/>
              <w:jc w:val="center"/>
            </w:pPr>
            <w:r>
              <w:rPr>
                <w:sz w:val="22"/>
              </w:rPr>
              <w:t xml:space="preserve">4,270 </w:t>
            </w:r>
            <w:r>
              <w:t xml:space="preserve"> </w:t>
            </w:r>
          </w:p>
        </w:tc>
        <w:tc>
          <w:tcPr>
            <w:tcW w:w="1510" w:type="dxa"/>
            <w:tcBorders>
              <w:top w:val="single" w:sz="6" w:space="0" w:color="181717"/>
              <w:left w:val="single" w:sz="6" w:space="0" w:color="181717"/>
              <w:bottom w:val="single" w:sz="6" w:space="0" w:color="181717"/>
              <w:right w:val="single" w:sz="6" w:space="0" w:color="181717"/>
            </w:tcBorders>
          </w:tcPr>
          <w:p w:rsidR="005D6B79" w14:paraId="09FEB25B" w14:textId="77777777">
            <w:pPr>
              <w:spacing w:after="0" w:line="259" w:lineRule="auto"/>
              <w:ind w:left="1" w:firstLine="0"/>
              <w:jc w:val="center"/>
            </w:pPr>
            <w:r>
              <w:rPr>
                <w:sz w:val="22"/>
              </w:rPr>
              <w:t xml:space="preserve">768.6 </w:t>
            </w:r>
            <w:r>
              <w:t xml:space="preserve"> </w:t>
            </w:r>
          </w:p>
        </w:tc>
        <w:tc>
          <w:tcPr>
            <w:tcW w:w="1463" w:type="dxa"/>
            <w:tcBorders>
              <w:top w:val="single" w:sz="6" w:space="0" w:color="181717"/>
              <w:left w:val="single" w:sz="6" w:space="0" w:color="181717"/>
              <w:bottom w:val="single" w:sz="6" w:space="0" w:color="181717"/>
              <w:right w:val="single" w:sz="6" w:space="0" w:color="181717"/>
            </w:tcBorders>
          </w:tcPr>
          <w:p w:rsidR="005D6B79" w14:paraId="0B0D1152" w14:textId="77777777">
            <w:pPr>
              <w:spacing w:after="0" w:line="259" w:lineRule="auto"/>
              <w:ind w:left="66" w:firstLine="0"/>
              <w:jc w:val="center"/>
            </w:pPr>
            <w:r>
              <w:rPr>
                <w:sz w:val="22"/>
              </w:rPr>
              <w:t>$37.35</w:t>
            </w:r>
            <w:r>
              <w:t xml:space="preserve"> </w:t>
            </w:r>
          </w:p>
        </w:tc>
        <w:tc>
          <w:tcPr>
            <w:tcW w:w="1620" w:type="dxa"/>
            <w:tcBorders>
              <w:top w:val="single" w:sz="6" w:space="0" w:color="181717"/>
              <w:left w:val="single" w:sz="6" w:space="0" w:color="181717"/>
              <w:bottom w:val="single" w:sz="6" w:space="0" w:color="181717"/>
              <w:right w:val="single" w:sz="4" w:space="0" w:color="181717"/>
            </w:tcBorders>
          </w:tcPr>
          <w:p w:rsidR="005D6B79" w14:paraId="0F5E3C7A" w14:textId="77777777">
            <w:pPr>
              <w:spacing w:after="0" w:line="259" w:lineRule="auto"/>
              <w:ind w:left="0" w:right="116" w:firstLine="0"/>
              <w:jc w:val="right"/>
            </w:pPr>
            <w:r>
              <w:rPr>
                <w:sz w:val="22"/>
              </w:rPr>
              <w:t xml:space="preserve">$28,707.21 </w:t>
            </w:r>
            <w:r>
              <w:t xml:space="preserve"> </w:t>
            </w:r>
          </w:p>
        </w:tc>
      </w:tr>
      <w:tr w14:paraId="006D1C34" w14:textId="77777777">
        <w:tblPrEx>
          <w:tblW w:w="9350" w:type="dxa"/>
          <w:tblInd w:w="232" w:type="dxa"/>
          <w:tblCellMar>
            <w:top w:w="158" w:type="dxa"/>
            <w:left w:w="0" w:type="dxa"/>
            <w:bottom w:w="27" w:type="dxa"/>
            <w:right w:w="0" w:type="dxa"/>
          </w:tblCellMar>
          <w:tblLook w:val="04A0"/>
        </w:tblPrEx>
        <w:trPr>
          <w:trHeight w:val="1752"/>
        </w:trPr>
        <w:tc>
          <w:tcPr>
            <w:tcW w:w="3234" w:type="dxa"/>
            <w:tcBorders>
              <w:top w:val="single" w:sz="6" w:space="0" w:color="181717"/>
              <w:left w:val="single" w:sz="4" w:space="0" w:color="181717"/>
              <w:bottom w:val="single" w:sz="6" w:space="0" w:color="181717"/>
              <w:right w:val="single" w:sz="6" w:space="0" w:color="181717"/>
            </w:tcBorders>
            <w:vAlign w:val="bottom"/>
          </w:tcPr>
          <w:p w:rsidR="005D6B79" w14:paraId="758A73B1" w14:textId="77777777">
            <w:pPr>
              <w:spacing w:after="0" w:line="259" w:lineRule="auto"/>
              <w:ind w:left="109" w:firstLine="0"/>
            </w:pPr>
            <w:r>
              <w:rPr>
                <w:sz w:val="22"/>
              </w:rPr>
              <w:t xml:space="preserve">Previously Approved Data </w:t>
            </w:r>
          </w:p>
          <w:p w:rsidR="005D6B79" w14:paraId="5B855033" w14:textId="77777777">
            <w:pPr>
              <w:spacing w:after="0" w:line="259" w:lineRule="auto"/>
              <w:ind w:left="109" w:firstLine="0"/>
            </w:pPr>
            <w:r>
              <w:rPr>
                <w:sz w:val="22"/>
              </w:rPr>
              <w:t xml:space="preserve">Collection for the National </w:t>
            </w:r>
          </w:p>
          <w:p w:rsidR="005D6B79" w14:paraId="24629AF5" w14:textId="77777777">
            <w:pPr>
              <w:spacing w:after="0" w:line="259" w:lineRule="auto"/>
              <w:ind w:left="109" w:firstLine="0"/>
            </w:pPr>
            <w:r>
              <w:rPr>
                <w:sz w:val="22"/>
              </w:rPr>
              <w:t xml:space="preserve">Implementation of the ICH CAHPS Survey (mail only, telephone only, mail with telephone follow-up) </w:t>
            </w:r>
          </w:p>
        </w:tc>
        <w:tc>
          <w:tcPr>
            <w:tcW w:w="1523" w:type="dxa"/>
            <w:tcBorders>
              <w:top w:val="single" w:sz="6" w:space="0" w:color="181717"/>
              <w:left w:val="single" w:sz="6" w:space="0" w:color="181717"/>
              <w:bottom w:val="single" w:sz="6" w:space="0" w:color="181717"/>
              <w:right w:val="single" w:sz="6" w:space="0" w:color="181717"/>
            </w:tcBorders>
          </w:tcPr>
          <w:p w:rsidR="005D6B79" w14:paraId="75DF6817" w14:textId="77777777">
            <w:pPr>
              <w:spacing w:after="0" w:line="259" w:lineRule="auto"/>
              <w:ind w:left="8" w:firstLine="0"/>
              <w:jc w:val="center"/>
            </w:pPr>
            <w:r>
              <w:rPr>
                <w:sz w:val="22"/>
              </w:rPr>
              <w:t xml:space="preserve">207,500 </w:t>
            </w:r>
          </w:p>
        </w:tc>
        <w:tc>
          <w:tcPr>
            <w:tcW w:w="1510" w:type="dxa"/>
            <w:tcBorders>
              <w:top w:val="single" w:sz="6" w:space="0" w:color="181717"/>
              <w:left w:val="single" w:sz="6" w:space="0" w:color="181717"/>
              <w:bottom w:val="single" w:sz="6" w:space="0" w:color="181717"/>
              <w:right w:val="single" w:sz="6" w:space="0" w:color="181717"/>
            </w:tcBorders>
          </w:tcPr>
          <w:p w:rsidR="005D6B79" w14:paraId="16A93850" w14:textId="77777777">
            <w:pPr>
              <w:spacing w:after="0" w:line="259" w:lineRule="auto"/>
              <w:ind w:left="3" w:firstLine="0"/>
              <w:jc w:val="center"/>
            </w:pPr>
            <w:r>
              <w:rPr>
                <w:sz w:val="22"/>
              </w:rPr>
              <w:t xml:space="preserve">41,500 </w:t>
            </w:r>
          </w:p>
        </w:tc>
        <w:tc>
          <w:tcPr>
            <w:tcW w:w="1463" w:type="dxa"/>
            <w:tcBorders>
              <w:top w:val="single" w:sz="6" w:space="0" w:color="181717"/>
              <w:left w:val="single" w:sz="6" w:space="0" w:color="181717"/>
              <w:bottom w:val="single" w:sz="6" w:space="0" w:color="181717"/>
              <w:right w:val="single" w:sz="6" w:space="0" w:color="181717"/>
            </w:tcBorders>
          </w:tcPr>
          <w:p w:rsidR="005D6B79" w14:paraId="74E21593" w14:textId="77777777">
            <w:pPr>
              <w:spacing w:after="0" w:line="259" w:lineRule="auto"/>
              <w:ind w:left="66" w:firstLine="0"/>
              <w:jc w:val="center"/>
            </w:pPr>
            <w:r>
              <w:rPr>
                <w:sz w:val="22"/>
              </w:rPr>
              <w:t xml:space="preserve">$71.66 </w:t>
            </w:r>
          </w:p>
        </w:tc>
        <w:tc>
          <w:tcPr>
            <w:tcW w:w="1620" w:type="dxa"/>
            <w:tcBorders>
              <w:top w:val="single" w:sz="6" w:space="0" w:color="181717"/>
              <w:left w:val="single" w:sz="6" w:space="0" w:color="181717"/>
              <w:bottom w:val="single" w:sz="6" w:space="0" w:color="181717"/>
              <w:right w:val="single" w:sz="4" w:space="0" w:color="181717"/>
            </w:tcBorders>
          </w:tcPr>
          <w:p w:rsidR="005D6B79" w14:paraId="2062914E" w14:textId="77777777">
            <w:pPr>
              <w:spacing w:after="0" w:line="259" w:lineRule="auto"/>
              <w:ind w:left="0" w:right="114" w:firstLine="0"/>
              <w:jc w:val="right"/>
            </w:pPr>
            <w:r>
              <w:rPr>
                <w:sz w:val="22"/>
              </w:rPr>
              <w:t xml:space="preserve">$2,973,890 </w:t>
            </w:r>
          </w:p>
        </w:tc>
      </w:tr>
      <w:tr w14:paraId="1A5CCA72" w14:textId="77777777">
        <w:tblPrEx>
          <w:tblW w:w="9350" w:type="dxa"/>
          <w:tblInd w:w="232" w:type="dxa"/>
          <w:tblCellMar>
            <w:top w:w="158" w:type="dxa"/>
            <w:left w:w="0" w:type="dxa"/>
            <w:bottom w:w="27" w:type="dxa"/>
            <w:right w:w="0" w:type="dxa"/>
          </w:tblCellMar>
          <w:tblLook w:val="04A0"/>
        </w:tblPrEx>
        <w:trPr>
          <w:trHeight w:val="1214"/>
        </w:trPr>
        <w:tc>
          <w:tcPr>
            <w:tcW w:w="3234" w:type="dxa"/>
            <w:tcBorders>
              <w:top w:val="single" w:sz="6" w:space="0" w:color="181717"/>
              <w:left w:val="single" w:sz="4" w:space="0" w:color="181717"/>
              <w:bottom w:val="single" w:sz="4" w:space="0" w:color="181717"/>
              <w:right w:val="single" w:sz="6" w:space="0" w:color="181717"/>
            </w:tcBorders>
            <w:vAlign w:val="bottom"/>
          </w:tcPr>
          <w:p w:rsidR="005D6B79" w14:paraId="74DFB993" w14:textId="77777777">
            <w:pPr>
              <w:spacing w:after="0" w:line="259" w:lineRule="auto"/>
              <w:ind w:left="109" w:firstLine="0"/>
            </w:pPr>
            <w:r>
              <w:rPr>
                <w:sz w:val="22"/>
              </w:rPr>
              <w:t xml:space="preserve">Total Annualized Burden </w:t>
            </w:r>
          </w:p>
          <w:p w:rsidR="005D6B79" w14:paraId="45DF2F91" w14:textId="77777777">
            <w:pPr>
              <w:spacing w:after="0" w:line="259" w:lineRule="auto"/>
              <w:ind w:left="109" w:firstLine="0"/>
            </w:pPr>
            <w:r>
              <w:rPr>
                <w:sz w:val="22"/>
              </w:rPr>
              <w:t>(</w:t>
            </w:r>
            <w:r>
              <w:rPr>
                <w:sz w:val="22"/>
              </w:rPr>
              <w:t>combined</w:t>
            </w:r>
            <w:r>
              <w:rPr>
                <w:sz w:val="22"/>
              </w:rPr>
              <w:t xml:space="preserve"> Mode Experiment and </w:t>
            </w:r>
          </w:p>
          <w:p w:rsidR="005D6B79" w14:paraId="1E30BA19" w14:textId="77777777">
            <w:pPr>
              <w:spacing w:after="0" w:line="259" w:lineRule="auto"/>
              <w:ind w:left="109" w:firstLine="0"/>
            </w:pPr>
            <w:r>
              <w:rPr>
                <w:sz w:val="22"/>
              </w:rPr>
              <w:t xml:space="preserve">National Implementation of the </w:t>
            </w:r>
          </w:p>
          <w:p w:rsidR="005D6B79" w14:paraId="4E60248D" w14:textId="77777777">
            <w:pPr>
              <w:spacing w:after="0" w:line="259" w:lineRule="auto"/>
              <w:ind w:left="109" w:firstLine="0"/>
            </w:pPr>
            <w:r>
              <w:rPr>
                <w:sz w:val="22"/>
              </w:rPr>
              <w:t xml:space="preserve">ICH CAHPS Survey)  </w:t>
            </w:r>
          </w:p>
        </w:tc>
        <w:tc>
          <w:tcPr>
            <w:tcW w:w="1523" w:type="dxa"/>
            <w:tcBorders>
              <w:top w:val="single" w:sz="6" w:space="0" w:color="181717"/>
              <w:left w:val="single" w:sz="6" w:space="0" w:color="181717"/>
              <w:bottom w:val="single" w:sz="4" w:space="0" w:color="181717"/>
              <w:right w:val="single" w:sz="6" w:space="0" w:color="181717"/>
            </w:tcBorders>
          </w:tcPr>
          <w:p w:rsidR="005D6B79" w14:paraId="59671C66" w14:textId="77777777">
            <w:pPr>
              <w:spacing w:after="0" w:line="259" w:lineRule="auto"/>
              <w:ind w:left="8" w:firstLine="0"/>
              <w:jc w:val="center"/>
            </w:pPr>
            <w:r>
              <w:rPr>
                <w:sz w:val="22"/>
              </w:rPr>
              <w:t xml:space="preserve">211,770 </w:t>
            </w:r>
          </w:p>
        </w:tc>
        <w:tc>
          <w:tcPr>
            <w:tcW w:w="1510" w:type="dxa"/>
            <w:tcBorders>
              <w:top w:val="single" w:sz="6" w:space="0" w:color="181717"/>
              <w:left w:val="single" w:sz="6" w:space="0" w:color="181717"/>
              <w:bottom w:val="single" w:sz="4" w:space="0" w:color="181717"/>
              <w:right w:val="single" w:sz="6" w:space="0" w:color="181717"/>
            </w:tcBorders>
          </w:tcPr>
          <w:p w:rsidR="005D6B79" w14:paraId="63B95376" w14:textId="77777777">
            <w:pPr>
              <w:spacing w:after="0" w:line="259" w:lineRule="auto"/>
              <w:ind w:left="3" w:firstLine="0"/>
              <w:jc w:val="center"/>
            </w:pPr>
            <w:r>
              <w:rPr>
                <w:sz w:val="22"/>
              </w:rPr>
              <w:t xml:space="preserve">42,268.6 </w:t>
            </w:r>
          </w:p>
        </w:tc>
        <w:tc>
          <w:tcPr>
            <w:tcW w:w="1463" w:type="dxa"/>
            <w:tcBorders>
              <w:top w:val="single" w:sz="6" w:space="0" w:color="181717"/>
              <w:left w:val="single" w:sz="6" w:space="0" w:color="181717"/>
              <w:bottom w:val="single" w:sz="4" w:space="0" w:color="181717"/>
              <w:right w:val="single" w:sz="6" w:space="0" w:color="181717"/>
            </w:tcBorders>
          </w:tcPr>
          <w:p w:rsidR="005D6B79" w14:paraId="57C3D0F9" w14:textId="77777777">
            <w:pPr>
              <w:spacing w:after="0" w:line="259" w:lineRule="auto"/>
              <w:ind w:left="462" w:firstLine="0"/>
            </w:pPr>
            <w:r>
              <w:rPr>
                <w:sz w:val="22"/>
              </w:rPr>
              <w:t xml:space="preserve">NA </w:t>
            </w:r>
          </w:p>
        </w:tc>
        <w:tc>
          <w:tcPr>
            <w:tcW w:w="1620" w:type="dxa"/>
            <w:tcBorders>
              <w:top w:val="single" w:sz="6" w:space="0" w:color="181717"/>
              <w:left w:val="single" w:sz="6" w:space="0" w:color="181717"/>
              <w:bottom w:val="single" w:sz="4" w:space="0" w:color="181717"/>
              <w:right w:val="single" w:sz="4" w:space="0" w:color="181717"/>
            </w:tcBorders>
          </w:tcPr>
          <w:p w:rsidR="005D6B79" w14:paraId="0E34CB02" w14:textId="77777777">
            <w:pPr>
              <w:spacing w:after="0" w:line="259" w:lineRule="auto"/>
              <w:ind w:left="0" w:right="115" w:firstLine="0"/>
              <w:jc w:val="right"/>
            </w:pPr>
            <w:r>
              <w:rPr>
                <w:sz w:val="22"/>
              </w:rPr>
              <w:t xml:space="preserve">$3,002,597.21 </w:t>
            </w:r>
          </w:p>
        </w:tc>
      </w:tr>
    </w:tbl>
    <w:p w:rsidR="005D6B79" w14:paraId="74CF2C29" w14:textId="77777777">
      <w:pPr>
        <w:spacing w:after="0" w:line="259" w:lineRule="auto"/>
        <w:ind w:left="0" w:firstLine="0"/>
      </w:pPr>
      <w:r>
        <w:rPr>
          <w:b/>
          <w:sz w:val="26"/>
        </w:rPr>
        <w:t xml:space="preserve"> </w:t>
      </w:r>
      <w:r>
        <w:t xml:space="preserve"> </w:t>
      </w:r>
    </w:p>
    <w:p w:rsidR="005D6B79" w14:paraId="45F0961B" w14:textId="77777777">
      <w:pPr>
        <w:spacing w:after="3"/>
        <w:ind w:left="203" w:right="2" w:firstLine="710"/>
      </w:pPr>
      <w:r>
        <w:rPr>
          <w:b/>
          <w:sz w:val="30"/>
        </w:rPr>
        <w:t xml:space="preserve"> </w:t>
      </w:r>
      <w:r>
        <w:t xml:space="preserve">The estimated annualized annual costs are outlined in </w:t>
      </w:r>
      <w:r>
        <w:rPr>
          <w:b/>
        </w:rPr>
        <w:t>Exhibit A.2</w:t>
      </w:r>
      <w:r>
        <w:t xml:space="preserve">. The estimated annualized costs to respondents </w:t>
      </w:r>
      <w:r>
        <w:t>is</w:t>
      </w:r>
      <w:r>
        <w:t xml:space="preserve"> based on the Bureau of Labor Statistics (BLS) data from March 2026.</w:t>
      </w:r>
      <w:r>
        <w:rPr>
          <w:vertAlign w:val="superscript"/>
        </w:rPr>
        <w:footnoteReference w:id="4"/>
      </w:r>
      <w:r>
        <w:t xml:space="preserve"> The median wage for all occupations is $37.35 per hour. This is a rough adjustment, both because fringe benefits and overhead costs vary significantly from employer to employer, and because methods of estimating these costs vary widely from study to study. </w:t>
      </w:r>
    </w:p>
    <w:p w:rsidR="005D6B79" w14:paraId="39BB655F" w14:textId="77777777">
      <w:pPr>
        <w:spacing w:after="134"/>
        <w:ind w:left="213" w:right="2"/>
      </w:pPr>
      <w:r>
        <w:t xml:space="preserve">Nonetheless, there is no practical alternative.  </w:t>
      </w:r>
    </w:p>
    <w:p w:rsidR="005D6B79" w14:paraId="652CC600" w14:textId="77777777">
      <w:pPr>
        <w:spacing w:after="134"/>
        <w:ind w:left="928" w:right="805" w:hanging="928"/>
      </w:pPr>
      <w:r>
        <w:rPr>
          <w:rFonts w:ascii="Calibri" w:eastAsia="Calibri" w:hAnsi="Calibri" w:cs="Calibri"/>
          <w:b/>
          <w:sz w:val="22"/>
        </w:rPr>
        <w:t xml:space="preserve"> </w:t>
      </w:r>
      <w:r>
        <w:rPr>
          <w:b/>
        </w:rPr>
        <w:t>A.13</w:t>
      </w:r>
      <w:r>
        <w:rPr>
          <w:rFonts w:ascii="Arial" w:eastAsia="Arial" w:hAnsi="Arial" w:cs="Arial"/>
          <w:b/>
        </w:rPr>
        <w:t xml:space="preserve">  </w:t>
      </w:r>
      <w:r>
        <w:rPr>
          <w:rFonts w:ascii="Arial" w:eastAsia="Arial" w:hAnsi="Arial" w:cs="Arial"/>
          <w:b/>
        </w:rPr>
        <w:tab/>
      </w:r>
      <w:r>
        <w:rPr>
          <w:b/>
        </w:rPr>
        <w:t xml:space="preserve">Estimates of Annualized Respondent Capital and Maintenance </w:t>
      </w:r>
      <w:r>
        <w:rPr>
          <w:b/>
        </w:rPr>
        <w:t xml:space="preserve">Costs  </w:t>
      </w:r>
      <w:r>
        <w:t>There</w:t>
      </w:r>
      <w:r>
        <w:t xml:space="preserve"> are no capital or maintenance costs associated with this collection.  </w:t>
      </w:r>
    </w:p>
    <w:p w:rsidR="005D6B79" w14:paraId="01B4DBB3" w14:textId="77777777">
      <w:pPr>
        <w:pStyle w:val="Heading1"/>
        <w:tabs>
          <w:tab w:val="center" w:pos="3570"/>
        </w:tabs>
        <w:ind w:left="-15" w:right="0" w:firstLine="0"/>
      </w:pPr>
      <w:r>
        <w:rPr>
          <w:rFonts w:ascii="Calibri" w:eastAsia="Calibri" w:hAnsi="Calibri" w:cs="Calibri"/>
          <w:b w:val="0"/>
          <w:sz w:val="22"/>
        </w:rPr>
        <w:t xml:space="preserve"> </w:t>
      </w:r>
      <w:r>
        <w:t>A.14</w:t>
      </w:r>
      <w:r>
        <w:rPr>
          <w:rFonts w:ascii="Arial" w:eastAsia="Arial" w:hAnsi="Arial" w:cs="Arial"/>
        </w:rPr>
        <w:t xml:space="preserve">  </w:t>
      </w:r>
      <w:r>
        <w:rPr>
          <w:rFonts w:ascii="Arial" w:eastAsia="Arial" w:hAnsi="Arial" w:cs="Arial"/>
        </w:rPr>
        <w:tab/>
      </w:r>
      <w:r>
        <w:t xml:space="preserve">Estimates of Annualized Cost to the Government  </w:t>
      </w:r>
    </w:p>
    <w:p w:rsidR="005D6B79" w14:paraId="125D1282" w14:textId="77777777">
      <w:pPr>
        <w:spacing w:after="4"/>
        <w:ind w:left="938" w:right="2"/>
      </w:pPr>
      <w:r>
        <w:t xml:space="preserve">The cost to the federal government for the Mode Experiment and the National </w:t>
      </w:r>
    </w:p>
    <w:p w:rsidR="005D6B79" w14:paraId="179BCCB7" w14:textId="77777777">
      <w:pPr>
        <w:spacing w:after="136"/>
        <w:ind w:left="213" w:right="2"/>
      </w:pPr>
      <w:r>
        <w:t xml:space="preserve">Implementation for the ICH CAHPS Survey in the upcoming year is approximately $2,392,000. RTI International is the federal contractor for the proposed ICH CAHPS mode experiment as well as CMS’s national implementation contractor for the ICH CAHPS Survey. </w:t>
      </w:r>
    </w:p>
    <w:p w:rsidR="005D6B79" w14:paraId="4F093789" w14:textId="77777777">
      <w:pPr>
        <w:pStyle w:val="Heading1"/>
        <w:tabs>
          <w:tab w:val="center" w:pos="2361"/>
        </w:tabs>
        <w:ind w:left="-15" w:right="0" w:firstLine="0"/>
      </w:pPr>
      <w:r>
        <w:rPr>
          <w:rFonts w:ascii="Calibri" w:eastAsia="Calibri" w:hAnsi="Calibri" w:cs="Calibri"/>
          <w:b w:val="0"/>
          <w:sz w:val="22"/>
        </w:rPr>
        <w:t xml:space="preserve"> </w:t>
      </w:r>
      <w:r>
        <w:t>A.15</w:t>
      </w:r>
      <w:r>
        <w:rPr>
          <w:rFonts w:ascii="Arial" w:eastAsia="Arial" w:hAnsi="Arial" w:cs="Arial"/>
        </w:rPr>
        <w:t xml:space="preserve">  </w:t>
      </w:r>
      <w:r>
        <w:rPr>
          <w:rFonts w:ascii="Arial" w:eastAsia="Arial" w:hAnsi="Arial" w:cs="Arial"/>
        </w:rPr>
        <w:tab/>
      </w:r>
      <w:r>
        <w:t xml:space="preserve">Changes in Hour Burden  </w:t>
      </w:r>
    </w:p>
    <w:p w:rsidR="005D6B79" w14:paraId="2FA45F4F" w14:textId="77777777">
      <w:pPr>
        <w:ind w:left="203" w:right="2" w:firstLine="710"/>
      </w:pPr>
      <w:r>
        <w:t xml:space="preserve">The current annualized burden for the national implementation of the ICH CAHPS Survey is 41,500 hours. Adding the one-time mode experiment to the national implementation data collection, which is estimated at 768.6 hours, increases the annualized hour burden to 42,268.6 hours.   </w:t>
      </w:r>
    </w:p>
    <w:p w:rsidR="005D6B79" w14:paraId="4FE919B0" w14:textId="77777777">
      <w:pPr>
        <w:spacing w:after="133"/>
        <w:ind w:left="203" w:right="2" w:firstLine="710"/>
      </w:pPr>
      <w:r>
        <w:t>The proposed one-time mode experiment will be conducted with a limited number of sample patients in Spring 2027 and will be conducted concurrently with the National Implementation of the ICH CAHPS Survey.  The survey has decreased from the current 12 minutes to 11 minutes for the ICH/home survey that will be tested. Although the revised survey is 41 questions as opposed to 38 questions in the current ICH CAHPS Survey, ICH patients are answering a maximum of 38 questions and home patients are answering a max</w:t>
      </w:r>
      <w:r>
        <w:t xml:space="preserve">imum of 35 questions. The average timing for both populations during timing trials was 11 minutes.  </w:t>
      </w:r>
    </w:p>
    <w:p w:rsidR="005D6B79" w14:paraId="3C8B536C" w14:textId="77777777">
      <w:pPr>
        <w:spacing w:after="136"/>
        <w:ind w:left="203" w:right="2" w:firstLine="710"/>
      </w:pPr>
      <w:r>
        <w:t xml:space="preserve"> </w:t>
      </w:r>
      <w:r>
        <w:tab/>
        <w:t xml:space="preserve">Nineteen questions are the same as the existing current ICH CAHPS </w:t>
      </w:r>
      <w:r>
        <w:t>Survey, and</w:t>
      </w:r>
      <w:r>
        <w:t xml:space="preserve"> apply to both the ICH and home populations. Another six questions are the same as the current survey and apply only to the ICH population. Three brand-new questions were added for the home population only as no such questions existed in the current survey, and one brand-new question was added for both ICH and home populations due to being deemed important by stakeholders. The remaining twelve questions are </w:t>
      </w:r>
      <w:r>
        <w:t>similar to</w:t>
      </w:r>
      <w:r>
        <w:t xml:space="preserve"> existing que</w:t>
      </w:r>
      <w:r>
        <w:t xml:space="preserve">stions in the current ICH CAHPS Survey, but wording was tweaked so they apply to both ICH and home populations. The revised survey and a crosswalk of changes from the currently approved ICH CAHPS survey are available in </w:t>
      </w:r>
      <w:r>
        <w:rPr>
          <w:b/>
          <w:i/>
        </w:rPr>
        <w:t>Attachment A.</w:t>
      </w:r>
      <w:r>
        <w:t xml:space="preserve">  </w:t>
      </w:r>
    </w:p>
    <w:p w:rsidR="005D6B79" w14:paraId="480C31F2" w14:textId="77777777">
      <w:pPr>
        <w:pStyle w:val="Heading1"/>
        <w:tabs>
          <w:tab w:val="center" w:pos="3492"/>
        </w:tabs>
        <w:ind w:left="-15" w:right="0" w:firstLine="0"/>
      </w:pPr>
      <w:r>
        <w:rPr>
          <w:rFonts w:ascii="Calibri" w:eastAsia="Calibri" w:hAnsi="Calibri" w:cs="Calibri"/>
          <w:b w:val="0"/>
          <w:sz w:val="22"/>
        </w:rPr>
        <w:t xml:space="preserve"> </w:t>
      </w:r>
      <w:r>
        <w:t>A.16</w:t>
      </w:r>
      <w:r>
        <w:rPr>
          <w:rFonts w:ascii="Arial" w:eastAsia="Arial" w:hAnsi="Arial" w:cs="Arial"/>
        </w:rPr>
        <w:t xml:space="preserve">  </w:t>
      </w:r>
      <w:r>
        <w:rPr>
          <w:rFonts w:ascii="Arial" w:eastAsia="Arial" w:hAnsi="Arial" w:cs="Arial"/>
        </w:rPr>
        <w:tab/>
      </w:r>
      <w:r>
        <w:t xml:space="preserve">Time Schedule, Publication, and Analysis Plans  </w:t>
      </w:r>
    </w:p>
    <w:p w:rsidR="005D6B79" w14:paraId="16E4F758" w14:textId="77777777">
      <w:pPr>
        <w:ind w:left="203" w:right="2" w:firstLine="710"/>
      </w:pPr>
      <w:r>
        <w:t xml:space="preserve">The mode experiment will be a one-time (cross-sectional) survey of a sample of home dialysis and ICH patients. Data collection for the mode experiment will take place in the spring of 2027 or as soon as possible after OMB clearance is received.  </w:t>
      </w:r>
    </w:p>
    <w:p w:rsidR="005D6B79" w:rsidP="003471E3" w14:paraId="53343B6F" w14:textId="0502CA35">
      <w:pPr>
        <w:spacing w:after="248"/>
        <w:ind w:left="203" w:right="2" w:firstLine="710"/>
      </w:pPr>
      <w:r>
        <w:t xml:space="preserve">Data collection for </w:t>
      </w:r>
      <w:r>
        <w:t>mail</w:t>
      </w:r>
      <w:r>
        <w:t xml:space="preserve">-only mode, telephone-only mode, mail with telephone follow-up, and the new web with mail and telephone follow-up will be implemented concurrently during the </w:t>
      </w:r>
      <w:r>
        <w:t xml:space="preserve">spring 2027 data collection </w:t>
      </w:r>
      <w:r>
        <w:t>period  (</w:t>
      </w:r>
      <w:r>
        <w:t>mid April</w:t>
      </w:r>
      <w:r>
        <w:t xml:space="preserve"> to mid July 2027), using the following data collection schedule.   </w:t>
      </w:r>
    </w:p>
    <w:p w:rsidR="005D6B79" w14:paraId="15D8F342" w14:textId="77777777">
      <w:pPr>
        <w:spacing w:after="65"/>
        <w:ind w:left="938" w:right="2"/>
      </w:pPr>
      <w:r>
        <w:t>1)</w:t>
      </w:r>
      <w:r>
        <w:rPr>
          <w:rFonts w:ascii="Arial" w:eastAsia="Arial" w:hAnsi="Arial" w:cs="Arial"/>
        </w:rPr>
        <w:t xml:space="preserve"> </w:t>
      </w:r>
      <w:r>
        <w:t xml:space="preserve">Mail only </w:t>
      </w:r>
    </w:p>
    <w:p w:rsidR="005D6B79" w14:paraId="3EF8EDF6" w14:textId="77777777">
      <w:pPr>
        <w:numPr>
          <w:ilvl w:val="0"/>
          <w:numId w:val="8"/>
        </w:numPr>
        <w:spacing w:after="22" w:line="264" w:lineRule="auto"/>
        <w:ind w:right="1" w:hanging="360"/>
      </w:pPr>
      <w:r>
        <w:rPr>
          <w:sz w:val="22"/>
        </w:rPr>
        <w:t xml:space="preserve">Day 1: Prenotification letter mailed.  </w:t>
      </w:r>
    </w:p>
    <w:p w:rsidR="005D6B79" w14:paraId="6ECDDF0A" w14:textId="77777777">
      <w:pPr>
        <w:numPr>
          <w:ilvl w:val="0"/>
          <w:numId w:val="8"/>
        </w:numPr>
        <w:spacing w:after="22" w:line="264" w:lineRule="auto"/>
        <w:ind w:right="1" w:hanging="360"/>
      </w:pPr>
      <w:r>
        <w:rPr>
          <w:sz w:val="22"/>
        </w:rPr>
        <w:t xml:space="preserve">Day 14: Two weeks after the prenotification letter is mailed, a survey package will be sent to sample patients.  </w:t>
      </w:r>
    </w:p>
    <w:p w:rsidR="005D6B79" w14:paraId="6AF27951" w14:textId="77777777">
      <w:pPr>
        <w:numPr>
          <w:ilvl w:val="0"/>
          <w:numId w:val="8"/>
        </w:numPr>
        <w:spacing w:after="1" w:line="264" w:lineRule="auto"/>
        <w:ind w:right="1" w:hanging="360"/>
      </w:pPr>
      <w:r>
        <w:rPr>
          <w:sz w:val="22"/>
        </w:rPr>
        <w:t xml:space="preserve">Day 42: Approximately four weeks later, a second survey package will be sent to non-respondents.  </w:t>
      </w:r>
    </w:p>
    <w:p w:rsidR="005D6B79" w14:paraId="73250DD6" w14:textId="77777777">
      <w:pPr>
        <w:numPr>
          <w:ilvl w:val="0"/>
          <w:numId w:val="8"/>
        </w:numPr>
        <w:spacing w:after="57" w:line="264" w:lineRule="auto"/>
        <w:ind w:right="1" w:hanging="360"/>
      </w:pPr>
      <w:r>
        <w:rPr>
          <w:sz w:val="22"/>
        </w:rPr>
        <w:t xml:space="preserve">Day 84: End data collection </w:t>
      </w:r>
      <w:r>
        <w:t>2)</w:t>
      </w:r>
      <w:r>
        <w:rPr>
          <w:rFonts w:ascii="Arial" w:eastAsia="Arial" w:hAnsi="Arial" w:cs="Arial"/>
        </w:rPr>
        <w:t xml:space="preserve"> </w:t>
      </w:r>
      <w:r>
        <w:t xml:space="preserve">Telephone only </w:t>
      </w:r>
    </w:p>
    <w:p w:rsidR="005D6B79" w14:paraId="6F90BCDB" w14:textId="77777777">
      <w:pPr>
        <w:numPr>
          <w:ilvl w:val="0"/>
          <w:numId w:val="8"/>
        </w:numPr>
        <w:spacing w:after="22" w:line="264" w:lineRule="auto"/>
        <w:ind w:right="1" w:hanging="360"/>
      </w:pPr>
      <w:r>
        <w:rPr>
          <w:sz w:val="22"/>
        </w:rPr>
        <w:t xml:space="preserve">Day 1: Prenotification letter mailed.  </w:t>
      </w:r>
    </w:p>
    <w:p w:rsidR="005D6B79" w14:paraId="1EAA0FFA" w14:textId="77777777">
      <w:pPr>
        <w:numPr>
          <w:ilvl w:val="0"/>
          <w:numId w:val="8"/>
        </w:numPr>
        <w:spacing w:after="1" w:line="264" w:lineRule="auto"/>
        <w:ind w:right="1" w:hanging="360"/>
      </w:pPr>
      <w:r>
        <w:rPr>
          <w:sz w:val="22"/>
        </w:rPr>
        <w:t xml:space="preserve">Day 14: Two weeks after the prenotification letter is mailed, telephone calls will be made to sample patients, with a max of 10 call attempts made to each sample patient throughout the data collection period.  </w:t>
      </w:r>
    </w:p>
    <w:p w:rsidR="005D6B79" w14:paraId="7D33AB61" w14:textId="77777777">
      <w:pPr>
        <w:numPr>
          <w:ilvl w:val="0"/>
          <w:numId w:val="8"/>
        </w:numPr>
        <w:spacing w:after="65"/>
        <w:ind w:right="1" w:hanging="360"/>
      </w:pPr>
      <w:r>
        <w:rPr>
          <w:sz w:val="22"/>
        </w:rPr>
        <w:t xml:space="preserve">Day 84: End data collection </w:t>
      </w:r>
      <w:r>
        <w:t>3)</w:t>
      </w:r>
      <w:r>
        <w:rPr>
          <w:rFonts w:ascii="Arial" w:eastAsia="Arial" w:hAnsi="Arial" w:cs="Arial"/>
        </w:rPr>
        <w:t xml:space="preserve"> </w:t>
      </w:r>
      <w:r>
        <w:t xml:space="preserve">Mail with telephone follow-up </w:t>
      </w:r>
    </w:p>
    <w:p w:rsidR="005D6B79" w14:paraId="4242A5F8" w14:textId="77777777">
      <w:pPr>
        <w:numPr>
          <w:ilvl w:val="0"/>
          <w:numId w:val="8"/>
        </w:numPr>
        <w:spacing w:after="22" w:line="264" w:lineRule="auto"/>
        <w:ind w:right="1" w:hanging="360"/>
      </w:pPr>
      <w:r>
        <w:rPr>
          <w:sz w:val="22"/>
        </w:rPr>
        <w:t xml:space="preserve">Day 1: Prenotification letter mailed.  </w:t>
      </w:r>
    </w:p>
    <w:p w:rsidR="005D6B79" w14:paraId="11E5ED25" w14:textId="77777777">
      <w:pPr>
        <w:numPr>
          <w:ilvl w:val="0"/>
          <w:numId w:val="8"/>
        </w:numPr>
        <w:spacing w:after="22" w:line="264" w:lineRule="auto"/>
        <w:ind w:right="1" w:hanging="360"/>
      </w:pPr>
      <w:r>
        <w:rPr>
          <w:sz w:val="22"/>
        </w:rPr>
        <w:t xml:space="preserve">Day 14: Two weeks after the prenotification letter is mailed, a survey package will be sent to sample patients.  </w:t>
      </w:r>
    </w:p>
    <w:p w:rsidR="005D6B79" w14:paraId="3CC753F2" w14:textId="77777777">
      <w:pPr>
        <w:numPr>
          <w:ilvl w:val="0"/>
          <w:numId w:val="8"/>
        </w:numPr>
        <w:spacing w:after="22" w:line="264" w:lineRule="auto"/>
        <w:ind w:right="1" w:hanging="360"/>
      </w:pPr>
      <w:r>
        <w:rPr>
          <w:sz w:val="22"/>
        </w:rPr>
        <w:t xml:space="preserve">Day 42: Approximately four weeks later, telephone calls will be made to nonrespondents, with a max of 10 call attempts made to each sample patient throughout the data collection period.  </w:t>
      </w:r>
    </w:p>
    <w:p w:rsidR="005D6B79" w14:paraId="45EC4AE6" w14:textId="77777777">
      <w:pPr>
        <w:spacing w:after="0" w:line="264" w:lineRule="auto"/>
        <w:ind w:left="1980" w:right="1" w:firstLine="0"/>
      </w:pPr>
      <w:r>
        <w:t>○</w:t>
      </w:r>
      <w:r>
        <w:rPr>
          <w:rFonts w:ascii="Arial" w:eastAsia="Arial" w:hAnsi="Arial" w:cs="Arial"/>
        </w:rPr>
        <w:t xml:space="preserve"> </w:t>
      </w:r>
      <w:r>
        <w:rPr>
          <w:sz w:val="22"/>
        </w:rPr>
        <w:t>Day 84: End data collection</w:t>
      </w:r>
      <w:r>
        <w:t xml:space="preserve"> </w:t>
      </w:r>
    </w:p>
    <w:p w:rsidR="005D6B79" w14:paraId="1502272F" w14:textId="77777777">
      <w:pPr>
        <w:spacing w:after="65"/>
        <w:ind w:left="938" w:right="2"/>
      </w:pPr>
      <w:r>
        <w:t>4)</w:t>
      </w:r>
      <w:r>
        <w:rPr>
          <w:rFonts w:ascii="Arial" w:eastAsia="Arial" w:hAnsi="Arial" w:cs="Arial"/>
        </w:rPr>
        <w:t xml:space="preserve"> </w:t>
      </w:r>
      <w:r>
        <w:t xml:space="preserve">(New) Web with mail and telephone follow-up </w:t>
      </w:r>
    </w:p>
    <w:p w:rsidR="005D6B79" w14:paraId="0EA5F072" w14:textId="77777777">
      <w:pPr>
        <w:numPr>
          <w:ilvl w:val="0"/>
          <w:numId w:val="9"/>
        </w:numPr>
        <w:spacing w:after="22" w:line="264" w:lineRule="auto"/>
        <w:ind w:right="1" w:hanging="360"/>
      </w:pPr>
      <w:r>
        <w:rPr>
          <w:sz w:val="22"/>
        </w:rPr>
        <w:t xml:space="preserve">Day 1: Prenotification letter mailed.  </w:t>
      </w:r>
    </w:p>
    <w:p w:rsidR="005D6B79" w14:paraId="0F060C00" w14:textId="77777777">
      <w:pPr>
        <w:numPr>
          <w:ilvl w:val="0"/>
          <w:numId w:val="9"/>
        </w:numPr>
        <w:spacing w:after="22" w:line="264" w:lineRule="auto"/>
        <w:ind w:right="1" w:hanging="360"/>
      </w:pPr>
      <w:r>
        <w:rPr>
          <w:sz w:val="22"/>
        </w:rPr>
        <w:t xml:space="preserve">Day 7: One week after the prenotification letter, a web survey invitation will be sent: </w:t>
      </w:r>
      <w:r>
        <w:rPr>
          <w:sz w:val="22"/>
        </w:rPr>
        <w:t>○</w:t>
      </w:r>
      <w:r>
        <w:rPr>
          <w:rFonts w:ascii="Arial" w:eastAsia="Arial" w:hAnsi="Arial" w:cs="Arial"/>
          <w:sz w:val="22"/>
        </w:rPr>
        <w:t xml:space="preserve"> </w:t>
      </w:r>
      <w:r>
        <w:rPr>
          <w:sz w:val="22"/>
        </w:rPr>
        <w:t xml:space="preserve">Via email to sample patients who have an email address available in EQRS.  </w:t>
      </w:r>
    </w:p>
    <w:p w:rsidR="005D6B79" w14:paraId="76071385" w14:textId="77777777">
      <w:pPr>
        <w:spacing w:after="22" w:line="264" w:lineRule="auto"/>
        <w:ind w:left="2350" w:right="1" w:hanging="370"/>
      </w:pPr>
      <w:r>
        <w:rPr>
          <w:sz w:val="22"/>
        </w:rPr>
        <w:t>○</w:t>
      </w:r>
      <w:r>
        <w:rPr>
          <w:rFonts w:ascii="Arial" w:eastAsia="Arial" w:hAnsi="Arial" w:cs="Arial"/>
          <w:sz w:val="22"/>
        </w:rPr>
        <w:t xml:space="preserve"> </w:t>
      </w:r>
      <w:r>
        <w:rPr>
          <w:sz w:val="22"/>
        </w:rPr>
        <w:t xml:space="preserve">Via mail to sample patients with no email address asking them to complete the web survey.  </w:t>
      </w:r>
    </w:p>
    <w:p w:rsidR="005D6B79" w14:paraId="0884C603" w14:textId="77777777">
      <w:pPr>
        <w:numPr>
          <w:ilvl w:val="0"/>
          <w:numId w:val="9"/>
        </w:numPr>
        <w:spacing w:after="22" w:line="264" w:lineRule="auto"/>
        <w:ind w:right="1" w:hanging="360"/>
      </w:pPr>
      <w:r>
        <w:rPr>
          <w:sz w:val="22"/>
        </w:rPr>
        <w:t xml:space="preserve">Day 14: One week after sending the invitation, a second email invitation will be sent to non-respondents with email addresses.  </w:t>
      </w:r>
    </w:p>
    <w:p w:rsidR="005D6B79" w14:paraId="68AD1BC2" w14:textId="77777777">
      <w:pPr>
        <w:numPr>
          <w:ilvl w:val="0"/>
          <w:numId w:val="9"/>
        </w:numPr>
        <w:spacing w:after="22" w:line="264" w:lineRule="auto"/>
        <w:ind w:right="1" w:hanging="360"/>
      </w:pPr>
      <w:r>
        <w:rPr>
          <w:sz w:val="22"/>
        </w:rPr>
        <w:t xml:space="preserve">Day 21: Approximately two weeks after initial web invitations, a mail survey package will be sent to all remaining non-respondents and will include a push to the web survey.  </w:t>
      </w:r>
    </w:p>
    <w:p w:rsidR="005D6B79" w14:paraId="540EC3EE" w14:textId="77777777">
      <w:pPr>
        <w:numPr>
          <w:ilvl w:val="0"/>
          <w:numId w:val="9"/>
        </w:numPr>
        <w:spacing w:after="22" w:line="264" w:lineRule="auto"/>
        <w:ind w:right="1" w:hanging="360"/>
      </w:pPr>
      <w:r>
        <w:rPr>
          <w:sz w:val="22"/>
        </w:rPr>
        <w:t xml:space="preserve">Day 49: Approximately four weeks after mail survey is mailed, telephone calls will be made to non-respondents. </w:t>
      </w:r>
    </w:p>
    <w:p w:rsidR="005D6B79" w14:paraId="557F7539" w14:textId="77777777">
      <w:pPr>
        <w:numPr>
          <w:ilvl w:val="0"/>
          <w:numId w:val="9"/>
        </w:numPr>
        <w:spacing w:after="22" w:line="264" w:lineRule="auto"/>
        <w:ind w:right="1" w:hanging="360"/>
      </w:pPr>
      <w:r>
        <w:rPr>
          <w:sz w:val="22"/>
        </w:rPr>
        <w:t xml:space="preserve">Day 84: End data collection </w:t>
      </w:r>
    </w:p>
    <w:p w:rsidR="005D6B79" w14:paraId="15C0FDE7" w14:textId="77777777">
      <w:pPr>
        <w:spacing w:after="0" w:line="259" w:lineRule="auto"/>
        <w:ind w:left="0" w:firstLine="0"/>
      </w:pPr>
      <w:r>
        <w:t xml:space="preserve"> </w:t>
      </w:r>
    </w:p>
    <w:p w:rsidR="005D6B79" w14:paraId="27D93381" w14:textId="77777777">
      <w:pPr>
        <w:ind w:left="203" w:right="2" w:firstLine="710"/>
      </w:pPr>
      <w:r>
        <w:t xml:space="preserve">The ICH/home survey will be programmed in CATI, web, and optical scanning for mail, in both English and Spanish.  </w:t>
      </w:r>
    </w:p>
    <w:p w:rsidR="005D6B79" w14:paraId="52999243" w14:textId="77777777">
      <w:pPr>
        <w:spacing w:after="0"/>
        <w:ind w:left="203" w:right="2" w:firstLine="710"/>
      </w:pPr>
      <w:r>
        <w:t xml:space="preserve">The sampling strategy will involve selecting a sample of both ICH and home dialysis patients from EQRS data, delivering a mix of facility types and patient-mix factors and will randomly assign each patient to one of the proposed data collection modes. Patient eligibility will be the same as the current national implementation of the ICH CAHPS Survey, with the exception that both in-center and home dialysis patients will be included. </w:t>
      </w:r>
      <w:r>
        <w:rPr>
          <w:b/>
        </w:rPr>
        <w:t>Exhibit A.3</w:t>
      </w:r>
      <w:r>
        <w:t xml:space="preserve"> presents the proposed mode experiment design and sample sizes for each mode. Response rates are based on current ICH CAHPS response rates for the three approved modes (mail-only, telephone-only, and mail with telephone follow-up). The web with mail and telephone follow-up is estimated.  </w:t>
      </w:r>
      <w:r>
        <w:rPr>
          <w:b/>
        </w:rPr>
        <w:t xml:space="preserve">Exhibit A.3 </w:t>
      </w:r>
      <w:r>
        <w:rPr>
          <w:b/>
        </w:rPr>
        <w:tab/>
        <w:t xml:space="preserve">Proposed Mode Experiment Sampling Metrics </w:t>
      </w:r>
    </w:p>
    <w:tbl>
      <w:tblPr>
        <w:tblStyle w:val="TableGrid"/>
        <w:tblW w:w="9569" w:type="dxa"/>
        <w:tblInd w:w="5" w:type="dxa"/>
        <w:tblCellMar>
          <w:top w:w="58" w:type="dxa"/>
          <w:left w:w="326" w:type="dxa"/>
          <w:bottom w:w="0" w:type="dxa"/>
          <w:right w:w="52" w:type="dxa"/>
        </w:tblCellMar>
        <w:tblLook w:val="04A0"/>
      </w:tblPr>
      <w:tblGrid>
        <w:gridCol w:w="2155"/>
        <w:gridCol w:w="1324"/>
        <w:gridCol w:w="1621"/>
        <w:gridCol w:w="2276"/>
        <w:gridCol w:w="2193"/>
      </w:tblGrid>
      <w:tr w14:paraId="0F5E39EB" w14:textId="77777777">
        <w:tblPrEx>
          <w:tblW w:w="9569" w:type="dxa"/>
          <w:tblInd w:w="5" w:type="dxa"/>
          <w:tblCellMar>
            <w:top w:w="58" w:type="dxa"/>
            <w:left w:w="326" w:type="dxa"/>
            <w:bottom w:w="0" w:type="dxa"/>
            <w:right w:w="52" w:type="dxa"/>
          </w:tblCellMar>
          <w:tblLook w:val="04A0"/>
        </w:tblPrEx>
        <w:trPr>
          <w:trHeight w:val="385"/>
        </w:trPr>
        <w:tc>
          <w:tcPr>
            <w:tcW w:w="2156" w:type="dxa"/>
            <w:tcBorders>
              <w:top w:val="single" w:sz="4" w:space="0" w:color="181717"/>
              <w:left w:val="single" w:sz="4" w:space="0" w:color="181717"/>
              <w:bottom w:val="single" w:sz="4" w:space="0" w:color="181717"/>
              <w:right w:val="single" w:sz="4" w:space="0" w:color="181717"/>
            </w:tcBorders>
          </w:tcPr>
          <w:p w:rsidR="005D6B79" w14:paraId="688CE93B" w14:textId="77777777">
            <w:pPr>
              <w:spacing w:after="0" w:line="259" w:lineRule="auto"/>
              <w:ind w:left="710" w:firstLine="0"/>
            </w:pPr>
            <w:r>
              <w:rPr>
                <w:b/>
                <w:sz w:val="22"/>
              </w:rPr>
              <w:t xml:space="preserve">Metric </w:t>
            </w:r>
          </w:p>
        </w:tc>
        <w:tc>
          <w:tcPr>
            <w:tcW w:w="1324" w:type="dxa"/>
            <w:tcBorders>
              <w:top w:val="single" w:sz="4" w:space="0" w:color="181717"/>
              <w:left w:val="single" w:sz="4" w:space="0" w:color="181717"/>
              <w:bottom w:val="single" w:sz="4" w:space="0" w:color="181717"/>
              <w:right w:val="single" w:sz="4" w:space="0" w:color="181717"/>
            </w:tcBorders>
          </w:tcPr>
          <w:p w:rsidR="005D6B79" w14:paraId="00DC74EC" w14:textId="77777777">
            <w:pPr>
              <w:spacing w:after="0" w:line="259" w:lineRule="auto"/>
              <w:ind w:left="0" w:right="56" w:firstLine="0"/>
              <w:jc w:val="center"/>
            </w:pPr>
            <w:r>
              <w:rPr>
                <w:b/>
                <w:sz w:val="22"/>
              </w:rPr>
              <w:t xml:space="preserve">Mail </w:t>
            </w:r>
          </w:p>
        </w:tc>
        <w:tc>
          <w:tcPr>
            <w:tcW w:w="1621" w:type="dxa"/>
            <w:tcBorders>
              <w:top w:val="single" w:sz="4" w:space="0" w:color="181717"/>
              <w:left w:val="single" w:sz="4" w:space="0" w:color="181717"/>
              <w:bottom w:val="single" w:sz="4" w:space="0" w:color="181717"/>
              <w:right w:val="single" w:sz="4" w:space="0" w:color="181717"/>
            </w:tcBorders>
          </w:tcPr>
          <w:p w:rsidR="005D6B79" w14:paraId="247E3836" w14:textId="77777777">
            <w:pPr>
              <w:spacing w:after="0" w:line="259" w:lineRule="auto"/>
              <w:ind w:left="0" w:right="56" w:firstLine="0"/>
              <w:jc w:val="center"/>
            </w:pPr>
            <w:r>
              <w:rPr>
                <w:b/>
                <w:sz w:val="22"/>
              </w:rPr>
              <w:t xml:space="preserve">Phone </w:t>
            </w:r>
          </w:p>
        </w:tc>
        <w:tc>
          <w:tcPr>
            <w:tcW w:w="2276" w:type="dxa"/>
            <w:tcBorders>
              <w:top w:val="single" w:sz="4" w:space="0" w:color="181717"/>
              <w:left w:val="single" w:sz="4" w:space="0" w:color="181717"/>
              <w:bottom w:val="single" w:sz="4" w:space="0" w:color="181717"/>
              <w:right w:val="single" w:sz="4" w:space="0" w:color="181717"/>
            </w:tcBorders>
          </w:tcPr>
          <w:p w:rsidR="005D6B79" w14:paraId="193F251F" w14:textId="77777777">
            <w:pPr>
              <w:spacing w:after="0" w:line="259" w:lineRule="auto"/>
              <w:ind w:left="0" w:right="274" w:firstLine="0"/>
              <w:jc w:val="center"/>
            </w:pPr>
            <w:r>
              <w:rPr>
                <w:b/>
                <w:sz w:val="22"/>
              </w:rPr>
              <w:t xml:space="preserve">Mail/Phone </w:t>
            </w:r>
          </w:p>
        </w:tc>
        <w:tc>
          <w:tcPr>
            <w:tcW w:w="2193" w:type="dxa"/>
            <w:tcBorders>
              <w:top w:val="single" w:sz="4" w:space="0" w:color="181717"/>
              <w:left w:val="single" w:sz="4" w:space="0" w:color="181717"/>
              <w:bottom w:val="single" w:sz="4" w:space="0" w:color="181717"/>
              <w:right w:val="single" w:sz="4" w:space="0" w:color="181717"/>
            </w:tcBorders>
          </w:tcPr>
          <w:p w:rsidR="005D6B79" w14:paraId="267FC967" w14:textId="77777777">
            <w:pPr>
              <w:spacing w:after="0" w:line="259" w:lineRule="auto"/>
              <w:ind w:left="90" w:firstLine="0"/>
            </w:pPr>
            <w:r>
              <w:rPr>
                <w:b/>
                <w:sz w:val="22"/>
              </w:rPr>
              <w:t xml:space="preserve">Web/Mail/Phone </w:t>
            </w:r>
          </w:p>
        </w:tc>
      </w:tr>
      <w:tr w14:paraId="3A89B7B4" w14:textId="77777777">
        <w:tblPrEx>
          <w:tblW w:w="9569" w:type="dxa"/>
          <w:tblInd w:w="5" w:type="dxa"/>
          <w:tblCellMar>
            <w:top w:w="58" w:type="dxa"/>
            <w:left w:w="326" w:type="dxa"/>
            <w:bottom w:w="0" w:type="dxa"/>
            <w:right w:w="52" w:type="dxa"/>
          </w:tblCellMar>
          <w:tblLook w:val="04A0"/>
        </w:tblPrEx>
        <w:trPr>
          <w:trHeight w:val="646"/>
        </w:trPr>
        <w:tc>
          <w:tcPr>
            <w:tcW w:w="2156" w:type="dxa"/>
            <w:tcBorders>
              <w:top w:val="single" w:sz="4" w:space="0" w:color="181717"/>
              <w:left w:val="single" w:sz="4" w:space="0" w:color="181717"/>
              <w:bottom w:val="single" w:sz="4" w:space="0" w:color="181717"/>
              <w:right w:val="single" w:sz="4" w:space="0" w:color="181717"/>
            </w:tcBorders>
          </w:tcPr>
          <w:p w:rsidR="005D6B79" w14:paraId="2CE09EC3" w14:textId="77777777">
            <w:pPr>
              <w:spacing w:after="0" w:line="259" w:lineRule="auto"/>
              <w:ind w:left="1342" w:hanging="280"/>
            </w:pPr>
            <w:r>
              <w:rPr>
                <w:sz w:val="22"/>
              </w:rPr>
              <w:t xml:space="preserve">Sample Size </w:t>
            </w:r>
          </w:p>
        </w:tc>
        <w:tc>
          <w:tcPr>
            <w:tcW w:w="1324" w:type="dxa"/>
            <w:tcBorders>
              <w:top w:val="single" w:sz="4" w:space="0" w:color="181717"/>
              <w:left w:val="single" w:sz="4" w:space="0" w:color="181717"/>
              <w:bottom w:val="single" w:sz="4" w:space="0" w:color="181717"/>
              <w:right w:val="single" w:sz="4" w:space="0" w:color="181717"/>
            </w:tcBorders>
          </w:tcPr>
          <w:p w:rsidR="005D6B79" w14:paraId="40376B61" w14:textId="77777777">
            <w:pPr>
              <w:spacing w:after="0" w:line="259" w:lineRule="auto"/>
              <w:ind w:left="0" w:firstLine="0"/>
            </w:pPr>
            <w:r>
              <w:rPr>
                <w:sz w:val="22"/>
              </w:rPr>
              <w:t xml:space="preserve">5335 </w:t>
            </w:r>
          </w:p>
        </w:tc>
        <w:tc>
          <w:tcPr>
            <w:tcW w:w="1621" w:type="dxa"/>
            <w:tcBorders>
              <w:top w:val="single" w:sz="4" w:space="0" w:color="181717"/>
              <w:left w:val="single" w:sz="4" w:space="0" w:color="181717"/>
              <w:bottom w:val="single" w:sz="4" w:space="0" w:color="181717"/>
              <w:right w:val="single" w:sz="4" w:space="0" w:color="181717"/>
            </w:tcBorders>
          </w:tcPr>
          <w:p w:rsidR="005D6B79" w14:paraId="291F43D7" w14:textId="77777777">
            <w:pPr>
              <w:spacing w:after="0" w:line="259" w:lineRule="auto"/>
              <w:ind w:left="0" w:right="92" w:firstLine="0"/>
              <w:jc w:val="right"/>
            </w:pPr>
            <w:r>
              <w:rPr>
                <w:sz w:val="22"/>
              </w:rPr>
              <w:t xml:space="preserve">6277 </w:t>
            </w:r>
          </w:p>
        </w:tc>
        <w:tc>
          <w:tcPr>
            <w:tcW w:w="2276" w:type="dxa"/>
            <w:tcBorders>
              <w:top w:val="single" w:sz="4" w:space="0" w:color="181717"/>
              <w:left w:val="single" w:sz="4" w:space="0" w:color="181717"/>
              <w:bottom w:val="single" w:sz="4" w:space="0" w:color="181717"/>
              <w:right w:val="single" w:sz="4" w:space="0" w:color="181717"/>
            </w:tcBorders>
          </w:tcPr>
          <w:p w:rsidR="005D6B79" w14:paraId="2F7A57F0" w14:textId="77777777">
            <w:pPr>
              <w:spacing w:after="0" w:line="259" w:lineRule="auto"/>
              <w:ind w:left="0" w:right="37" w:firstLine="0"/>
              <w:jc w:val="center"/>
            </w:pPr>
            <w:r>
              <w:rPr>
                <w:sz w:val="22"/>
              </w:rPr>
              <w:t xml:space="preserve">4355 </w:t>
            </w:r>
          </w:p>
        </w:tc>
        <w:tc>
          <w:tcPr>
            <w:tcW w:w="2193" w:type="dxa"/>
            <w:tcBorders>
              <w:top w:val="single" w:sz="4" w:space="0" w:color="181717"/>
              <w:left w:val="single" w:sz="4" w:space="0" w:color="181717"/>
              <w:bottom w:val="single" w:sz="4" w:space="0" w:color="181717"/>
              <w:right w:val="single" w:sz="4" w:space="0" w:color="181717"/>
            </w:tcBorders>
          </w:tcPr>
          <w:p w:rsidR="005D6B79" w14:paraId="038C5AF2" w14:textId="77777777">
            <w:pPr>
              <w:spacing w:after="0" w:line="259" w:lineRule="auto"/>
              <w:ind w:left="45" w:firstLine="0"/>
              <w:jc w:val="center"/>
            </w:pPr>
            <w:r>
              <w:rPr>
                <w:sz w:val="22"/>
              </w:rPr>
              <w:t xml:space="preserve">4268 </w:t>
            </w:r>
          </w:p>
        </w:tc>
      </w:tr>
      <w:tr w14:paraId="42553096" w14:textId="77777777">
        <w:tblPrEx>
          <w:tblW w:w="9569" w:type="dxa"/>
          <w:tblInd w:w="5" w:type="dxa"/>
          <w:tblCellMar>
            <w:top w:w="58" w:type="dxa"/>
            <w:left w:w="326" w:type="dxa"/>
            <w:bottom w:w="0" w:type="dxa"/>
            <w:right w:w="52" w:type="dxa"/>
          </w:tblCellMar>
          <w:tblLook w:val="04A0"/>
        </w:tblPrEx>
        <w:trPr>
          <w:trHeight w:val="646"/>
        </w:trPr>
        <w:tc>
          <w:tcPr>
            <w:tcW w:w="2156" w:type="dxa"/>
            <w:tcBorders>
              <w:top w:val="single" w:sz="4" w:space="0" w:color="181717"/>
              <w:left w:val="single" w:sz="4" w:space="0" w:color="181717"/>
              <w:bottom w:val="single" w:sz="4" w:space="0" w:color="181717"/>
              <w:right w:val="single" w:sz="4" w:space="0" w:color="181717"/>
            </w:tcBorders>
          </w:tcPr>
          <w:p w:rsidR="005D6B79" w14:paraId="50593A4C" w14:textId="77777777">
            <w:pPr>
              <w:spacing w:after="0" w:line="259" w:lineRule="auto"/>
              <w:ind w:left="0" w:right="56" w:firstLine="0"/>
              <w:jc w:val="right"/>
            </w:pPr>
            <w:r>
              <w:rPr>
                <w:sz w:val="22"/>
              </w:rPr>
              <w:t xml:space="preserve">Completed Surveys: Mail </w:t>
            </w:r>
          </w:p>
        </w:tc>
        <w:tc>
          <w:tcPr>
            <w:tcW w:w="1324" w:type="dxa"/>
            <w:tcBorders>
              <w:top w:val="single" w:sz="4" w:space="0" w:color="181717"/>
              <w:left w:val="single" w:sz="4" w:space="0" w:color="181717"/>
              <w:bottom w:val="single" w:sz="4" w:space="0" w:color="181717"/>
              <w:right w:val="single" w:sz="4" w:space="0" w:color="181717"/>
            </w:tcBorders>
          </w:tcPr>
          <w:p w:rsidR="005D6B79" w14:paraId="0A1E6182" w14:textId="77777777">
            <w:pPr>
              <w:spacing w:after="0" w:line="259" w:lineRule="auto"/>
              <w:ind w:left="0" w:firstLine="0"/>
            </w:pPr>
            <w:r>
              <w:rPr>
                <w:sz w:val="22"/>
              </w:rPr>
              <w:t xml:space="preserve">1067 </w:t>
            </w:r>
          </w:p>
        </w:tc>
        <w:tc>
          <w:tcPr>
            <w:tcW w:w="1621" w:type="dxa"/>
            <w:tcBorders>
              <w:top w:val="single" w:sz="4" w:space="0" w:color="181717"/>
              <w:left w:val="single" w:sz="4" w:space="0" w:color="181717"/>
              <w:bottom w:val="single" w:sz="4" w:space="0" w:color="181717"/>
              <w:right w:val="single" w:sz="4" w:space="0" w:color="181717"/>
            </w:tcBorders>
          </w:tcPr>
          <w:p w:rsidR="005D6B79" w14:paraId="4A8F8148" w14:textId="77777777">
            <w:pPr>
              <w:spacing w:after="0" w:line="259" w:lineRule="auto"/>
              <w:ind w:left="709" w:firstLine="0"/>
            </w:pPr>
            <w:r>
              <w:rPr>
                <w:sz w:val="22"/>
              </w:rPr>
              <w:t xml:space="preserve">NA </w:t>
            </w:r>
          </w:p>
        </w:tc>
        <w:tc>
          <w:tcPr>
            <w:tcW w:w="2276" w:type="dxa"/>
            <w:tcBorders>
              <w:top w:val="single" w:sz="4" w:space="0" w:color="181717"/>
              <w:left w:val="single" w:sz="4" w:space="0" w:color="181717"/>
              <w:bottom w:val="single" w:sz="4" w:space="0" w:color="181717"/>
              <w:right w:val="single" w:sz="4" w:space="0" w:color="181717"/>
            </w:tcBorders>
          </w:tcPr>
          <w:p w:rsidR="005D6B79" w14:paraId="7E5F84D0" w14:textId="77777777">
            <w:pPr>
              <w:spacing w:after="0" w:line="259" w:lineRule="auto"/>
              <w:ind w:left="0" w:right="147" w:firstLine="0"/>
              <w:jc w:val="center"/>
            </w:pPr>
            <w:r>
              <w:rPr>
                <w:sz w:val="22"/>
              </w:rPr>
              <w:t xml:space="preserve">740 </w:t>
            </w:r>
          </w:p>
        </w:tc>
        <w:tc>
          <w:tcPr>
            <w:tcW w:w="2193" w:type="dxa"/>
            <w:tcBorders>
              <w:top w:val="single" w:sz="4" w:space="0" w:color="181717"/>
              <w:left w:val="single" w:sz="4" w:space="0" w:color="181717"/>
              <w:bottom w:val="single" w:sz="4" w:space="0" w:color="181717"/>
              <w:right w:val="single" w:sz="4" w:space="0" w:color="181717"/>
            </w:tcBorders>
          </w:tcPr>
          <w:p w:rsidR="005D6B79" w14:paraId="317721B7" w14:textId="77777777">
            <w:pPr>
              <w:spacing w:after="0" w:line="259" w:lineRule="auto"/>
              <w:ind w:left="0" w:right="65" w:firstLine="0"/>
              <w:jc w:val="center"/>
            </w:pPr>
            <w:r>
              <w:rPr>
                <w:sz w:val="22"/>
              </w:rPr>
              <w:t xml:space="preserve">403 </w:t>
            </w:r>
          </w:p>
        </w:tc>
      </w:tr>
      <w:tr w14:paraId="0DE760DB" w14:textId="77777777">
        <w:tblPrEx>
          <w:tblW w:w="9569" w:type="dxa"/>
          <w:tblInd w:w="5" w:type="dxa"/>
          <w:tblCellMar>
            <w:top w:w="58" w:type="dxa"/>
            <w:left w:w="326" w:type="dxa"/>
            <w:bottom w:w="0" w:type="dxa"/>
            <w:right w:w="52" w:type="dxa"/>
          </w:tblCellMar>
          <w:tblLook w:val="04A0"/>
        </w:tblPrEx>
        <w:trPr>
          <w:trHeight w:val="646"/>
        </w:trPr>
        <w:tc>
          <w:tcPr>
            <w:tcW w:w="2156" w:type="dxa"/>
            <w:tcBorders>
              <w:top w:val="single" w:sz="4" w:space="0" w:color="181717"/>
              <w:left w:val="single" w:sz="4" w:space="0" w:color="181717"/>
              <w:bottom w:val="single" w:sz="4" w:space="0" w:color="181717"/>
              <w:right w:val="single" w:sz="4" w:space="0" w:color="181717"/>
            </w:tcBorders>
          </w:tcPr>
          <w:p w:rsidR="005D6B79" w14:paraId="5935D2CB" w14:textId="77777777">
            <w:pPr>
              <w:spacing w:after="0" w:line="259" w:lineRule="auto"/>
              <w:ind w:left="0" w:right="56" w:firstLine="0"/>
              <w:jc w:val="right"/>
            </w:pPr>
            <w:r>
              <w:rPr>
                <w:sz w:val="22"/>
              </w:rPr>
              <w:t xml:space="preserve">Completed Surveys: Phone </w:t>
            </w:r>
          </w:p>
        </w:tc>
        <w:tc>
          <w:tcPr>
            <w:tcW w:w="1324" w:type="dxa"/>
            <w:tcBorders>
              <w:top w:val="single" w:sz="4" w:space="0" w:color="181717"/>
              <w:left w:val="single" w:sz="4" w:space="0" w:color="181717"/>
              <w:bottom w:val="single" w:sz="4" w:space="0" w:color="181717"/>
              <w:right w:val="single" w:sz="4" w:space="0" w:color="181717"/>
            </w:tcBorders>
          </w:tcPr>
          <w:p w:rsidR="005D6B79" w14:paraId="00E48998" w14:textId="77777777">
            <w:pPr>
              <w:spacing w:after="0" w:line="259" w:lineRule="auto"/>
              <w:ind w:left="0" w:firstLine="0"/>
            </w:pPr>
            <w:r>
              <w:rPr>
                <w:sz w:val="22"/>
              </w:rPr>
              <w:t xml:space="preserve">NA </w:t>
            </w:r>
          </w:p>
        </w:tc>
        <w:tc>
          <w:tcPr>
            <w:tcW w:w="1621" w:type="dxa"/>
            <w:tcBorders>
              <w:top w:val="single" w:sz="4" w:space="0" w:color="181717"/>
              <w:left w:val="single" w:sz="4" w:space="0" w:color="181717"/>
              <w:bottom w:val="single" w:sz="4" w:space="0" w:color="181717"/>
              <w:right w:val="single" w:sz="4" w:space="0" w:color="181717"/>
            </w:tcBorders>
          </w:tcPr>
          <w:p w:rsidR="005D6B79" w14:paraId="5A7F4982" w14:textId="77777777">
            <w:pPr>
              <w:spacing w:after="0" w:line="259" w:lineRule="auto"/>
              <w:ind w:left="0" w:right="92" w:firstLine="0"/>
              <w:jc w:val="right"/>
            </w:pPr>
            <w:r>
              <w:rPr>
                <w:sz w:val="22"/>
              </w:rPr>
              <w:t xml:space="preserve">1067 </w:t>
            </w:r>
          </w:p>
        </w:tc>
        <w:tc>
          <w:tcPr>
            <w:tcW w:w="2276" w:type="dxa"/>
            <w:tcBorders>
              <w:top w:val="single" w:sz="4" w:space="0" w:color="181717"/>
              <w:left w:val="single" w:sz="4" w:space="0" w:color="181717"/>
              <w:bottom w:val="single" w:sz="4" w:space="0" w:color="181717"/>
              <w:right w:val="single" w:sz="4" w:space="0" w:color="181717"/>
            </w:tcBorders>
          </w:tcPr>
          <w:p w:rsidR="005D6B79" w14:paraId="6033F065" w14:textId="77777777">
            <w:pPr>
              <w:spacing w:after="0" w:line="259" w:lineRule="auto"/>
              <w:ind w:left="0" w:right="147" w:firstLine="0"/>
              <w:jc w:val="center"/>
            </w:pPr>
            <w:r>
              <w:rPr>
                <w:sz w:val="22"/>
              </w:rPr>
              <w:t xml:space="preserve">325 </w:t>
            </w:r>
          </w:p>
        </w:tc>
        <w:tc>
          <w:tcPr>
            <w:tcW w:w="2193" w:type="dxa"/>
            <w:tcBorders>
              <w:top w:val="single" w:sz="4" w:space="0" w:color="181717"/>
              <w:left w:val="single" w:sz="4" w:space="0" w:color="181717"/>
              <w:bottom w:val="single" w:sz="4" w:space="0" w:color="181717"/>
              <w:right w:val="single" w:sz="4" w:space="0" w:color="181717"/>
            </w:tcBorders>
          </w:tcPr>
          <w:p w:rsidR="005D6B79" w14:paraId="439A34C6" w14:textId="77777777">
            <w:pPr>
              <w:spacing w:after="0" w:line="259" w:lineRule="auto"/>
              <w:ind w:left="0" w:right="65" w:firstLine="0"/>
              <w:jc w:val="center"/>
            </w:pPr>
            <w:r>
              <w:rPr>
                <w:sz w:val="22"/>
              </w:rPr>
              <w:t xml:space="preserve">241 </w:t>
            </w:r>
          </w:p>
        </w:tc>
      </w:tr>
      <w:tr w14:paraId="75E525F8" w14:textId="77777777">
        <w:tblPrEx>
          <w:tblW w:w="9569" w:type="dxa"/>
          <w:tblInd w:w="5" w:type="dxa"/>
          <w:tblCellMar>
            <w:top w:w="58" w:type="dxa"/>
            <w:left w:w="326" w:type="dxa"/>
            <w:bottom w:w="0" w:type="dxa"/>
            <w:right w:w="52" w:type="dxa"/>
          </w:tblCellMar>
          <w:tblLook w:val="04A0"/>
        </w:tblPrEx>
        <w:trPr>
          <w:trHeight w:val="647"/>
        </w:trPr>
        <w:tc>
          <w:tcPr>
            <w:tcW w:w="2156" w:type="dxa"/>
            <w:tcBorders>
              <w:top w:val="single" w:sz="4" w:space="0" w:color="181717"/>
              <w:left w:val="single" w:sz="4" w:space="0" w:color="181717"/>
              <w:bottom w:val="single" w:sz="4" w:space="0" w:color="181717"/>
              <w:right w:val="single" w:sz="4" w:space="0" w:color="181717"/>
            </w:tcBorders>
          </w:tcPr>
          <w:p w:rsidR="005D6B79" w14:paraId="007B6BA2" w14:textId="77777777">
            <w:pPr>
              <w:spacing w:after="0" w:line="259" w:lineRule="auto"/>
              <w:ind w:left="0" w:right="56" w:firstLine="0"/>
              <w:jc w:val="right"/>
            </w:pPr>
            <w:r>
              <w:rPr>
                <w:sz w:val="22"/>
              </w:rPr>
              <w:t xml:space="preserve">Completed </w:t>
            </w:r>
          </w:p>
          <w:p w:rsidR="005D6B79" w14:paraId="19DCD090" w14:textId="77777777">
            <w:pPr>
              <w:spacing w:after="0" w:line="259" w:lineRule="auto"/>
              <w:ind w:left="0" w:right="55" w:firstLine="0"/>
              <w:jc w:val="right"/>
            </w:pPr>
            <w:r>
              <w:rPr>
                <w:sz w:val="22"/>
              </w:rPr>
              <w:t xml:space="preserve">Surveys: Web </w:t>
            </w:r>
          </w:p>
        </w:tc>
        <w:tc>
          <w:tcPr>
            <w:tcW w:w="1324" w:type="dxa"/>
            <w:tcBorders>
              <w:top w:val="single" w:sz="4" w:space="0" w:color="181717"/>
              <w:left w:val="single" w:sz="4" w:space="0" w:color="181717"/>
              <w:bottom w:val="single" w:sz="4" w:space="0" w:color="181717"/>
              <w:right w:val="single" w:sz="4" w:space="0" w:color="181717"/>
            </w:tcBorders>
          </w:tcPr>
          <w:p w:rsidR="005D6B79" w14:paraId="4739EC52" w14:textId="77777777">
            <w:pPr>
              <w:spacing w:after="0" w:line="259" w:lineRule="auto"/>
              <w:ind w:left="0" w:firstLine="0"/>
            </w:pPr>
            <w:r>
              <w:rPr>
                <w:sz w:val="22"/>
              </w:rPr>
              <w:t xml:space="preserve">NA </w:t>
            </w:r>
          </w:p>
        </w:tc>
        <w:tc>
          <w:tcPr>
            <w:tcW w:w="1621" w:type="dxa"/>
            <w:tcBorders>
              <w:top w:val="single" w:sz="4" w:space="0" w:color="181717"/>
              <w:left w:val="single" w:sz="4" w:space="0" w:color="181717"/>
              <w:bottom w:val="single" w:sz="4" w:space="0" w:color="181717"/>
              <w:right w:val="single" w:sz="4" w:space="0" w:color="181717"/>
            </w:tcBorders>
          </w:tcPr>
          <w:p w:rsidR="005D6B79" w14:paraId="142BDA20" w14:textId="77777777">
            <w:pPr>
              <w:spacing w:after="0" w:line="259" w:lineRule="auto"/>
              <w:ind w:left="709" w:firstLine="0"/>
            </w:pPr>
            <w:r>
              <w:rPr>
                <w:sz w:val="22"/>
              </w:rPr>
              <w:t xml:space="preserve">NA </w:t>
            </w:r>
          </w:p>
        </w:tc>
        <w:tc>
          <w:tcPr>
            <w:tcW w:w="2276" w:type="dxa"/>
            <w:tcBorders>
              <w:top w:val="single" w:sz="4" w:space="0" w:color="181717"/>
              <w:left w:val="single" w:sz="4" w:space="0" w:color="181717"/>
              <w:bottom w:val="single" w:sz="4" w:space="0" w:color="181717"/>
              <w:right w:val="single" w:sz="4" w:space="0" w:color="181717"/>
            </w:tcBorders>
          </w:tcPr>
          <w:p w:rsidR="005D6B79" w14:paraId="715BAEA0" w14:textId="77777777">
            <w:pPr>
              <w:spacing w:after="0" w:line="259" w:lineRule="auto"/>
              <w:ind w:left="0" w:right="161" w:firstLine="0"/>
              <w:jc w:val="center"/>
            </w:pPr>
            <w:r>
              <w:rPr>
                <w:sz w:val="22"/>
              </w:rPr>
              <w:t xml:space="preserve">NA </w:t>
            </w:r>
          </w:p>
        </w:tc>
        <w:tc>
          <w:tcPr>
            <w:tcW w:w="2193" w:type="dxa"/>
            <w:tcBorders>
              <w:top w:val="single" w:sz="4" w:space="0" w:color="181717"/>
              <w:left w:val="single" w:sz="4" w:space="0" w:color="181717"/>
              <w:bottom w:val="single" w:sz="4" w:space="0" w:color="181717"/>
              <w:right w:val="single" w:sz="4" w:space="0" w:color="181717"/>
            </w:tcBorders>
          </w:tcPr>
          <w:p w:rsidR="005D6B79" w14:paraId="65472862" w14:textId="77777777">
            <w:pPr>
              <w:spacing w:after="0" w:line="259" w:lineRule="auto"/>
              <w:ind w:left="0" w:right="65" w:firstLine="0"/>
              <w:jc w:val="center"/>
            </w:pPr>
            <w:r>
              <w:rPr>
                <w:sz w:val="22"/>
              </w:rPr>
              <w:t xml:space="preserve">427 </w:t>
            </w:r>
          </w:p>
        </w:tc>
      </w:tr>
      <w:tr w14:paraId="650466F9" w14:textId="77777777">
        <w:tblPrEx>
          <w:tblW w:w="9569" w:type="dxa"/>
          <w:tblInd w:w="5" w:type="dxa"/>
          <w:tblCellMar>
            <w:top w:w="58" w:type="dxa"/>
            <w:left w:w="326" w:type="dxa"/>
            <w:bottom w:w="0" w:type="dxa"/>
            <w:right w:w="52" w:type="dxa"/>
          </w:tblCellMar>
          <w:tblLook w:val="04A0"/>
        </w:tblPrEx>
        <w:trPr>
          <w:trHeight w:val="908"/>
        </w:trPr>
        <w:tc>
          <w:tcPr>
            <w:tcW w:w="2156" w:type="dxa"/>
            <w:tcBorders>
              <w:top w:val="single" w:sz="4" w:space="0" w:color="181717"/>
              <w:left w:val="single" w:sz="4" w:space="0" w:color="181717"/>
              <w:bottom w:val="single" w:sz="4" w:space="0" w:color="181717"/>
              <w:right w:val="single" w:sz="4" w:space="0" w:color="181717"/>
            </w:tcBorders>
          </w:tcPr>
          <w:p w:rsidR="005D6B79" w14:paraId="72EE8A49" w14:textId="77777777">
            <w:pPr>
              <w:spacing w:after="0" w:line="259" w:lineRule="auto"/>
              <w:ind w:left="0" w:right="56" w:firstLine="0"/>
              <w:jc w:val="right"/>
            </w:pPr>
            <w:r>
              <w:rPr>
                <w:sz w:val="22"/>
              </w:rPr>
              <w:t xml:space="preserve">Total </w:t>
            </w:r>
          </w:p>
          <w:p w:rsidR="005D6B79" w14:paraId="443C01A3" w14:textId="77777777">
            <w:pPr>
              <w:spacing w:after="0" w:line="259" w:lineRule="auto"/>
              <w:ind w:left="1012" w:hanging="256"/>
            </w:pPr>
            <w:r>
              <w:rPr>
                <w:sz w:val="22"/>
              </w:rPr>
              <w:t xml:space="preserve">Completed Surveys </w:t>
            </w:r>
          </w:p>
        </w:tc>
        <w:tc>
          <w:tcPr>
            <w:tcW w:w="1324" w:type="dxa"/>
            <w:tcBorders>
              <w:top w:val="single" w:sz="4" w:space="0" w:color="181717"/>
              <w:left w:val="single" w:sz="4" w:space="0" w:color="181717"/>
              <w:bottom w:val="single" w:sz="4" w:space="0" w:color="181717"/>
              <w:right w:val="single" w:sz="4" w:space="0" w:color="181717"/>
            </w:tcBorders>
          </w:tcPr>
          <w:p w:rsidR="005D6B79" w14:paraId="4D17B271" w14:textId="77777777">
            <w:pPr>
              <w:spacing w:after="0" w:line="259" w:lineRule="auto"/>
              <w:ind w:left="0" w:firstLine="0"/>
            </w:pPr>
            <w:r>
              <w:rPr>
                <w:sz w:val="22"/>
              </w:rPr>
              <w:t xml:space="preserve">1067 </w:t>
            </w:r>
          </w:p>
        </w:tc>
        <w:tc>
          <w:tcPr>
            <w:tcW w:w="1621" w:type="dxa"/>
            <w:tcBorders>
              <w:top w:val="single" w:sz="4" w:space="0" w:color="181717"/>
              <w:left w:val="single" w:sz="4" w:space="0" w:color="181717"/>
              <w:bottom w:val="single" w:sz="4" w:space="0" w:color="181717"/>
              <w:right w:val="single" w:sz="4" w:space="0" w:color="181717"/>
            </w:tcBorders>
          </w:tcPr>
          <w:p w:rsidR="005D6B79" w14:paraId="212565EE" w14:textId="77777777">
            <w:pPr>
              <w:spacing w:after="0" w:line="259" w:lineRule="auto"/>
              <w:ind w:left="0" w:right="92" w:firstLine="0"/>
              <w:jc w:val="right"/>
            </w:pPr>
            <w:r>
              <w:rPr>
                <w:sz w:val="22"/>
              </w:rPr>
              <w:t xml:space="preserve">1067 </w:t>
            </w:r>
          </w:p>
        </w:tc>
        <w:tc>
          <w:tcPr>
            <w:tcW w:w="2276" w:type="dxa"/>
            <w:tcBorders>
              <w:top w:val="single" w:sz="4" w:space="0" w:color="181717"/>
              <w:left w:val="single" w:sz="4" w:space="0" w:color="181717"/>
              <w:bottom w:val="single" w:sz="4" w:space="0" w:color="181717"/>
              <w:right w:val="single" w:sz="4" w:space="0" w:color="181717"/>
            </w:tcBorders>
          </w:tcPr>
          <w:p w:rsidR="005D6B79" w14:paraId="32C41CE0" w14:textId="77777777">
            <w:pPr>
              <w:spacing w:after="0" w:line="259" w:lineRule="auto"/>
              <w:ind w:left="0" w:right="37" w:firstLine="0"/>
              <w:jc w:val="center"/>
            </w:pPr>
            <w:r>
              <w:rPr>
                <w:sz w:val="22"/>
              </w:rPr>
              <w:t xml:space="preserve">1065 </w:t>
            </w:r>
          </w:p>
        </w:tc>
        <w:tc>
          <w:tcPr>
            <w:tcW w:w="2193" w:type="dxa"/>
            <w:tcBorders>
              <w:top w:val="single" w:sz="4" w:space="0" w:color="181717"/>
              <w:left w:val="single" w:sz="4" w:space="0" w:color="181717"/>
              <w:bottom w:val="single" w:sz="4" w:space="0" w:color="181717"/>
              <w:right w:val="single" w:sz="4" w:space="0" w:color="181717"/>
            </w:tcBorders>
          </w:tcPr>
          <w:p w:rsidR="005D6B79" w14:paraId="289486CE" w14:textId="77777777">
            <w:pPr>
              <w:spacing w:after="0" w:line="259" w:lineRule="auto"/>
              <w:ind w:left="45" w:firstLine="0"/>
              <w:jc w:val="center"/>
            </w:pPr>
            <w:r>
              <w:rPr>
                <w:sz w:val="22"/>
              </w:rPr>
              <w:t xml:space="preserve">1071 </w:t>
            </w:r>
          </w:p>
        </w:tc>
      </w:tr>
      <w:tr w14:paraId="402DEFF6" w14:textId="77777777">
        <w:tblPrEx>
          <w:tblW w:w="9569" w:type="dxa"/>
          <w:tblInd w:w="5" w:type="dxa"/>
          <w:tblCellMar>
            <w:top w:w="58" w:type="dxa"/>
            <w:left w:w="326" w:type="dxa"/>
            <w:bottom w:w="0" w:type="dxa"/>
            <w:right w:w="52" w:type="dxa"/>
          </w:tblCellMar>
          <w:tblLook w:val="04A0"/>
        </w:tblPrEx>
        <w:trPr>
          <w:trHeight w:val="646"/>
        </w:trPr>
        <w:tc>
          <w:tcPr>
            <w:tcW w:w="2156" w:type="dxa"/>
            <w:tcBorders>
              <w:top w:val="single" w:sz="4" w:space="0" w:color="181717"/>
              <w:left w:val="single" w:sz="4" w:space="0" w:color="181717"/>
              <w:bottom w:val="single" w:sz="4" w:space="0" w:color="181717"/>
              <w:right w:val="single" w:sz="4" w:space="0" w:color="181717"/>
            </w:tcBorders>
          </w:tcPr>
          <w:p w:rsidR="005D6B79" w14:paraId="74EF4C00" w14:textId="77777777">
            <w:pPr>
              <w:spacing w:after="0" w:line="259" w:lineRule="auto"/>
              <w:ind w:left="1318" w:hanging="439"/>
            </w:pPr>
            <w:r>
              <w:rPr>
                <w:sz w:val="22"/>
              </w:rPr>
              <w:t xml:space="preserve">Response Rate </w:t>
            </w:r>
          </w:p>
        </w:tc>
        <w:tc>
          <w:tcPr>
            <w:tcW w:w="1324" w:type="dxa"/>
            <w:tcBorders>
              <w:top w:val="single" w:sz="4" w:space="0" w:color="181717"/>
              <w:left w:val="single" w:sz="4" w:space="0" w:color="181717"/>
              <w:bottom w:val="single" w:sz="4" w:space="0" w:color="181717"/>
              <w:right w:val="single" w:sz="4" w:space="0" w:color="181717"/>
            </w:tcBorders>
          </w:tcPr>
          <w:p w:rsidR="005D6B79" w14:paraId="1B438B45" w14:textId="77777777">
            <w:pPr>
              <w:spacing w:after="0" w:line="259" w:lineRule="auto"/>
              <w:ind w:left="0" w:firstLine="0"/>
            </w:pPr>
            <w:r>
              <w:rPr>
                <w:sz w:val="22"/>
              </w:rPr>
              <w:t xml:space="preserve">20% </w:t>
            </w:r>
          </w:p>
        </w:tc>
        <w:tc>
          <w:tcPr>
            <w:tcW w:w="1621" w:type="dxa"/>
            <w:tcBorders>
              <w:top w:val="single" w:sz="4" w:space="0" w:color="181717"/>
              <w:left w:val="single" w:sz="4" w:space="0" w:color="181717"/>
              <w:bottom w:val="single" w:sz="4" w:space="0" w:color="181717"/>
              <w:right w:val="single" w:sz="4" w:space="0" w:color="181717"/>
            </w:tcBorders>
          </w:tcPr>
          <w:p w:rsidR="005D6B79" w14:paraId="0942A5DE" w14:textId="77777777">
            <w:pPr>
              <w:spacing w:after="0" w:line="259" w:lineRule="auto"/>
              <w:ind w:left="0" w:right="129" w:firstLine="0"/>
              <w:jc w:val="right"/>
            </w:pPr>
            <w:r>
              <w:rPr>
                <w:sz w:val="22"/>
              </w:rPr>
              <w:t xml:space="preserve">17% </w:t>
            </w:r>
          </w:p>
        </w:tc>
        <w:tc>
          <w:tcPr>
            <w:tcW w:w="2276" w:type="dxa"/>
            <w:tcBorders>
              <w:top w:val="single" w:sz="4" w:space="0" w:color="181717"/>
              <w:left w:val="single" w:sz="4" w:space="0" w:color="181717"/>
              <w:bottom w:val="single" w:sz="4" w:space="0" w:color="181717"/>
              <w:right w:val="single" w:sz="4" w:space="0" w:color="181717"/>
            </w:tcBorders>
          </w:tcPr>
          <w:p w:rsidR="005D6B79" w14:paraId="5CE1FA48" w14:textId="77777777">
            <w:pPr>
              <w:spacing w:after="0" w:line="259" w:lineRule="auto"/>
              <w:ind w:left="91" w:firstLine="0"/>
              <w:jc w:val="center"/>
            </w:pPr>
            <w:r>
              <w:rPr>
                <w:sz w:val="22"/>
              </w:rPr>
              <w:t xml:space="preserve">24.5% </w:t>
            </w:r>
          </w:p>
        </w:tc>
        <w:tc>
          <w:tcPr>
            <w:tcW w:w="2193" w:type="dxa"/>
            <w:tcBorders>
              <w:top w:val="single" w:sz="4" w:space="0" w:color="181717"/>
              <w:left w:val="single" w:sz="4" w:space="0" w:color="181717"/>
              <w:bottom w:val="single" w:sz="4" w:space="0" w:color="181717"/>
              <w:right w:val="single" w:sz="4" w:space="0" w:color="181717"/>
            </w:tcBorders>
          </w:tcPr>
          <w:p w:rsidR="005D6B79" w14:paraId="644B84AE" w14:textId="77777777">
            <w:pPr>
              <w:spacing w:after="0" w:line="259" w:lineRule="auto"/>
              <w:ind w:left="173" w:firstLine="0"/>
              <w:jc w:val="center"/>
            </w:pPr>
            <w:r>
              <w:rPr>
                <w:sz w:val="22"/>
              </w:rPr>
              <w:t xml:space="preserve">25.1% </w:t>
            </w:r>
          </w:p>
        </w:tc>
      </w:tr>
    </w:tbl>
    <w:p w:rsidR="005D6B79" w14:paraId="3D5B87A9" w14:textId="77777777">
      <w:pPr>
        <w:spacing w:after="97" w:line="259" w:lineRule="auto"/>
        <w:ind w:left="928" w:firstLine="0"/>
      </w:pPr>
      <w:r>
        <w:t xml:space="preserve"> </w:t>
      </w:r>
    </w:p>
    <w:p w:rsidR="005D6B79" w14:paraId="7B702952" w14:textId="77777777">
      <w:pPr>
        <w:ind w:left="203" w:right="2" w:firstLine="710"/>
      </w:pPr>
      <w:r>
        <w:rPr>
          <w:b/>
        </w:rPr>
        <w:t>Exhibit A.4</w:t>
      </w:r>
      <w:r>
        <w:t xml:space="preserve"> describes the multivariate analyses that we will conduct on the mode experiment data.  </w:t>
      </w:r>
      <w:r>
        <w:br w:type="page"/>
      </w:r>
    </w:p>
    <w:p w:rsidR="005D6B79" w14:paraId="18EE2135" w14:textId="77777777">
      <w:pPr>
        <w:pStyle w:val="Heading1"/>
        <w:tabs>
          <w:tab w:val="center" w:pos="793"/>
          <w:tab w:val="center" w:pos="3510"/>
        </w:tabs>
        <w:ind w:left="0" w:right="0" w:firstLine="0"/>
      </w:pPr>
      <w:r>
        <w:rPr>
          <w:rFonts w:ascii="Calibri" w:eastAsia="Calibri" w:hAnsi="Calibri" w:cs="Calibri"/>
          <w:b w:val="0"/>
          <w:color w:val="000000"/>
          <w:sz w:val="22"/>
        </w:rPr>
        <w:tab/>
      </w:r>
      <w:r>
        <w:t xml:space="preserve">Exhibit A.4 </w:t>
      </w:r>
      <w:r>
        <w:tab/>
        <w:t xml:space="preserve">Planned Mode Experiment Analyses </w:t>
      </w:r>
    </w:p>
    <w:tbl>
      <w:tblPr>
        <w:tblStyle w:val="TableGrid"/>
        <w:tblW w:w="9569" w:type="dxa"/>
        <w:tblInd w:w="5" w:type="dxa"/>
        <w:tblCellMar>
          <w:top w:w="59" w:type="dxa"/>
          <w:left w:w="52" w:type="dxa"/>
          <w:bottom w:w="0" w:type="dxa"/>
          <w:right w:w="1" w:type="dxa"/>
        </w:tblCellMar>
        <w:tblLook w:val="04A0"/>
      </w:tblPr>
      <w:tblGrid>
        <w:gridCol w:w="3190"/>
        <w:gridCol w:w="3190"/>
        <w:gridCol w:w="3189"/>
      </w:tblGrid>
      <w:tr w14:paraId="4B96DB0F" w14:textId="77777777">
        <w:tblPrEx>
          <w:tblW w:w="9569" w:type="dxa"/>
          <w:tblInd w:w="5" w:type="dxa"/>
          <w:tblCellMar>
            <w:top w:w="59" w:type="dxa"/>
            <w:left w:w="52" w:type="dxa"/>
            <w:bottom w:w="0" w:type="dxa"/>
            <w:right w:w="1" w:type="dxa"/>
          </w:tblCellMar>
          <w:tblLook w:val="04A0"/>
        </w:tblPrEx>
        <w:trPr>
          <w:trHeight w:val="648"/>
        </w:trPr>
        <w:tc>
          <w:tcPr>
            <w:tcW w:w="3190" w:type="dxa"/>
            <w:tcBorders>
              <w:top w:val="single" w:sz="4" w:space="0" w:color="181717"/>
              <w:left w:val="single" w:sz="4" w:space="0" w:color="181717"/>
              <w:bottom w:val="single" w:sz="4" w:space="0" w:color="181717"/>
              <w:right w:val="single" w:sz="4" w:space="0" w:color="181717"/>
            </w:tcBorders>
          </w:tcPr>
          <w:p w:rsidR="005D6B79" w14:paraId="027CAFD2" w14:textId="77777777">
            <w:pPr>
              <w:spacing w:after="0" w:line="259" w:lineRule="auto"/>
              <w:ind w:left="43" w:firstLine="0"/>
            </w:pPr>
            <w:r>
              <w:rPr>
                <w:b/>
                <w:sz w:val="22"/>
              </w:rPr>
              <w:t xml:space="preserve">Psychometric Analyses  </w:t>
            </w:r>
          </w:p>
        </w:tc>
        <w:tc>
          <w:tcPr>
            <w:tcW w:w="3190" w:type="dxa"/>
            <w:tcBorders>
              <w:top w:val="single" w:sz="4" w:space="0" w:color="181717"/>
              <w:left w:val="single" w:sz="4" w:space="0" w:color="181717"/>
              <w:bottom w:val="single" w:sz="4" w:space="0" w:color="181717"/>
              <w:right w:val="single" w:sz="4" w:space="0" w:color="181717"/>
            </w:tcBorders>
          </w:tcPr>
          <w:p w:rsidR="005D6B79" w14:paraId="0471BC4C" w14:textId="77777777">
            <w:pPr>
              <w:spacing w:after="0" w:line="259" w:lineRule="auto"/>
              <w:ind w:left="0" w:firstLine="0"/>
            </w:pPr>
            <w:r>
              <w:rPr>
                <w:b/>
                <w:sz w:val="22"/>
              </w:rPr>
              <w:t xml:space="preserve">Mode Effect and Patient-Mix </w:t>
            </w:r>
          </w:p>
          <w:p w:rsidR="005D6B79" w14:paraId="1A515B26" w14:textId="77777777">
            <w:pPr>
              <w:spacing w:after="0" w:line="259" w:lineRule="auto"/>
              <w:ind w:left="0" w:firstLine="0"/>
            </w:pPr>
            <w:r>
              <w:rPr>
                <w:b/>
                <w:sz w:val="22"/>
              </w:rPr>
              <w:t xml:space="preserve">Analyses </w:t>
            </w:r>
          </w:p>
        </w:tc>
        <w:tc>
          <w:tcPr>
            <w:tcW w:w="3189" w:type="dxa"/>
            <w:tcBorders>
              <w:top w:val="single" w:sz="4" w:space="0" w:color="181717"/>
              <w:left w:val="single" w:sz="4" w:space="0" w:color="181717"/>
              <w:bottom w:val="single" w:sz="4" w:space="0" w:color="181717"/>
              <w:right w:val="single" w:sz="4" w:space="0" w:color="181717"/>
            </w:tcBorders>
          </w:tcPr>
          <w:p w:rsidR="005D6B79" w14:paraId="3E22795E" w14:textId="77777777">
            <w:pPr>
              <w:spacing w:after="0" w:line="259" w:lineRule="auto"/>
              <w:ind w:left="47" w:firstLine="0"/>
            </w:pPr>
            <w:r>
              <w:rPr>
                <w:b/>
                <w:sz w:val="22"/>
              </w:rPr>
              <w:t xml:space="preserve">Nonresponse Analyses </w:t>
            </w:r>
          </w:p>
        </w:tc>
      </w:tr>
      <w:tr w14:paraId="26213BCE" w14:textId="77777777">
        <w:tblPrEx>
          <w:tblW w:w="9569" w:type="dxa"/>
          <w:tblInd w:w="5" w:type="dxa"/>
          <w:tblCellMar>
            <w:top w:w="59" w:type="dxa"/>
            <w:left w:w="52" w:type="dxa"/>
            <w:bottom w:w="0" w:type="dxa"/>
            <w:right w:w="1" w:type="dxa"/>
          </w:tblCellMar>
          <w:tblLook w:val="04A0"/>
        </w:tblPrEx>
        <w:trPr>
          <w:trHeight w:val="6336"/>
        </w:trPr>
        <w:tc>
          <w:tcPr>
            <w:tcW w:w="3190" w:type="dxa"/>
            <w:tcBorders>
              <w:top w:val="single" w:sz="4" w:space="0" w:color="181717"/>
              <w:left w:val="single" w:sz="4" w:space="0" w:color="181717"/>
              <w:bottom w:val="single" w:sz="4" w:space="0" w:color="181717"/>
              <w:right w:val="single" w:sz="4" w:space="0" w:color="181717"/>
            </w:tcBorders>
          </w:tcPr>
          <w:p w:rsidR="005D6B79" w14:paraId="755EB0C1" w14:textId="77777777">
            <w:pPr>
              <w:numPr>
                <w:ilvl w:val="0"/>
                <w:numId w:val="10"/>
              </w:numPr>
              <w:spacing w:after="8" w:line="239" w:lineRule="auto"/>
              <w:ind w:hanging="180"/>
            </w:pPr>
            <w:r>
              <w:rPr>
                <w:sz w:val="22"/>
              </w:rPr>
              <w:t xml:space="preserve">Confirm that public reporting metrics continue to be based on solid patient experience. Leverage exploratory </w:t>
            </w:r>
            <w:r>
              <w:rPr>
                <w:sz w:val="22"/>
              </w:rPr>
              <w:t>analyses  to</w:t>
            </w:r>
            <w:r>
              <w:rPr>
                <w:sz w:val="22"/>
              </w:rPr>
              <w:t xml:space="preserve"> determine item placement in composites or uncover a new composite structure.  </w:t>
            </w:r>
          </w:p>
          <w:p w:rsidR="005D6B79" w14:paraId="4CAFC1F1" w14:textId="77777777">
            <w:pPr>
              <w:numPr>
                <w:ilvl w:val="0"/>
                <w:numId w:val="10"/>
              </w:numPr>
              <w:spacing w:after="8" w:line="239" w:lineRule="auto"/>
              <w:ind w:hanging="180"/>
            </w:pPr>
            <w:r>
              <w:rPr>
                <w:sz w:val="22"/>
              </w:rPr>
              <w:t xml:space="preserve">Assess revised survey items for reliability and validity in </w:t>
            </w:r>
            <w:r>
              <w:rPr>
                <w:sz w:val="22"/>
              </w:rPr>
              <w:t>mixedmethod</w:t>
            </w:r>
            <w:r>
              <w:rPr>
                <w:sz w:val="22"/>
              </w:rPr>
              <w:t xml:space="preserve"> format, including </w:t>
            </w:r>
            <w:r>
              <w:rPr>
                <w:sz w:val="22"/>
              </w:rPr>
              <w:t>itemlevel</w:t>
            </w:r>
            <w:r>
              <w:rPr>
                <w:sz w:val="22"/>
              </w:rPr>
              <w:t xml:space="preserve"> analysis (Rasch measurement) and classical psychometrics (internal consistency and factor analysis). </w:t>
            </w:r>
          </w:p>
          <w:p w:rsidR="005D6B79" w14:paraId="0DB00EB3" w14:textId="77777777">
            <w:pPr>
              <w:numPr>
                <w:ilvl w:val="0"/>
                <w:numId w:val="10"/>
              </w:numPr>
              <w:spacing w:after="0" w:line="259" w:lineRule="auto"/>
              <w:ind w:hanging="180"/>
            </w:pPr>
            <w:r>
              <w:rPr>
                <w:sz w:val="22"/>
              </w:rPr>
              <w:t xml:space="preserve">Examine item-level measurement assessments to rigorously evaluate composite dimensionality, continued and newly developed response option functioning, items not producing useful measurement into the existing composite constructs, and item-level bias for key demographic and mode groups.  </w:t>
            </w:r>
          </w:p>
        </w:tc>
        <w:tc>
          <w:tcPr>
            <w:tcW w:w="3190" w:type="dxa"/>
            <w:tcBorders>
              <w:top w:val="single" w:sz="4" w:space="0" w:color="181717"/>
              <w:left w:val="single" w:sz="4" w:space="0" w:color="181717"/>
              <w:bottom w:val="single" w:sz="4" w:space="0" w:color="181717"/>
              <w:right w:val="single" w:sz="4" w:space="0" w:color="181717"/>
            </w:tcBorders>
          </w:tcPr>
          <w:p w:rsidR="005D6B79" w14:paraId="36309BD4" w14:textId="77777777">
            <w:pPr>
              <w:numPr>
                <w:ilvl w:val="0"/>
                <w:numId w:val="11"/>
              </w:numPr>
              <w:spacing w:after="6" w:line="239" w:lineRule="auto"/>
              <w:ind w:hanging="180"/>
            </w:pPr>
            <w:r>
              <w:rPr>
                <w:sz w:val="22"/>
              </w:rPr>
              <w:t xml:space="preserve">Conduct patient-mix </w:t>
            </w:r>
            <w:r>
              <w:rPr>
                <w:sz w:val="22"/>
              </w:rPr>
              <w:t>analyses  to</w:t>
            </w:r>
            <w:r>
              <w:rPr>
                <w:sz w:val="22"/>
              </w:rPr>
              <w:t xml:space="preserve"> determine whether modifications should be made for patient-mix adjustments and mode effects, based on revised surveys.  </w:t>
            </w:r>
          </w:p>
          <w:p w:rsidR="005D6B79" w14:paraId="01D6F3B4" w14:textId="77777777">
            <w:pPr>
              <w:numPr>
                <w:ilvl w:val="0"/>
                <w:numId w:val="11"/>
              </w:numPr>
              <w:spacing w:after="7" w:line="239" w:lineRule="auto"/>
              <w:ind w:hanging="180"/>
            </w:pPr>
            <w:r>
              <w:rPr>
                <w:sz w:val="22"/>
              </w:rPr>
              <w:t xml:space="preserve">Examine top-box, bottom-box, and linear means for all global ratings and composites.  </w:t>
            </w:r>
          </w:p>
          <w:p w:rsidR="005D6B79" w14:paraId="2E4FF225" w14:textId="77777777">
            <w:pPr>
              <w:numPr>
                <w:ilvl w:val="0"/>
                <w:numId w:val="11"/>
              </w:numPr>
              <w:spacing w:after="0" w:line="239" w:lineRule="auto"/>
              <w:ind w:hanging="180"/>
            </w:pPr>
            <w:r>
              <w:rPr>
                <w:sz w:val="22"/>
              </w:rPr>
              <w:t xml:space="preserve">Replicate psychometric analyses for mode to determine whether new web-based mode provides same psychometric quality as mail and phone modes.  </w:t>
            </w:r>
          </w:p>
          <w:p w:rsidR="005D6B79" w14:paraId="4C09404C" w14:textId="77777777">
            <w:pPr>
              <w:spacing w:after="0" w:line="259" w:lineRule="auto"/>
              <w:ind w:left="881" w:firstLine="0"/>
            </w:pPr>
            <w:r>
              <w:rPr>
                <w:sz w:val="22"/>
              </w:rPr>
              <w:t xml:space="preserve"> </w:t>
            </w:r>
          </w:p>
        </w:tc>
        <w:tc>
          <w:tcPr>
            <w:tcW w:w="3189" w:type="dxa"/>
            <w:tcBorders>
              <w:top w:val="single" w:sz="4" w:space="0" w:color="181717"/>
              <w:left w:val="single" w:sz="4" w:space="0" w:color="181717"/>
              <w:bottom w:val="single" w:sz="4" w:space="0" w:color="181717"/>
              <w:right w:val="single" w:sz="4" w:space="0" w:color="181717"/>
            </w:tcBorders>
          </w:tcPr>
          <w:p w:rsidR="005D6B79" w14:paraId="19F47FB3" w14:textId="77777777">
            <w:pPr>
              <w:numPr>
                <w:ilvl w:val="0"/>
                <w:numId w:val="12"/>
              </w:numPr>
              <w:spacing w:after="6" w:line="239" w:lineRule="auto"/>
              <w:ind w:hanging="180"/>
            </w:pPr>
            <w:r>
              <w:rPr>
                <w:sz w:val="22"/>
              </w:rPr>
              <w:t xml:space="preserve">Establish whether patient characteristics affecting nonresponse should also be used in creating patient-mix adjusted scores by using </w:t>
            </w:r>
            <w:r>
              <w:rPr>
                <w:sz w:val="22"/>
              </w:rPr>
              <w:t>nonresponseadjusted</w:t>
            </w:r>
            <w:r>
              <w:rPr>
                <w:sz w:val="22"/>
              </w:rPr>
              <w:t xml:space="preserve"> weights. </w:t>
            </w:r>
          </w:p>
          <w:p w:rsidR="005D6B79" w14:paraId="53D3B292" w14:textId="77777777">
            <w:pPr>
              <w:numPr>
                <w:ilvl w:val="0"/>
                <w:numId w:val="12"/>
              </w:numPr>
              <w:spacing w:after="8" w:line="239" w:lineRule="auto"/>
              <w:ind w:hanging="180"/>
            </w:pPr>
            <w:r>
              <w:rPr>
                <w:sz w:val="22"/>
              </w:rPr>
              <w:t xml:space="preserve">If no statistically significant correlations exist between nonresponse weights and residuals of our regression models, including patient-mix and mode adjusters, there will be no need to adjust the data.  </w:t>
            </w:r>
          </w:p>
          <w:p w:rsidR="005D6B79" w14:paraId="7B765BE2" w14:textId="77777777">
            <w:pPr>
              <w:numPr>
                <w:ilvl w:val="0"/>
                <w:numId w:val="12"/>
              </w:numPr>
              <w:spacing w:after="0" w:line="239" w:lineRule="auto"/>
              <w:ind w:hanging="180"/>
            </w:pPr>
            <w:r>
              <w:rPr>
                <w:sz w:val="22"/>
              </w:rPr>
              <w:t xml:space="preserve">To date, nonresponse-adjusted weights have not been needed for ICH CAHPS.  </w:t>
            </w:r>
          </w:p>
          <w:p w:rsidR="005D6B79" w14:paraId="06AFECEF" w14:textId="77777777">
            <w:pPr>
              <w:spacing w:after="0" w:line="259" w:lineRule="auto"/>
              <w:ind w:left="881" w:firstLine="0"/>
            </w:pPr>
            <w:r>
              <w:rPr>
                <w:sz w:val="22"/>
              </w:rPr>
              <w:t xml:space="preserve"> </w:t>
            </w:r>
          </w:p>
        </w:tc>
      </w:tr>
    </w:tbl>
    <w:p w:rsidR="005D6B79" w14:paraId="64002367" w14:textId="77777777">
      <w:pPr>
        <w:spacing w:after="99" w:line="259" w:lineRule="auto"/>
        <w:ind w:left="928" w:firstLine="0"/>
      </w:pPr>
      <w:r>
        <w:t xml:space="preserve"> </w:t>
      </w:r>
    </w:p>
    <w:p w:rsidR="005D6B79" w14:paraId="745B10E3" w14:textId="77777777">
      <w:pPr>
        <w:ind w:left="203" w:right="2" w:firstLine="710"/>
      </w:pPr>
      <w:r>
        <w:rPr>
          <w:b/>
        </w:rPr>
        <w:t>Exhibit A.5</w:t>
      </w:r>
      <w:r>
        <w:t xml:space="preserve"> provides an overview of the project schedule, including data collection and analysis.  </w:t>
      </w:r>
    </w:p>
    <w:p w:rsidR="005D6B79" w14:paraId="64A3D8F0" w14:textId="77777777">
      <w:pPr>
        <w:pStyle w:val="Heading1"/>
        <w:ind w:left="216" w:right="0"/>
      </w:pPr>
      <w:r>
        <w:t xml:space="preserve">Exhibit </w:t>
      </w:r>
      <w:r>
        <w:t>A.5  Proposed</w:t>
      </w:r>
      <w:r>
        <w:t xml:space="preserve"> Project Timeline </w:t>
      </w:r>
    </w:p>
    <w:tbl>
      <w:tblPr>
        <w:tblStyle w:val="TableGrid"/>
        <w:tblW w:w="7034" w:type="dxa"/>
        <w:tblInd w:w="1272" w:type="dxa"/>
        <w:tblCellMar>
          <w:top w:w="63" w:type="dxa"/>
          <w:left w:w="107" w:type="dxa"/>
          <w:bottom w:w="0" w:type="dxa"/>
          <w:right w:w="48" w:type="dxa"/>
        </w:tblCellMar>
        <w:tblLook w:val="04A0"/>
      </w:tblPr>
      <w:tblGrid>
        <w:gridCol w:w="1821"/>
        <w:gridCol w:w="683"/>
        <w:gridCol w:w="710"/>
        <w:gridCol w:w="657"/>
        <w:gridCol w:w="643"/>
        <w:gridCol w:w="670"/>
        <w:gridCol w:w="590"/>
        <w:gridCol w:w="630"/>
        <w:gridCol w:w="630"/>
      </w:tblGrid>
      <w:tr w14:paraId="264093CA" w14:textId="77777777">
        <w:tblPrEx>
          <w:tblW w:w="7034" w:type="dxa"/>
          <w:tblInd w:w="1272" w:type="dxa"/>
          <w:tblCellMar>
            <w:top w:w="63" w:type="dxa"/>
            <w:left w:w="107" w:type="dxa"/>
            <w:bottom w:w="0" w:type="dxa"/>
            <w:right w:w="48" w:type="dxa"/>
          </w:tblCellMar>
          <w:tblLook w:val="04A0"/>
        </w:tblPrEx>
        <w:trPr>
          <w:trHeight w:val="287"/>
        </w:trPr>
        <w:tc>
          <w:tcPr>
            <w:tcW w:w="1820" w:type="dxa"/>
            <w:vMerge w:val="restart"/>
            <w:tcBorders>
              <w:top w:val="single" w:sz="4" w:space="0" w:color="181717"/>
              <w:left w:val="single" w:sz="4" w:space="0" w:color="181717"/>
              <w:bottom w:val="single" w:sz="4" w:space="0" w:color="181717"/>
              <w:right w:val="single" w:sz="4" w:space="0" w:color="181717"/>
            </w:tcBorders>
          </w:tcPr>
          <w:p w:rsidR="005D6B79" w14:paraId="7CC64E6B" w14:textId="77777777">
            <w:pPr>
              <w:spacing w:after="0" w:line="259" w:lineRule="auto"/>
              <w:ind w:left="712" w:firstLine="0"/>
            </w:pPr>
            <w:r>
              <w:rPr>
                <w:b/>
              </w:rPr>
              <w:t xml:space="preserve">Tasks  </w:t>
            </w:r>
          </w:p>
        </w:tc>
        <w:tc>
          <w:tcPr>
            <w:tcW w:w="683" w:type="dxa"/>
            <w:tcBorders>
              <w:top w:val="single" w:sz="4" w:space="0" w:color="181717"/>
              <w:left w:val="single" w:sz="4" w:space="0" w:color="181717"/>
              <w:bottom w:val="single" w:sz="4" w:space="0" w:color="181717"/>
              <w:right w:val="nil"/>
            </w:tcBorders>
          </w:tcPr>
          <w:p w:rsidR="005D6B79" w14:paraId="5EBB59E7" w14:textId="77777777">
            <w:pPr>
              <w:spacing w:after="160" w:line="259" w:lineRule="auto"/>
              <w:ind w:left="0" w:firstLine="0"/>
            </w:pPr>
          </w:p>
        </w:tc>
        <w:tc>
          <w:tcPr>
            <w:tcW w:w="710" w:type="dxa"/>
            <w:tcBorders>
              <w:top w:val="single" w:sz="4" w:space="0" w:color="181717"/>
              <w:left w:val="nil"/>
              <w:bottom w:val="single" w:sz="4" w:space="0" w:color="181717"/>
              <w:right w:val="nil"/>
            </w:tcBorders>
          </w:tcPr>
          <w:p w:rsidR="005D6B79" w14:paraId="5474D6A6" w14:textId="77777777">
            <w:pPr>
              <w:spacing w:after="160" w:line="259" w:lineRule="auto"/>
              <w:ind w:left="0" w:firstLine="0"/>
            </w:pPr>
          </w:p>
        </w:tc>
        <w:tc>
          <w:tcPr>
            <w:tcW w:w="2560" w:type="dxa"/>
            <w:gridSpan w:val="4"/>
            <w:tcBorders>
              <w:top w:val="single" w:sz="4" w:space="0" w:color="181717"/>
              <w:left w:val="nil"/>
              <w:bottom w:val="single" w:sz="4" w:space="0" w:color="181717"/>
              <w:right w:val="nil"/>
            </w:tcBorders>
          </w:tcPr>
          <w:p w:rsidR="005D6B79" w14:paraId="215B6F14" w14:textId="77777777">
            <w:pPr>
              <w:spacing w:after="0" w:line="259" w:lineRule="auto"/>
              <w:ind w:left="0" w:right="195" w:firstLine="0"/>
              <w:jc w:val="center"/>
            </w:pPr>
            <w:r>
              <w:rPr>
                <w:b/>
              </w:rPr>
              <w:t xml:space="preserve">Project Month </w:t>
            </w:r>
          </w:p>
        </w:tc>
        <w:tc>
          <w:tcPr>
            <w:tcW w:w="630" w:type="dxa"/>
            <w:tcBorders>
              <w:top w:val="single" w:sz="4" w:space="0" w:color="181717"/>
              <w:left w:val="nil"/>
              <w:bottom w:val="single" w:sz="4" w:space="0" w:color="181717"/>
              <w:right w:val="nil"/>
            </w:tcBorders>
          </w:tcPr>
          <w:p w:rsidR="005D6B79" w14:paraId="4BC124C3" w14:textId="77777777">
            <w:pPr>
              <w:spacing w:after="160" w:line="259" w:lineRule="auto"/>
              <w:ind w:left="0" w:firstLine="0"/>
            </w:pPr>
          </w:p>
        </w:tc>
        <w:tc>
          <w:tcPr>
            <w:tcW w:w="630" w:type="dxa"/>
            <w:tcBorders>
              <w:top w:val="single" w:sz="4" w:space="0" w:color="181717"/>
              <w:left w:val="nil"/>
              <w:bottom w:val="single" w:sz="4" w:space="0" w:color="181717"/>
              <w:right w:val="single" w:sz="4" w:space="0" w:color="181717"/>
            </w:tcBorders>
          </w:tcPr>
          <w:p w:rsidR="005D6B79" w14:paraId="4BAC2627" w14:textId="77777777">
            <w:pPr>
              <w:spacing w:after="160" w:line="259" w:lineRule="auto"/>
              <w:ind w:left="0" w:firstLine="0"/>
            </w:pPr>
          </w:p>
        </w:tc>
      </w:tr>
      <w:tr w14:paraId="6B23BE2F" w14:textId="77777777">
        <w:tblPrEx>
          <w:tblW w:w="7034" w:type="dxa"/>
          <w:tblInd w:w="1272" w:type="dxa"/>
          <w:tblCellMar>
            <w:top w:w="63" w:type="dxa"/>
            <w:left w:w="107" w:type="dxa"/>
            <w:bottom w:w="0" w:type="dxa"/>
            <w:right w:w="48" w:type="dxa"/>
          </w:tblCellMar>
          <w:tblLook w:val="04A0"/>
        </w:tblPrEx>
        <w:trPr>
          <w:trHeight w:val="286"/>
        </w:trPr>
        <w:tc>
          <w:tcPr>
            <w:tcW w:w="0" w:type="auto"/>
            <w:vMerge/>
            <w:tcBorders>
              <w:top w:val="nil"/>
              <w:left w:val="single" w:sz="4" w:space="0" w:color="181717"/>
              <w:bottom w:val="single" w:sz="4" w:space="0" w:color="181717"/>
              <w:right w:val="single" w:sz="4" w:space="0" w:color="181717"/>
            </w:tcBorders>
          </w:tcPr>
          <w:p w:rsidR="005D6B79" w14:paraId="16727C42" w14:textId="77777777">
            <w:pPr>
              <w:spacing w:after="160" w:line="259" w:lineRule="auto"/>
              <w:ind w:left="0" w:firstLine="0"/>
            </w:pPr>
          </w:p>
        </w:tc>
        <w:tc>
          <w:tcPr>
            <w:tcW w:w="683" w:type="dxa"/>
            <w:tcBorders>
              <w:top w:val="single" w:sz="4" w:space="0" w:color="181717"/>
              <w:left w:val="single" w:sz="4" w:space="0" w:color="181717"/>
              <w:bottom w:val="single" w:sz="4" w:space="0" w:color="181717"/>
              <w:right w:val="single" w:sz="4" w:space="0" w:color="181717"/>
            </w:tcBorders>
          </w:tcPr>
          <w:p w:rsidR="005D6B79" w14:paraId="4115BB94" w14:textId="77777777">
            <w:pPr>
              <w:spacing w:after="0" w:line="259" w:lineRule="auto"/>
              <w:ind w:left="0" w:firstLine="0"/>
              <w:jc w:val="both"/>
            </w:pPr>
            <w:r>
              <w:rPr>
                <w:b/>
              </w:rPr>
              <w:t xml:space="preserve">May </w:t>
            </w:r>
          </w:p>
        </w:tc>
        <w:tc>
          <w:tcPr>
            <w:tcW w:w="710" w:type="dxa"/>
            <w:tcBorders>
              <w:top w:val="single" w:sz="4" w:space="0" w:color="181717"/>
              <w:left w:val="single" w:sz="4" w:space="0" w:color="181717"/>
              <w:bottom w:val="single" w:sz="4" w:space="0" w:color="181717"/>
              <w:right w:val="single" w:sz="4" w:space="0" w:color="181717"/>
            </w:tcBorders>
          </w:tcPr>
          <w:p w:rsidR="005D6B79" w14:paraId="79CA012B" w14:textId="77777777">
            <w:pPr>
              <w:spacing w:after="0" w:line="259" w:lineRule="auto"/>
              <w:ind w:left="1" w:firstLine="0"/>
              <w:jc w:val="both"/>
            </w:pPr>
            <w:r>
              <w:rPr>
                <w:b/>
              </w:rPr>
              <w:t xml:space="preserve">June </w:t>
            </w:r>
          </w:p>
        </w:tc>
        <w:tc>
          <w:tcPr>
            <w:tcW w:w="657" w:type="dxa"/>
            <w:tcBorders>
              <w:top w:val="single" w:sz="4" w:space="0" w:color="181717"/>
              <w:left w:val="single" w:sz="4" w:space="0" w:color="181717"/>
              <w:bottom w:val="single" w:sz="4" w:space="0" w:color="181717"/>
              <w:right w:val="single" w:sz="4" w:space="0" w:color="181717"/>
            </w:tcBorders>
          </w:tcPr>
          <w:p w:rsidR="005D6B79" w14:paraId="559BB7BF" w14:textId="77777777">
            <w:pPr>
              <w:spacing w:after="0" w:line="259" w:lineRule="auto"/>
              <w:ind w:left="0" w:firstLine="0"/>
            </w:pPr>
            <w:r>
              <w:rPr>
                <w:b/>
              </w:rPr>
              <w:t xml:space="preserve">July </w:t>
            </w:r>
          </w:p>
        </w:tc>
        <w:tc>
          <w:tcPr>
            <w:tcW w:w="643" w:type="dxa"/>
            <w:tcBorders>
              <w:top w:val="single" w:sz="4" w:space="0" w:color="181717"/>
              <w:left w:val="single" w:sz="4" w:space="0" w:color="181717"/>
              <w:bottom w:val="single" w:sz="4" w:space="0" w:color="181717"/>
              <w:right w:val="single" w:sz="4" w:space="0" w:color="181717"/>
            </w:tcBorders>
          </w:tcPr>
          <w:p w:rsidR="005D6B79" w14:paraId="51E4EE3B" w14:textId="77777777">
            <w:pPr>
              <w:spacing w:after="0" w:line="259" w:lineRule="auto"/>
              <w:ind w:left="1" w:firstLine="0"/>
              <w:jc w:val="both"/>
            </w:pPr>
            <w:r>
              <w:rPr>
                <w:b/>
              </w:rPr>
              <w:t xml:space="preserve">Aug </w:t>
            </w:r>
          </w:p>
        </w:tc>
        <w:tc>
          <w:tcPr>
            <w:tcW w:w="670" w:type="dxa"/>
            <w:tcBorders>
              <w:top w:val="single" w:sz="4" w:space="0" w:color="181717"/>
              <w:left w:val="single" w:sz="4" w:space="0" w:color="181717"/>
              <w:bottom w:val="single" w:sz="4" w:space="0" w:color="181717"/>
              <w:right w:val="single" w:sz="4" w:space="0" w:color="181717"/>
            </w:tcBorders>
          </w:tcPr>
          <w:p w:rsidR="005D6B79" w14:paraId="56943116" w14:textId="77777777">
            <w:pPr>
              <w:spacing w:after="0" w:line="259" w:lineRule="auto"/>
              <w:ind w:left="1" w:firstLine="0"/>
            </w:pPr>
            <w:r>
              <w:rPr>
                <w:b/>
              </w:rPr>
              <w:t xml:space="preserve">Sept </w:t>
            </w:r>
          </w:p>
        </w:tc>
        <w:tc>
          <w:tcPr>
            <w:tcW w:w="590" w:type="dxa"/>
            <w:tcBorders>
              <w:top w:val="single" w:sz="4" w:space="0" w:color="181717"/>
              <w:left w:val="single" w:sz="4" w:space="0" w:color="181717"/>
              <w:bottom w:val="single" w:sz="4" w:space="0" w:color="181717"/>
              <w:right w:val="single" w:sz="4" w:space="0" w:color="181717"/>
            </w:tcBorders>
          </w:tcPr>
          <w:p w:rsidR="005D6B79" w14:paraId="0E2C092A" w14:textId="77777777">
            <w:pPr>
              <w:spacing w:after="0" w:line="259" w:lineRule="auto"/>
              <w:ind w:left="1" w:firstLine="0"/>
              <w:jc w:val="both"/>
            </w:pPr>
            <w:r>
              <w:rPr>
                <w:b/>
              </w:rPr>
              <w:t xml:space="preserve">Oct </w:t>
            </w:r>
          </w:p>
        </w:tc>
        <w:tc>
          <w:tcPr>
            <w:tcW w:w="630" w:type="dxa"/>
            <w:tcBorders>
              <w:top w:val="single" w:sz="4" w:space="0" w:color="181717"/>
              <w:left w:val="single" w:sz="4" w:space="0" w:color="181717"/>
              <w:bottom w:val="single" w:sz="4" w:space="0" w:color="181717"/>
              <w:right w:val="single" w:sz="4" w:space="0" w:color="181717"/>
            </w:tcBorders>
          </w:tcPr>
          <w:p w:rsidR="005D6B79" w14:paraId="4A684083" w14:textId="77777777">
            <w:pPr>
              <w:spacing w:after="0" w:line="259" w:lineRule="auto"/>
              <w:ind w:left="1" w:firstLine="0"/>
              <w:jc w:val="both"/>
            </w:pPr>
            <w:r>
              <w:rPr>
                <w:b/>
              </w:rPr>
              <w:t xml:space="preserve">Nov </w:t>
            </w:r>
          </w:p>
        </w:tc>
        <w:tc>
          <w:tcPr>
            <w:tcW w:w="630" w:type="dxa"/>
            <w:tcBorders>
              <w:top w:val="single" w:sz="4" w:space="0" w:color="181717"/>
              <w:left w:val="single" w:sz="4" w:space="0" w:color="181717"/>
              <w:bottom w:val="single" w:sz="4" w:space="0" w:color="181717"/>
              <w:right w:val="single" w:sz="4" w:space="0" w:color="181717"/>
            </w:tcBorders>
          </w:tcPr>
          <w:p w:rsidR="005D6B79" w14:paraId="1C7FBA88" w14:textId="77777777">
            <w:pPr>
              <w:spacing w:after="0" w:line="259" w:lineRule="auto"/>
              <w:ind w:left="14" w:firstLine="0"/>
            </w:pPr>
            <w:r>
              <w:rPr>
                <w:b/>
              </w:rPr>
              <w:t xml:space="preserve">Dec </w:t>
            </w:r>
          </w:p>
        </w:tc>
      </w:tr>
      <w:tr w14:paraId="08708995" w14:textId="77777777">
        <w:tblPrEx>
          <w:tblW w:w="7034" w:type="dxa"/>
          <w:tblInd w:w="1272" w:type="dxa"/>
          <w:tblCellMar>
            <w:top w:w="63" w:type="dxa"/>
            <w:left w:w="107" w:type="dxa"/>
            <w:bottom w:w="0" w:type="dxa"/>
            <w:right w:w="48" w:type="dxa"/>
          </w:tblCellMar>
          <w:tblLook w:val="04A0"/>
        </w:tblPrEx>
        <w:trPr>
          <w:trHeight w:val="286"/>
        </w:trPr>
        <w:tc>
          <w:tcPr>
            <w:tcW w:w="1820" w:type="dxa"/>
            <w:tcBorders>
              <w:top w:val="single" w:sz="4" w:space="0" w:color="181717"/>
              <w:left w:val="single" w:sz="4" w:space="0" w:color="181717"/>
              <w:bottom w:val="single" w:sz="4" w:space="0" w:color="181717"/>
              <w:right w:val="single" w:sz="4" w:space="0" w:color="181717"/>
            </w:tcBorders>
          </w:tcPr>
          <w:p w:rsidR="005D6B79" w14:paraId="5543F58D" w14:textId="77777777">
            <w:pPr>
              <w:spacing w:after="0" w:line="259" w:lineRule="auto"/>
              <w:ind w:left="1" w:firstLine="0"/>
            </w:pPr>
            <w:r>
              <w:t xml:space="preserve">Conduct Survey </w:t>
            </w:r>
          </w:p>
        </w:tc>
        <w:tc>
          <w:tcPr>
            <w:tcW w:w="683" w:type="dxa"/>
            <w:tcBorders>
              <w:top w:val="single" w:sz="4" w:space="0" w:color="181717"/>
              <w:left w:val="single" w:sz="4" w:space="0" w:color="181717"/>
              <w:bottom w:val="single" w:sz="4" w:space="0" w:color="181717"/>
              <w:right w:val="single" w:sz="4" w:space="0" w:color="181717"/>
            </w:tcBorders>
          </w:tcPr>
          <w:p w:rsidR="005D6B79" w14:paraId="2B301264" w14:textId="77777777">
            <w:pPr>
              <w:spacing w:after="0" w:line="259" w:lineRule="auto"/>
              <w:ind w:left="0" w:right="62" w:firstLine="0"/>
              <w:jc w:val="center"/>
            </w:pPr>
            <w:r>
              <w:t xml:space="preserve">X </w:t>
            </w:r>
          </w:p>
        </w:tc>
        <w:tc>
          <w:tcPr>
            <w:tcW w:w="710" w:type="dxa"/>
            <w:tcBorders>
              <w:top w:val="single" w:sz="4" w:space="0" w:color="181717"/>
              <w:left w:val="single" w:sz="4" w:space="0" w:color="181717"/>
              <w:bottom w:val="single" w:sz="4" w:space="0" w:color="181717"/>
              <w:right w:val="single" w:sz="4" w:space="0" w:color="181717"/>
            </w:tcBorders>
          </w:tcPr>
          <w:p w:rsidR="005D6B79" w14:paraId="6E3E5CF1" w14:textId="77777777">
            <w:pPr>
              <w:spacing w:after="0" w:line="259" w:lineRule="auto"/>
              <w:ind w:left="0" w:right="58" w:firstLine="0"/>
              <w:jc w:val="center"/>
            </w:pPr>
            <w:r>
              <w:t xml:space="preserve">X </w:t>
            </w:r>
          </w:p>
        </w:tc>
        <w:tc>
          <w:tcPr>
            <w:tcW w:w="657" w:type="dxa"/>
            <w:tcBorders>
              <w:top w:val="single" w:sz="4" w:space="0" w:color="181717"/>
              <w:left w:val="single" w:sz="4" w:space="0" w:color="181717"/>
              <w:bottom w:val="single" w:sz="4" w:space="0" w:color="181717"/>
              <w:right w:val="single" w:sz="4" w:space="0" w:color="181717"/>
            </w:tcBorders>
          </w:tcPr>
          <w:p w:rsidR="005D6B79" w14:paraId="698088DA" w14:textId="77777777">
            <w:pPr>
              <w:spacing w:after="0" w:line="259" w:lineRule="auto"/>
              <w:ind w:left="0" w:right="60" w:firstLine="0"/>
              <w:jc w:val="center"/>
            </w:pPr>
            <w:r>
              <w:t xml:space="preserve">X </w:t>
            </w:r>
          </w:p>
        </w:tc>
        <w:tc>
          <w:tcPr>
            <w:tcW w:w="643" w:type="dxa"/>
            <w:tcBorders>
              <w:top w:val="single" w:sz="4" w:space="0" w:color="181717"/>
              <w:left w:val="single" w:sz="4" w:space="0" w:color="181717"/>
              <w:bottom w:val="single" w:sz="4" w:space="0" w:color="181717"/>
              <w:right w:val="single" w:sz="4" w:space="0" w:color="181717"/>
            </w:tcBorders>
          </w:tcPr>
          <w:p w:rsidR="005D6B79" w14:paraId="030F046A" w14:textId="77777777">
            <w:pPr>
              <w:spacing w:after="0" w:line="259" w:lineRule="auto"/>
              <w:ind w:left="0" w:right="60" w:firstLine="0"/>
              <w:jc w:val="center"/>
            </w:pPr>
            <w:r>
              <w:t xml:space="preserve">- </w:t>
            </w:r>
          </w:p>
        </w:tc>
        <w:tc>
          <w:tcPr>
            <w:tcW w:w="670" w:type="dxa"/>
            <w:tcBorders>
              <w:top w:val="single" w:sz="4" w:space="0" w:color="181717"/>
              <w:left w:val="single" w:sz="4" w:space="0" w:color="181717"/>
              <w:bottom w:val="single" w:sz="4" w:space="0" w:color="181717"/>
              <w:right w:val="single" w:sz="4" w:space="0" w:color="181717"/>
            </w:tcBorders>
          </w:tcPr>
          <w:p w:rsidR="005D6B79" w14:paraId="72291B97" w14:textId="77777777">
            <w:pPr>
              <w:spacing w:after="0" w:line="259" w:lineRule="auto"/>
              <w:ind w:left="0" w:right="60" w:firstLine="0"/>
              <w:jc w:val="center"/>
            </w:pPr>
            <w:r>
              <w:t xml:space="preserve">- </w:t>
            </w:r>
          </w:p>
        </w:tc>
        <w:tc>
          <w:tcPr>
            <w:tcW w:w="590" w:type="dxa"/>
            <w:tcBorders>
              <w:top w:val="single" w:sz="4" w:space="0" w:color="181717"/>
              <w:left w:val="single" w:sz="4" w:space="0" w:color="181717"/>
              <w:bottom w:val="single" w:sz="4" w:space="0" w:color="181717"/>
              <w:right w:val="single" w:sz="4" w:space="0" w:color="181717"/>
            </w:tcBorders>
          </w:tcPr>
          <w:p w:rsidR="005D6B79" w14:paraId="2E145BD5" w14:textId="77777777">
            <w:pPr>
              <w:spacing w:after="0" w:line="259" w:lineRule="auto"/>
              <w:ind w:left="0" w:right="60" w:firstLine="0"/>
              <w:jc w:val="center"/>
            </w:pPr>
            <w:r>
              <w:t xml:space="preserve">- </w:t>
            </w:r>
          </w:p>
        </w:tc>
        <w:tc>
          <w:tcPr>
            <w:tcW w:w="630" w:type="dxa"/>
            <w:tcBorders>
              <w:top w:val="single" w:sz="4" w:space="0" w:color="181717"/>
              <w:left w:val="single" w:sz="4" w:space="0" w:color="181717"/>
              <w:bottom w:val="single" w:sz="4" w:space="0" w:color="181717"/>
              <w:right w:val="single" w:sz="4" w:space="0" w:color="181717"/>
            </w:tcBorders>
          </w:tcPr>
          <w:p w:rsidR="005D6B79" w14:paraId="5E13BB0A" w14:textId="77777777">
            <w:pPr>
              <w:spacing w:after="0" w:line="259" w:lineRule="auto"/>
              <w:ind w:left="0" w:right="59" w:firstLine="0"/>
              <w:jc w:val="center"/>
            </w:pPr>
            <w:r>
              <w:t xml:space="preserve">- </w:t>
            </w:r>
          </w:p>
        </w:tc>
        <w:tc>
          <w:tcPr>
            <w:tcW w:w="630" w:type="dxa"/>
            <w:tcBorders>
              <w:top w:val="single" w:sz="4" w:space="0" w:color="181717"/>
              <w:left w:val="single" w:sz="4" w:space="0" w:color="181717"/>
              <w:bottom w:val="single" w:sz="4" w:space="0" w:color="181717"/>
              <w:right w:val="single" w:sz="4" w:space="0" w:color="181717"/>
            </w:tcBorders>
          </w:tcPr>
          <w:p w:rsidR="005D6B79" w14:paraId="35FB6578" w14:textId="77777777">
            <w:pPr>
              <w:spacing w:after="0" w:line="259" w:lineRule="auto"/>
              <w:ind w:left="0" w:right="59" w:firstLine="0"/>
              <w:jc w:val="center"/>
            </w:pPr>
            <w:r>
              <w:t xml:space="preserve">- </w:t>
            </w:r>
          </w:p>
        </w:tc>
      </w:tr>
      <w:tr w14:paraId="0420BF89" w14:textId="77777777">
        <w:tblPrEx>
          <w:tblW w:w="7034" w:type="dxa"/>
          <w:tblInd w:w="1272" w:type="dxa"/>
          <w:tblCellMar>
            <w:top w:w="63" w:type="dxa"/>
            <w:left w:w="107" w:type="dxa"/>
            <w:bottom w:w="0" w:type="dxa"/>
            <w:right w:w="48" w:type="dxa"/>
          </w:tblCellMar>
          <w:tblLook w:val="04A0"/>
        </w:tblPrEx>
        <w:trPr>
          <w:trHeight w:val="287"/>
        </w:trPr>
        <w:tc>
          <w:tcPr>
            <w:tcW w:w="1820" w:type="dxa"/>
            <w:tcBorders>
              <w:top w:val="single" w:sz="4" w:space="0" w:color="181717"/>
              <w:left w:val="single" w:sz="4" w:space="0" w:color="181717"/>
              <w:bottom w:val="single" w:sz="4" w:space="0" w:color="181717"/>
              <w:right w:val="single" w:sz="4" w:space="0" w:color="181717"/>
            </w:tcBorders>
          </w:tcPr>
          <w:p w:rsidR="005D6B79" w14:paraId="605ADC90" w14:textId="77777777">
            <w:pPr>
              <w:spacing w:after="0" w:line="259" w:lineRule="auto"/>
              <w:ind w:left="1" w:firstLine="0"/>
            </w:pPr>
            <w:r>
              <w:t xml:space="preserve">Data Cleaning </w:t>
            </w:r>
          </w:p>
        </w:tc>
        <w:tc>
          <w:tcPr>
            <w:tcW w:w="683" w:type="dxa"/>
            <w:tcBorders>
              <w:top w:val="single" w:sz="4" w:space="0" w:color="181717"/>
              <w:left w:val="single" w:sz="4" w:space="0" w:color="181717"/>
              <w:bottom w:val="single" w:sz="4" w:space="0" w:color="181717"/>
              <w:right w:val="single" w:sz="4" w:space="0" w:color="181717"/>
            </w:tcBorders>
          </w:tcPr>
          <w:p w:rsidR="005D6B79" w14:paraId="18CC6C70" w14:textId="77777777">
            <w:pPr>
              <w:spacing w:after="0" w:line="259" w:lineRule="auto"/>
              <w:ind w:left="0" w:right="62" w:firstLine="0"/>
              <w:jc w:val="center"/>
            </w:pPr>
            <w:r>
              <w:t xml:space="preserve">- </w:t>
            </w:r>
          </w:p>
        </w:tc>
        <w:tc>
          <w:tcPr>
            <w:tcW w:w="710" w:type="dxa"/>
            <w:tcBorders>
              <w:top w:val="single" w:sz="4" w:space="0" w:color="181717"/>
              <w:left w:val="single" w:sz="4" w:space="0" w:color="181717"/>
              <w:bottom w:val="single" w:sz="4" w:space="0" w:color="181717"/>
              <w:right w:val="single" w:sz="4" w:space="0" w:color="181717"/>
            </w:tcBorders>
          </w:tcPr>
          <w:p w:rsidR="005D6B79" w14:paraId="7568BC48" w14:textId="77777777">
            <w:pPr>
              <w:spacing w:after="0" w:line="259" w:lineRule="auto"/>
              <w:ind w:left="0" w:right="60" w:firstLine="0"/>
              <w:jc w:val="center"/>
            </w:pPr>
            <w:r>
              <w:t xml:space="preserve">- </w:t>
            </w:r>
          </w:p>
        </w:tc>
        <w:tc>
          <w:tcPr>
            <w:tcW w:w="657" w:type="dxa"/>
            <w:tcBorders>
              <w:top w:val="single" w:sz="4" w:space="0" w:color="181717"/>
              <w:left w:val="single" w:sz="4" w:space="0" w:color="181717"/>
              <w:bottom w:val="single" w:sz="4" w:space="0" w:color="181717"/>
              <w:right w:val="single" w:sz="4" w:space="0" w:color="181717"/>
            </w:tcBorders>
          </w:tcPr>
          <w:p w:rsidR="005D6B79" w14:paraId="4E0C0DD1" w14:textId="77777777">
            <w:pPr>
              <w:spacing w:after="0" w:line="259" w:lineRule="auto"/>
              <w:ind w:left="0" w:right="62" w:firstLine="0"/>
              <w:jc w:val="center"/>
            </w:pPr>
            <w:r>
              <w:t xml:space="preserve">- </w:t>
            </w:r>
          </w:p>
        </w:tc>
        <w:tc>
          <w:tcPr>
            <w:tcW w:w="643" w:type="dxa"/>
            <w:tcBorders>
              <w:top w:val="single" w:sz="4" w:space="0" w:color="181717"/>
              <w:left w:val="single" w:sz="4" w:space="0" w:color="181717"/>
              <w:bottom w:val="single" w:sz="4" w:space="0" w:color="181717"/>
              <w:right w:val="single" w:sz="4" w:space="0" w:color="181717"/>
            </w:tcBorders>
          </w:tcPr>
          <w:p w:rsidR="005D6B79" w14:paraId="3F7AE7EA" w14:textId="77777777">
            <w:pPr>
              <w:spacing w:after="0" w:line="259" w:lineRule="auto"/>
              <w:ind w:left="0" w:right="58" w:firstLine="0"/>
              <w:jc w:val="center"/>
            </w:pPr>
            <w:r>
              <w:t xml:space="preserve">X </w:t>
            </w:r>
          </w:p>
        </w:tc>
        <w:tc>
          <w:tcPr>
            <w:tcW w:w="670" w:type="dxa"/>
            <w:tcBorders>
              <w:top w:val="single" w:sz="4" w:space="0" w:color="181717"/>
              <w:left w:val="single" w:sz="4" w:space="0" w:color="181717"/>
              <w:bottom w:val="single" w:sz="4" w:space="0" w:color="181717"/>
              <w:right w:val="single" w:sz="4" w:space="0" w:color="181717"/>
            </w:tcBorders>
          </w:tcPr>
          <w:p w:rsidR="005D6B79" w14:paraId="691FBF71" w14:textId="77777777">
            <w:pPr>
              <w:spacing w:after="0" w:line="259" w:lineRule="auto"/>
              <w:ind w:left="0" w:right="60" w:firstLine="0"/>
              <w:jc w:val="center"/>
            </w:pPr>
            <w:r>
              <w:t xml:space="preserve">- </w:t>
            </w:r>
          </w:p>
        </w:tc>
        <w:tc>
          <w:tcPr>
            <w:tcW w:w="590" w:type="dxa"/>
            <w:tcBorders>
              <w:top w:val="single" w:sz="4" w:space="0" w:color="181717"/>
              <w:left w:val="single" w:sz="4" w:space="0" w:color="181717"/>
              <w:bottom w:val="single" w:sz="4" w:space="0" w:color="181717"/>
              <w:right w:val="single" w:sz="4" w:space="0" w:color="181717"/>
            </w:tcBorders>
          </w:tcPr>
          <w:p w:rsidR="005D6B79" w14:paraId="02003E2D" w14:textId="77777777">
            <w:pPr>
              <w:spacing w:after="0" w:line="259" w:lineRule="auto"/>
              <w:ind w:left="0" w:right="60" w:firstLine="0"/>
              <w:jc w:val="center"/>
            </w:pPr>
            <w:r>
              <w:t xml:space="preserve">- </w:t>
            </w:r>
          </w:p>
        </w:tc>
        <w:tc>
          <w:tcPr>
            <w:tcW w:w="630" w:type="dxa"/>
            <w:tcBorders>
              <w:top w:val="single" w:sz="4" w:space="0" w:color="181717"/>
              <w:left w:val="single" w:sz="4" w:space="0" w:color="181717"/>
              <w:bottom w:val="single" w:sz="4" w:space="0" w:color="181717"/>
              <w:right w:val="single" w:sz="4" w:space="0" w:color="181717"/>
            </w:tcBorders>
          </w:tcPr>
          <w:p w:rsidR="005D6B79" w14:paraId="5E5DFBF1" w14:textId="77777777">
            <w:pPr>
              <w:spacing w:after="0" w:line="259" w:lineRule="auto"/>
              <w:ind w:left="0" w:right="59" w:firstLine="0"/>
              <w:jc w:val="center"/>
            </w:pPr>
            <w:r>
              <w:t xml:space="preserve">- </w:t>
            </w:r>
          </w:p>
        </w:tc>
        <w:tc>
          <w:tcPr>
            <w:tcW w:w="630" w:type="dxa"/>
            <w:tcBorders>
              <w:top w:val="single" w:sz="4" w:space="0" w:color="181717"/>
              <w:left w:val="single" w:sz="4" w:space="0" w:color="181717"/>
              <w:bottom w:val="single" w:sz="4" w:space="0" w:color="181717"/>
              <w:right w:val="single" w:sz="4" w:space="0" w:color="181717"/>
            </w:tcBorders>
          </w:tcPr>
          <w:p w:rsidR="005D6B79" w14:paraId="56974436" w14:textId="77777777">
            <w:pPr>
              <w:spacing w:after="0" w:line="259" w:lineRule="auto"/>
              <w:ind w:left="0" w:right="59" w:firstLine="0"/>
              <w:jc w:val="center"/>
            </w:pPr>
            <w:r>
              <w:t xml:space="preserve">- </w:t>
            </w:r>
          </w:p>
        </w:tc>
      </w:tr>
      <w:tr w14:paraId="0069E1E4" w14:textId="77777777">
        <w:tblPrEx>
          <w:tblW w:w="7034" w:type="dxa"/>
          <w:tblInd w:w="1272" w:type="dxa"/>
          <w:tblCellMar>
            <w:top w:w="63" w:type="dxa"/>
            <w:left w:w="107" w:type="dxa"/>
            <w:bottom w:w="0" w:type="dxa"/>
            <w:right w:w="48" w:type="dxa"/>
          </w:tblCellMar>
          <w:tblLook w:val="04A0"/>
        </w:tblPrEx>
        <w:trPr>
          <w:trHeight w:val="286"/>
        </w:trPr>
        <w:tc>
          <w:tcPr>
            <w:tcW w:w="1820" w:type="dxa"/>
            <w:tcBorders>
              <w:top w:val="single" w:sz="4" w:space="0" w:color="181717"/>
              <w:left w:val="single" w:sz="4" w:space="0" w:color="181717"/>
              <w:bottom w:val="single" w:sz="4" w:space="0" w:color="181717"/>
              <w:right w:val="single" w:sz="4" w:space="0" w:color="181717"/>
            </w:tcBorders>
          </w:tcPr>
          <w:p w:rsidR="005D6B79" w14:paraId="77609E2B" w14:textId="77777777">
            <w:pPr>
              <w:spacing w:after="0" w:line="259" w:lineRule="auto"/>
              <w:ind w:left="1" w:firstLine="0"/>
            </w:pPr>
            <w:r>
              <w:t xml:space="preserve">Data Analysis </w:t>
            </w:r>
          </w:p>
        </w:tc>
        <w:tc>
          <w:tcPr>
            <w:tcW w:w="683" w:type="dxa"/>
            <w:tcBorders>
              <w:top w:val="single" w:sz="4" w:space="0" w:color="181717"/>
              <w:left w:val="single" w:sz="4" w:space="0" w:color="181717"/>
              <w:bottom w:val="single" w:sz="4" w:space="0" w:color="181717"/>
              <w:right w:val="single" w:sz="4" w:space="0" w:color="181717"/>
            </w:tcBorders>
          </w:tcPr>
          <w:p w:rsidR="005D6B79" w14:paraId="50A0C8B0" w14:textId="77777777">
            <w:pPr>
              <w:spacing w:after="0" w:line="259" w:lineRule="auto"/>
              <w:ind w:left="0" w:right="62" w:firstLine="0"/>
              <w:jc w:val="center"/>
            </w:pPr>
            <w:r>
              <w:t xml:space="preserve">- </w:t>
            </w:r>
          </w:p>
        </w:tc>
        <w:tc>
          <w:tcPr>
            <w:tcW w:w="710" w:type="dxa"/>
            <w:tcBorders>
              <w:top w:val="single" w:sz="4" w:space="0" w:color="181717"/>
              <w:left w:val="single" w:sz="4" w:space="0" w:color="181717"/>
              <w:bottom w:val="single" w:sz="4" w:space="0" w:color="181717"/>
              <w:right w:val="single" w:sz="4" w:space="0" w:color="181717"/>
            </w:tcBorders>
          </w:tcPr>
          <w:p w:rsidR="005D6B79" w14:paraId="433FE586" w14:textId="77777777">
            <w:pPr>
              <w:spacing w:after="0" w:line="259" w:lineRule="auto"/>
              <w:ind w:left="0" w:right="60" w:firstLine="0"/>
              <w:jc w:val="center"/>
            </w:pPr>
            <w:r>
              <w:t xml:space="preserve">- </w:t>
            </w:r>
          </w:p>
        </w:tc>
        <w:tc>
          <w:tcPr>
            <w:tcW w:w="657" w:type="dxa"/>
            <w:tcBorders>
              <w:top w:val="single" w:sz="4" w:space="0" w:color="181717"/>
              <w:left w:val="single" w:sz="4" w:space="0" w:color="181717"/>
              <w:bottom w:val="single" w:sz="4" w:space="0" w:color="181717"/>
              <w:right w:val="single" w:sz="4" w:space="0" w:color="181717"/>
            </w:tcBorders>
          </w:tcPr>
          <w:p w:rsidR="005D6B79" w14:paraId="05551A81" w14:textId="77777777">
            <w:pPr>
              <w:spacing w:after="0" w:line="259" w:lineRule="auto"/>
              <w:ind w:left="0" w:right="62" w:firstLine="0"/>
              <w:jc w:val="center"/>
            </w:pPr>
            <w:r>
              <w:t xml:space="preserve">- </w:t>
            </w:r>
          </w:p>
        </w:tc>
        <w:tc>
          <w:tcPr>
            <w:tcW w:w="643" w:type="dxa"/>
            <w:tcBorders>
              <w:top w:val="single" w:sz="4" w:space="0" w:color="181717"/>
              <w:left w:val="single" w:sz="4" w:space="0" w:color="181717"/>
              <w:bottom w:val="single" w:sz="4" w:space="0" w:color="181717"/>
              <w:right w:val="single" w:sz="4" w:space="0" w:color="181717"/>
            </w:tcBorders>
          </w:tcPr>
          <w:p w:rsidR="005D6B79" w14:paraId="2CE66BA8" w14:textId="77777777">
            <w:pPr>
              <w:spacing w:after="0" w:line="259" w:lineRule="auto"/>
              <w:ind w:left="0" w:right="60" w:firstLine="0"/>
              <w:jc w:val="center"/>
            </w:pPr>
            <w:r>
              <w:t xml:space="preserve">- </w:t>
            </w:r>
          </w:p>
        </w:tc>
        <w:tc>
          <w:tcPr>
            <w:tcW w:w="670" w:type="dxa"/>
            <w:tcBorders>
              <w:top w:val="single" w:sz="4" w:space="0" w:color="181717"/>
              <w:left w:val="single" w:sz="4" w:space="0" w:color="181717"/>
              <w:bottom w:val="single" w:sz="4" w:space="0" w:color="181717"/>
              <w:right w:val="single" w:sz="4" w:space="0" w:color="181717"/>
            </w:tcBorders>
          </w:tcPr>
          <w:p w:rsidR="005D6B79" w14:paraId="1EBCC6A1" w14:textId="77777777">
            <w:pPr>
              <w:spacing w:after="0" w:line="259" w:lineRule="auto"/>
              <w:ind w:left="0" w:right="58" w:firstLine="0"/>
              <w:jc w:val="center"/>
            </w:pPr>
            <w:r>
              <w:t xml:space="preserve">X </w:t>
            </w:r>
          </w:p>
        </w:tc>
        <w:tc>
          <w:tcPr>
            <w:tcW w:w="590" w:type="dxa"/>
            <w:tcBorders>
              <w:top w:val="single" w:sz="4" w:space="0" w:color="181717"/>
              <w:left w:val="single" w:sz="4" w:space="0" w:color="181717"/>
              <w:bottom w:val="single" w:sz="4" w:space="0" w:color="181717"/>
              <w:right w:val="single" w:sz="4" w:space="0" w:color="181717"/>
            </w:tcBorders>
          </w:tcPr>
          <w:p w:rsidR="005D6B79" w14:paraId="4B1CC39D" w14:textId="77777777">
            <w:pPr>
              <w:spacing w:after="0" w:line="259" w:lineRule="auto"/>
              <w:ind w:left="102" w:firstLine="0"/>
            </w:pPr>
            <w:r>
              <w:t xml:space="preserve">X </w:t>
            </w:r>
          </w:p>
        </w:tc>
        <w:tc>
          <w:tcPr>
            <w:tcW w:w="630" w:type="dxa"/>
            <w:tcBorders>
              <w:top w:val="single" w:sz="4" w:space="0" w:color="181717"/>
              <w:left w:val="single" w:sz="4" w:space="0" w:color="181717"/>
              <w:bottom w:val="single" w:sz="4" w:space="0" w:color="181717"/>
              <w:right w:val="single" w:sz="4" w:space="0" w:color="181717"/>
            </w:tcBorders>
          </w:tcPr>
          <w:p w:rsidR="005D6B79" w14:paraId="29892F8F" w14:textId="77777777">
            <w:pPr>
              <w:spacing w:after="0" w:line="259" w:lineRule="auto"/>
              <w:ind w:left="121" w:firstLine="0"/>
            </w:pPr>
            <w:r>
              <w:t xml:space="preserve">X </w:t>
            </w:r>
          </w:p>
        </w:tc>
        <w:tc>
          <w:tcPr>
            <w:tcW w:w="630" w:type="dxa"/>
            <w:tcBorders>
              <w:top w:val="single" w:sz="4" w:space="0" w:color="181717"/>
              <w:left w:val="single" w:sz="4" w:space="0" w:color="181717"/>
              <w:bottom w:val="single" w:sz="4" w:space="0" w:color="181717"/>
              <w:right w:val="single" w:sz="4" w:space="0" w:color="181717"/>
            </w:tcBorders>
          </w:tcPr>
          <w:p w:rsidR="005D6B79" w14:paraId="0EF24C68" w14:textId="77777777">
            <w:pPr>
              <w:spacing w:after="0" w:line="259" w:lineRule="auto"/>
              <w:ind w:left="0" w:right="59" w:firstLine="0"/>
              <w:jc w:val="center"/>
            </w:pPr>
            <w:r>
              <w:t xml:space="preserve">- </w:t>
            </w:r>
          </w:p>
        </w:tc>
      </w:tr>
      <w:tr w14:paraId="419B04DE" w14:textId="77777777">
        <w:tblPrEx>
          <w:tblW w:w="7034" w:type="dxa"/>
          <w:tblInd w:w="1272" w:type="dxa"/>
          <w:tblCellMar>
            <w:top w:w="63" w:type="dxa"/>
            <w:left w:w="107" w:type="dxa"/>
            <w:bottom w:w="0" w:type="dxa"/>
            <w:right w:w="48" w:type="dxa"/>
          </w:tblCellMar>
          <w:tblLook w:val="04A0"/>
        </w:tblPrEx>
        <w:trPr>
          <w:trHeight w:val="286"/>
        </w:trPr>
        <w:tc>
          <w:tcPr>
            <w:tcW w:w="1820" w:type="dxa"/>
            <w:tcBorders>
              <w:top w:val="single" w:sz="4" w:space="0" w:color="181717"/>
              <w:left w:val="single" w:sz="4" w:space="0" w:color="181717"/>
              <w:bottom w:val="single" w:sz="4" w:space="0" w:color="181717"/>
              <w:right w:val="single" w:sz="4" w:space="0" w:color="181717"/>
            </w:tcBorders>
          </w:tcPr>
          <w:p w:rsidR="005D6B79" w14:paraId="790B8C77" w14:textId="77777777">
            <w:pPr>
              <w:spacing w:after="0" w:line="259" w:lineRule="auto"/>
              <w:ind w:left="1" w:firstLine="0"/>
            </w:pPr>
            <w:r>
              <w:t xml:space="preserve">Final Report  </w:t>
            </w:r>
          </w:p>
        </w:tc>
        <w:tc>
          <w:tcPr>
            <w:tcW w:w="683" w:type="dxa"/>
            <w:tcBorders>
              <w:top w:val="single" w:sz="4" w:space="0" w:color="181717"/>
              <w:left w:val="single" w:sz="4" w:space="0" w:color="181717"/>
              <w:bottom w:val="single" w:sz="4" w:space="0" w:color="181717"/>
              <w:right w:val="single" w:sz="4" w:space="0" w:color="181717"/>
            </w:tcBorders>
          </w:tcPr>
          <w:p w:rsidR="005D6B79" w14:paraId="4B18AA9E" w14:textId="77777777">
            <w:pPr>
              <w:spacing w:after="0" w:line="259" w:lineRule="auto"/>
              <w:ind w:left="0" w:right="62" w:firstLine="0"/>
              <w:jc w:val="center"/>
            </w:pPr>
            <w:r>
              <w:t xml:space="preserve">- </w:t>
            </w:r>
          </w:p>
        </w:tc>
        <w:tc>
          <w:tcPr>
            <w:tcW w:w="710" w:type="dxa"/>
            <w:tcBorders>
              <w:top w:val="single" w:sz="4" w:space="0" w:color="181717"/>
              <w:left w:val="single" w:sz="4" w:space="0" w:color="181717"/>
              <w:bottom w:val="single" w:sz="4" w:space="0" w:color="181717"/>
              <w:right w:val="single" w:sz="4" w:space="0" w:color="181717"/>
            </w:tcBorders>
          </w:tcPr>
          <w:p w:rsidR="005D6B79" w14:paraId="0C563B28" w14:textId="77777777">
            <w:pPr>
              <w:spacing w:after="0" w:line="259" w:lineRule="auto"/>
              <w:ind w:left="0" w:right="60" w:firstLine="0"/>
              <w:jc w:val="center"/>
            </w:pPr>
            <w:r>
              <w:t xml:space="preserve">- </w:t>
            </w:r>
          </w:p>
        </w:tc>
        <w:tc>
          <w:tcPr>
            <w:tcW w:w="657" w:type="dxa"/>
            <w:tcBorders>
              <w:top w:val="single" w:sz="4" w:space="0" w:color="181717"/>
              <w:left w:val="single" w:sz="4" w:space="0" w:color="181717"/>
              <w:bottom w:val="single" w:sz="4" w:space="0" w:color="181717"/>
              <w:right w:val="single" w:sz="4" w:space="0" w:color="181717"/>
            </w:tcBorders>
          </w:tcPr>
          <w:p w:rsidR="005D6B79" w14:paraId="63281325" w14:textId="77777777">
            <w:pPr>
              <w:spacing w:after="0" w:line="259" w:lineRule="auto"/>
              <w:ind w:left="0" w:right="62" w:firstLine="0"/>
              <w:jc w:val="center"/>
            </w:pPr>
            <w:r>
              <w:t xml:space="preserve">- </w:t>
            </w:r>
          </w:p>
        </w:tc>
        <w:tc>
          <w:tcPr>
            <w:tcW w:w="643" w:type="dxa"/>
            <w:tcBorders>
              <w:top w:val="single" w:sz="4" w:space="0" w:color="181717"/>
              <w:left w:val="single" w:sz="4" w:space="0" w:color="181717"/>
              <w:bottom w:val="single" w:sz="4" w:space="0" w:color="181717"/>
              <w:right w:val="single" w:sz="4" w:space="0" w:color="181717"/>
            </w:tcBorders>
          </w:tcPr>
          <w:p w:rsidR="005D6B79" w14:paraId="13735354" w14:textId="77777777">
            <w:pPr>
              <w:spacing w:after="0" w:line="259" w:lineRule="auto"/>
              <w:ind w:left="0" w:right="60" w:firstLine="0"/>
              <w:jc w:val="center"/>
            </w:pPr>
            <w:r>
              <w:t xml:space="preserve">- </w:t>
            </w:r>
          </w:p>
        </w:tc>
        <w:tc>
          <w:tcPr>
            <w:tcW w:w="670" w:type="dxa"/>
            <w:tcBorders>
              <w:top w:val="single" w:sz="4" w:space="0" w:color="181717"/>
              <w:left w:val="single" w:sz="4" w:space="0" w:color="181717"/>
              <w:bottom w:val="single" w:sz="4" w:space="0" w:color="181717"/>
              <w:right w:val="single" w:sz="4" w:space="0" w:color="181717"/>
            </w:tcBorders>
          </w:tcPr>
          <w:p w:rsidR="005D6B79" w14:paraId="4A506BAC" w14:textId="77777777">
            <w:pPr>
              <w:spacing w:after="0" w:line="259" w:lineRule="auto"/>
              <w:ind w:left="0" w:right="60" w:firstLine="0"/>
              <w:jc w:val="center"/>
            </w:pPr>
            <w:r>
              <w:t xml:space="preserve">- </w:t>
            </w:r>
          </w:p>
        </w:tc>
        <w:tc>
          <w:tcPr>
            <w:tcW w:w="590" w:type="dxa"/>
            <w:tcBorders>
              <w:top w:val="single" w:sz="4" w:space="0" w:color="181717"/>
              <w:left w:val="single" w:sz="4" w:space="0" w:color="181717"/>
              <w:bottom w:val="single" w:sz="4" w:space="0" w:color="181717"/>
              <w:right w:val="single" w:sz="4" w:space="0" w:color="181717"/>
            </w:tcBorders>
          </w:tcPr>
          <w:p w:rsidR="005D6B79" w14:paraId="0A3F7B22" w14:textId="77777777">
            <w:pPr>
              <w:spacing w:after="0" w:line="259" w:lineRule="auto"/>
              <w:ind w:left="0" w:right="60" w:firstLine="0"/>
              <w:jc w:val="center"/>
            </w:pPr>
            <w:r>
              <w:t xml:space="preserve">- </w:t>
            </w:r>
          </w:p>
        </w:tc>
        <w:tc>
          <w:tcPr>
            <w:tcW w:w="630" w:type="dxa"/>
            <w:tcBorders>
              <w:top w:val="single" w:sz="4" w:space="0" w:color="181717"/>
              <w:left w:val="single" w:sz="4" w:space="0" w:color="181717"/>
              <w:bottom w:val="single" w:sz="4" w:space="0" w:color="181717"/>
              <w:right w:val="single" w:sz="4" w:space="0" w:color="181717"/>
            </w:tcBorders>
          </w:tcPr>
          <w:p w:rsidR="005D6B79" w14:paraId="40636C11" w14:textId="77777777">
            <w:pPr>
              <w:spacing w:after="0" w:line="259" w:lineRule="auto"/>
              <w:ind w:left="0" w:right="59" w:firstLine="0"/>
              <w:jc w:val="center"/>
            </w:pPr>
            <w:r>
              <w:t xml:space="preserve">- </w:t>
            </w:r>
          </w:p>
        </w:tc>
        <w:tc>
          <w:tcPr>
            <w:tcW w:w="630" w:type="dxa"/>
            <w:tcBorders>
              <w:top w:val="single" w:sz="4" w:space="0" w:color="181717"/>
              <w:left w:val="single" w:sz="4" w:space="0" w:color="181717"/>
              <w:bottom w:val="single" w:sz="4" w:space="0" w:color="181717"/>
              <w:right w:val="single" w:sz="4" w:space="0" w:color="181717"/>
            </w:tcBorders>
          </w:tcPr>
          <w:p w:rsidR="005D6B79" w14:paraId="4135A22A" w14:textId="77777777">
            <w:pPr>
              <w:spacing w:after="0" w:line="259" w:lineRule="auto"/>
              <w:ind w:left="121" w:firstLine="0"/>
            </w:pPr>
            <w:r>
              <w:t xml:space="preserve">X </w:t>
            </w:r>
          </w:p>
        </w:tc>
      </w:tr>
    </w:tbl>
    <w:p w:rsidR="005D6B79" w14:paraId="731689CB" w14:textId="77777777">
      <w:pPr>
        <w:spacing w:after="145" w:line="259" w:lineRule="auto"/>
        <w:ind w:left="916" w:firstLine="0"/>
      </w:pPr>
      <w:r>
        <w:t xml:space="preserve"> </w:t>
      </w:r>
    </w:p>
    <w:p w:rsidR="005D6B79" w14:paraId="42B12615" w14:textId="77777777">
      <w:pPr>
        <w:pStyle w:val="Heading1"/>
        <w:tabs>
          <w:tab w:val="center" w:pos="3209"/>
        </w:tabs>
        <w:spacing w:after="222"/>
        <w:ind w:left="-15" w:right="0" w:firstLine="0"/>
      </w:pPr>
      <w:r>
        <w:rPr>
          <w:rFonts w:ascii="Calibri" w:eastAsia="Calibri" w:hAnsi="Calibri" w:cs="Calibri"/>
          <w:b w:val="0"/>
          <w:sz w:val="22"/>
        </w:rPr>
        <w:t xml:space="preserve"> </w:t>
      </w:r>
      <w:r>
        <w:t>A.17</w:t>
      </w:r>
      <w:r>
        <w:rPr>
          <w:rFonts w:ascii="Arial" w:eastAsia="Arial" w:hAnsi="Arial" w:cs="Arial"/>
        </w:rPr>
        <w:t xml:space="preserve">  </w:t>
      </w:r>
      <w:r>
        <w:rPr>
          <w:rFonts w:ascii="Arial" w:eastAsia="Arial" w:hAnsi="Arial" w:cs="Arial"/>
        </w:rPr>
        <w:tab/>
      </w:r>
      <w:r>
        <w:t xml:space="preserve">Exemption for Display of Expiration Date  </w:t>
      </w:r>
    </w:p>
    <w:p w:rsidR="005D6B79" w14:paraId="210EDEDA" w14:textId="77777777">
      <w:pPr>
        <w:spacing w:after="136"/>
        <w:ind w:left="203" w:right="2" w:firstLine="710"/>
      </w:pPr>
      <w:r>
        <w:t xml:space="preserve">CMS does not seek this exemption. The Expiration Date and OMB control number will be displayed at the top of every survey.  </w:t>
      </w:r>
    </w:p>
    <w:p w:rsidR="005D6B79" w14:paraId="52882843" w14:textId="77777777">
      <w:pPr>
        <w:pStyle w:val="Heading1"/>
        <w:tabs>
          <w:tab w:val="center" w:pos="3140"/>
        </w:tabs>
        <w:spacing w:after="223"/>
        <w:ind w:left="-15" w:right="0" w:firstLine="0"/>
      </w:pPr>
      <w:r>
        <w:rPr>
          <w:rFonts w:ascii="Calibri" w:eastAsia="Calibri" w:hAnsi="Calibri" w:cs="Calibri"/>
          <w:b w:val="0"/>
          <w:sz w:val="22"/>
        </w:rPr>
        <w:t xml:space="preserve"> </w:t>
      </w:r>
      <w:r>
        <w:t>A.18</w:t>
      </w:r>
      <w:r>
        <w:rPr>
          <w:rFonts w:ascii="Arial" w:eastAsia="Arial" w:hAnsi="Arial" w:cs="Arial"/>
        </w:rPr>
        <w:t xml:space="preserve">  </w:t>
      </w:r>
      <w:r>
        <w:rPr>
          <w:rFonts w:ascii="Arial" w:eastAsia="Arial" w:hAnsi="Arial" w:cs="Arial"/>
        </w:rPr>
        <w:tab/>
      </w:r>
      <w:r>
        <w:t xml:space="preserve">Exceptions to Certification Statement 19  </w:t>
      </w:r>
    </w:p>
    <w:p w:rsidR="005D6B79" w14:paraId="4C7D6EBA" w14:textId="77777777">
      <w:pPr>
        <w:ind w:left="938" w:right="2"/>
      </w:pPr>
      <w:r>
        <w:t xml:space="preserve">There </w:t>
      </w:r>
      <w:r>
        <w:t>are</w:t>
      </w:r>
      <w:r>
        <w:t xml:space="preserve"> no exemption to the certification statement.  </w:t>
      </w:r>
    </w:p>
    <w:sectPr>
      <w:headerReference w:type="even" r:id="rId6"/>
      <w:headerReference w:type="default" r:id="rId7"/>
      <w:footerReference w:type="even" r:id="rId8"/>
      <w:footerReference w:type="default" r:id="rId9"/>
      <w:headerReference w:type="first" r:id="rId10"/>
      <w:footerReference w:type="first" r:id="rId11"/>
      <w:pgSz w:w="12240" w:h="15840"/>
      <w:pgMar w:top="1046" w:right="1433" w:bottom="1332" w:left="1219" w:header="622"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44469" w14:paraId="395B31D2" w14:textId="77777777">
      <w:pPr>
        <w:spacing w:after="0" w:line="240" w:lineRule="auto"/>
      </w:pPr>
      <w:r>
        <w:separator/>
      </w:r>
    </w:p>
  </w:endnote>
  <w:endnote w:type="continuationSeparator" w:id="1">
    <w:p w:rsidR="00644469" w14:paraId="756C51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B79" w14:paraId="5B623E8D" w14:textId="77777777">
    <w:pPr>
      <w:tabs>
        <w:tab w:val="center" w:pos="4841"/>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B79" w14:paraId="0C69AACA" w14:textId="77777777">
    <w:pPr>
      <w:tabs>
        <w:tab w:val="center" w:pos="4841"/>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B79" w14:paraId="4FFECAF3" w14:textId="77777777">
    <w:pPr>
      <w:tabs>
        <w:tab w:val="center" w:pos="4841"/>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44469" w14:paraId="38425919" w14:textId="77777777">
      <w:pPr>
        <w:spacing w:after="0" w:line="259" w:lineRule="auto"/>
        <w:ind w:left="868" w:firstLine="0"/>
      </w:pPr>
      <w:r>
        <w:separator/>
      </w:r>
    </w:p>
  </w:footnote>
  <w:footnote w:type="continuationSeparator" w:id="1">
    <w:p w:rsidR="00644469" w14:paraId="759CE804" w14:textId="77777777">
      <w:pPr>
        <w:spacing w:after="0" w:line="259" w:lineRule="auto"/>
        <w:ind w:left="868" w:firstLine="0"/>
      </w:pPr>
      <w:r>
        <w:continuationSeparator/>
      </w:r>
    </w:p>
  </w:footnote>
  <w:footnote w:id="2">
    <w:p w:rsidR="005D6B79" w14:paraId="2A6762CE" w14:textId="77777777">
      <w:pPr>
        <w:pStyle w:val="footnotedescription"/>
      </w:pPr>
      <w:r>
        <w:rPr>
          <w:rStyle w:val="footnotemark"/>
        </w:rPr>
        <w:footnoteRef/>
      </w:r>
      <w:r>
        <w:t xml:space="preserve"> https://www.pewresearch.org/internet/fact-sheet/internet-broadband/</w:t>
      </w:r>
      <w:r>
        <w:rPr>
          <w:color w:val="181717"/>
          <w:u w:val="none" w:color="000000"/>
        </w:rPr>
        <w:t xml:space="preserve">  </w:t>
      </w:r>
      <w:r>
        <w:rPr>
          <w:noProof/>
        </w:rPr>
        <w:drawing>
          <wp:inline distT="0" distB="0" distL="0" distR="0">
            <wp:extent cx="91440" cy="88392"/>
            <wp:effectExtent l="0" t="0" r="0" b="0"/>
            <wp:docPr id="19237" name="Picture 19237"/>
            <wp:cNvGraphicFramePr/>
            <a:graphic xmlns:a="http://schemas.openxmlformats.org/drawingml/2006/main">
              <a:graphicData uri="http://schemas.openxmlformats.org/drawingml/2006/picture">
                <pic:pic xmlns:pic="http://schemas.openxmlformats.org/drawingml/2006/picture">
                  <pic:nvPicPr>
                    <pic:cNvPr id="19237" name="Picture 19237"/>
                    <pic:cNvPicPr/>
                  </pic:nvPicPr>
                  <pic:blipFill>
                    <a:blip xmlns:r="http://schemas.openxmlformats.org/officeDocument/2006/relationships" r:embed="rId1"/>
                    <a:stretch>
                      <a:fillRect/>
                    </a:stretch>
                  </pic:blipFill>
                  <pic:spPr>
                    <a:xfrm>
                      <a:off x="0" y="0"/>
                      <a:ext cx="91440" cy="88392"/>
                    </a:xfrm>
                    <a:prstGeom prst="rect">
                      <a:avLst/>
                    </a:prstGeom>
                  </pic:spPr>
                </pic:pic>
              </a:graphicData>
            </a:graphic>
          </wp:inline>
        </w:drawing>
      </w:r>
    </w:p>
  </w:footnote>
  <w:footnote w:id="3">
    <w:p w:rsidR="005D6B79" w14:paraId="5B464FD4" w14:textId="77777777">
      <w:pPr>
        <w:pStyle w:val="footnotedescription"/>
      </w:pPr>
      <w:r>
        <w:rPr>
          <w:rStyle w:val="footnotemark"/>
        </w:rPr>
        <w:footnoteRef/>
      </w:r>
      <w:r>
        <w:t xml:space="preserve"> https://www.pewresearch.org/internet/fact-sheet/mobile/</w:t>
      </w:r>
      <w:r>
        <w:rPr>
          <w:color w:val="181717"/>
          <w:u w:val="none" w:color="000000"/>
        </w:rPr>
        <w:t xml:space="preserve">  </w:t>
      </w:r>
      <w:r>
        <w:rPr>
          <w:noProof/>
        </w:rPr>
        <w:drawing>
          <wp:inline distT="0" distB="0" distL="0" distR="0">
            <wp:extent cx="88392" cy="88392"/>
            <wp:effectExtent l="0" t="0" r="0" b="0"/>
            <wp:docPr id="19239" name="Picture 19239"/>
            <wp:cNvGraphicFramePr/>
            <a:graphic xmlns:a="http://schemas.openxmlformats.org/drawingml/2006/main">
              <a:graphicData uri="http://schemas.openxmlformats.org/drawingml/2006/picture">
                <pic:pic xmlns:pic="http://schemas.openxmlformats.org/drawingml/2006/picture">
                  <pic:nvPicPr>
                    <pic:cNvPr id="19239" name="Picture 19239"/>
                    <pic:cNvPicPr/>
                  </pic:nvPicPr>
                  <pic:blipFill>
                    <a:blip xmlns:r="http://schemas.openxmlformats.org/officeDocument/2006/relationships" r:embed="rId2"/>
                    <a:stretch>
                      <a:fillRect/>
                    </a:stretch>
                  </pic:blipFill>
                  <pic:spPr>
                    <a:xfrm>
                      <a:off x="0" y="0"/>
                      <a:ext cx="88392" cy="88392"/>
                    </a:xfrm>
                    <a:prstGeom prst="rect">
                      <a:avLst/>
                    </a:prstGeom>
                  </pic:spPr>
                </pic:pic>
              </a:graphicData>
            </a:graphic>
          </wp:inline>
        </w:drawing>
      </w:r>
    </w:p>
  </w:footnote>
  <w:footnote w:id="4">
    <w:p w:rsidR="005D6B79" w14:paraId="33714D6F" w14:textId="77777777">
      <w:pPr>
        <w:pStyle w:val="footnotedescription"/>
        <w:spacing w:line="250" w:lineRule="auto"/>
        <w:ind w:left="218" w:firstLine="710"/>
      </w:pPr>
      <w:r>
        <w:rPr>
          <w:rStyle w:val="footnotemark"/>
        </w:rPr>
        <w:footnoteRef/>
      </w:r>
      <w:r>
        <w:rPr>
          <w:color w:val="181717"/>
          <w:u w:val="none" w:color="000000"/>
        </w:rPr>
        <w:t xml:space="preserve"> U.S. Department of Labor, Bureau of Labor Statistics. (2026). </w:t>
      </w:r>
      <w:r>
        <w:rPr>
          <w:i/>
          <w:color w:val="181717"/>
          <w:u w:val="none" w:color="000000"/>
        </w:rPr>
        <w:t>Average hourly and weekly earnings of all employees on private nonfarm payrolls by industry sector, seasonally adjusted</w:t>
      </w:r>
      <w:r>
        <w:rPr>
          <w:color w:val="181717"/>
          <w:u w:val="none" w:color="000000"/>
        </w:rPr>
        <w:t xml:space="preserve">. Retrieved June 9, 2026, from </w:t>
      </w:r>
      <w:r>
        <w:t>https://www.bls.gov/news.release/empsit.t19.htm</w:t>
      </w:r>
      <w:r>
        <w:rPr>
          <w:color w:val="181717"/>
          <w:u w:val="none" w:color="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B79" w14:paraId="6F76A105" w14:textId="77777777">
    <w:pPr>
      <w:spacing w:after="0" w:line="259" w:lineRule="auto"/>
      <w:ind w:left="0" w:firstLine="0"/>
    </w:pPr>
    <w:r>
      <w:rPr>
        <w:sz w:val="20"/>
      </w:rPr>
      <w:t xml:space="preserve"> ICH CAHPS – Supporting Statement Part A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B79" w14:paraId="2FC78EFF" w14:textId="77777777">
    <w:pPr>
      <w:spacing w:after="0" w:line="259" w:lineRule="auto"/>
      <w:ind w:left="0" w:firstLine="0"/>
    </w:pPr>
    <w:r>
      <w:rPr>
        <w:sz w:val="20"/>
      </w:rPr>
      <w:t xml:space="preserve"> ICH CAHPS – Supporting Statement Part A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B79" w14:paraId="71ADC01E" w14:textId="77777777">
    <w:pPr>
      <w:spacing w:after="0" w:line="259" w:lineRule="auto"/>
      <w:ind w:left="0" w:firstLine="0"/>
    </w:pPr>
    <w:r>
      <w:rPr>
        <w:sz w:val="20"/>
      </w:rPr>
      <w:t xml:space="preserve"> ICH CAHPS – Supporting Statement Part A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4C5AD0"/>
    <w:multiLevelType w:val="hybridMultilevel"/>
    <w:tmpl w:val="56126740"/>
    <w:lvl w:ilvl="0">
      <w:start w:val="1"/>
      <w:numFmt w:val="bullet"/>
      <w:lvlText w:val="•"/>
      <w:lvlJc w:val="left"/>
      <w:pPr>
        <w:ind w:left="1299"/>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start w:val="1"/>
      <w:numFmt w:val="bullet"/>
      <w:lvlText w:val="o"/>
      <w:lvlJc w:val="left"/>
      <w:pPr>
        <w:ind w:left="2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start w:val="1"/>
      <w:numFmt w:val="bullet"/>
      <w:lvlText w:val="▪"/>
      <w:lvlJc w:val="left"/>
      <w:pPr>
        <w:ind w:left="2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start w:val="1"/>
      <w:numFmt w:val="bullet"/>
      <w:lvlText w:val="•"/>
      <w:lvlJc w:val="left"/>
      <w:pPr>
        <w:ind w:left="3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start w:val="1"/>
      <w:numFmt w:val="bullet"/>
      <w:lvlText w:val="o"/>
      <w:lvlJc w:val="left"/>
      <w:pPr>
        <w:ind w:left="41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start w:val="1"/>
      <w:numFmt w:val="bullet"/>
      <w:lvlText w:val="▪"/>
      <w:lvlJc w:val="left"/>
      <w:pPr>
        <w:ind w:left="49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start w:val="1"/>
      <w:numFmt w:val="bullet"/>
      <w:lvlText w:val="•"/>
      <w:lvlJc w:val="left"/>
      <w:pPr>
        <w:ind w:left="56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start w:val="1"/>
      <w:numFmt w:val="bullet"/>
      <w:lvlText w:val="o"/>
      <w:lvlJc w:val="left"/>
      <w:pPr>
        <w:ind w:left="63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start w:val="1"/>
      <w:numFmt w:val="bullet"/>
      <w:lvlText w:val="▪"/>
      <w:lvlJc w:val="left"/>
      <w:pPr>
        <w:ind w:left="70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
    <w:nsid w:val="0CF83D29"/>
    <w:multiLevelType w:val="hybridMultilevel"/>
    <w:tmpl w:val="320098AA"/>
    <w:lvl w:ilvl="0">
      <w:start w:val="1"/>
      <w:numFmt w:val="bullet"/>
      <w:lvlText w:val="•"/>
      <w:lvlJc w:val="left"/>
      <w:pPr>
        <w:ind w:left="27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start w:val="1"/>
      <w:numFmt w:val="bullet"/>
      <w:lvlText w:val="o"/>
      <w:lvlJc w:val="left"/>
      <w:pPr>
        <w:ind w:left="122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start w:val="1"/>
      <w:numFmt w:val="bullet"/>
      <w:lvlText w:val="▪"/>
      <w:lvlJc w:val="left"/>
      <w:pPr>
        <w:ind w:left="194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start w:val="1"/>
      <w:numFmt w:val="bullet"/>
      <w:lvlText w:val="•"/>
      <w:lvlJc w:val="left"/>
      <w:pPr>
        <w:ind w:left="266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start w:val="1"/>
      <w:numFmt w:val="bullet"/>
      <w:lvlText w:val="o"/>
      <w:lvlJc w:val="left"/>
      <w:pPr>
        <w:ind w:left="338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start w:val="1"/>
      <w:numFmt w:val="bullet"/>
      <w:lvlText w:val="▪"/>
      <w:lvlJc w:val="left"/>
      <w:pPr>
        <w:ind w:left="410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start w:val="1"/>
      <w:numFmt w:val="bullet"/>
      <w:lvlText w:val="•"/>
      <w:lvlJc w:val="left"/>
      <w:pPr>
        <w:ind w:left="482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start w:val="1"/>
      <w:numFmt w:val="bullet"/>
      <w:lvlText w:val="o"/>
      <w:lvlJc w:val="left"/>
      <w:pPr>
        <w:ind w:left="554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start w:val="1"/>
      <w:numFmt w:val="bullet"/>
      <w:lvlText w:val="▪"/>
      <w:lvlJc w:val="left"/>
      <w:pPr>
        <w:ind w:left="6262"/>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
    <w:nsid w:val="125B6E10"/>
    <w:multiLevelType w:val="hybridMultilevel"/>
    <w:tmpl w:val="7A8A86C2"/>
    <w:lvl w:ilvl="0">
      <w:start w:val="1"/>
      <w:numFmt w:val="bullet"/>
      <w:lvlText w:val="•"/>
      <w:lvlJc w:val="left"/>
      <w:pPr>
        <w:ind w:left="2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start w:val="1"/>
      <w:numFmt w:val="bullet"/>
      <w:lvlText w:val="o"/>
      <w:lvlJc w:val="left"/>
      <w:pPr>
        <w:ind w:left="117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start w:val="1"/>
      <w:numFmt w:val="bullet"/>
      <w:lvlText w:val="▪"/>
      <w:lvlJc w:val="left"/>
      <w:pPr>
        <w:ind w:left="189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start w:val="1"/>
      <w:numFmt w:val="bullet"/>
      <w:lvlText w:val="•"/>
      <w:lvlJc w:val="left"/>
      <w:pPr>
        <w:ind w:left="261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start w:val="1"/>
      <w:numFmt w:val="bullet"/>
      <w:lvlText w:val="o"/>
      <w:lvlJc w:val="left"/>
      <w:pPr>
        <w:ind w:left="333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start w:val="1"/>
      <w:numFmt w:val="bullet"/>
      <w:lvlText w:val="▪"/>
      <w:lvlJc w:val="left"/>
      <w:pPr>
        <w:ind w:left="405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start w:val="1"/>
      <w:numFmt w:val="bullet"/>
      <w:lvlText w:val="•"/>
      <w:lvlJc w:val="left"/>
      <w:pPr>
        <w:ind w:left="477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start w:val="1"/>
      <w:numFmt w:val="bullet"/>
      <w:lvlText w:val="o"/>
      <w:lvlJc w:val="left"/>
      <w:pPr>
        <w:ind w:left="549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start w:val="1"/>
      <w:numFmt w:val="bullet"/>
      <w:lvlText w:val="▪"/>
      <w:lvlJc w:val="left"/>
      <w:pPr>
        <w:ind w:left="621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
    <w:nsid w:val="1ACB2628"/>
    <w:multiLevelType w:val="hybridMultilevel"/>
    <w:tmpl w:val="17987CD2"/>
    <w:lvl w:ilvl="0">
      <w:start w:val="1"/>
      <w:numFmt w:val="bullet"/>
      <w:lvlText w:val="•"/>
      <w:lvlJc w:val="left"/>
      <w:pPr>
        <w:ind w:left="199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start w:val="1"/>
      <w:numFmt w:val="bullet"/>
      <w:lvlText w:val="o"/>
      <w:lvlJc w:val="left"/>
      <w:pPr>
        <w:ind w:left="272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start w:val="1"/>
      <w:numFmt w:val="bullet"/>
      <w:lvlText w:val="▪"/>
      <w:lvlJc w:val="left"/>
      <w:pPr>
        <w:ind w:left="344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start w:val="1"/>
      <w:numFmt w:val="bullet"/>
      <w:lvlText w:val="•"/>
      <w:lvlJc w:val="left"/>
      <w:pPr>
        <w:ind w:left="416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start w:val="1"/>
      <w:numFmt w:val="bullet"/>
      <w:lvlText w:val="o"/>
      <w:lvlJc w:val="left"/>
      <w:pPr>
        <w:ind w:left="488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start w:val="1"/>
      <w:numFmt w:val="bullet"/>
      <w:lvlText w:val="▪"/>
      <w:lvlJc w:val="left"/>
      <w:pPr>
        <w:ind w:left="560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start w:val="1"/>
      <w:numFmt w:val="bullet"/>
      <w:lvlText w:val="•"/>
      <w:lvlJc w:val="left"/>
      <w:pPr>
        <w:ind w:left="632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start w:val="1"/>
      <w:numFmt w:val="bullet"/>
      <w:lvlText w:val="o"/>
      <w:lvlJc w:val="left"/>
      <w:pPr>
        <w:ind w:left="704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start w:val="1"/>
      <w:numFmt w:val="bullet"/>
      <w:lvlText w:val="▪"/>
      <w:lvlJc w:val="left"/>
      <w:pPr>
        <w:ind w:left="776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
    <w:nsid w:val="231C3292"/>
    <w:multiLevelType w:val="hybridMultilevel"/>
    <w:tmpl w:val="6B6C8F2C"/>
    <w:lvl w:ilvl="0">
      <w:start w:val="1"/>
      <w:numFmt w:val="bullet"/>
      <w:lvlText w:val="•"/>
      <w:lvlJc w:val="left"/>
      <w:pPr>
        <w:ind w:left="1299"/>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start w:val="1"/>
      <w:numFmt w:val="bullet"/>
      <w:lvlText w:val="o"/>
      <w:lvlJc w:val="left"/>
      <w:pPr>
        <w:ind w:left="1902"/>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start w:val="1"/>
      <w:numFmt w:val="bullet"/>
      <w:lvlText w:val="▪"/>
      <w:lvlJc w:val="left"/>
      <w:pPr>
        <w:ind w:left="2622"/>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start w:val="1"/>
      <w:numFmt w:val="bullet"/>
      <w:lvlText w:val="•"/>
      <w:lvlJc w:val="left"/>
      <w:pPr>
        <w:ind w:left="3342"/>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start w:val="1"/>
      <w:numFmt w:val="bullet"/>
      <w:lvlText w:val="o"/>
      <w:lvlJc w:val="left"/>
      <w:pPr>
        <w:ind w:left="4062"/>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start w:val="1"/>
      <w:numFmt w:val="bullet"/>
      <w:lvlText w:val="▪"/>
      <w:lvlJc w:val="left"/>
      <w:pPr>
        <w:ind w:left="4782"/>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start w:val="1"/>
      <w:numFmt w:val="bullet"/>
      <w:lvlText w:val="•"/>
      <w:lvlJc w:val="left"/>
      <w:pPr>
        <w:ind w:left="5502"/>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start w:val="1"/>
      <w:numFmt w:val="bullet"/>
      <w:lvlText w:val="o"/>
      <w:lvlJc w:val="left"/>
      <w:pPr>
        <w:ind w:left="6222"/>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start w:val="1"/>
      <w:numFmt w:val="bullet"/>
      <w:lvlText w:val="▪"/>
      <w:lvlJc w:val="left"/>
      <w:pPr>
        <w:ind w:left="6942"/>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5">
    <w:nsid w:val="2C5338E2"/>
    <w:multiLevelType w:val="hybridMultilevel"/>
    <w:tmpl w:val="0D68BE0A"/>
    <w:lvl w:ilvl="0">
      <w:start w:val="1"/>
      <w:numFmt w:val="bullet"/>
      <w:lvlText w:val="•"/>
      <w:lvlJc w:val="left"/>
      <w:pPr>
        <w:ind w:left="1239"/>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start w:val="1"/>
      <w:numFmt w:val="bullet"/>
      <w:lvlText w:val="o"/>
      <w:lvlJc w:val="left"/>
      <w:pPr>
        <w:ind w:left="2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start w:val="1"/>
      <w:numFmt w:val="bullet"/>
      <w:lvlText w:val="▪"/>
      <w:lvlJc w:val="left"/>
      <w:pPr>
        <w:ind w:left="2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start w:val="1"/>
      <w:numFmt w:val="bullet"/>
      <w:lvlText w:val="•"/>
      <w:lvlJc w:val="left"/>
      <w:pPr>
        <w:ind w:left="3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start w:val="1"/>
      <w:numFmt w:val="bullet"/>
      <w:lvlText w:val="o"/>
      <w:lvlJc w:val="left"/>
      <w:pPr>
        <w:ind w:left="41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start w:val="1"/>
      <w:numFmt w:val="bullet"/>
      <w:lvlText w:val="▪"/>
      <w:lvlJc w:val="left"/>
      <w:pPr>
        <w:ind w:left="49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start w:val="1"/>
      <w:numFmt w:val="bullet"/>
      <w:lvlText w:val="•"/>
      <w:lvlJc w:val="left"/>
      <w:pPr>
        <w:ind w:left="56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start w:val="1"/>
      <w:numFmt w:val="bullet"/>
      <w:lvlText w:val="o"/>
      <w:lvlJc w:val="left"/>
      <w:pPr>
        <w:ind w:left="63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start w:val="1"/>
      <w:numFmt w:val="bullet"/>
      <w:lvlText w:val="▪"/>
      <w:lvlJc w:val="left"/>
      <w:pPr>
        <w:ind w:left="70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6">
    <w:nsid w:val="31EE3EEA"/>
    <w:multiLevelType w:val="hybridMultilevel"/>
    <w:tmpl w:val="B364A7F4"/>
    <w:lvl w:ilvl="0">
      <w:start w:val="1"/>
      <w:numFmt w:val="decimal"/>
      <w:lvlText w:val="%1)"/>
      <w:lvlJc w:val="left"/>
      <w:pPr>
        <w:ind w:left="122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start w:val="1"/>
      <w:numFmt w:val="lowerLetter"/>
      <w:lvlText w:val="%2"/>
      <w:lvlJc w:val="left"/>
      <w:pPr>
        <w:ind w:left="179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start w:val="1"/>
      <w:numFmt w:val="lowerRoman"/>
      <w:lvlText w:val="%3"/>
      <w:lvlJc w:val="left"/>
      <w:pPr>
        <w:ind w:left="251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start w:val="1"/>
      <w:numFmt w:val="decimal"/>
      <w:lvlText w:val="%4"/>
      <w:lvlJc w:val="left"/>
      <w:pPr>
        <w:ind w:left="323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start w:val="1"/>
      <w:numFmt w:val="lowerLetter"/>
      <w:lvlText w:val="%5"/>
      <w:lvlJc w:val="left"/>
      <w:pPr>
        <w:ind w:left="395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start w:val="1"/>
      <w:numFmt w:val="lowerRoman"/>
      <w:lvlText w:val="%6"/>
      <w:lvlJc w:val="left"/>
      <w:pPr>
        <w:ind w:left="467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start w:val="1"/>
      <w:numFmt w:val="decimal"/>
      <w:lvlText w:val="%7"/>
      <w:lvlJc w:val="left"/>
      <w:pPr>
        <w:ind w:left="539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start w:val="1"/>
      <w:numFmt w:val="lowerLetter"/>
      <w:lvlText w:val="%8"/>
      <w:lvlJc w:val="left"/>
      <w:pPr>
        <w:ind w:left="611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start w:val="1"/>
      <w:numFmt w:val="lowerRoman"/>
      <w:lvlText w:val="%9"/>
      <w:lvlJc w:val="left"/>
      <w:pPr>
        <w:ind w:left="683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7">
    <w:nsid w:val="50505025"/>
    <w:multiLevelType w:val="hybridMultilevel"/>
    <w:tmpl w:val="E4400574"/>
    <w:lvl w:ilvl="0">
      <w:start w:val="1"/>
      <w:numFmt w:val="bullet"/>
      <w:lvlText w:val="•"/>
      <w:lvlJc w:val="left"/>
      <w:pPr>
        <w:ind w:left="1299"/>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start w:val="1"/>
      <w:numFmt w:val="bullet"/>
      <w:lvlText w:val="o"/>
      <w:lvlJc w:val="left"/>
      <w:pPr>
        <w:ind w:left="2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start w:val="1"/>
      <w:numFmt w:val="bullet"/>
      <w:lvlText w:val="▪"/>
      <w:lvlJc w:val="left"/>
      <w:pPr>
        <w:ind w:left="2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start w:val="1"/>
      <w:numFmt w:val="bullet"/>
      <w:lvlText w:val="•"/>
      <w:lvlJc w:val="left"/>
      <w:pPr>
        <w:ind w:left="3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start w:val="1"/>
      <w:numFmt w:val="bullet"/>
      <w:lvlText w:val="o"/>
      <w:lvlJc w:val="left"/>
      <w:pPr>
        <w:ind w:left="41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start w:val="1"/>
      <w:numFmt w:val="bullet"/>
      <w:lvlText w:val="▪"/>
      <w:lvlJc w:val="left"/>
      <w:pPr>
        <w:ind w:left="49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start w:val="1"/>
      <w:numFmt w:val="bullet"/>
      <w:lvlText w:val="•"/>
      <w:lvlJc w:val="left"/>
      <w:pPr>
        <w:ind w:left="56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start w:val="1"/>
      <w:numFmt w:val="bullet"/>
      <w:lvlText w:val="o"/>
      <w:lvlJc w:val="left"/>
      <w:pPr>
        <w:ind w:left="63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start w:val="1"/>
      <w:numFmt w:val="bullet"/>
      <w:lvlText w:val="▪"/>
      <w:lvlJc w:val="left"/>
      <w:pPr>
        <w:ind w:left="70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8">
    <w:nsid w:val="5BC42833"/>
    <w:multiLevelType w:val="hybridMultilevel"/>
    <w:tmpl w:val="AE047F0C"/>
    <w:lvl w:ilvl="0">
      <w:start w:val="1"/>
      <w:numFmt w:val="bullet"/>
      <w:lvlText w:val="•"/>
      <w:lvlJc w:val="left"/>
      <w:pPr>
        <w:ind w:left="1239"/>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start w:val="1"/>
      <w:numFmt w:val="bullet"/>
      <w:lvlText w:val="o"/>
      <w:lvlJc w:val="left"/>
      <w:pPr>
        <w:ind w:left="2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start w:val="1"/>
      <w:numFmt w:val="bullet"/>
      <w:lvlText w:val="▪"/>
      <w:lvlJc w:val="left"/>
      <w:pPr>
        <w:ind w:left="2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start w:val="1"/>
      <w:numFmt w:val="bullet"/>
      <w:lvlText w:val="•"/>
      <w:lvlJc w:val="left"/>
      <w:pPr>
        <w:ind w:left="3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start w:val="1"/>
      <w:numFmt w:val="bullet"/>
      <w:lvlText w:val="o"/>
      <w:lvlJc w:val="left"/>
      <w:pPr>
        <w:ind w:left="41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start w:val="1"/>
      <w:numFmt w:val="bullet"/>
      <w:lvlText w:val="▪"/>
      <w:lvlJc w:val="left"/>
      <w:pPr>
        <w:ind w:left="49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start w:val="1"/>
      <w:numFmt w:val="bullet"/>
      <w:lvlText w:val="•"/>
      <w:lvlJc w:val="left"/>
      <w:pPr>
        <w:ind w:left="56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start w:val="1"/>
      <w:numFmt w:val="bullet"/>
      <w:lvlText w:val="o"/>
      <w:lvlJc w:val="left"/>
      <w:pPr>
        <w:ind w:left="63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start w:val="1"/>
      <w:numFmt w:val="bullet"/>
      <w:lvlText w:val="▪"/>
      <w:lvlJc w:val="left"/>
      <w:pPr>
        <w:ind w:left="70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9">
    <w:nsid w:val="61C221FF"/>
    <w:multiLevelType w:val="hybridMultilevel"/>
    <w:tmpl w:val="CD086ABC"/>
    <w:lvl w:ilvl="0">
      <w:start w:val="23"/>
      <w:numFmt w:val="decimal"/>
      <w:lvlText w:val="%1."/>
      <w:lvlJc w:val="left"/>
      <w:pPr>
        <w:ind w:left="36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1">
      <w:start w:val="1"/>
      <w:numFmt w:val="lowerLetter"/>
      <w:lvlText w:val="%2"/>
      <w:lvlJc w:val="left"/>
      <w:pPr>
        <w:ind w:left="1972"/>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2">
      <w:start w:val="1"/>
      <w:numFmt w:val="lowerRoman"/>
      <w:lvlText w:val="%3"/>
      <w:lvlJc w:val="left"/>
      <w:pPr>
        <w:ind w:left="2692"/>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3">
      <w:start w:val="1"/>
      <w:numFmt w:val="decimal"/>
      <w:lvlText w:val="%4"/>
      <w:lvlJc w:val="left"/>
      <w:pPr>
        <w:ind w:left="3412"/>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4">
      <w:start w:val="1"/>
      <w:numFmt w:val="lowerLetter"/>
      <w:lvlText w:val="%5"/>
      <w:lvlJc w:val="left"/>
      <w:pPr>
        <w:ind w:left="4132"/>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5">
      <w:start w:val="1"/>
      <w:numFmt w:val="lowerRoman"/>
      <w:lvlText w:val="%6"/>
      <w:lvlJc w:val="left"/>
      <w:pPr>
        <w:ind w:left="4852"/>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6">
      <w:start w:val="1"/>
      <w:numFmt w:val="decimal"/>
      <w:lvlText w:val="%7"/>
      <w:lvlJc w:val="left"/>
      <w:pPr>
        <w:ind w:left="5572"/>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7">
      <w:start w:val="1"/>
      <w:numFmt w:val="lowerLetter"/>
      <w:lvlText w:val="%8"/>
      <w:lvlJc w:val="left"/>
      <w:pPr>
        <w:ind w:left="6292"/>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8">
      <w:start w:val="1"/>
      <w:numFmt w:val="lowerRoman"/>
      <w:lvlText w:val="%9"/>
      <w:lvlJc w:val="left"/>
      <w:pPr>
        <w:ind w:left="7012"/>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abstractNum>
  <w:abstractNum w:abstractNumId="10">
    <w:nsid w:val="792E2578"/>
    <w:multiLevelType w:val="hybridMultilevel"/>
    <w:tmpl w:val="29DADF9C"/>
    <w:lvl w:ilvl="0">
      <w:start w:val="1"/>
      <w:numFmt w:val="bullet"/>
      <w:lvlText w:val="•"/>
      <w:lvlJc w:val="left"/>
      <w:pPr>
        <w:ind w:left="22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start w:val="1"/>
      <w:numFmt w:val="bullet"/>
      <w:lvlText w:val="o"/>
      <w:lvlJc w:val="left"/>
      <w:pPr>
        <w:ind w:left="117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start w:val="1"/>
      <w:numFmt w:val="bullet"/>
      <w:lvlText w:val="▪"/>
      <w:lvlJc w:val="left"/>
      <w:pPr>
        <w:ind w:left="189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start w:val="1"/>
      <w:numFmt w:val="bullet"/>
      <w:lvlText w:val="•"/>
      <w:lvlJc w:val="left"/>
      <w:pPr>
        <w:ind w:left="261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start w:val="1"/>
      <w:numFmt w:val="bullet"/>
      <w:lvlText w:val="o"/>
      <w:lvlJc w:val="left"/>
      <w:pPr>
        <w:ind w:left="333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start w:val="1"/>
      <w:numFmt w:val="bullet"/>
      <w:lvlText w:val="▪"/>
      <w:lvlJc w:val="left"/>
      <w:pPr>
        <w:ind w:left="405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start w:val="1"/>
      <w:numFmt w:val="bullet"/>
      <w:lvlText w:val="•"/>
      <w:lvlJc w:val="left"/>
      <w:pPr>
        <w:ind w:left="477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start w:val="1"/>
      <w:numFmt w:val="bullet"/>
      <w:lvlText w:val="o"/>
      <w:lvlJc w:val="left"/>
      <w:pPr>
        <w:ind w:left="549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start w:val="1"/>
      <w:numFmt w:val="bullet"/>
      <w:lvlText w:val="▪"/>
      <w:lvlJc w:val="left"/>
      <w:pPr>
        <w:ind w:left="621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
    <w:nsid w:val="7FBB6C56"/>
    <w:multiLevelType w:val="hybridMultilevel"/>
    <w:tmpl w:val="F0E649D8"/>
    <w:lvl w:ilvl="0">
      <w:start w:val="1"/>
      <w:numFmt w:val="bullet"/>
      <w:lvlText w:val="•"/>
      <w:lvlJc w:val="left"/>
      <w:pPr>
        <w:ind w:left="199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start w:val="1"/>
      <w:numFmt w:val="bullet"/>
      <w:lvlText w:val="o"/>
      <w:lvlJc w:val="left"/>
      <w:pPr>
        <w:ind w:left="272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start w:val="1"/>
      <w:numFmt w:val="bullet"/>
      <w:lvlText w:val="▪"/>
      <w:lvlJc w:val="left"/>
      <w:pPr>
        <w:ind w:left="344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start w:val="1"/>
      <w:numFmt w:val="bullet"/>
      <w:lvlText w:val="•"/>
      <w:lvlJc w:val="left"/>
      <w:pPr>
        <w:ind w:left="416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start w:val="1"/>
      <w:numFmt w:val="bullet"/>
      <w:lvlText w:val="o"/>
      <w:lvlJc w:val="left"/>
      <w:pPr>
        <w:ind w:left="488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start w:val="1"/>
      <w:numFmt w:val="bullet"/>
      <w:lvlText w:val="▪"/>
      <w:lvlJc w:val="left"/>
      <w:pPr>
        <w:ind w:left="560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start w:val="1"/>
      <w:numFmt w:val="bullet"/>
      <w:lvlText w:val="•"/>
      <w:lvlJc w:val="left"/>
      <w:pPr>
        <w:ind w:left="632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start w:val="1"/>
      <w:numFmt w:val="bullet"/>
      <w:lvlText w:val="o"/>
      <w:lvlJc w:val="left"/>
      <w:pPr>
        <w:ind w:left="704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start w:val="1"/>
      <w:numFmt w:val="bullet"/>
      <w:lvlText w:val="▪"/>
      <w:lvlJc w:val="left"/>
      <w:pPr>
        <w:ind w:left="776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num w:numId="1" w16cid:durableId="546719090">
    <w:abstractNumId w:val="8"/>
  </w:num>
  <w:num w:numId="2" w16cid:durableId="8991096">
    <w:abstractNumId w:val="6"/>
  </w:num>
  <w:num w:numId="3" w16cid:durableId="943268258">
    <w:abstractNumId w:val="5"/>
  </w:num>
  <w:num w:numId="4" w16cid:durableId="1813792592">
    <w:abstractNumId w:val="7"/>
  </w:num>
  <w:num w:numId="5" w16cid:durableId="896748444">
    <w:abstractNumId w:val="9"/>
  </w:num>
  <w:num w:numId="6" w16cid:durableId="481431384">
    <w:abstractNumId w:val="0"/>
  </w:num>
  <w:num w:numId="7" w16cid:durableId="1135370123">
    <w:abstractNumId w:val="4"/>
  </w:num>
  <w:num w:numId="8" w16cid:durableId="2112775460">
    <w:abstractNumId w:val="11"/>
  </w:num>
  <w:num w:numId="9" w16cid:durableId="783428273">
    <w:abstractNumId w:val="3"/>
  </w:num>
  <w:num w:numId="10" w16cid:durableId="84572751">
    <w:abstractNumId w:val="2"/>
  </w:num>
  <w:num w:numId="11" w16cid:durableId="404184920">
    <w:abstractNumId w:val="1"/>
  </w:num>
  <w:num w:numId="12" w16cid:durableId="19897009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B79"/>
    <w:rsid w:val="003471E3"/>
    <w:rsid w:val="00474F5F"/>
    <w:rsid w:val="005D6B79"/>
    <w:rsid w:val="00644469"/>
    <w:rsid w:val="00BE0573"/>
    <w:rsid w:val="00C760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1A1128"/>
  <w15:docId w15:val="{7FD988AE-8DB3-46FC-B3B6-310D9B94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6" w:line="255" w:lineRule="auto"/>
      <w:ind w:left="84" w:hanging="10"/>
    </w:pPr>
    <w:rPr>
      <w:rFonts w:ascii="Times New Roman" w:eastAsia="Times New Roman" w:hAnsi="Times New Roman" w:cs="Times New Roman"/>
      <w:color w:val="181717"/>
    </w:rPr>
  </w:style>
  <w:style w:type="paragraph" w:styleId="Heading1">
    <w:name w:val="heading 1"/>
    <w:next w:val="Normal"/>
    <w:link w:val="Heading1Char"/>
    <w:uiPriority w:val="9"/>
    <w:qFormat/>
    <w:pPr>
      <w:keepNext/>
      <w:keepLines/>
      <w:spacing w:after="2" w:line="259" w:lineRule="auto"/>
      <w:ind w:left="10" w:right="74" w:hanging="10"/>
      <w:outlineLvl w:val="0"/>
    </w:pPr>
    <w:rPr>
      <w:rFonts w:ascii="Times New Roman" w:eastAsia="Times New Roman" w:hAnsi="Times New Roman" w:cs="Times New Roman"/>
      <w:b/>
      <w:color w:val="181717"/>
    </w:rPr>
  </w:style>
  <w:style w:type="paragraph" w:styleId="Heading2">
    <w:name w:val="heading 2"/>
    <w:next w:val="Normal"/>
    <w:link w:val="Heading2Char"/>
    <w:uiPriority w:val="9"/>
    <w:unhideWhenUsed/>
    <w:qFormat/>
    <w:pPr>
      <w:keepNext/>
      <w:keepLines/>
      <w:spacing w:after="0" w:line="259" w:lineRule="auto"/>
      <w:ind w:left="142" w:hanging="10"/>
      <w:outlineLvl w:val="1"/>
    </w:pPr>
    <w:rPr>
      <w:rFonts w:ascii="Times New Roman" w:eastAsia="Times New Roman" w:hAnsi="Times New Roman" w:cs="Times New Roman"/>
      <w:b/>
      <w:i/>
      <w:color w:val="18171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181717"/>
      <w:sz w:val="24"/>
    </w:rPr>
  </w:style>
  <w:style w:type="character" w:customStyle="1" w:styleId="Heading2Char">
    <w:name w:val="Heading 2 Char"/>
    <w:link w:val="Heading2"/>
    <w:rPr>
      <w:rFonts w:ascii="Times New Roman" w:eastAsia="Times New Roman" w:hAnsi="Times New Roman" w:cs="Times New Roman"/>
      <w:b/>
      <w:i/>
      <w:color w:val="181717"/>
      <w:sz w:val="24"/>
    </w:rPr>
  </w:style>
  <w:style w:type="paragraph" w:customStyle="1" w:styleId="footnotedescription">
    <w:name w:val="footnote description"/>
    <w:next w:val="Normal"/>
    <w:link w:val="footnotedescriptionChar"/>
    <w:hidden/>
    <w:pPr>
      <w:spacing w:after="0" w:line="259" w:lineRule="auto"/>
      <w:ind w:left="868"/>
    </w:pPr>
    <w:rPr>
      <w:rFonts w:ascii="Times New Roman" w:eastAsia="Times New Roman" w:hAnsi="Times New Roman" w:cs="Times New Roman"/>
      <w:color w:val="3C356F"/>
      <w:sz w:val="20"/>
      <w:u w:val="single" w:color="3C356F"/>
    </w:rPr>
  </w:style>
  <w:style w:type="character" w:customStyle="1" w:styleId="footnotedescriptionChar">
    <w:name w:val="footnote description Char"/>
    <w:link w:val="footnotedescription"/>
    <w:rPr>
      <w:rFonts w:ascii="Times New Roman" w:eastAsia="Times New Roman" w:hAnsi="Times New Roman" w:cs="Times New Roman"/>
      <w:color w:val="3C356F"/>
      <w:sz w:val="20"/>
      <w:u w:val="single" w:color="3C356F"/>
    </w:rPr>
  </w:style>
  <w:style w:type="character" w:customStyle="1" w:styleId="footnotemark">
    <w:name w:val="footnote mark"/>
    <w:hidden/>
    <w:rPr>
      <w:rFonts w:ascii="Times New Roman" w:eastAsia="Times New Roman" w:hAnsi="Times New Roman" w:cs="Times New Roman"/>
      <w:color w:val="181717"/>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471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14</Pages>
  <Words>5001</Words>
  <Characters>27108</Characters>
  <Application>Microsoft Office Word</Application>
  <DocSecurity>0</DocSecurity>
  <Lines>695</Lines>
  <Paragraphs>391</Paragraphs>
  <ScaleCrop>false</ScaleCrop>
  <HeadingPairs>
    <vt:vector size="2" baseType="variant">
      <vt:variant>
        <vt:lpstr>Title</vt:lpstr>
      </vt:variant>
      <vt:variant>
        <vt:i4>1</vt:i4>
      </vt:variant>
    </vt:vector>
  </HeadingPairs>
  <TitlesOfParts>
    <vt:vector size="1" baseType="lpstr">
      <vt:lpstr>The National Implementation of the ICH  CAHPS Survey</vt:lpstr>
    </vt:vector>
  </TitlesOfParts>
  <Company>Center For Medicaid Services</Company>
  <LinksUpToDate>false</LinksUpToDate>
  <CharactersWithSpaces>31718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Implementation of the ICH  CAHPS Survey</dc:title>
  <dc:subject>OMB Supporting Statement for Home Health Care CAHPS Survey</dc:subject>
  <dc:creator>Centers for Medicare &amp; Medicaid Services</dc:creator>
  <cp:keywords>CAHPS, in-center hemodialysis care, sample, survey</cp:keywords>
  <cp:lastModifiedBy>McKenzie, Stephan (CMS/OSORA)</cp:lastModifiedBy>
  <cp:revision>3</cp:revision>
  <dcterms:created xsi:type="dcterms:W3CDTF">2026-11-06T12:47:00Z</dcterms:created>
  <dcterms:modified xsi:type="dcterms:W3CDTF">2026-11-06T14:31:00Z</dcterms:modified>
</cp:coreProperties>
</file>