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20809" w14:paraId="09DA77B5" w14:textId="77777777">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Supporting Statement for</w:t>
      </w:r>
    </w:p>
    <w:p w:rsidR="00D20809" w14:paraId="1D2F1653" w14:textId="77777777">
      <w:pPr>
        <w:spacing w:after="0" w:line="240" w:lineRule="auto"/>
        <w:jc w:val="center"/>
        <w:rPr>
          <w:rFonts w:ascii="Times New Roman" w:hAnsi="Times New Roman" w:cs="Times New Roman"/>
          <w:b/>
          <w:bCs/>
          <w:sz w:val="26"/>
          <w:szCs w:val="26"/>
        </w:rPr>
      </w:pPr>
      <w:r>
        <w:rPr>
          <w:rFonts w:ascii="Times New Roman" w:hAnsi="Times New Roman" w:cs="Times New Roman"/>
          <w:b/>
          <w:sz w:val="26"/>
          <w:szCs w:val="26"/>
        </w:rPr>
        <w:t xml:space="preserve">FERC-725G, </w:t>
      </w:r>
      <w:r>
        <w:rPr>
          <w:rFonts w:ascii="Times New Roman" w:eastAsia="Times New Roman" w:hAnsi="Times New Roman" w:cs="Times New Roman"/>
          <w:b/>
          <w:bCs/>
          <w:sz w:val="26"/>
          <w:szCs w:val="26"/>
        </w:rPr>
        <w:t>Mandatory Reliability Standards for the Bulk-Power System: PRC Standards, as modified by</w:t>
      </w:r>
    </w:p>
    <w:p w:rsidR="00D20809" w14:paraId="32783124" w14:textId="0E82C71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RD25-10</w:t>
      </w:r>
    </w:p>
    <w:p w:rsidR="00D20809" w14:paraId="4801F464" w14:textId="77777777">
      <w:pPr>
        <w:spacing w:after="0" w:line="240" w:lineRule="auto"/>
        <w:rPr>
          <w:rFonts w:ascii="Times New Roman" w:hAnsi="Times New Roman" w:cs="Times New Roman"/>
          <w:sz w:val="26"/>
          <w:szCs w:val="26"/>
        </w:rPr>
      </w:pPr>
    </w:p>
    <w:p w:rsidR="00C73090" w:rsidP="00C73090" w14:paraId="0C957422" w14:textId="40650A2F">
      <w:pPr>
        <w:spacing w:after="0" w:line="240" w:lineRule="auto"/>
        <w:rPr>
          <w:rFonts w:ascii="Times New Roman" w:eastAsia="Times New Roman" w:hAnsi="Times New Roman" w:cs="Times New Roman"/>
          <w:bCs/>
          <w:sz w:val="26"/>
          <w:szCs w:val="26"/>
        </w:rPr>
      </w:pPr>
      <w:r>
        <w:rPr>
          <w:rFonts w:ascii="Times New Roman" w:hAnsi="Times New Roman" w:cs="Times New Roman"/>
          <w:sz w:val="26"/>
          <w:szCs w:val="26"/>
        </w:rPr>
        <w:t xml:space="preserve">The Federal Energy Regulatory Commission (Commission or FERC) requests that the Office of Management and Budget (OMB) review and approve FERC-725G, </w:t>
      </w:r>
      <w:r>
        <w:rPr>
          <w:rFonts w:ascii="Times New Roman" w:eastAsia="Times New Roman" w:hAnsi="Times New Roman" w:cs="Times New Roman"/>
          <w:sz w:val="26"/>
          <w:szCs w:val="26"/>
        </w:rPr>
        <w:t>Mandatory Reliability Standards for the Bulk-Power System: P</w:t>
      </w:r>
      <w:r w:rsidR="00F41680">
        <w:rPr>
          <w:rFonts w:ascii="Times New Roman" w:eastAsia="Times New Roman" w:hAnsi="Times New Roman" w:cs="Times New Roman"/>
          <w:sz w:val="26"/>
          <w:szCs w:val="26"/>
        </w:rPr>
        <w:t>rotection and Control (P</w:t>
      </w:r>
      <w:r>
        <w:rPr>
          <w:rFonts w:ascii="Times New Roman" w:eastAsia="Times New Roman" w:hAnsi="Times New Roman" w:cs="Times New Roman"/>
          <w:sz w:val="26"/>
          <w:szCs w:val="26"/>
        </w:rPr>
        <w:t>RC</w:t>
      </w:r>
      <w:r w:rsidR="00F41680">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Standards</w:t>
      </w:r>
      <w:r>
        <w:rPr>
          <w:rFonts w:ascii="Times New Roman" w:eastAsia="Times New Roman" w:hAnsi="Times New Roman" w:cs="Times New Roman"/>
          <w:bCs/>
          <w:sz w:val="26"/>
          <w:szCs w:val="26"/>
        </w:rPr>
        <w:t xml:space="preserve"> </w:t>
      </w:r>
      <w:r w:rsidR="00FD21DA">
        <w:rPr>
          <w:rFonts w:ascii="Times New Roman" w:eastAsia="Times New Roman" w:hAnsi="Times New Roman" w:cs="Times New Roman"/>
          <w:bCs/>
          <w:sz w:val="26"/>
          <w:szCs w:val="26"/>
        </w:rPr>
        <w:t>(</w:t>
      </w:r>
      <w:r w:rsidRPr="00DE7756" w:rsidR="00DE7756">
        <w:rPr>
          <w:rFonts w:ascii="Times New Roman" w:eastAsia="Times New Roman" w:hAnsi="Times New Roman" w:cs="Times New Roman"/>
          <w:bCs/>
          <w:sz w:val="26"/>
          <w:szCs w:val="26"/>
        </w:rPr>
        <w:t>Newly implemented PRC standards</w:t>
      </w:r>
      <w:r w:rsidR="00DE7756">
        <w:rPr>
          <w:rFonts w:ascii="Times New Roman" w:eastAsia="Times New Roman" w:hAnsi="Times New Roman" w:cs="Times New Roman"/>
          <w:bCs/>
          <w:sz w:val="26"/>
          <w:szCs w:val="26"/>
        </w:rPr>
        <w:t xml:space="preserve"> </w:t>
      </w:r>
      <w:bookmarkStart w:id="0" w:name="_Hlk188567110"/>
      <w:r w:rsidR="00FA5839">
        <w:rPr>
          <w:rFonts w:ascii="Times New Roman" w:eastAsia="Times New Roman" w:hAnsi="Times New Roman" w:cs="Times New Roman"/>
          <w:bCs/>
          <w:sz w:val="26"/>
          <w:szCs w:val="26"/>
        </w:rPr>
        <w:t>PRC-0</w:t>
      </w:r>
      <w:r w:rsidR="008B38DD">
        <w:rPr>
          <w:rFonts w:ascii="Times New Roman" w:eastAsia="Times New Roman" w:hAnsi="Times New Roman" w:cs="Times New Roman"/>
          <w:bCs/>
          <w:sz w:val="26"/>
          <w:szCs w:val="26"/>
        </w:rPr>
        <w:t>12</w:t>
      </w:r>
      <w:r w:rsidR="00FA5839">
        <w:rPr>
          <w:rFonts w:ascii="Times New Roman" w:eastAsia="Times New Roman" w:hAnsi="Times New Roman" w:cs="Times New Roman"/>
          <w:bCs/>
          <w:sz w:val="26"/>
          <w:szCs w:val="26"/>
        </w:rPr>
        <w:t>-</w:t>
      </w:r>
      <w:r w:rsidR="008B38DD">
        <w:rPr>
          <w:rFonts w:ascii="Times New Roman" w:eastAsia="Times New Roman" w:hAnsi="Times New Roman" w:cs="Times New Roman"/>
          <w:bCs/>
          <w:sz w:val="26"/>
          <w:szCs w:val="26"/>
        </w:rPr>
        <w:t>2</w:t>
      </w:r>
      <w:r w:rsidR="00FA5839">
        <w:rPr>
          <w:rFonts w:ascii="Times New Roman" w:eastAsia="Times New Roman" w:hAnsi="Times New Roman" w:cs="Times New Roman"/>
          <w:bCs/>
          <w:sz w:val="26"/>
          <w:szCs w:val="26"/>
        </w:rPr>
        <w:t xml:space="preserve"> and PRC-0</w:t>
      </w:r>
      <w:r w:rsidR="008B38DD">
        <w:rPr>
          <w:rFonts w:ascii="Times New Roman" w:eastAsia="Times New Roman" w:hAnsi="Times New Roman" w:cs="Times New Roman"/>
          <w:bCs/>
          <w:sz w:val="26"/>
          <w:szCs w:val="26"/>
        </w:rPr>
        <w:t>17</w:t>
      </w:r>
      <w:r w:rsidR="00FA5839">
        <w:rPr>
          <w:rFonts w:ascii="Times New Roman" w:eastAsia="Times New Roman" w:hAnsi="Times New Roman" w:cs="Times New Roman"/>
          <w:bCs/>
          <w:sz w:val="26"/>
          <w:szCs w:val="26"/>
        </w:rPr>
        <w:t>-1</w:t>
      </w:r>
      <w:bookmarkEnd w:id="0"/>
      <w:r w:rsidR="00FA5839">
        <w:rPr>
          <w:rFonts w:ascii="Times New Roman" w:eastAsia="Times New Roman" w:hAnsi="Times New Roman" w:cs="Times New Roman"/>
          <w:bCs/>
          <w:sz w:val="26"/>
          <w:szCs w:val="26"/>
        </w:rPr>
        <w:t>)</w:t>
      </w:r>
      <w:r w:rsidR="00082A11">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under OMB Control Number 1902-0252.  </w:t>
      </w:r>
      <w:r w:rsidRPr="00C73090">
        <w:rPr>
          <w:rFonts w:ascii="Times New Roman" w:eastAsia="Times New Roman" w:hAnsi="Times New Roman" w:cs="Times New Roman"/>
          <w:bCs/>
          <w:sz w:val="26"/>
          <w:szCs w:val="26"/>
        </w:rPr>
        <w:t>PRC-0</w:t>
      </w:r>
      <w:r w:rsidR="008B38DD">
        <w:rPr>
          <w:rFonts w:ascii="Times New Roman" w:eastAsia="Times New Roman" w:hAnsi="Times New Roman" w:cs="Times New Roman"/>
          <w:bCs/>
          <w:sz w:val="26"/>
          <w:szCs w:val="26"/>
        </w:rPr>
        <w:t>12</w:t>
      </w:r>
      <w:r w:rsidRPr="00C73090">
        <w:rPr>
          <w:rFonts w:ascii="Times New Roman" w:eastAsia="Times New Roman" w:hAnsi="Times New Roman" w:cs="Times New Roman"/>
          <w:bCs/>
          <w:sz w:val="26"/>
          <w:szCs w:val="26"/>
        </w:rPr>
        <w:t>-</w:t>
      </w:r>
      <w:r w:rsidR="008B38DD">
        <w:rPr>
          <w:rFonts w:ascii="Times New Roman" w:eastAsia="Times New Roman" w:hAnsi="Times New Roman" w:cs="Times New Roman"/>
          <w:bCs/>
          <w:sz w:val="26"/>
          <w:szCs w:val="26"/>
        </w:rPr>
        <w:t>2</w:t>
      </w:r>
      <w:r w:rsidRPr="00C73090">
        <w:rPr>
          <w:rFonts w:ascii="Times New Roman" w:eastAsia="Times New Roman" w:hAnsi="Times New Roman" w:cs="Times New Roman"/>
          <w:bCs/>
          <w:sz w:val="26"/>
          <w:szCs w:val="26"/>
        </w:rPr>
        <w:t xml:space="preserve"> and PRC-0</w:t>
      </w:r>
      <w:r w:rsidR="008B38DD">
        <w:rPr>
          <w:rFonts w:ascii="Times New Roman" w:eastAsia="Times New Roman" w:hAnsi="Times New Roman" w:cs="Times New Roman"/>
          <w:bCs/>
          <w:sz w:val="26"/>
          <w:szCs w:val="26"/>
        </w:rPr>
        <w:t>17</w:t>
      </w:r>
      <w:r w:rsidRPr="00C73090">
        <w:rPr>
          <w:rFonts w:ascii="Times New Roman" w:eastAsia="Times New Roman" w:hAnsi="Times New Roman" w:cs="Times New Roman"/>
          <w:bCs/>
          <w:sz w:val="26"/>
          <w:szCs w:val="26"/>
        </w:rPr>
        <w:t>-1</w:t>
      </w:r>
      <w:r>
        <w:rPr>
          <w:rFonts w:ascii="Times New Roman" w:eastAsia="Times New Roman" w:hAnsi="Times New Roman" w:cs="Times New Roman"/>
          <w:bCs/>
          <w:sz w:val="26"/>
          <w:szCs w:val="26"/>
        </w:rPr>
        <w:t xml:space="preserve"> are r</w:t>
      </w:r>
      <w:r w:rsidRPr="00C73090">
        <w:rPr>
          <w:rFonts w:ascii="Times New Roman" w:eastAsia="Times New Roman" w:hAnsi="Times New Roman" w:cs="Times New Roman"/>
          <w:bCs/>
          <w:sz w:val="26"/>
          <w:szCs w:val="26"/>
        </w:rPr>
        <w:t xml:space="preserve">eliability </w:t>
      </w:r>
      <w:r>
        <w:rPr>
          <w:rFonts w:ascii="Times New Roman" w:eastAsia="Times New Roman" w:hAnsi="Times New Roman" w:cs="Times New Roman"/>
          <w:bCs/>
          <w:sz w:val="26"/>
          <w:szCs w:val="26"/>
        </w:rPr>
        <w:t>s</w:t>
      </w:r>
      <w:r w:rsidRPr="00C73090">
        <w:rPr>
          <w:rFonts w:ascii="Times New Roman" w:eastAsia="Times New Roman" w:hAnsi="Times New Roman" w:cs="Times New Roman"/>
          <w:bCs/>
          <w:sz w:val="26"/>
          <w:szCs w:val="26"/>
        </w:rPr>
        <w:t xml:space="preserve">tandards for </w:t>
      </w:r>
      <w:r w:rsidR="00C9323B">
        <w:rPr>
          <w:rFonts w:ascii="Times New Roman" w:eastAsia="Times New Roman" w:hAnsi="Times New Roman" w:cs="Times New Roman"/>
          <w:bCs/>
          <w:sz w:val="26"/>
          <w:szCs w:val="26"/>
        </w:rPr>
        <w:t>f</w:t>
      </w:r>
      <w:r w:rsidRPr="00C73090">
        <w:rPr>
          <w:rFonts w:ascii="Times New Roman" w:eastAsia="Times New Roman" w:hAnsi="Times New Roman" w:cs="Times New Roman"/>
          <w:bCs/>
          <w:sz w:val="26"/>
          <w:szCs w:val="26"/>
        </w:rPr>
        <w:t xml:space="preserve">requency and </w:t>
      </w:r>
      <w:r w:rsidR="00C9323B">
        <w:rPr>
          <w:rFonts w:ascii="Times New Roman" w:eastAsia="Times New Roman" w:hAnsi="Times New Roman" w:cs="Times New Roman"/>
          <w:bCs/>
          <w:sz w:val="26"/>
          <w:szCs w:val="26"/>
        </w:rPr>
        <w:t>v</w:t>
      </w:r>
      <w:r w:rsidRPr="00C73090">
        <w:rPr>
          <w:rFonts w:ascii="Times New Roman" w:eastAsia="Times New Roman" w:hAnsi="Times New Roman" w:cs="Times New Roman"/>
          <w:bCs/>
          <w:sz w:val="26"/>
          <w:szCs w:val="26"/>
        </w:rPr>
        <w:t xml:space="preserve">oltage </w:t>
      </w:r>
      <w:r w:rsidR="00C9323B">
        <w:rPr>
          <w:rFonts w:ascii="Times New Roman" w:eastAsia="Times New Roman" w:hAnsi="Times New Roman" w:cs="Times New Roman"/>
          <w:bCs/>
          <w:sz w:val="26"/>
          <w:szCs w:val="26"/>
        </w:rPr>
        <w:t>p</w:t>
      </w:r>
      <w:r w:rsidRPr="00C73090">
        <w:rPr>
          <w:rFonts w:ascii="Times New Roman" w:eastAsia="Times New Roman" w:hAnsi="Times New Roman" w:cs="Times New Roman"/>
          <w:bCs/>
          <w:sz w:val="26"/>
          <w:szCs w:val="26"/>
        </w:rPr>
        <w:t xml:space="preserve">rotection </w:t>
      </w:r>
      <w:r w:rsidR="00C9323B">
        <w:rPr>
          <w:rFonts w:ascii="Times New Roman" w:eastAsia="Times New Roman" w:hAnsi="Times New Roman" w:cs="Times New Roman"/>
          <w:bCs/>
          <w:sz w:val="26"/>
          <w:szCs w:val="26"/>
        </w:rPr>
        <w:t>s</w:t>
      </w:r>
      <w:r w:rsidRPr="00C73090">
        <w:rPr>
          <w:rFonts w:ascii="Times New Roman" w:eastAsia="Times New Roman" w:hAnsi="Times New Roman" w:cs="Times New Roman"/>
          <w:bCs/>
          <w:sz w:val="26"/>
          <w:szCs w:val="26"/>
        </w:rPr>
        <w:t xml:space="preserve">ettings and </w:t>
      </w:r>
      <w:r w:rsidR="00C9323B">
        <w:rPr>
          <w:rFonts w:ascii="Times New Roman" w:eastAsia="Times New Roman" w:hAnsi="Times New Roman" w:cs="Times New Roman"/>
          <w:bCs/>
          <w:sz w:val="26"/>
          <w:szCs w:val="26"/>
        </w:rPr>
        <w:t>r</w:t>
      </w:r>
      <w:r w:rsidRPr="00C73090">
        <w:rPr>
          <w:rFonts w:ascii="Times New Roman" w:eastAsia="Times New Roman" w:hAnsi="Times New Roman" w:cs="Times New Roman"/>
          <w:bCs/>
          <w:sz w:val="26"/>
          <w:szCs w:val="26"/>
        </w:rPr>
        <w:t>ide-</w:t>
      </w:r>
      <w:r w:rsidR="00C9323B">
        <w:rPr>
          <w:rFonts w:ascii="Times New Roman" w:eastAsia="Times New Roman" w:hAnsi="Times New Roman" w:cs="Times New Roman"/>
          <w:bCs/>
          <w:sz w:val="26"/>
          <w:szCs w:val="26"/>
        </w:rPr>
        <w:t>t</w:t>
      </w:r>
      <w:r w:rsidRPr="00C73090">
        <w:rPr>
          <w:rFonts w:ascii="Times New Roman" w:eastAsia="Times New Roman" w:hAnsi="Times New Roman" w:cs="Times New Roman"/>
          <w:bCs/>
          <w:sz w:val="26"/>
          <w:szCs w:val="26"/>
        </w:rPr>
        <w:t>hrough for Inverter-Based Resources</w:t>
      </w:r>
      <w:r w:rsidR="00C9323B">
        <w:rPr>
          <w:rFonts w:ascii="Times New Roman" w:eastAsia="Times New Roman" w:hAnsi="Times New Roman" w:cs="Times New Roman"/>
          <w:bCs/>
          <w:sz w:val="26"/>
          <w:szCs w:val="26"/>
        </w:rPr>
        <w:t xml:space="preserve"> (IBR)</w:t>
      </w:r>
      <w:r>
        <w:rPr>
          <w:rFonts w:ascii="Times New Roman" w:eastAsia="Times New Roman" w:hAnsi="Times New Roman" w:cs="Times New Roman"/>
          <w:bCs/>
          <w:sz w:val="26"/>
          <w:szCs w:val="26"/>
        </w:rPr>
        <w:t>.</w:t>
      </w:r>
    </w:p>
    <w:p w:rsidR="00D20809" w:rsidP="00EA4EE4" w14:paraId="7F4D80F0" w14:textId="77777777">
      <w:pPr>
        <w:spacing w:after="0" w:line="240" w:lineRule="auto"/>
        <w:rPr>
          <w:rFonts w:ascii="Times New Roman" w:hAnsi="Times New Roman" w:cs="Times New Roman"/>
          <w:sz w:val="26"/>
          <w:szCs w:val="26"/>
        </w:rPr>
      </w:pPr>
    </w:p>
    <w:p w:rsidR="00D20809" w14:paraId="5B5871B2" w14:textId="77777777">
      <w:pPr>
        <w:numPr>
          <w:ilvl w:val="0"/>
          <w:numId w:val="2"/>
        </w:numPr>
        <w:spacing w:after="0" w:line="240" w:lineRule="auto"/>
        <w:rPr>
          <w:rFonts w:ascii="Times New Roman" w:hAnsi="Times New Roman" w:cs="Times New Roman"/>
          <w:sz w:val="26"/>
          <w:szCs w:val="26"/>
        </w:rPr>
      </w:pPr>
      <w:r>
        <w:rPr>
          <w:rFonts w:ascii="Times New Roman" w:hAnsi="Times New Roman" w:cs="Times New Roman"/>
          <w:b/>
          <w:sz w:val="26"/>
          <w:szCs w:val="26"/>
        </w:rPr>
        <w:t>CIRCUMSTANCES THAT MAKE THE COLLECTION OF INFORMATION NECESSARY</w:t>
      </w:r>
    </w:p>
    <w:p w:rsidR="00D20809" w14:paraId="6B0E92E7" w14:textId="77777777">
      <w:pPr>
        <w:spacing w:after="0" w:line="240" w:lineRule="auto"/>
        <w:rPr>
          <w:rFonts w:ascii="Times New Roman" w:hAnsi="Times New Roman" w:cs="Times New Roman"/>
          <w:b/>
          <w:sz w:val="26"/>
          <w:szCs w:val="26"/>
        </w:rPr>
      </w:pPr>
    </w:p>
    <w:p w:rsidR="00D20809" w14:paraId="29268E92" w14:textId="77777777">
      <w:pPr>
        <w:spacing w:after="0" w:line="240" w:lineRule="auto"/>
        <w:rPr>
          <w:rFonts w:ascii="Times New Roman" w:hAnsi="Times New Roman" w:cs="Times New Roman"/>
          <w:sz w:val="26"/>
          <w:szCs w:val="26"/>
        </w:rPr>
      </w:pPr>
      <w:bookmarkStart w:id="1" w:name="_Hlk41486816"/>
      <w:r>
        <w:rPr>
          <w:rFonts w:ascii="Times New Roman" w:hAnsi="Times New Roman" w:cs="Times New Roman"/>
          <w:sz w:val="26"/>
          <w:szCs w:val="26"/>
        </w:rPr>
        <w:t>On August 8, 2005, The Electricity Modernization Act of 2005, which is Title XII of the Energy Policy Act of 2005 (EPAct 2005), was enacted into law</w:t>
      </w:r>
      <w:r>
        <w:rPr>
          <w:rFonts w:ascii="Times New Roman" w:hAnsi="Times New Roman" w:cs="Times New Roman"/>
          <w:sz w:val="26"/>
          <w:szCs w:val="26"/>
          <w:vertAlign w:val="superscript"/>
        </w:rPr>
        <w:footnoteReference w:id="3"/>
      </w:r>
      <w:r>
        <w:rPr>
          <w:rFonts w:ascii="Times New Roman" w:hAnsi="Times New Roman" w:cs="Times New Roman"/>
          <w:sz w:val="26"/>
          <w:szCs w:val="26"/>
        </w:rPr>
        <w:t>.  EPAct 2005 added a new section 215 to the Federal Power Act (FPA), which requires a Commission-certified Electric Reliability Organization (ERO) to develop mandatory and enforceable Reliability Standards, subject to Commission review and approval.</w:t>
      </w:r>
    </w:p>
    <w:p w:rsidR="00D20809" w14:paraId="47384B2F" w14:textId="77777777">
      <w:pPr>
        <w:spacing w:after="0" w:line="240" w:lineRule="auto"/>
        <w:rPr>
          <w:rFonts w:ascii="Times New Roman" w:hAnsi="Times New Roman" w:cs="Times New Roman"/>
          <w:sz w:val="26"/>
          <w:szCs w:val="26"/>
        </w:rPr>
      </w:pPr>
    </w:p>
    <w:p w:rsidR="00D20809" w14:paraId="55A9233D" w14:textId="6DDF1C49">
      <w:pPr>
        <w:spacing w:after="0" w:line="240" w:lineRule="auto"/>
        <w:rPr>
          <w:rFonts w:ascii="Times New Roman" w:hAnsi="Times New Roman" w:cs="Times New Roman"/>
          <w:sz w:val="26"/>
          <w:szCs w:val="26"/>
        </w:rPr>
      </w:pPr>
      <w:r>
        <w:rPr>
          <w:rFonts w:ascii="Times New Roman" w:hAnsi="Times New Roman" w:cs="Times New Roman"/>
          <w:sz w:val="26"/>
          <w:szCs w:val="26"/>
        </w:rPr>
        <w:t>Section 215 of the FPA requires a Commission-certified ERO to develop mandatory and enforceable Reliability Standards, subject to Commission review and approval.</w:t>
      </w:r>
      <w:r>
        <w:rPr>
          <w:rFonts w:ascii="Times New Roman" w:hAnsi="Times New Roman" w:cs="Times New Roman"/>
          <w:b/>
          <w:sz w:val="26"/>
          <w:szCs w:val="26"/>
          <w:vertAlign w:val="superscript"/>
        </w:rPr>
        <w:footnoteReference w:id="4"/>
      </w:r>
      <w:r>
        <w:rPr>
          <w:rFonts w:ascii="Times New Roman" w:hAnsi="Times New Roman" w:cs="Times New Roman"/>
          <w:sz w:val="26"/>
          <w:szCs w:val="26"/>
        </w:rPr>
        <w:t xml:space="preserve">  Once approved, the Reliability Standards may be enforced by the ERO subject to Commission oversight or by the Commission independently.</w:t>
      </w:r>
      <w:r>
        <w:rPr>
          <w:rFonts w:ascii="Times New Roman" w:hAnsi="Times New Roman" w:cs="Times New Roman"/>
          <w:b/>
          <w:sz w:val="26"/>
          <w:szCs w:val="26"/>
          <w:vertAlign w:val="superscript"/>
        </w:rPr>
        <w:footnoteReference w:id="5"/>
      </w:r>
      <w:r>
        <w:rPr>
          <w:rFonts w:ascii="Times New Roman" w:hAnsi="Times New Roman" w:cs="Times New Roman"/>
          <w:sz w:val="26"/>
          <w:szCs w:val="26"/>
        </w:rPr>
        <w:t xml:space="preserve">  In 2006, the Commission certified </w:t>
      </w:r>
      <w:r w:rsidR="00A11EB2">
        <w:rPr>
          <w:rFonts w:ascii="Times New Roman" w:hAnsi="Times New Roman" w:cs="Times New Roman"/>
          <w:sz w:val="26"/>
          <w:szCs w:val="26"/>
        </w:rPr>
        <w:t xml:space="preserve">the </w:t>
      </w:r>
      <w:r>
        <w:rPr>
          <w:rFonts w:ascii="Times New Roman" w:hAnsi="Times New Roman" w:cs="Times New Roman"/>
          <w:sz w:val="26"/>
          <w:szCs w:val="26"/>
        </w:rPr>
        <w:t>North American Electric Reliability Corporation</w:t>
      </w:r>
      <w:r w:rsidR="00A11EB2">
        <w:rPr>
          <w:rFonts w:ascii="Times New Roman" w:hAnsi="Times New Roman" w:cs="Times New Roman"/>
          <w:sz w:val="26"/>
          <w:szCs w:val="26"/>
        </w:rPr>
        <w:t xml:space="preserve"> (NERC)</w:t>
      </w:r>
      <w:r>
        <w:rPr>
          <w:rFonts w:ascii="Times New Roman" w:hAnsi="Times New Roman" w:cs="Times New Roman"/>
          <w:sz w:val="26"/>
          <w:szCs w:val="26"/>
        </w:rPr>
        <w:t xml:space="preserve"> as the ERO</w:t>
      </w:r>
      <w:r>
        <w:rPr>
          <w:rStyle w:val="FootnoteReference"/>
          <w:rFonts w:ascii="Times New Roman" w:hAnsi="Times New Roman" w:cs="Times New Roman"/>
          <w:sz w:val="26"/>
          <w:szCs w:val="26"/>
        </w:rPr>
        <w:footnoteReference w:id="6"/>
      </w:r>
      <w:r>
        <w:rPr>
          <w:rFonts w:ascii="Times New Roman" w:hAnsi="Times New Roman" w:cs="Times New Roman"/>
          <w:sz w:val="26"/>
          <w:szCs w:val="26"/>
        </w:rPr>
        <w:t xml:space="preserve"> pursuant to section 215 of the FPA.</w:t>
      </w:r>
      <w:r>
        <w:rPr>
          <w:rFonts w:ascii="Times New Roman" w:hAnsi="Times New Roman" w:cs="Times New Roman"/>
          <w:b/>
          <w:sz w:val="26"/>
          <w:szCs w:val="26"/>
          <w:vertAlign w:val="superscript"/>
        </w:rPr>
        <w:footnoteReference w:id="7"/>
      </w:r>
    </w:p>
    <w:bookmarkEnd w:id="1"/>
    <w:p w:rsidR="00D20809" w14:paraId="54B9BAD8" w14:textId="77777777">
      <w:pPr>
        <w:spacing w:after="0" w:line="240" w:lineRule="auto"/>
        <w:rPr>
          <w:rFonts w:ascii="Times New Roman" w:hAnsi="Times New Roman" w:cs="Times New Roman"/>
          <w:sz w:val="26"/>
          <w:szCs w:val="26"/>
        </w:rPr>
      </w:pPr>
    </w:p>
    <w:p w:rsidR="00D20809" w14:paraId="7441C895" w14:textId="277E680D">
      <w:pPr>
        <w:spacing w:after="0" w:line="240" w:lineRule="auto"/>
        <w:rPr>
          <w:rFonts w:ascii="Times New Roman" w:hAnsi="Times New Roman" w:cs="Times New Roman"/>
          <w:sz w:val="26"/>
          <w:szCs w:val="26"/>
        </w:rPr>
      </w:pPr>
      <w:r w:rsidRPr="2F6AED1A">
        <w:rPr>
          <w:rFonts w:ascii="Times New Roman" w:hAnsi="Times New Roman" w:cs="Times New Roman"/>
          <w:sz w:val="26"/>
          <w:szCs w:val="26"/>
        </w:rPr>
        <w:t>On March 16, 2007 (pursuant to section 215(d) of the FPA), the Commission issued Order No. 693, approving 83 of the 107 initial Reliability Standards filed by NERC.  Order 693 addressed several</w:t>
      </w:r>
      <w:r w:rsidRPr="2F6AED1A" w:rsidR="00A11EB2">
        <w:rPr>
          <w:rFonts w:ascii="Times New Roman" w:hAnsi="Times New Roman" w:cs="Times New Roman"/>
          <w:sz w:val="26"/>
          <w:szCs w:val="26"/>
        </w:rPr>
        <w:t xml:space="preserve"> Personal Performance, Training, and Quali</w:t>
      </w:r>
      <w:r w:rsidRPr="2F6AED1A" w:rsidR="413F7181">
        <w:rPr>
          <w:rFonts w:ascii="Times New Roman" w:hAnsi="Times New Roman" w:cs="Times New Roman"/>
          <w:sz w:val="26"/>
          <w:szCs w:val="26"/>
        </w:rPr>
        <w:t>f</w:t>
      </w:r>
      <w:r w:rsidRPr="2F6AED1A" w:rsidR="00A11EB2">
        <w:rPr>
          <w:rFonts w:ascii="Times New Roman" w:hAnsi="Times New Roman" w:cs="Times New Roman"/>
          <w:sz w:val="26"/>
          <w:szCs w:val="26"/>
        </w:rPr>
        <w:t>ication</w:t>
      </w:r>
      <w:r w:rsidRPr="2F6AED1A">
        <w:rPr>
          <w:rFonts w:ascii="Times New Roman" w:hAnsi="Times New Roman" w:cs="Times New Roman"/>
          <w:sz w:val="26"/>
          <w:szCs w:val="26"/>
        </w:rPr>
        <w:t xml:space="preserve"> </w:t>
      </w:r>
      <w:r w:rsidRPr="2F6AED1A" w:rsidR="00A11EB2">
        <w:rPr>
          <w:rFonts w:ascii="Times New Roman" w:hAnsi="Times New Roman" w:cs="Times New Roman"/>
          <w:sz w:val="26"/>
          <w:szCs w:val="26"/>
        </w:rPr>
        <w:t>(</w:t>
      </w:r>
      <w:r w:rsidRPr="2F6AED1A">
        <w:rPr>
          <w:rFonts w:ascii="Times New Roman" w:hAnsi="Times New Roman" w:cs="Times New Roman"/>
          <w:sz w:val="26"/>
          <w:szCs w:val="26"/>
        </w:rPr>
        <w:t>PER</w:t>
      </w:r>
      <w:r w:rsidRPr="2F6AED1A" w:rsidR="00A11EB2">
        <w:rPr>
          <w:rFonts w:ascii="Times New Roman" w:hAnsi="Times New Roman" w:cs="Times New Roman"/>
          <w:sz w:val="26"/>
          <w:szCs w:val="26"/>
        </w:rPr>
        <w:t>)</w:t>
      </w:r>
      <w:r w:rsidRPr="2F6AED1A">
        <w:rPr>
          <w:rFonts w:ascii="Times New Roman" w:hAnsi="Times New Roman" w:cs="Times New Roman"/>
          <w:sz w:val="26"/>
          <w:szCs w:val="26"/>
        </w:rPr>
        <w:t xml:space="preserve"> and</w:t>
      </w:r>
      <w:r w:rsidRPr="2F6AED1A" w:rsidR="00A11EB2">
        <w:rPr>
          <w:rFonts w:ascii="Times New Roman" w:hAnsi="Times New Roman" w:cs="Times New Roman"/>
          <w:sz w:val="26"/>
          <w:szCs w:val="26"/>
        </w:rPr>
        <w:t xml:space="preserve"> Protection and Control</w:t>
      </w:r>
      <w:r w:rsidRPr="2F6AED1A">
        <w:rPr>
          <w:rFonts w:ascii="Times New Roman" w:hAnsi="Times New Roman" w:cs="Times New Roman"/>
          <w:sz w:val="26"/>
          <w:szCs w:val="26"/>
        </w:rPr>
        <w:t xml:space="preserve"> </w:t>
      </w:r>
      <w:r w:rsidRPr="2F6AED1A" w:rsidR="00A11EB2">
        <w:rPr>
          <w:rFonts w:ascii="Times New Roman" w:hAnsi="Times New Roman" w:cs="Times New Roman"/>
          <w:sz w:val="26"/>
          <w:szCs w:val="26"/>
        </w:rPr>
        <w:t>(</w:t>
      </w:r>
      <w:r w:rsidRPr="2F6AED1A">
        <w:rPr>
          <w:rFonts w:ascii="Times New Roman" w:hAnsi="Times New Roman" w:cs="Times New Roman"/>
          <w:sz w:val="26"/>
          <w:szCs w:val="26"/>
        </w:rPr>
        <w:t>PRC</w:t>
      </w:r>
      <w:r w:rsidRPr="2F6AED1A" w:rsidR="00A11EB2">
        <w:rPr>
          <w:rFonts w:ascii="Times New Roman" w:hAnsi="Times New Roman" w:cs="Times New Roman"/>
          <w:sz w:val="26"/>
          <w:szCs w:val="26"/>
        </w:rPr>
        <w:t>)</w:t>
      </w:r>
      <w:r w:rsidRPr="2F6AED1A">
        <w:rPr>
          <w:rFonts w:ascii="Times New Roman" w:hAnsi="Times New Roman" w:cs="Times New Roman"/>
          <w:sz w:val="26"/>
          <w:szCs w:val="26"/>
        </w:rPr>
        <w:t xml:space="preserve"> Reliability Standards.  Some of them were approved, but others were approved with a Commission directive for NERC to make modifications.  In the intervening years, numerous changes have been made to update, eliminate, or establish various Reliability Standards.</w:t>
      </w:r>
    </w:p>
    <w:p w:rsidR="00D20809" w14:paraId="1AB8ED59" w14:textId="77777777">
      <w:pPr>
        <w:spacing w:after="0" w:line="240" w:lineRule="auto"/>
        <w:rPr>
          <w:rFonts w:ascii="Times New Roman" w:hAnsi="Times New Roman" w:cs="Times New Roman"/>
          <w:b/>
          <w:sz w:val="26"/>
          <w:szCs w:val="26"/>
        </w:rPr>
      </w:pPr>
    </w:p>
    <w:p w:rsidR="00F047B5" w:rsidRPr="00F047B5" w:rsidP="00F047B5" w14:paraId="313A5B1C" w14:textId="41764C28">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HOW, BY WHOM, AND FOR WHAT PURPOSE THE INFORMATION IS TO BE USED AND THE CONSEQUENCES OF NOT COLLECTING THE INFORMATION</w:t>
      </w:r>
    </w:p>
    <w:p w:rsidR="00BD123C" w:rsidP="00C862EF" w14:paraId="1A670A8D" w14:textId="2B6D109A">
      <w:pPr>
        <w:spacing w:after="0" w:line="240" w:lineRule="auto"/>
        <w:rPr>
          <w:rFonts w:ascii="Times New Roman" w:hAnsi="Times New Roman" w:cs="Times New Roman"/>
          <w:b/>
          <w:sz w:val="26"/>
          <w:szCs w:val="26"/>
        </w:rPr>
      </w:pPr>
    </w:p>
    <w:p w:rsidR="00D23085" w:rsidRPr="00D23085" w:rsidP="00D23085" w14:paraId="456D06FE" w14:textId="77777777">
      <w:pPr>
        <w:spacing w:after="0" w:line="240" w:lineRule="auto"/>
        <w:rPr>
          <w:rFonts w:ascii="Times New Roman" w:hAnsi="Times New Roman" w:cs="Times New Roman"/>
          <w:sz w:val="26"/>
          <w:szCs w:val="26"/>
        </w:rPr>
      </w:pPr>
      <w:r w:rsidRPr="00D23085">
        <w:rPr>
          <w:rFonts w:ascii="Times New Roman" w:hAnsi="Times New Roman" w:cs="Times New Roman"/>
          <w:sz w:val="26"/>
          <w:szCs w:val="26"/>
        </w:rPr>
        <w:t>Section 215 of the FPA provides that the Commission may certify an Electric Reliability Organization (ERO), the purpose of which is to develop mandatory and enforceable Reliability Standards, subject to Commission review and approval.</w:t>
      </w:r>
      <w:r>
        <w:rPr>
          <w:rFonts w:ascii="Times New Roman" w:hAnsi="Times New Roman" w:cs="Times New Roman"/>
          <w:b/>
          <w:bCs/>
          <w:sz w:val="26"/>
          <w:szCs w:val="26"/>
          <w:vertAlign w:val="superscript"/>
        </w:rPr>
        <w:footnoteReference w:id="8"/>
      </w:r>
      <w:r w:rsidRPr="00D23085">
        <w:rPr>
          <w:rFonts w:ascii="Times New Roman" w:hAnsi="Times New Roman" w:cs="Times New Roman"/>
          <w:sz w:val="26"/>
          <w:szCs w:val="26"/>
        </w:rPr>
        <w:t xml:space="preserve">  Reliability Standards may be enforced by the ERO, subject to Commission oversight, or by the Commission independently.</w:t>
      </w:r>
      <w:r>
        <w:rPr>
          <w:rFonts w:ascii="Times New Roman" w:hAnsi="Times New Roman" w:cs="Times New Roman"/>
          <w:b/>
          <w:bCs/>
          <w:sz w:val="26"/>
          <w:szCs w:val="26"/>
          <w:vertAlign w:val="superscript"/>
        </w:rPr>
        <w:footnoteReference w:id="9"/>
      </w:r>
      <w:r w:rsidRPr="00D23085">
        <w:rPr>
          <w:rFonts w:ascii="Times New Roman" w:hAnsi="Times New Roman" w:cs="Times New Roman"/>
          <w:b/>
          <w:bCs/>
          <w:sz w:val="26"/>
          <w:szCs w:val="26"/>
        </w:rPr>
        <w:t xml:space="preserve">  </w:t>
      </w:r>
      <w:r w:rsidRPr="00D23085">
        <w:rPr>
          <w:rFonts w:ascii="Times New Roman" w:hAnsi="Times New Roman" w:cs="Times New Roman"/>
          <w:sz w:val="26"/>
          <w:szCs w:val="26"/>
        </w:rPr>
        <w:t>Pursuant to section 215 of the FPA, the Commission established a process to select and certify an ERO,</w:t>
      </w:r>
      <w:r>
        <w:rPr>
          <w:rFonts w:ascii="Times New Roman" w:hAnsi="Times New Roman" w:cs="Times New Roman"/>
          <w:b/>
          <w:bCs/>
          <w:sz w:val="26"/>
          <w:szCs w:val="26"/>
          <w:vertAlign w:val="superscript"/>
        </w:rPr>
        <w:footnoteReference w:id="10"/>
      </w:r>
      <w:r w:rsidRPr="00D23085">
        <w:rPr>
          <w:rFonts w:ascii="Times New Roman" w:hAnsi="Times New Roman" w:cs="Times New Roman"/>
          <w:b/>
          <w:bCs/>
          <w:sz w:val="26"/>
          <w:szCs w:val="26"/>
        </w:rPr>
        <w:t xml:space="preserve"> </w:t>
      </w:r>
      <w:r w:rsidRPr="00D23085">
        <w:rPr>
          <w:rFonts w:ascii="Times New Roman" w:hAnsi="Times New Roman" w:cs="Times New Roman"/>
          <w:sz w:val="26"/>
          <w:szCs w:val="26"/>
        </w:rPr>
        <w:t>and subsequently certified NERC.</w:t>
      </w:r>
      <w:r>
        <w:rPr>
          <w:rFonts w:ascii="Times New Roman" w:hAnsi="Times New Roman" w:cs="Times New Roman"/>
          <w:b/>
          <w:bCs/>
          <w:sz w:val="26"/>
          <w:szCs w:val="26"/>
          <w:vertAlign w:val="superscript"/>
        </w:rPr>
        <w:footnoteReference w:id="11"/>
      </w:r>
    </w:p>
    <w:p w:rsidR="00D23085" w:rsidRPr="00D23085" w:rsidP="00D23085" w14:paraId="02B229BA" w14:textId="77777777">
      <w:pPr>
        <w:spacing w:after="0" w:line="240" w:lineRule="auto"/>
        <w:rPr>
          <w:rFonts w:ascii="Times New Roman" w:hAnsi="Times New Roman" w:cs="Times New Roman"/>
          <w:sz w:val="26"/>
          <w:szCs w:val="26"/>
        </w:rPr>
      </w:pPr>
    </w:p>
    <w:p w:rsidR="00D23085" w:rsidRPr="00D23085" w:rsidP="00D23085" w14:paraId="07F763D2" w14:textId="77777777">
      <w:pPr>
        <w:spacing w:after="0" w:line="240" w:lineRule="auto"/>
        <w:rPr>
          <w:rFonts w:ascii="Times New Roman" w:hAnsi="Times New Roman" w:cs="Times New Roman"/>
          <w:sz w:val="26"/>
          <w:szCs w:val="26"/>
        </w:rPr>
      </w:pPr>
      <w:r w:rsidRPr="00D23085">
        <w:rPr>
          <w:rFonts w:ascii="Times New Roman" w:hAnsi="Times New Roman" w:cs="Times New Roman"/>
          <w:sz w:val="26"/>
          <w:szCs w:val="26"/>
        </w:rPr>
        <w:t>On October 1, 2025, in Docket No. RD25-10, the Commission approved NERC’s filing of a petition seeking approval of two revised NERC definitions, generator owner and generator operator as “to align the definitions of the Generator Owner and Generator Operator terms in the NERC Glossary with the recently revised Generator Owner and Generator Operator registration functions in the NERC Rules of Procedure Statement of Compliance Registry Criteria,”</w:t>
      </w:r>
      <w:r w:rsidRPr="00D23085">
        <w:rPr>
          <w:rFonts w:ascii="Times New Roman" w:hAnsi="Times New Roman" w:cs="Times New Roman"/>
          <w:b/>
          <w:bCs/>
          <w:sz w:val="26"/>
          <w:szCs w:val="26"/>
          <w:vertAlign w:val="superscript"/>
        </w:rPr>
        <w:t xml:space="preserve"> </w:t>
      </w:r>
      <w:r>
        <w:rPr>
          <w:rFonts w:ascii="Times New Roman" w:hAnsi="Times New Roman" w:cs="Times New Roman"/>
          <w:b/>
          <w:bCs/>
          <w:sz w:val="26"/>
          <w:szCs w:val="26"/>
          <w:vertAlign w:val="superscript"/>
        </w:rPr>
        <w:footnoteReference w:id="12"/>
      </w:r>
      <w:r w:rsidRPr="00D23085">
        <w:rPr>
          <w:rFonts w:ascii="Times New Roman" w:hAnsi="Times New Roman" w:cs="Times New Roman"/>
          <w:sz w:val="26"/>
          <w:szCs w:val="26"/>
        </w:rPr>
        <w:t xml:space="preserve"> approved by the Commission in Docket No. RR24-2-</w:t>
      </w:r>
      <w:r w:rsidRPr="00D23085">
        <w:rPr>
          <w:rFonts w:ascii="Times New Roman" w:hAnsi="Times New Roman" w:cs="Times New Roman"/>
          <w:sz w:val="26"/>
          <w:szCs w:val="26"/>
        </w:rPr>
        <w:t>000 on June 27, 2024.</w:t>
      </w:r>
      <w:r>
        <w:rPr>
          <w:rFonts w:ascii="Times New Roman" w:hAnsi="Times New Roman" w:cs="Times New Roman"/>
          <w:b/>
          <w:sz w:val="26"/>
          <w:szCs w:val="26"/>
          <w:vertAlign w:val="superscript"/>
        </w:rPr>
        <w:footnoteReference w:id="13"/>
      </w:r>
      <w:r w:rsidRPr="00D23085">
        <w:rPr>
          <w:rFonts w:ascii="Times New Roman" w:hAnsi="Times New Roman" w:cs="Times New Roman"/>
          <w:sz w:val="26"/>
          <w:szCs w:val="26"/>
        </w:rPr>
        <w:t xml:space="preserve">  The terms generator owner and generator operator now include non-bulk electric system (BES) inverter-based resources (IBR) that either have or contribute to an aggregate nameplate capacity of greater than or equal to 20 MVA, connected through a system designed primarily for delivering such capacity to a common point of connection at a voltage greater than or equal to 60 kV (category 2).  Consequently, the new definitions in the Glossary of Terms Used in NERC Reliability Standards (NERC Glossary) will impose paperwork burdens on category 2 generator owners and generator operators that will now need to comply with applicable Reliability Standards.</w:t>
      </w:r>
    </w:p>
    <w:p w:rsidR="00D23085" w:rsidRPr="00D23085" w:rsidP="00D23085" w14:paraId="5EA5795F" w14:textId="77777777">
      <w:pPr>
        <w:spacing w:after="0" w:line="240" w:lineRule="auto"/>
        <w:rPr>
          <w:rFonts w:ascii="Times New Roman" w:hAnsi="Times New Roman" w:cs="Times New Roman"/>
          <w:sz w:val="26"/>
          <w:szCs w:val="26"/>
        </w:rPr>
      </w:pPr>
      <w:r w:rsidRPr="00D23085">
        <w:rPr>
          <w:rFonts w:ascii="Times New Roman" w:hAnsi="Times New Roman" w:cs="Times New Roman"/>
          <w:sz w:val="26"/>
          <w:szCs w:val="26"/>
        </w:rPr>
        <w:t>The approved revision to the definition of generator operator in the NERC Glossary is</w:t>
      </w:r>
      <w:r>
        <w:rPr>
          <w:rFonts w:ascii="Times New Roman" w:hAnsi="Times New Roman" w:cs="Times New Roman"/>
          <w:b/>
          <w:sz w:val="26"/>
          <w:szCs w:val="26"/>
          <w:vertAlign w:val="superscript"/>
        </w:rPr>
        <w:footnoteReference w:id="14"/>
      </w:r>
      <w:r w:rsidRPr="00D23085">
        <w:rPr>
          <w:rFonts w:ascii="Times New Roman" w:hAnsi="Times New Roman" w:cs="Times New Roman"/>
          <w:sz w:val="26"/>
          <w:szCs w:val="26"/>
        </w:rPr>
        <w:t>:</w:t>
      </w:r>
    </w:p>
    <w:p w:rsidR="00D23085" w:rsidRPr="00D23085" w:rsidP="00D23085" w14:paraId="0D2E1A1D" w14:textId="77777777">
      <w:pPr>
        <w:spacing w:after="0" w:line="240" w:lineRule="auto"/>
        <w:rPr>
          <w:rFonts w:ascii="Times New Roman" w:hAnsi="Times New Roman" w:cs="Times New Roman"/>
          <w:sz w:val="26"/>
          <w:szCs w:val="26"/>
        </w:rPr>
      </w:pPr>
      <w:r w:rsidRPr="00D23085">
        <w:rPr>
          <w:rFonts w:ascii="Times New Roman" w:hAnsi="Times New Roman" w:cs="Times New Roman"/>
          <w:sz w:val="26"/>
          <w:szCs w:val="26"/>
        </w:rPr>
        <w:t>The entity that: 1) operates generating Facility(</w:t>
      </w:r>
      <w:r w:rsidRPr="00D23085">
        <w:rPr>
          <w:rFonts w:ascii="Times New Roman" w:hAnsi="Times New Roman" w:cs="Times New Roman"/>
          <w:sz w:val="26"/>
          <w:szCs w:val="26"/>
        </w:rPr>
        <w:t>ies</w:t>
      </w:r>
      <w:r w:rsidRPr="00D23085">
        <w:rPr>
          <w:rFonts w:ascii="Times New Roman" w:hAnsi="Times New Roman" w:cs="Times New Roman"/>
          <w:sz w:val="26"/>
          <w:szCs w:val="26"/>
        </w:rPr>
        <w:t>) and performs the functions of supplying energy and Interconnected Operations Services (Category 1 GOP); or 2) operates non-BES Inverter-Based Resource(s) that either have or contribute to an aggregate nameplate capacity of greater than or equal to 20 MVA, connected through a system designed primarily for delivering such capacity to a common point of connection at a voltage greater than or equal to 60 kV (Category 2 GOP).</w:t>
      </w:r>
    </w:p>
    <w:p w:rsidR="00D23085" w:rsidRPr="00D23085" w:rsidP="00D23085" w14:paraId="3CAC93E4" w14:textId="08278D23">
      <w:pPr>
        <w:spacing w:after="0" w:line="240" w:lineRule="auto"/>
        <w:rPr>
          <w:rFonts w:ascii="Times New Roman" w:hAnsi="Times New Roman" w:cs="Times New Roman"/>
          <w:sz w:val="26"/>
          <w:szCs w:val="26"/>
        </w:rPr>
      </w:pPr>
      <w:r w:rsidRPr="00D23085">
        <w:rPr>
          <w:rFonts w:ascii="Times New Roman" w:hAnsi="Times New Roman" w:cs="Times New Roman"/>
          <w:sz w:val="26"/>
          <w:szCs w:val="26"/>
        </w:rPr>
        <w:t xml:space="preserve">As a result of the inclusion of category 2 resources in the NERC Glossary, applicable responsible entities will have to comply with reporting requirements for this information collection for each of the eight reliability standards included in NERC’s implementation plan associated with Docket No. RD25-10.  The eight applicable Reliability Standards are: BAL-001-TRE-2; IRO-010-5; MOD-032-1; PRC-012-2; PRC-017-1; TOP-003-6.1; VAR-001-5; and VAR-002-4.1.  </w:t>
      </w:r>
    </w:p>
    <w:p w:rsidR="00D23085" w:rsidRPr="00D23085" w:rsidP="00D23085" w14:paraId="0B8284DF" w14:textId="77777777">
      <w:pPr>
        <w:spacing w:after="0" w:line="240" w:lineRule="auto"/>
        <w:rPr>
          <w:rFonts w:ascii="Times New Roman" w:hAnsi="Times New Roman" w:cs="Times New Roman"/>
          <w:sz w:val="26"/>
          <w:szCs w:val="26"/>
        </w:rPr>
      </w:pPr>
      <w:r w:rsidRPr="00D23085">
        <w:rPr>
          <w:rFonts w:ascii="Times New Roman" w:hAnsi="Times New Roman" w:cs="Times New Roman"/>
          <w:sz w:val="26"/>
          <w:szCs w:val="26"/>
        </w:rPr>
        <w:t xml:space="preserve">Reliability Standards PRC-012-2 and PRC-017-1 are currently located in the FERC-725G (OMB Control No. 1902-0252) collection.  The purpose of PRC-012-2 is to ensure that remedial action schemes (RAS) do not introduce unintentional or unacceptable reliability risks to the BES.  The stated purpose of Reliability Standard PRC-017-1 is to ensure that all RAS are properly designed, meet performance requirements, and are coordinated with other protection systems and to ensure that maintenance and testing programs are developed and </w:t>
      </w:r>
      <w:r w:rsidRPr="00D23085">
        <w:rPr>
          <w:rFonts w:ascii="Times New Roman" w:hAnsi="Times New Roman" w:cs="Times New Roman"/>
          <w:sz w:val="26"/>
          <w:szCs w:val="26"/>
        </w:rPr>
        <w:t>misoperations</w:t>
      </w:r>
      <w:r w:rsidRPr="00D23085">
        <w:rPr>
          <w:rFonts w:ascii="Times New Roman" w:hAnsi="Times New Roman" w:cs="Times New Roman"/>
          <w:sz w:val="26"/>
          <w:szCs w:val="26"/>
        </w:rPr>
        <w:t xml:space="preserve"> are analyzed and corrected.  The category 2 generator owners, that are part of a RAS, will now have to follow Requirements R1, R3, and R5 through R8 in Reliability Standard PRC-012-2 and Requirements R1 and R2 in Reliability Standard PRC-017-1.  Specifically, Reliability Standard PRC-012-2 requires that generator owners that own all or part of a RAS to review and provide information to their reliability coordinator in R1 and R3; and to test, analyze performance, and take corrective action, if needed, in Requirements R5 through R8.  Requirements R1 and R2 of Reliability Standard PRC-017-1 require generator owners that own </w:t>
      </w:r>
      <w:r w:rsidRPr="00D23085">
        <w:rPr>
          <w:rFonts w:ascii="Times New Roman" w:hAnsi="Times New Roman" w:cs="Times New Roman"/>
          <w:sz w:val="26"/>
          <w:szCs w:val="26"/>
        </w:rPr>
        <w:t>a RAS</w:t>
      </w:r>
      <w:r w:rsidRPr="00D23085">
        <w:rPr>
          <w:rFonts w:ascii="Times New Roman" w:hAnsi="Times New Roman" w:cs="Times New Roman"/>
          <w:sz w:val="26"/>
          <w:szCs w:val="26"/>
        </w:rPr>
        <w:t xml:space="preserve"> to maintain and document a system maintenance and testing program.</w:t>
      </w:r>
    </w:p>
    <w:p w:rsidR="002D6CEA" w14:paraId="681FFEF3" w14:textId="77777777">
      <w:pPr>
        <w:spacing w:after="0" w:line="240" w:lineRule="auto"/>
        <w:rPr>
          <w:rFonts w:ascii="Times New Roman" w:hAnsi="Times New Roman" w:cs="Times New Roman"/>
          <w:sz w:val="26"/>
          <w:szCs w:val="26"/>
        </w:rPr>
      </w:pPr>
    </w:p>
    <w:p w:rsidR="00346547" w:rsidP="00D2553B" w14:paraId="0A284E45" w14:textId="709FC497">
      <w:pPr>
        <w:spacing w:after="0" w:line="240" w:lineRule="auto"/>
        <w:rPr>
          <w:rFonts w:ascii="Times New Roman" w:hAnsi="Times New Roman" w:cs="Times New Roman"/>
          <w:bCs/>
          <w:sz w:val="26"/>
          <w:szCs w:val="26"/>
        </w:rPr>
      </w:pPr>
      <w:bookmarkStart w:id="2" w:name="_Hlk83647088"/>
      <w:r>
        <w:rPr>
          <w:rFonts w:ascii="Times New Roman" w:hAnsi="Times New Roman" w:cs="Times New Roman"/>
          <w:bCs/>
          <w:sz w:val="26"/>
          <w:szCs w:val="26"/>
        </w:rPr>
        <w:t xml:space="preserve">The following PRC standards are currently incorporated in FERC-725G: PRC-002, PRC-006, PRC-012, </w:t>
      </w:r>
      <w:r w:rsidR="008B38DD">
        <w:rPr>
          <w:rFonts w:ascii="Times New Roman" w:hAnsi="Times New Roman" w:cs="Times New Roman"/>
          <w:bCs/>
          <w:sz w:val="26"/>
          <w:szCs w:val="26"/>
        </w:rPr>
        <w:t xml:space="preserve">PRC-017, </w:t>
      </w:r>
      <w:r>
        <w:rPr>
          <w:rFonts w:ascii="Times New Roman" w:hAnsi="Times New Roman" w:cs="Times New Roman"/>
          <w:bCs/>
          <w:sz w:val="26"/>
          <w:szCs w:val="26"/>
        </w:rPr>
        <w:t>PRC-019, PRC-023, PRC-024, PRC-025, PRC-026,</w:t>
      </w:r>
      <w:r w:rsidR="00E66C07">
        <w:rPr>
          <w:rFonts w:ascii="Times New Roman" w:hAnsi="Times New Roman" w:cs="Times New Roman"/>
          <w:bCs/>
          <w:sz w:val="26"/>
          <w:szCs w:val="26"/>
        </w:rPr>
        <w:t xml:space="preserve"> </w:t>
      </w:r>
      <w:r>
        <w:rPr>
          <w:rFonts w:ascii="Times New Roman" w:hAnsi="Times New Roman" w:cs="Times New Roman"/>
          <w:bCs/>
          <w:sz w:val="26"/>
          <w:szCs w:val="26"/>
        </w:rPr>
        <w:t>PRC-027</w:t>
      </w:r>
      <w:r w:rsidR="00B96BB7">
        <w:rPr>
          <w:rFonts w:ascii="Times New Roman" w:hAnsi="Times New Roman" w:cs="Times New Roman"/>
          <w:bCs/>
          <w:sz w:val="26"/>
          <w:szCs w:val="26"/>
        </w:rPr>
        <w:t>, PRC-028, PRC-029, and PRC-030</w:t>
      </w:r>
      <w:r w:rsidR="00E66C07">
        <w:rPr>
          <w:rFonts w:ascii="Times New Roman" w:hAnsi="Times New Roman" w:cs="Times New Roman"/>
          <w:bCs/>
          <w:sz w:val="26"/>
          <w:szCs w:val="26"/>
        </w:rPr>
        <w:t>.</w:t>
      </w:r>
      <w:r>
        <w:rPr>
          <w:rFonts w:ascii="Times New Roman" w:hAnsi="Times New Roman" w:cs="Times New Roman"/>
          <w:bCs/>
          <w:sz w:val="26"/>
          <w:szCs w:val="26"/>
        </w:rPr>
        <w:t xml:space="preserve">  A high-level description of the</w:t>
      </w:r>
      <w:r w:rsidR="00F3460C">
        <w:rPr>
          <w:rFonts w:ascii="Times New Roman" w:hAnsi="Times New Roman" w:cs="Times New Roman"/>
          <w:bCs/>
          <w:sz w:val="26"/>
          <w:szCs w:val="26"/>
        </w:rPr>
        <w:t xml:space="preserve"> purpose of each </w:t>
      </w:r>
      <w:r>
        <w:rPr>
          <w:rFonts w:ascii="Times New Roman" w:hAnsi="Times New Roman" w:cs="Times New Roman"/>
          <w:bCs/>
          <w:sz w:val="26"/>
          <w:szCs w:val="26"/>
        </w:rPr>
        <w:t>standard is provided below with details of the requirements</w:t>
      </w:r>
      <w:r w:rsidR="00F3460C">
        <w:rPr>
          <w:rFonts w:ascii="Times New Roman" w:hAnsi="Times New Roman" w:cs="Times New Roman"/>
          <w:bCs/>
          <w:sz w:val="26"/>
          <w:szCs w:val="26"/>
        </w:rPr>
        <w:t xml:space="preserve"> and </w:t>
      </w:r>
      <w:r>
        <w:rPr>
          <w:rFonts w:ascii="Times New Roman" w:hAnsi="Times New Roman" w:cs="Times New Roman"/>
          <w:bCs/>
          <w:sz w:val="26"/>
          <w:szCs w:val="26"/>
        </w:rPr>
        <w:t>measures</w:t>
      </w:r>
      <w:r w:rsidR="00F3460C">
        <w:rPr>
          <w:rFonts w:ascii="Times New Roman" w:hAnsi="Times New Roman" w:cs="Times New Roman"/>
          <w:bCs/>
          <w:sz w:val="26"/>
          <w:szCs w:val="26"/>
        </w:rPr>
        <w:t xml:space="preserve"> (reporting requirements)</w:t>
      </w:r>
      <w:r>
        <w:rPr>
          <w:rFonts w:ascii="Times New Roman" w:hAnsi="Times New Roman" w:cs="Times New Roman"/>
          <w:bCs/>
          <w:sz w:val="26"/>
          <w:szCs w:val="26"/>
        </w:rPr>
        <w:t xml:space="preserve">, and evidence </w:t>
      </w:r>
      <w:r w:rsidR="00F3460C">
        <w:rPr>
          <w:rFonts w:ascii="Times New Roman" w:hAnsi="Times New Roman" w:cs="Times New Roman"/>
          <w:bCs/>
          <w:sz w:val="26"/>
          <w:szCs w:val="26"/>
        </w:rPr>
        <w:t xml:space="preserve">retention </w:t>
      </w:r>
      <w:r>
        <w:rPr>
          <w:rFonts w:ascii="Times New Roman" w:hAnsi="Times New Roman" w:cs="Times New Roman"/>
          <w:bCs/>
          <w:sz w:val="26"/>
          <w:szCs w:val="26"/>
        </w:rPr>
        <w:t xml:space="preserve">requirements </w:t>
      </w:r>
      <w:r w:rsidR="00F3460C">
        <w:rPr>
          <w:rFonts w:ascii="Times New Roman" w:hAnsi="Times New Roman" w:cs="Times New Roman"/>
          <w:bCs/>
          <w:sz w:val="26"/>
          <w:szCs w:val="26"/>
        </w:rPr>
        <w:t xml:space="preserve">(reporting requirements) </w:t>
      </w:r>
      <w:r>
        <w:rPr>
          <w:rFonts w:ascii="Times New Roman" w:hAnsi="Times New Roman" w:cs="Times New Roman"/>
          <w:bCs/>
          <w:sz w:val="26"/>
          <w:szCs w:val="26"/>
        </w:rPr>
        <w:t xml:space="preserve">provided in the </w:t>
      </w:r>
      <w:r w:rsidR="00B0450C">
        <w:rPr>
          <w:rFonts w:ascii="Times New Roman" w:hAnsi="Times New Roman" w:cs="Times New Roman"/>
          <w:bCs/>
          <w:sz w:val="26"/>
          <w:szCs w:val="26"/>
        </w:rPr>
        <w:t>ROCIS Supplementary document section</w:t>
      </w:r>
      <w:r>
        <w:rPr>
          <w:rFonts w:ascii="Times New Roman" w:hAnsi="Times New Roman" w:cs="Times New Roman"/>
          <w:bCs/>
          <w:sz w:val="26"/>
          <w:szCs w:val="26"/>
        </w:rPr>
        <w:t>.</w:t>
      </w:r>
      <w:bookmarkEnd w:id="2"/>
    </w:p>
    <w:p w:rsidR="00435F92" w:rsidP="00D2553B" w14:paraId="0A0BD261" w14:textId="77777777">
      <w:pPr>
        <w:spacing w:after="0" w:line="240" w:lineRule="auto"/>
        <w:rPr>
          <w:rFonts w:ascii="Times New Roman" w:hAnsi="Times New Roman" w:cs="Times New Roman"/>
          <w:bCs/>
          <w:sz w:val="26"/>
          <w:szCs w:val="26"/>
        </w:rPr>
      </w:pPr>
    </w:p>
    <w:p w:rsidR="00435F92" w:rsidRPr="00A851C7" w:rsidP="00435F92" w14:paraId="6E659864" w14:textId="06D690AC">
      <w:pPr>
        <w:rPr>
          <w:rFonts w:ascii="Times New Roman" w:hAnsi="Times New Roman" w:cs="Times New Roman"/>
          <w:b/>
          <w:bCs/>
          <w:sz w:val="26"/>
          <w:szCs w:val="26"/>
          <w:u w:val="single"/>
        </w:rPr>
      </w:pPr>
      <w:r w:rsidRPr="00A851C7">
        <w:rPr>
          <w:rFonts w:ascii="Times New Roman" w:hAnsi="Times New Roman" w:cs="Times New Roman"/>
          <w:b/>
          <w:bCs/>
          <w:sz w:val="26"/>
          <w:szCs w:val="26"/>
          <w:u w:val="single"/>
        </w:rPr>
        <w:t>PRC-002-</w:t>
      </w:r>
      <w:r w:rsidR="00510C19">
        <w:rPr>
          <w:rFonts w:ascii="Times New Roman" w:hAnsi="Times New Roman" w:cs="Times New Roman"/>
          <w:b/>
          <w:bCs/>
          <w:sz w:val="26"/>
          <w:szCs w:val="26"/>
          <w:u w:val="single"/>
        </w:rPr>
        <w:t xml:space="preserve">5 </w:t>
      </w:r>
      <w:r w:rsidR="00FA61C2">
        <w:rPr>
          <w:rFonts w:ascii="Times New Roman" w:hAnsi="Times New Roman" w:cs="Times New Roman"/>
          <w:b/>
          <w:bCs/>
          <w:sz w:val="26"/>
          <w:szCs w:val="26"/>
          <w:u w:val="single"/>
        </w:rPr>
        <w:t>(</w:t>
      </w:r>
      <w:r w:rsidRPr="00FA61C2" w:rsidR="00FA61C2">
        <w:rPr>
          <w:rFonts w:ascii="Times New Roman" w:hAnsi="Times New Roman" w:cs="Times New Roman"/>
          <w:b/>
          <w:bCs/>
          <w:sz w:val="26"/>
          <w:szCs w:val="26"/>
          <w:u w:val="single"/>
        </w:rPr>
        <w:t>Disturbance Monitoring and Reporting Requirement</w:t>
      </w:r>
      <w:r w:rsidR="00052413">
        <w:rPr>
          <w:rFonts w:ascii="Times New Roman" w:hAnsi="Times New Roman" w:cs="Times New Roman"/>
          <w:b/>
          <w:bCs/>
          <w:sz w:val="26"/>
          <w:szCs w:val="26"/>
          <w:u w:val="single"/>
        </w:rPr>
        <w:t>s)</w:t>
      </w:r>
    </w:p>
    <w:p w:rsidR="00435F92" w:rsidRPr="00A851C7" w:rsidP="00435F92" w14:paraId="4A943847" w14:textId="77777777">
      <w:pPr>
        <w:rPr>
          <w:rFonts w:ascii="Times New Roman" w:hAnsi="Times New Roman" w:cs="Times New Roman"/>
          <w:bCs/>
          <w:sz w:val="26"/>
          <w:szCs w:val="26"/>
        </w:rPr>
      </w:pPr>
      <w:r w:rsidRPr="00A851C7">
        <w:rPr>
          <w:rFonts w:ascii="Times New Roman" w:hAnsi="Times New Roman" w:cs="Times New Roman"/>
          <w:bCs/>
          <w:sz w:val="26"/>
          <w:szCs w:val="26"/>
        </w:rPr>
        <w:t>Purpose is to have adequate data available to facilitate analysis of Bulk Electric System (BES) Disturb</w:t>
      </w:r>
      <w:r>
        <w:rPr>
          <w:rFonts w:ascii="Times New Roman" w:hAnsi="Times New Roman" w:cs="Times New Roman"/>
          <w:bCs/>
          <w:sz w:val="26"/>
          <w:szCs w:val="26"/>
        </w:rPr>
        <w:t>ances.</w:t>
      </w:r>
    </w:p>
    <w:p w:rsidR="005F4A0D" w:rsidP="00D2553B" w14:paraId="6B686046" w14:textId="77777777">
      <w:pPr>
        <w:spacing w:after="0" w:line="240" w:lineRule="auto"/>
        <w:rPr>
          <w:rFonts w:ascii="Times New Roman" w:hAnsi="Times New Roman" w:cs="Times New Roman"/>
          <w:bCs/>
          <w:sz w:val="26"/>
          <w:szCs w:val="26"/>
        </w:rPr>
      </w:pPr>
    </w:p>
    <w:p w:rsidR="00A851C7" w:rsidRPr="00A851C7" w:rsidP="00A851C7" w14:paraId="3217E119" w14:textId="0EC7FC4D">
      <w:pPr>
        <w:rPr>
          <w:rFonts w:ascii="Times New Roman" w:hAnsi="Times New Roman" w:cs="Times New Roman"/>
          <w:b/>
          <w:bCs/>
          <w:sz w:val="26"/>
          <w:szCs w:val="26"/>
          <w:u w:val="single"/>
        </w:rPr>
      </w:pPr>
      <w:bookmarkStart w:id="3" w:name="_Hlk83646383"/>
      <w:r w:rsidRPr="00A851C7">
        <w:rPr>
          <w:rFonts w:ascii="Times New Roman" w:hAnsi="Times New Roman" w:cs="Times New Roman"/>
          <w:b/>
          <w:bCs/>
          <w:sz w:val="26"/>
          <w:szCs w:val="26"/>
          <w:u w:val="single"/>
        </w:rPr>
        <w:t>PRC-006-5</w:t>
      </w:r>
      <w:r w:rsidR="00052413">
        <w:rPr>
          <w:rFonts w:ascii="Times New Roman" w:hAnsi="Times New Roman" w:cs="Times New Roman"/>
          <w:b/>
          <w:bCs/>
          <w:sz w:val="26"/>
          <w:szCs w:val="26"/>
          <w:u w:val="single"/>
        </w:rPr>
        <w:t xml:space="preserve"> (</w:t>
      </w:r>
      <w:r w:rsidRPr="00D445E3" w:rsidR="00D445E3">
        <w:rPr>
          <w:rFonts w:ascii="Times New Roman" w:hAnsi="Times New Roman" w:cs="Times New Roman"/>
          <w:b/>
          <w:bCs/>
          <w:sz w:val="26"/>
          <w:szCs w:val="26"/>
          <w:u w:val="single"/>
        </w:rPr>
        <w:t>Protection System, Automatic Reclosing, and Sudden Pressure Relaying Maintenance</w:t>
      </w:r>
      <w:r w:rsidR="00D445E3">
        <w:rPr>
          <w:rFonts w:ascii="Times New Roman" w:hAnsi="Times New Roman" w:cs="Times New Roman"/>
          <w:b/>
          <w:bCs/>
          <w:sz w:val="26"/>
          <w:szCs w:val="26"/>
          <w:u w:val="single"/>
        </w:rPr>
        <w:t>)</w:t>
      </w:r>
    </w:p>
    <w:p w:rsidR="00A851C7" w:rsidRPr="00A851C7" w:rsidP="00E83403" w14:paraId="59235BD7" w14:textId="1D7FDF4D">
      <w:pPr>
        <w:rPr>
          <w:rFonts w:ascii="Times New Roman" w:hAnsi="Times New Roman" w:cs="Times New Roman"/>
          <w:bCs/>
          <w:sz w:val="26"/>
          <w:szCs w:val="26"/>
        </w:rPr>
      </w:pPr>
      <w:r>
        <w:rPr>
          <w:rFonts w:ascii="Times New Roman" w:hAnsi="Times New Roman" w:cs="Times New Roman"/>
          <w:bCs/>
          <w:sz w:val="26"/>
          <w:szCs w:val="26"/>
        </w:rPr>
        <w:t xml:space="preserve">Purpose: </w:t>
      </w:r>
      <w:r w:rsidRPr="00A851C7">
        <w:rPr>
          <w:rFonts w:ascii="Times New Roman" w:hAnsi="Times New Roman" w:cs="Times New Roman"/>
          <w:bCs/>
          <w:sz w:val="26"/>
          <w:szCs w:val="26"/>
        </w:rPr>
        <w:t>To establish design and documentation requirements for automatic underfrequency load shedding (UFLS) programs to arrest declining frequency, assist recovery of frequency following underfrequency events and provide last resort system preservation measures.</w:t>
      </w:r>
    </w:p>
    <w:p w:rsidR="00A851C7" w:rsidRPr="00107F55" w:rsidP="00A851C7" w14:paraId="347037AD" w14:textId="142886BB">
      <w:pPr>
        <w:rPr>
          <w:rFonts w:ascii="Times New Roman" w:hAnsi="Times New Roman" w:cs="Times New Roman"/>
          <w:b/>
          <w:bCs/>
          <w:sz w:val="26"/>
          <w:szCs w:val="26"/>
          <w:u w:val="single"/>
        </w:rPr>
      </w:pPr>
      <w:bookmarkStart w:id="4" w:name="_Hlk83646749"/>
      <w:bookmarkEnd w:id="3"/>
      <w:r w:rsidRPr="00107F55">
        <w:rPr>
          <w:rFonts w:ascii="Times New Roman" w:hAnsi="Times New Roman" w:cs="Times New Roman"/>
          <w:b/>
          <w:bCs/>
          <w:sz w:val="26"/>
          <w:szCs w:val="26"/>
          <w:u w:val="single"/>
        </w:rPr>
        <w:t>PRC-012-2</w:t>
      </w:r>
      <w:r w:rsidRPr="00107F55" w:rsidR="00AE7F03">
        <w:rPr>
          <w:rFonts w:ascii="Times New Roman" w:hAnsi="Times New Roman" w:cs="Times New Roman"/>
          <w:b/>
          <w:bCs/>
          <w:sz w:val="26"/>
          <w:szCs w:val="26"/>
          <w:u w:val="single"/>
        </w:rPr>
        <w:t xml:space="preserve"> (</w:t>
      </w:r>
      <w:r w:rsidRPr="00107F55" w:rsidR="00972E71">
        <w:rPr>
          <w:rFonts w:ascii="Times New Roman" w:hAnsi="Times New Roman" w:cs="Times New Roman"/>
          <w:b/>
          <w:bCs/>
          <w:sz w:val="26"/>
          <w:szCs w:val="26"/>
          <w:u w:val="single"/>
        </w:rPr>
        <w:t>Remedial Action Schemes)</w:t>
      </w:r>
    </w:p>
    <w:p w:rsidR="00A851C7" w:rsidP="00A851C7" w14:paraId="0F100A3D" w14:textId="6D9F60BE">
      <w:pPr>
        <w:rPr>
          <w:rFonts w:ascii="Times New Roman" w:hAnsi="Times New Roman" w:cs="Times New Roman"/>
          <w:b/>
          <w:bCs/>
          <w:sz w:val="26"/>
          <w:szCs w:val="26"/>
          <w:u w:val="single"/>
        </w:rPr>
      </w:pPr>
      <w:r>
        <w:rPr>
          <w:rFonts w:ascii="Times New Roman" w:hAnsi="Times New Roman" w:cs="Times New Roman"/>
          <w:bCs/>
          <w:sz w:val="26"/>
          <w:szCs w:val="26"/>
        </w:rPr>
        <w:t xml:space="preserve">Purpose: </w:t>
      </w:r>
      <w:r w:rsidRPr="00A851C7">
        <w:rPr>
          <w:rFonts w:ascii="Times New Roman" w:hAnsi="Times New Roman" w:cs="Times New Roman"/>
          <w:bCs/>
          <w:sz w:val="26"/>
          <w:szCs w:val="26"/>
        </w:rPr>
        <w:t xml:space="preserve">To ensure that Remedial Action Schemes (RAS) do not introduce unintentional or unacceptable reliability risks to the Bulk Electric System (BES). </w:t>
      </w:r>
      <w:r w:rsidRPr="00A851C7">
        <w:rPr>
          <w:rFonts w:ascii="Times New Roman" w:hAnsi="Times New Roman" w:cs="Times New Roman"/>
          <w:b/>
          <w:bCs/>
          <w:sz w:val="26"/>
          <w:szCs w:val="26"/>
          <w:u w:val="single"/>
        </w:rPr>
        <w:t xml:space="preserve"> </w:t>
      </w:r>
    </w:p>
    <w:p w:rsidR="003511EB" w:rsidP="00A851C7" w14:paraId="7CD72B46" w14:textId="087E0E91">
      <w:pPr>
        <w:rPr>
          <w:rFonts w:ascii="Times New Roman" w:hAnsi="Times New Roman" w:cs="Times New Roman"/>
          <w:b/>
          <w:bCs/>
          <w:sz w:val="26"/>
          <w:szCs w:val="26"/>
          <w:u w:val="single"/>
        </w:rPr>
      </w:pPr>
      <w:r>
        <w:rPr>
          <w:rFonts w:ascii="Times New Roman" w:hAnsi="Times New Roman" w:cs="Times New Roman"/>
          <w:b/>
          <w:bCs/>
          <w:sz w:val="26"/>
          <w:szCs w:val="26"/>
          <w:u w:val="single"/>
        </w:rPr>
        <w:t>PRC-017-1</w:t>
      </w:r>
      <w:r w:rsidR="00DD79BC">
        <w:rPr>
          <w:rFonts w:ascii="Times New Roman" w:hAnsi="Times New Roman" w:cs="Times New Roman"/>
          <w:b/>
          <w:bCs/>
          <w:sz w:val="26"/>
          <w:szCs w:val="26"/>
          <w:u w:val="single"/>
        </w:rPr>
        <w:t xml:space="preserve"> (Remedial Action Scheme Mainten</w:t>
      </w:r>
      <w:r w:rsidR="0037262A">
        <w:rPr>
          <w:rFonts w:ascii="Times New Roman" w:hAnsi="Times New Roman" w:cs="Times New Roman"/>
          <w:b/>
          <w:bCs/>
          <w:sz w:val="26"/>
          <w:szCs w:val="26"/>
          <w:u w:val="single"/>
        </w:rPr>
        <w:t>ance and Testing)</w:t>
      </w:r>
    </w:p>
    <w:p w:rsidR="0037262A" w:rsidRPr="00287983" w:rsidP="00A851C7" w14:paraId="42260799" w14:textId="5B097C15">
      <w:pPr>
        <w:rPr>
          <w:rFonts w:ascii="Times New Roman" w:hAnsi="Times New Roman" w:cs="Times New Roman"/>
          <w:sz w:val="26"/>
          <w:szCs w:val="26"/>
        </w:rPr>
      </w:pPr>
      <w:r w:rsidRPr="00287983">
        <w:rPr>
          <w:rFonts w:ascii="Times New Roman" w:hAnsi="Times New Roman" w:cs="Times New Roman"/>
          <w:sz w:val="26"/>
          <w:szCs w:val="26"/>
        </w:rPr>
        <w:t>Purpose:</w:t>
      </w:r>
      <w:r w:rsidR="00287983">
        <w:rPr>
          <w:rFonts w:ascii="Times New Roman" w:hAnsi="Times New Roman" w:cs="Times New Roman"/>
          <w:sz w:val="26"/>
          <w:szCs w:val="26"/>
        </w:rPr>
        <w:t xml:space="preserve"> to ensure that all Remedial Action Schemes (RAS) are properly designed, meet per</w:t>
      </w:r>
      <w:r w:rsidR="009E27B3">
        <w:rPr>
          <w:rFonts w:ascii="Times New Roman" w:hAnsi="Times New Roman" w:cs="Times New Roman"/>
          <w:sz w:val="26"/>
          <w:szCs w:val="26"/>
        </w:rPr>
        <w:t xml:space="preserve">formance requirements, and are coordinated with other protection systems. </w:t>
      </w:r>
      <w:r w:rsidR="00EF1B70">
        <w:rPr>
          <w:rFonts w:ascii="Times New Roman" w:hAnsi="Times New Roman" w:cs="Times New Roman"/>
          <w:sz w:val="26"/>
          <w:szCs w:val="26"/>
        </w:rPr>
        <w:t>Also, to ensure that maintenance and testing pr</w:t>
      </w:r>
      <w:r w:rsidR="00156937">
        <w:rPr>
          <w:rFonts w:ascii="Times New Roman" w:hAnsi="Times New Roman" w:cs="Times New Roman"/>
          <w:sz w:val="26"/>
          <w:szCs w:val="26"/>
        </w:rPr>
        <w:t xml:space="preserve">ograms are developed and </w:t>
      </w:r>
      <w:r w:rsidR="00156937">
        <w:rPr>
          <w:rFonts w:ascii="Times New Roman" w:hAnsi="Times New Roman" w:cs="Times New Roman"/>
          <w:sz w:val="26"/>
          <w:szCs w:val="26"/>
        </w:rPr>
        <w:t>misoperations</w:t>
      </w:r>
      <w:r w:rsidR="00156937">
        <w:rPr>
          <w:rFonts w:ascii="Times New Roman" w:hAnsi="Times New Roman" w:cs="Times New Roman"/>
          <w:sz w:val="26"/>
          <w:szCs w:val="26"/>
        </w:rPr>
        <w:t xml:space="preserve"> are </w:t>
      </w:r>
      <w:r w:rsidR="00156937">
        <w:rPr>
          <w:rFonts w:ascii="Times New Roman" w:hAnsi="Times New Roman" w:cs="Times New Roman"/>
          <w:sz w:val="26"/>
          <w:szCs w:val="26"/>
        </w:rPr>
        <w:t>analyze</w:t>
      </w:r>
      <w:r w:rsidR="00156937">
        <w:rPr>
          <w:rFonts w:ascii="Times New Roman" w:hAnsi="Times New Roman" w:cs="Times New Roman"/>
          <w:sz w:val="26"/>
          <w:szCs w:val="26"/>
        </w:rPr>
        <w:t xml:space="preserve"> and corrected.</w:t>
      </w:r>
    </w:p>
    <w:p w:rsidR="00AF473A" w:rsidRPr="00AF473A" w:rsidP="00AF473A" w14:paraId="7A865CF9" w14:textId="7078DD84">
      <w:pPr>
        <w:rPr>
          <w:rFonts w:ascii="Times New Roman" w:hAnsi="Times New Roman" w:cs="Times New Roman"/>
          <w:b/>
          <w:bCs/>
          <w:sz w:val="26"/>
          <w:szCs w:val="26"/>
          <w:u w:val="single"/>
        </w:rPr>
      </w:pPr>
      <w:bookmarkStart w:id="5" w:name="_Hlk72420782"/>
      <w:bookmarkStart w:id="6" w:name="_Hlk83647450"/>
      <w:bookmarkEnd w:id="4"/>
      <w:r w:rsidRPr="00A851C7">
        <w:rPr>
          <w:rFonts w:ascii="Times New Roman" w:hAnsi="Times New Roman" w:cs="Times New Roman"/>
          <w:b/>
          <w:bCs/>
          <w:sz w:val="26"/>
          <w:szCs w:val="26"/>
          <w:u w:val="single"/>
        </w:rPr>
        <w:t>PRC-019-2</w:t>
      </w:r>
      <w:r w:rsidR="00972E71">
        <w:rPr>
          <w:rFonts w:ascii="Times New Roman" w:hAnsi="Times New Roman" w:cs="Times New Roman"/>
          <w:b/>
          <w:bCs/>
          <w:sz w:val="26"/>
          <w:szCs w:val="26"/>
          <w:u w:val="single"/>
        </w:rPr>
        <w:t xml:space="preserve"> (</w:t>
      </w:r>
      <w:r w:rsidRPr="00AF473A">
        <w:rPr>
          <w:rFonts w:ascii="Times New Roman" w:hAnsi="Times New Roman" w:cs="Times New Roman"/>
          <w:b/>
          <w:bCs/>
          <w:sz w:val="26"/>
          <w:szCs w:val="26"/>
          <w:u w:val="single"/>
        </w:rPr>
        <w:t xml:space="preserve">Coordination of Generating Unit or Plant Capabilities, Voltage </w:t>
      </w:r>
    </w:p>
    <w:p w:rsidR="00A851C7" w:rsidRPr="00A851C7" w:rsidP="00AF473A" w14:paraId="52708466" w14:textId="79F9905E">
      <w:pPr>
        <w:rPr>
          <w:rFonts w:ascii="Times New Roman" w:hAnsi="Times New Roman" w:cs="Times New Roman"/>
          <w:b/>
          <w:bCs/>
          <w:sz w:val="26"/>
          <w:szCs w:val="26"/>
          <w:u w:val="single"/>
        </w:rPr>
      </w:pPr>
      <w:r w:rsidRPr="00AF473A">
        <w:rPr>
          <w:rFonts w:ascii="Times New Roman" w:hAnsi="Times New Roman" w:cs="Times New Roman"/>
          <w:b/>
          <w:bCs/>
          <w:sz w:val="26"/>
          <w:szCs w:val="26"/>
          <w:u w:val="single"/>
        </w:rPr>
        <w:t>Regulating Controls, and Protectio</w:t>
      </w:r>
      <w:r>
        <w:rPr>
          <w:rFonts w:ascii="Times New Roman" w:hAnsi="Times New Roman" w:cs="Times New Roman"/>
          <w:b/>
          <w:bCs/>
          <w:sz w:val="26"/>
          <w:szCs w:val="26"/>
          <w:u w:val="single"/>
        </w:rPr>
        <w:t>n)</w:t>
      </w:r>
    </w:p>
    <w:p w:rsidR="00A851C7" w:rsidRPr="00A851C7" w:rsidP="00A851C7" w14:paraId="4194201C" w14:textId="77777777">
      <w:pPr>
        <w:rPr>
          <w:rFonts w:ascii="Times New Roman" w:hAnsi="Times New Roman" w:cs="Times New Roman"/>
          <w:bCs/>
          <w:sz w:val="26"/>
          <w:szCs w:val="26"/>
        </w:rPr>
      </w:pPr>
      <w:r w:rsidRPr="00A851C7">
        <w:rPr>
          <w:rFonts w:ascii="Times New Roman" w:hAnsi="Times New Roman" w:cs="Times New Roman"/>
          <w:bCs/>
          <w:sz w:val="26"/>
          <w:szCs w:val="26"/>
        </w:rPr>
        <w:t>Purpose is to verify coordination of generating unit Facility or synchronous condenser voltage regulating controls, limit functions, equipment capabilities and Protection System settings.</w:t>
      </w:r>
    </w:p>
    <w:bookmarkEnd w:id="5"/>
    <w:p w:rsidR="00A851C7" w:rsidRPr="00A851C7" w:rsidP="00A851C7" w14:paraId="7E17D1B0" w14:textId="5058D1AE">
      <w:pPr>
        <w:rPr>
          <w:rFonts w:ascii="Times New Roman" w:hAnsi="Times New Roman" w:cs="Times New Roman"/>
          <w:b/>
          <w:bCs/>
          <w:sz w:val="26"/>
          <w:szCs w:val="26"/>
          <w:u w:val="single"/>
        </w:rPr>
      </w:pPr>
      <w:r w:rsidRPr="00A851C7">
        <w:rPr>
          <w:rFonts w:ascii="Times New Roman" w:hAnsi="Times New Roman" w:cs="Times New Roman"/>
          <w:b/>
          <w:bCs/>
          <w:sz w:val="26"/>
          <w:szCs w:val="26"/>
          <w:u w:val="single"/>
        </w:rPr>
        <w:t>PRC-023-</w:t>
      </w:r>
      <w:r w:rsidR="00FD6357">
        <w:rPr>
          <w:rFonts w:ascii="Times New Roman" w:hAnsi="Times New Roman" w:cs="Times New Roman"/>
          <w:b/>
          <w:bCs/>
          <w:sz w:val="26"/>
          <w:szCs w:val="26"/>
          <w:u w:val="single"/>
        </w:rPr>
        <w:t>6</w:t>
      </w:r>
      <w:r w:rsidR="00936BFE">
        <w:rPr>
          <w:rFonts w:ascii="Times New Roman" w:hAnsi="Times New Roman" w:cs="Times New Roman"/>
          <w:b/>
          <w:bCs/>
          <w:sz w:val="26"/>
          <w:szCs w:val="26"/>
          <w:u w:val="single"/>
        </w:rPr>
        <w:t xml:space="preserve"> (</w:t>
      </w:r>
      <w:r w:rsidRPr="004020C7" w:rsidR="004020C7">
        <w:rPr>
          <w:rFonts w:ascii="Times New Roman" w:hAnsi="Times New Roman" w:cs="Times New Roman"/>
          <w:b/>
          <w:bCs/>
          <w:sz w:val="26"/>
          <w:szCs w:val="26"/>
          <w:u w:val="single"/>
        </w:rPr>
        <w:t xml:space="preserve">Transmission Relay </w:t>
      </w:r>
      <w:r w:rsidRPr="004020C7" w:rsidR="004020C7">
        <w:rPr>
          <w:rFonts w:ascii="Times New Roman" w:hAnsi="Times New Roman" w:cs="Times New Roman"/>
          <w:b/>
          <w:bCs/>
          <w:sz w:val="26"/>
          <w:szCs w:val="26"/>
          <w:u w:val="single"/>
        </w:rPr>
        <w:t>Loadabilit</w:t>
      </w:r>
      <w:r w:rsidR="00FD6357">
        <w:rPr>
          <w:rFonts w:ascii="Times New Roman" w:hAnsi="Times New Roman" w:cs="Times New Roman"/>
          <w:b/>
          <w:bCs/>
          <w:sz w:val="26"/>
          <w:szCs w:val="26"/>
          <w:u w:val="single"/>
        </w:rPr>
        <w:t>y</w:t>
      </w:r>
      <w:r w:rsidR="00FD6357">
        <w:rPr>
          <w:rFonts w:ascii="Times New Roman" w:hAnsi="Times New Roman" w:cs="Times New Roman"/>
          <w:b/>
          <w:bCs/>
          <w:sz w:val="26"/>
          <w:szCs w:val="26"/>
          <w:u w:val="single"/>
        </w:rPr>
        <w:t>)</w:t>
      </w:r>
    </w:p>
    <w:p w:rsidR="00A851C7" w:rsidRPr="00A851C7" w:rsidP="00A851C7" w14:paraId="72D44711" w14:textId="32ED4EA5">
      <w:pPr>
        <w:rPr>
          <w:rFonts w:ascii="Times New Roman" w:hAnsi="Times New Roman" w:cs="Times New Roman"/>
          <w:bCs/>
          <w:sz w:val="26"/>
          <w:szCs w:val="26"/>
        </w:rPr>
      </w:pPr>
      <w:r w:rsidRPr="00B25AFA">
        <w:rPr>
          <w:rFonts w:ascii="Times New Roman" w:hAnsi="Times New Roman" w:cs="Times New Roman"/>
          <w:bCs/>
          <w:sz w:val="26"/>
          <w:szCs w:val="26"/>
        </w:rPr>
        <w:t xml:space="preserve">Purpose: Protective relay settings shall not limit transmission </w:t>
      </w:r>
      <w:r w:rsidRPr="00B25AFA">
        <w:rPr>
          <w:rFonts w:ascii="Times New Roman" w:hAnsi="Times New Roman" w:cs="Times New Roman"/>
          <w:bCs/>
          <w:sz w:val="26"/>
          <w:szCs w:val="26"/>
        </w:rPr>
        <w:t>loadability</w:t>
      </w:r>
      <w:r w:rsidRPr="00B25AFA">
        <w:rPr>
          <w:rFonts w:ascii="Times New Roman" w:hAnsi="Times New Roman" w:cs="Times New Roman"/>
          <w:bCs/>
          <w:sz w:val="26"/>
          <w:szCs w:val="26"/>
        </w:rPr>
        <w:t xml:space="preserve">; not interfere with system operators’ ability to take remedial action to protect system reliability </w:t>
      </w:r>
      <w:r w:rsidRPr="00B25AFA">
        <w:rPr>
          <w:rFonts w:ascii="Times New Roman" w:hAnsi="Times New Roman" w:cs="Times New Roman"/>
          <w:bCs/>
          <w:sz w:val="26"/>
          <w:szCs w:val="26"/>
        </w:rPr>
        <w:t>and;</w:t>
      </w:r>
      <w:r w:rsidRPr="00B25AFA">
        <w:rPr>
          <w:rFonts w:ascii="Times New Roman" w:hAnsi="Times New Roman" w:cs="Times New Roman"/>
          <w:bCs/>
          <w:sz w:val="26"/>
          <w:szCs w:val="26"/>
        </w:rPr>
        <w:t xml:space="preserve"> be </w:t>
      </w:r>
      <w:r w:rsidRPr="00B25AFA">
        <w:rPr>
          <w:rFonts w:ascii="Times New Roman" w:hAnsi="Times New Roman" w:cs="Times New Roman"/>
          <w:bCs/>
          <w:sz w:val="26"/>
          <w:szCs w:val="26"/>
        </w:rPr>
        <w:t>set to reliably detect all fault conditions and protect the electrical network from these faults.</w:t>
      </w:r>
    </w:p>
    <w:p w:rsidR="00A851C7" w:rsidRPr="00A851C7" w:rsidP="00A851C7" w14:paraId="6BD181C4" w14:textId="190A1E03">
      <w:pPr>
        <w:rPr>
          <w:rFonts w:ascii="Times New Roman" w:hAnsi="Times New Roman" w:cs="Times New Roman"/>
          <w:bCs/>
          <w:sz w:val="26"/>
          <w:szCs w:val="26"/>
        </w:rPr>
      </w:pPr>
      <w:bookmarkStart w:id="7" w:name="_Hlk72421242"/>
      <w:r w:rsidRPr="00A851C7">
        <w:rPr>
          <w:rFonts w:ascii="Times New Roman" w:hAnsi="Times New Roman" w:cs="Times New Roman"/>
          <w:b/>
          <w:bCs/>
          <w:sz w:val="26"/>
          <w:szCs w:val="26"/>
          <w:u w:val="single"/>
        </w:rPr>
        <w:t>PRC-024-</w:t>
      </w:r>
      <w:r w:rsidR="00B96BB7">
        <w:rPr>
          <w:rFonts w:ascii="Times New Roman" w:hAnsi="Times New Roman" w:cs="Times New Roman"/>
          <w:b/>
          <w:bCs/>
          <w:sz w:val="26"/>
          <w:szCs w:val="26"/>
          <w:u w:val="single"/>
        </w:rPr>
        <w:t>4</w:t>
      </w:r>
      <w:r w:rsidR="00AE1BB6">
        <w:rPr>
          <w:rFonts w:ascii="Times New Roman" w:hAnsi="Times New Roman" w:cs="Times New Roman"/>
          <w:b/>
          <w:bCs/>
          <w:sz w:val="26"/>
          <w:szCs w:val="26"/>
          <w:u w:val="single"/>
        </w:rPr>
        <w:t xml:space="preserve"> (</w:t>
      </w:r>
      <w:r w:rsidRPr="00DA73F4" w:rsidR="00DA73F4">
        <w:rPr>
          <w:rFonts w:ascii="Times New Roman" w:hAnsi="Times New Roman" w:cs="Times New Roman"/>
          <w:b/>
          <w:bCs/>
          <w:sz w:val="26"/>
          <w:szCs w:val="26"/>
          <w:u w:val="single"/>
        </w:rPr>
        <w:t>Frequency and Voltage Protection Settings for Synchronous Generators, Type 1 and Type 2 Wind Resources, and Synchronous Condensers</w:t>
      </w:r>
      <w:r w:rsidR="00AE1BB6">
        <w:rPr>
          <w:rFonts w:ascii="Times New Roman" w:hAnsi="Times New Roman" w:cs="Times New Roman"/>
          <w:b/>
          <w:bCs/>
          <w:sz w:val="26"/>
          <w:szCs w:val="26"/>
          <w:u w:val="single"/>
        </w:rPr>
        <w:t>)</w:t>
      </w:r>
    </w:p>
    <w:p w:rsidR="00914B0E" w:rsidRPr="00914B0E" w:rsidP="00A851C7" w14:paraId="5F545328" w14:textId="4310C9F2">
      <w:pPr>
        <w:rPr>
          <w:rFonts w:ascii="Times New Roman" w:hAnsi="Times New Roman" w:cs="Times New Roman"/>
          <w:b/>
          <w:bCs/>
          <w:sz w:val="26"/>
          <w:szCs w:val="26"/>
          <w:u w:val="single"/>
        </w:rPr>
      </w:pPr>
      <w:bookmarkStart w:id="8" w:name="_Hlk72421318"/>
      <w:bookmarkEnd w:id="7"/>
      <w:r w:rsidRPr="00914B0E">
        <w:rPr>
          <w:rFonts w:ascii="Times New Roman" w:hAnsi="Times New Roman" w:cs="Times New Roman"/>
          <w:sz w:val="26"/>
          <w:szCs w:val="26"/>
        </w:rPr>
        <w:t xml:space="preserve">Purpose is to </w:t>
      </w:r>
      <w:r w:rsidRPr="00914B0E">
        <w:rPr>
          <w:rFonts w:ascii="Times New Roman" w:hAnsi="Times New Roman" w:cs="Times New Roman"/>
          <w:sz w:val="26"/>
          <w:szCs w:val="26"/>
        </w:rPr>
        <w:t>assure</w:t>
      </w:r>
      <w:r w:rsidRPr="00914B0E">
        <w:rPr>
          <w:rFonts w:ascii="Times New Roman" w:hAnsi="Times New Roman" w:cs="Times New Roman"/>
          <w:sz w:val="26"/>
          <w:szCs w:val="26"/>
        </w:rPr>
        <w:t xml:space="preserve"> that </w:t>
      </w:r>
      <w:r w:rsidRPr="00914B0E">
        <w:rPr>
          <w:rFonts w:ascii="Times New Roman" w:hAnsi="Times New Roman" w:cs="Times New Roman"/>
          <w:sz w:val="26"/>
          <w:szCs w:val="26"/>
        </w:rPr>
        <w:t>protection of synchronous</w:t>
      </w:r>
      <w:r w:rsidRPr="00914B0E">
        <w:rPr>
          <w:rFonts w:ascii="Times New Roman" w:hAnsi="Times New Roman" w:cs="Times New Roman"/>
          <w:sz w:val="26"/>
          <w:szCs w:val="26"/>
        </w:rPr>
        <w:t xml:space="preserve"> generators, type 1 and type 2 wind resources, and synchronous condensers do not cause tripping during defined frequency and voltage excursions in support of the Bulk Power System (BPS).</w:t>
      </w:r>
    </w:p>
    <w:p w:rsidR="00A851C7" w:rsidRPr="00A851C7" w:rsidP="00A851C7" w14:paraId="61DE4B5A" w14:textId="33EE7D94">
      <w:pPr>
        <w:rPr>
          <w:rFonts w:ascii="Times New Roman" w:hAnsi="Times New Roman" w:cs="Times New Roman"/>
          <w:b/>
          <w:bCs/>
          <w:sz w:val="26"/>
          <w:szCs w:val="26"/>
          <w:u w:val="single"/>
        </w:rPr>
      </w:pPr>
      <w:r w:rsidRPr="00A851C7">
        <w:rPr>
          <w:rFonts w:ascii="Times New Roman" w:hAnsi="Times New Roman" w:cs="Times New Roman"/>
          <w:b/>
          <w:bCs/>
          <w:sz w:val="26"/>
          <w:szCs w:val="26"/>
          <w:u w:val="single"/>
        </w:rPr>
        <w:t xml:space="preserve">PRC-025-2 </w:t>
      </w:r>
      <w:r w:rsidR="00E66429">
        <w:rPr>
          <w:rFonts w:ascii="Times New Roman" w:hAnsi="Times New Roman" w:cs="Times New Roman"/>
          <w:b/>
          <w:bCs/>
          <w:sz w:val="26"/>
          <w:szCs w:val="26"/>
          <w:u w:val="single"/>
        </w:rPr>
        <w:t>(</w:t>
      </w:r>
      <w:r w:rsidRPr="00DC3E85" w:rsidR="00DC3E85">
        <w:rPr>
          <w:rFonts w:ascii="Times New Roman" w:hAnsi="Times New Roman" w:cs="Times New Roman"/>
          <w:b/>
          <w:bCs/>
          <w:sz w:val="26"/>
          <w:szCs w:val="26"/>
          <w:u w:val="single"/>
        </w:rPr>
        <w:t xml:space="preserve">Generator Relay </w:t>
      </w:r>
      <w:r w:rsidRPr="00DC3E85" w:rsidR="00DC3E85">
        <w:rPr>
          <w:rFonts w:ascii="Times New Roman" w:hAnsi="Times New Roman" w:cs="Times New Roman"/>
          <w:b/>
          <w:bCs/>
          <w:sz w:val="26"/>
          <w:szCs w:val="26"/>
          <w:u w:val="single"/>
        </w:rPr>
        <w:t>Loadabilit</w:t>
      </w:r>
      <w:r w:rsidR="00595A1B">
        <w:rPr>
          <w:rFonts w:ascii="Times New Roman" w:hAnsi="Times New Roman" w:cs="Times New Roman"/>
          <w:b/>
          <w:bCs/>
          <w:sz w:val="26"/>
          <w:szCs w:val="26"/>
          <w:u w:val="single"/>
        </w:rPr>
        <w:t>y</w:t>
      </w:r>
      <w:r w:rsidR="00595A1B">
        <w:rPr>
          <w:rFonts w:ascii="Times New Roman" w:hAnsi="Times New Roman" w:cs="Times New Roman"/>
          <w:b/>
          <w:bCs/>
          <w:sz w:val="26"/>
          <w:szCs w:val="26"/>
          <w:u w:val="single"/>
        </w:rPr>
        <w:t>)</w:t>
      </w:r>
    </w:p>
    <w:p w:rsidR="00A851C7" w:rsidRPr="00A851C7" w:rsidP="00A851C7" w14:paraId="27FDA8CB" w14:textId="77777777">
      <w:pPr>
        <w:rPr>
          <w:rFonts w:ascii="Times New Roman" w:hAnsi="Times New Roman" w:cs="Times New Roman"/>
          <w:b/>
          <w:bCs/>
          <w:sz w:val="26"/>
          <w:szCs w:val="26"/>
          <w:u w:val="single"/>
        </w:rPr>
      </w:pPr>
      <w:r w:rsidRPr="00A851C7">
        <w:rPr>
          <w:rFonts w:ascii="Times New Roman" w:hAnsi="Times New Roman" w:cs="Times New Roman"/>
          <w:bCs/>
          <w:sz w:val="26"/>
          <w:szCs w:val="26"/>
        </w:rPr>
        <w:t>Purpose is to set load-responsive protective relays associated with generation Facilities at a level to prevent unnecessary tripping of generators during a system disturbance for conditions that do not pose a risk of damage to the associated equipment.</w:t>
      </w:r>
      <w:r w:rsidRPr="00A851C7">
        <w:rPr>
          <w:rFonts w:ascii="Times New Roman" w:hAnsi="Times New Roman" w:cs="Times New Roman"/>
          <w:b/>
          <w:bCs/>
          <w:sz w:val="26"/>
          <w:szCs w:val="26"/>
          <w:u w:val="single"/>
        </w:rPr>
        <w:t xml:space="preserve"> </w:t>
      </w:r>
    </w:p>
    <w:p w:rsidR="00A851C7" w:rsidRPr="00A851C7" w:rsidP="00A851C7" w14:paraId="0B7B059C" w14:textId="7A70EF54">
      <w:pPr>
        <w:rPr>
          <w:rFonts w:ascii="Times New Roman" w:hAnsi="Times New Roman" w:cs="Times New Roman"/>
          <w:b/>
          <w:bCs/>
          <w:sz w:val="26"/>
          <w:szCs w:val="26"/>
          <w:u w:val="single"/>
        </w:rPr>
      </w:pPr>
      <w:bookmarkStart w:id="9" w:name="_Hlk72421333"/>
      <w:bookmarkEnd w:id="8"/>
      <w:r w:rsidRPr="00A851C7">
        <w:rPr>
          <w:rFonts w:ascii="Times New Roman" w:hAnsi="Times New Roman" w:cs="Times New Roman"/>
          <w:b/>
          <w:bCs/>
          <w:sz w:val="26"/>
          <w:szCs w:val="26"/>
          <w:u w:val="single"/>
        </w:rPr>
        <w:t>PRC-026-</w:t>
      </w:r>
      <w:r w:rsidR="00140041">
        <w:rPr>
          <w:rFonts w:ascii="Times New Roman" w:hAnsi="Times New Roman" w:cs="Times New Roman"/>
          <w:b/>
          <w:bCs/>
          <w:sz w:val="26"/>
          <w:szCs w:val="26"/>
          <w:u w:val="single"/>
        </w:rPr>
        <w:t>2 (</w:t>
      </w:r>
      <w:r w:rsidRPr="00140041" w:rsidR="00140041">
        <w:rPr>
          <w:rFonts w:ascii="Times New Roman" w:hAnsi="Times New Roman" w:cs="Times New Roman"/>
          <w:b/>
          <w:bCs/>
          <w:sz w:val="26"/>
          <w:szCs w:val="26"/>
          <w:u w:val="single"/>
        </w:rPr>
        <w:t>Relay Performance During Stable Power Swing</w:t>
      </w:r>
      <w:r w:rsidR="00210661">
        <w:rPr>
          <w:rFonts w:ascii="Times New Roman" w:hAnsi="Times New Roman" w:cs="Times New Roman"/>
          <w:b/>
          <w:bCs/>
          <w:sz w:val="26"/>
          <w:szCs w:val="26"/>
          <w:u w:val="single"/>
        </w:rPr>
        <w:t>s)</w:t>
      </w:r>
    </w:p>
    <w:p w:rsidR="00A851C7" w:rsidRPr="00A851C7" w:rsidP="00A851C7" w14:paraId="0992EDB1" w14:textId="77777777">
      <w:pPr>
        <w:rPr>
          <w:rFonts w:ascii="Times New Roman" w:hAnsi="Times New Roman" w:cs="Times New Roman"/>
          <w:bCs/>
          <w:sz w:val="26"/>
          <w:szCs w:val="26"/>
        </w:rPr>
      </w:pPr>
      <w:r w:rsidRPr="00A851C7">
        <w:rPr>
          <w:rFonts w:ascii="Times New Roman" w:hAnsi="Times New Roman" w:cs="Times New Roman"/>
          <w:bCs/>
          <w:sz w:val="26"/>
          <w:szCs w:val="26"/>
        </w:rPr>
        <w:t>Purpose is to ensure that load-responsive protective relays are expected to not trip in response to stable power swings during non-Fault conditions.</w:t>
      </w:r>
    </w:p>
    <w:p w:rsidR="00A851C7" w:rsidRPr="00A851C7" w:rsidP="00A851C7" w14:paraId="47C4A83F" w14:textId="7622D3C5">
      <w:pPr>
        <w:rPr>
          <w:rFonts w:ascii="Times New Roman" w:hAnsi="Times New Roman" w:cs="Times New Roman"/>
          <w:b/>
          <w:bCs/>
          <w:sz w:val="26"/>
          <w:szCs w:val="26"/>
          <w:u w:val="single"/>
        </w:rPr>
      </w:pPr>
      <w:bookmarkStart w:id="10" w:name="_Hlk72505681"/>
      <w:bookmarkEnd w:id="9"/>
      <w:r w:rsidRPr="00A851C7">
        <w:rPr>
          <w:rFonts w:ascii="Times New Roman" w:hAnsi="Times New Roman" w:cs="Times New Roman"/>
          <w:b/>
          <w:bCs/>
          <w:sz w:val="26"/>
          <w:szCs w:val="26"/>
          <w:u w:val="single"/>
        </w:rPr>
        <w:t xml:space="preserve">PRC-027-1 </w:t>
      </w:r>
      <w:r w:rsidR="00584E35">
        <w:rPr>
          <w:rFonts w:ascii="Times New Roman" w:hAnsi="Times New Roman" w:cs="Times New Roman"/>
          <w:b/>
          <w:bCs/>
          <w:sz w:val="26"/>
          <w:szCs w:val="26"/>
          <w:u w:val="single"/>
        </w:rPr>
        <w:t>(</w:t>
      </w:r>
      <w:r w:rsidRPr="00A851C7">
        <w:rPr>
          <w:rFonts w:ascii="Times New Roman" w:hAnsi="Times New Roman" w:cs="Times New Roman"/>
          <w:b/>
          <w:bCs/>
          <w:sz w:val="26"/>
          <w:szCs w:val="26"/>
          <w:u w:val="single"/>
        </w:rPr>
        <w:t>Coordination of Protection Systems for Performance During Faults</w:t>
      </w:r>
      <w:r w:rsidR="00584E35">
        <w:rPr>
          <w:rFonts w:ascii="Times New Roman" w:hAnsi="Times New Roman" w:cs="Times New Roman"/>
          <w:b/>
          <w:bCs/>
          <w:sz w:val="26"/>
          <w:szCs w:val="26"/>
          <w:u w:val="single"/>
        </w:rPr>
        <w:t>)</w:t>
      </w:r>
    </w:p>
    <w:p w:rsidR="00D20809" w:rsidP="00D801C8" w14:paraId="1DC05DD8" w14:textId="47346744">
      <w:pPr>
        <w:rPr>
          <w:rFonts w:ascii="Times New Roman" w:hAnsi="Times New Roman" w:cs="Times New Roman"/>
          <w:bCs/>
          <w:sz w:val="26"/>
          <w:szCs w:val="26"/>
        </w:rPr>
      </w:pPr>
      <w:r w:rsidRPr="00A851C7">
        <w:rPr>
          <w:rFonts w:ascii="Times New Roman" w:hAnsi="Times New Roman" w:cs="Times New Roman"/>
          <w:bCs/>
          <w:sz w:val="26"/>
          <w:szCs w:val="26"/>
        </w:rPr>
        <w:t>Purpose is to maintain the coordination of Protection Systems installed to detect and isolate Faults on Bulk Electric System (BES) Elements, such that those Protection Systems operate in the intended sequence during Faults.</w:t>
      </w:r>
      <w:bookmarkEnd w:id="6"/>
      <w:bookmarkEnd w:id="10"/>
    </w:p>
    <w:p w:rsidR="00B96BB7" w:rsidP="00D801C8" w14:paraId="43DABD51" w14:textId="5A9A1BDF">
      <w:pPr>
        <w:rPr>
          <w:rFonts w:ascii="Times New Roman" w:hAnsi="Times New Roman" w:cs="Times New Roman"/>
          <w:b/>
          <w:sz w:val="26"/>
          <w:szCs w:val="26"/>
          <w:u w:val="single"/>
        </w:rPr>
      </w:pPr>
      <w:r w:rsidRPr="00B96BB7">
        <w:rPr>
          <w:rFonts w:ascii="Times New Roman" w:hAnsi="Times New Roman" w:cs="Times New Roman"/>
          <w:b/>
          <w:sz w:val="26"/>
          <w:szCs w:val="26"/>
          <w:u w:val="single"/>
        </w:rPr>
        <w:t>PRC-029-1</w:t>
      </w:r>
      <w:r w:rsidR="00A14E6B">
        <w:rPr>
          <w:rFonts w:ascii="Times New Roman" w:hAnsi="Times New Roman" w:cs="Times New Roman"/>
          <w:b/>
          <w:sz w:val="26"/>
          <w:szCs w:val="26"/>
          <w:u w:val="single"/>
        </w:rPr>
        <w:t xml:space="preserve"> (</w:t>
      </w:r>
      <w:r w:rsidRPr="00A14E6B" w:rsidR="00A14E6B">
        <w:rPr>
          <w:rFonts w:ascii="Times New Roman" w:hAnsi="Times New Roman" w:cs="Times New Roman"/>
          <w:b/>
          <w:sz w:val="26"/>
          <w:szCs w:val="26"/>
          <w:u w:val="single"/>
        </w:rPr>
        <w:t>Frequency and Voltage Ride-through Requirements for Inverter-based Resource</w:t>
      </w:r>
      <w:r w:rsidR="00A14E6B">
        <w:rPr>
          <w:rFonts w:ascii="Times New Roman" w:hAnsi="Times New Roman" w:cs="Times New Roman"/>
          <w:b/>
          <w:sz w:val="26"/>
          <w:szCs w:val="26"/>
          <w:u w:val="single"/>
        </w:rPr>
        <w:t>)</w:t>
      </w:r>
    </w:p>
    <w:p w:rsidR="00B96BB7" w:rsidRPr="003615D1" w:rsidP="00D801C8" w14:paraId="5210ADFC" w14:textId="2873123E">
      <w:pPr>
        <w:rPr>
          <w:rFonts w:ascii="Times New Roman" w:hAnsi="Times New Roman" w:cs="Times New Roman"/>
          <w:b/>
          <w:sz w:val="24"/>
          <w:szCs w:val="24"/>
          <w:u w:val="single"/>
        </w:rPr>
      </w:pPr>
      <w:r w:rsidRPr="003615D1">
        <w:rPr>
          <w:rFonts w:ascii="Times New Roman" w:hAnsi="Times New Roman" w:cs="Times New Roman"/>
          <w:sz w:val="24"/>
          <w:szCs w:val="24"/>
        </w:rPr>
        <w:t>Purpose is to ensure that IBRs Ride-through to support the Bulk Power System (BPS) during and after defined frequency and voltage excursions</w:t>
      </w:r>
      <w:r>
        <w:rPr>
          <w:rFonts w:ascii="Times New Roman" w:hAnsi="Times New Roman" w:cs="Times New Roman"/>
          <w:sz w:val="24"/>
          <w:szCs w:val="24"/>
        </w:rPr>
        <w:t>.</w:t>
      </w:r>
    </w:p>
    <w:p w:rsidR="00D20809" w:rsidRPr="00D801C8" w:rsidP="00D801C8" w14:paraId="717A3F8C" w14:textId="26BF9957">
      <w:pPr>
        <w:pStyle w:val="ListParagraph"/>
        <w:numPr>
          <w:ilvl w:val="0"/>
          <w:numId w:val="2"/>
        </w:numPr>
        <w:rPr>
          <w:rFonts w:ascii="Times New Roman" w:hAnsi="Times New Roman" w:cs="Times New Roman"/>
          <w:b/>
          <w:sz w:val="26"/>
          <w:szCs w:val="26"/>
        </w:rPr>
      </w:pPr>
      <w:r w:rsidRPr="00C77612">
        <w:rPr>
          <w:rFonts w:ascii="Times New Roman" w:hAnsi="Times New Roman" w:cs="Times New Roman"/>
          <w:b/>
          <w:sz w:val="26"/>
          <w:szCs w:val="26"/>
        </w:rPr>
        <w:t>DESCRIBE ANY CONSIDERATION OF THE USE OF IMPROVED INFORMATION TECHNOLOGY TO REDUCE THE BURDEN AND TECHNICAL OR LEGAL OBSTACLES TO REDUCING BURDEN</w:t>
      </w:r>
    </w:p>
    <w:p w:rsidR="00D20809" w14:paraId="79E4DD02" w14:textId="7764267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The use of current or improved technology is not covered in Reliability Standards and is therefore left to the discretion of each reporting entity. </w:t>
      </w:r>
      <w:r w:rsidR="00DE2F18">
        <w:rPr>
          <w:rFonts w:ascii="Times New Roman" w:hAnsi="Times New Roman" w:cs="Times New Roman"/>
          <w:sz w:val="26"/>
          <w:szCs w:val="26"/>
        </w:rPr>
        <w:t xml:space="preserve"> </w:t>
      </w:r>
      <w:r>
        <w:rPr>
          <w:rFonts w:ascii="Times New Roman" w:hAnsi="Times New Roman" w:cs="Times New Roman"/>
          <w:sz w:val="26"/>
          <w:szCs w:val="26"/>
        </w:rPr>
        <w:t xml:space="preserve">Commission staff </w:t>
      </w:r>
      <w:r>
        <w:rPr>
          <w:rFonts w:ascii="Times New Roman" w:hAnsi="Times New Roman" w:cs="Times New Roman"/>
          <w:sz w:val="26"/>
          <w:szCs w:val="26"/>
        </w:rPr>
        <w:t>estimates</w:t>
      </w:r>
      <w:r>
        <w:rPr>
          <w:rFonts w:ascii="Times New Roman" w:hAnsi="Times New Roman" w:cs="Times New Roman"/>
          <w:sz w:val="26"/>
          <w:szCs w:val="26"/>
        </w:rPr>
        <w:t xml:space="preserve"> that nearly </w:t>
      </w:r>
      <w:r>
        <w:rPr>
          <w:rFonts w:ascii="Times New Roman" w:hAnsi="Times New Roman" w:cs="Times New Roman"/>
          <w:sz w:val="26"/>
          <w:szCs w:val="26"/>
        </w:rPr>
        <w:t>all of</w:t>
      </w:r>
      <w:r>
        <w:rPr>
          <w:rFonts w:ascii="Times New Roman" w:hAnsi="Times New Roman" w:cs="Times New Roman"/>
          <w:sz w:val="26"/>
          <w:szCs w:val="26"/>
        </w:rPr>
        <w:t xml:space="preserve"> the respondents are likely to make and keep related records in an electronic format.  Each of the eight Regional Entities has a well-established compliance portal for registered entities to electronically submit compliance information and reports.  The compliance portals allow documents developed by the registered entities to be attached and uploaded to the Regional Entity’s portal.  Compliance data can also be submitted by filling out data forms on the portals.  These portals are accessible through an internet browser password protected user interface.</w:t>
      </w:r>
    </w:p>
    <w:p w:rsidR="00D20809" w14:paraId="5BFF9F5E" w14:textId="77777777">
      <w:pPr>
        <w:spacing w:after="0" w:line="240" w:lineRule="auto"/>
        <w:rPr>
          <w:rFonts w:ascii="Times New Roman" w:hAnsi="Times New Roman" w:cs="Times New Roman"/>
          <w:b/>
          <w:sz w:val="26"/>
          <w:szCs w:val="26"/>
        </w:rPr>
      </w:pPr>
    </w:p>
    <w:p w:rsidR="00D20809" w14:paraId="7891CCE9"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DESCRIBE EFFORTS TO IDENTIFY DUPLICATION AND SHOW SPECIFICALLY WHY ANY SIMILAR INFORMATION ALREADY AVAILABLE CANNOT BE USED OR MODIFIED FOR USE FOR THE PURPOSE(S) DESCRIBED IN INSTRUCTION NO. 2</w:t>
      </w:r>
    </w:p>
    <w:p w:rsidR="00D20809" w14:paraId="0C6EF8D7" w14:textId="77777777">
      <w:pPr>
        <w:spacing w:after="0" w:line="240" w:lineRule="auto"/>
        <w:rPr>
          <w:rFonts w:ascii="Times New Roman" w:hAnsi="Times New Roman" w:cs="Times New Roman"/>
          <w:sz w:val="26"/>
          <w:szCs w:val="26"/>
        </w:rPr>
      </w:pPr>
    </w:p>
    <w:p w:rsidR="00F047B5" w:rsidRPr="00F047B5" w:rsidP="00F047B5" w14:paraId="7024B72D" w14:textId="77777777">
      <w:pPr>
        <w:spacing w:after="0" w:line="240" w:lineRule="auto"/>
        <w:rPr>
          <w:rFonts w:ascii="Times New Roman" w:eastAsia="Calibri" w:hAnsi="Times New Roman" w:cs="Times New Roman"/>
          <w:sz w:val="24"/>
          <w:szCs w:val="24"/>
        </w:rPr>
      </w:pPr>
      <w:r>
        <w:rPr>
          <w:rFonts w:ascii="Times New Roman" w:hAnsi="Times New Roman" w:cs="Times New Roman"/>
          <w:sz w:val="26"/>
          <w:szCs w:val="26"/>
        </w:rPr>
        <w:t xml:space="preserve">The Commission periodically reviews filing requirements concurrent with OMB review or as the Commission deems necessary to eliminate duplicative filing and to minimize the filing burden.  This information is not available elsewhere.  </w:t>
      </w:r>
      <w:r w:rsidRPr="00F047B5">
        <w:rPr>
          <w:rFonts w:ascii="Times New Roman" w:eastAsia="Calibri" w:hAnsi="Times New Roman" w:cs="Times New Roman"/>
          <w:sz w:val="24"/>
          <w:szCs w:val="24"/>
        </w:rPr>
        <w:t xml:space="preserve">Reliability Standards are developed by a collaborative process which requires industry participation.  The Commission is unaware of any other source of information </w:t>
      </w:r>
      <w:r w:rsidRPr="00F047B5">
        <w:rPr>
          <w:rFonts w:ascii="Times New Roman" w:eastAsia="Calibri" w:hAnsi="Times New Roman" w:cs="Times New Roman"/>
          <w:sz w:val="24"/>
          <w:szCs w:val="24"/>
        </w:rPr>
        <w:t>similar to</w:t>
      </w:r>
      <w:r w:rsidRPr="00F047B5">
        <w:rPr>
          <w:rFonts w:ascii="Times New Roman" w:eastAsia="Calibri" w:hAnsi="Times New Roman" w:cs="Times New Roman"/>
          <w:sz w:val="24"/>
          <w:szCs w:val="24"/>
        </w:rPr>
        <w:t xml:space="preserve"> the additional requirements.</w:t>
      </w:r>
    </w:p>
    <w:p w:rsidR="00D20809" w14:paraId="184CFCB1" w14:textId="4B942399">
      <w:pPr>
        <w:spacing w:after="0" w:line="240" w:lineRule="auto"/>
        <w:rPr>
          <w:rFonts w:ascii="Times New Roman" w:hAnsi="Times New Roman" w:cs="Times New Roman"/>
          <w:sz w:val="26"/>
          <w:szCs w:val="26"/>
        </w:rPr>
      </w:pPr>
      <w:r>
        <w:rPr>
          <w:rFonts w:ascii="Times New Roman" w:hAnsi="Times New Roman" w:cs="Times New Roman"/>
          <w:sz w:val="26"/>
          <w:szCs w:val="26"/>
        </w:rPr>
        <w:t>The standard-developing group (the ERO and various stakeholders) think these areas need to be addressed and documented as indicated in the NERC Petition.</w:t>
      </w:r>
    </w:p>
    <w:p w:rsidR="00D20809" w14:paraId="5C86C8B3" w14:textId="77777777">
      <w:pPr>
        <w:spacing w:after="0" w:line="240" w:lineRule="auto"/>
        <w:rPr>
          <w:rFonts w:ascii="Times New Roman" w:hAnsi="Times New Roman" w:cs="Times New Roman"/>
          <w:sz w:val="26"/>
          <w:szCs w:val="26"/>
        </w:rPr>
      </w:pPr>
    </w:p>
    <w:p w:rsidR="00D20809" w14:paraId="39CE4FEC"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METHODS USED TO MINIMIZE THE BURDEN IN COLLECTION OF INFORMATION INVOLVING SMALL ENTITIES</w:t>
      </w:r>
    </w:p>
    <w:p w:rsidR="005346C5" w:rsidP="2F6AED1A" w14:paraId="0A2ECF60" w14:textId="77777777">
      <w:pPr>
        <w:spacing w:after="0" w:line="240" w:lineRule="auto"/>
        <w:rPr>
          <w:rFonts w:ascii="Times New Roman" w:hAnsi="Times New Roman" w:cs="Times New Roman"/>
          <w:sz w:val="26"/>
          <w:szCs w:val="26"/>
        </w:rPr>
      </w:pPr>
    </w:p>
    <w:p w:rsidR="00D20809" w14:paraId="46F7C865" w14:textId="279B55C4">
      <w:pPr>
        <w:spacing w:after="0" w:line="240" w:lineRule="auto"/>
        <w:rPr>
          <w:rFonts w:ascii="Times New Roman" w:hAnsi="Times New Roman" w:cs="Times New Roman"/>
          <w:sz w:val="26"/>
          <w:szCs w:val="26"/>
        </w:rPr>
      </w:pPr>
      <w:r w:rsidRPr="011CD5C5">
        <w:rPr>
          <w:rFonts w:ascii="Times New Roman" w:hAnsi="Times New Roman" w:cs="Times New Roman"/>
          <w:sz w:val="26"/>
          <w:szCs w:val="26"/>
        </w:rPr>
        <w:t xml:space="preserve">Small entities generally can reduce their burden by taking part in a joint registration organization or a coordinated function registration.  These options allow an entity the ability to share its compliance burden with other similar entities. </w:t>
      </w:r>
    </w:p>
    <w:p w:rsidR="00D20809" w14:paraId="2ACFA68E" w14:textId="0D35FAE0">
      <w:pPr>
        <w:spacing w:after="0" w:line="240" w:lineRule="auto"/>
        <w:rPr>
          <w:rFonts w:ascii="Times New Roman" w:hAnsi="Times New Roman" w:cs="Times New Roman"/>
          <w:sz w:val="26"/>
          <w:szCs w:val="26"/>
        </w:rPr>
      </w:pPr>
    </w:p>
    <w:p w:rsidR="00D20809" w14:paraId="7B356395" w14:textId="3E2597F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Detailed information regarding these options is available in NERC’s Rules of Procedure </w:t>
      </w:r>
      <w:r>
        <w:rPr>
          <w:rFonts w:ascii="Times New Roman" w:hAnsi="Times New Roman" w:cs="Times New Roman"/>
          <w:sz w:val="26"/>
          <w:szCs w:val="26"/>
        </w:rPr>
        <w:t>at</w:t>
      </w:r>
      <w:r>
        <w:rPr>
          <w:rFonts w:ascii="Times New Roman" w:hAnsi="Times New Roman" w:cs="Times New Roman"/>
          <w:sz w:val="26"/>
          <w:szCs w:val="26"/>
        </w:rPr>
        <w:t xml:space="preserve"> sections 507 and 508.</w:t>
      </w:r>
      <w:r w:rsidR="001A3BBC">
        <w:rPr>
          <w:rFonts w:ascii="Times New Roman" w:hAnsi="Times New Roman" w:cs="Times New Roman"/>
          <w:sz w:val="26"/>
          <w:szCs w:val="26"/>
        </w:rPr>
        <w:t xml:space="preserve"> </w:t>
      </w:r>
    </w:p>
    <w:p w:rsidR="00D20809" w14:paraId="4A3A4EB4" w14:textId="77777777">
      <w:pPr>
        <w:spacing w:after="0" w:line="240" w:lineRule="auto"/>
        <w:rPr>
          <w:rFonts w:ascii="Times New Roman" w:hAnsi="Times New Roman" w:cs="Times New Roman"/>
          <w:sz w:val="26"/>
          <w:szCs w:val="26"/>
        </w:rPr>
      </w:pPr>
    </w:p>
    <w:p w:rsidR="00D20809" w14:paraId="39EA27BB"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CONSEQUENCE TO FEDERAL PROGRAM IF COLLECTION WERE CONDUCTED LESS FREQUENTLY</w:t>
      </w:r>
    </w:p>
    <w:p w:rsidR="00D20809" w14:paraId="670310B1" w14:textId="77777777">
      <w:pPr>
        <w:spacing w:after="0" w:line="240" w:lineRule="auto"/>
        <w:rPr>
          <w:rFonts w:ascii="Times New Roman" w:hAnsi="Times New Roman" w:cs="Times New Roman"/>
          <w:b/>
          <w:sz w:val="26"/>
          <w:szCs w:val="26"/>
        </w:rPr>
      </w:pPr>
    </w:p>
    <w:p w:rsidR="00C133C1" w:rsidRPr="00C133C1" w:rsidP="00C133C1" w14:paraId="5F15312F" w14:textId="55E13CB3">
      <w:pPr>
        <w:spacing w:after="0" w:line="240" w:lineRule="auto"/>
        <w:rPr>
          <w:rFonts w:ascii="Times New Roman" w:eastAsia="Calibri" w:hAnsi="Times New Roman" w:cs="Times New Roman"/>
          <w:sz w:val="26"/>
          <w:szCs w:val="26"/>
        </w:rPr>
      </w:pPr>
      <w:r w:rsidRPr="011CD5C5">
        <w:rPr>
          <w:rFonts w:ascii="Times New Roman" w:hAnsi="Times New Roman" w:cs="Times New Roman"/>
          <w:sz w:val="26"/>
          <w:szCs w:val="26"/>
        </w:rPr>
        <w:t xml:space="preserve">PRC </w:t>
      </w:r>
      <w:r w:rsidRPr="011CD5C5" w:rsidR="00CC6F4B">
        <w:rPr>
          <w:rFonts w:ascii="Times New Roman" w:hAnsi="Times New Roman" w:cs="Times New Roman"/>
          <w:sz w:val="26"/>
          <w:szCs w:val="26"/>
        </w:rPr>
        <w:t>Reliability Standard</w:t>
      </w:r>
      <w:r w:rsidRPr="011CD5C5">
        <w:rPr>
          <w:rFonts w:ascii="Times New Roman" w:hAnsi="Times New Roman" w:cs="Times New Roman"/>
          <w:sz w:val="26"/>
          <w:szCs w:val="26"/>
        </w:rPr>
        <w:t xml:space="preserve">s </w:t>
      </w:r>
      <w:r w:rsidRPr="011CD5C5" w:rsidR="00BD49DE">
        <w:rPr>
          <w:rFonts w:ascii="Times New Roman" w:hAnsi="Times New Roman" w:cs="Times New Roman"/>
          <w:sz w:val="26"/>
          <w:szCs w:val="26"/>
        </w:rPr>
        <w:t>on Bulk-Power System elements are an</w:t>
      </w:r>
      <w:r w:rsidRPr="011CD5C5" w:rsidR="00AB003A">
        <w:rPr>
          <w:rFonts w:ascii="Times New Roman" w:hAnsi="Times New Roman" w:cs="Times New Roman"/>
          <w:sz w:val="26"/>
          <w:szCs w:val="26"/>
        </w:rPr>
        <w:t xml:space="preserve"> </w:t>
      </w:r>
      <w:r w:rsidRPr="011CD5C5" w:rsidR="00BD49DE">
        <w:rPr>
          <w:rFonts w:ascii="Times New Roman" w:hAnsi="Times New Roman" w:cs="Times New Roman"/>
          <w:sz w:val="26"/>
          <w:szCs w:val="26"/>
        </w:rPr>
        <w:t>integral part of reliable grid operation. Protection systems are designed to detect and</w:t>
      </w:r>
      <w:r w:rsidRPr="011CD5C5" w:rsidR="00AB003A">
        <w:rPr>
          <w:rFonts w:ascii="Times New Roman" w:hAnsi="Times New Roman" w:cs="Times New Roman"/>
          <w:sz w:val="26"/>
          <w:szCs w:val="26"/>
        </w:rPr>
        <w:t xml:space="preserve"> </w:t>
      </w:r>
      <w:r w:rsidRPr="011CD5C5" w:rsidR="00BD49DE">
        <w:rPr>
          <w:rFonts w:ascii="Times New Roman" w:hAnsi="Times New Roman" w:cs="Times New Roman"/>
          <w:sz w:val="26"/>
          <w:szCs w:val="26"/>
        </w:rPr>
        <w:t xml:space="preserve">isolate faulty elements </w:t>
      </w:r>
      <w:r w:rsidRPr="011CD5C5" w:rsidR="00BD49DE">
        <w:rPr>
          <w:rFonts w:ascii="Times New Roman" w:hAnsi="Times New Roman" w:cs="Times New Roman"/>
          <w:sz w:val="26"/>
          <w:szCs w:val="26"/>
        </w:rPr>
        <w:t>on</w:t>
      </w:r>
      <w:r w:rsidRPr="011CD5C5" w:rsidR="00BD49DE">
        <w:rPr>
          <w:rFonts w:ascii="Times New Roman" w:hAnsi="Times New Roman" w:cs="Times New Roman"/>
          <w:sz w:val="26"/>
          <w:szCs w:val="26"/>
        </w:rPr>
        <w:t xml:space="preserve"> a system, thereby limiting the severity and spread of system</w:t>
      </w:r>
      <w:r w:rsidRPr="011CD5C5" w:rsidR="00AB003A">
        <w:rPr>
          <w:rFonts w:ascii="Times New Roman" w:hAnsi="Times New Roman" w:cs="Times New Roman"/>
          <w:sz w:val="26"/>
          <w:szCs w:val="26"/>
        </w:rPr>
        <w:t xml:space="preserve"> </w:t>
      </w:r>
      <w:r w:rsidRPr="011CD5C5" w:rsidR="00BD49DE">
        <w:rPr>
          <w:rFonts w:ascii="Times New Roman" w:hAnsi="Times New Roman" w:cs="Times New Roman"/>
          <w:sz w:val="26"/>
          <w:szCs w:val="26"/>
        </w:rPr>
        <w:t>disturbances, and preventing possible damage to protected elements</w:t>
      </w:r>
      <w:r w:rsidRPr="011CD5C5" w:rsidR="00CC6F4B">
        <w:rPr>
          <w:rFonts w:ascii="Times New Roman" w:hAnsi="Times New Roman" w:cs="Times New Roman"/>
          <w:sz w:val="26"/>
          <w:szCs w:val="26"/>
        </w:rPr>
        <w:t xml:space="preserve">.  </w:t>
      </w:r>
      <w:r w:rsidRPr="011CD5C5" w:rsidR="00225E06">
        <w:rPr>
          <w:rFonts w:ascii="Times New Roman" w:hAnsi="Times New Roman" w:cs="Times New Roman"/>
          <w:sz w:val="26"/>
          <w:szCs w:val="26"/>
        </w:rPr>
        <w:t xml:space="preserve">The Commission finds that the currently effective Reliability Standards do not adequately address the risks posed by the increasing numbers of IBRs connecting to the Bulk-Power System.  </w:t>
      </w:r>
      <w:r w:rsidRPr="011CD5C5" w:rsidR="00CC6F4B">
        <w:rPr>
          <w:rFonts w:ascii="Times New Roman" w:hAnsi="Times New Roman" w:cs="Times New Roman"/>
          <w:sz w:val="26"/>
          <w:szCs w:val="26"/>
        </w:rPr>
        <w:t>The collection cannot be collected less frequently</w:t>
      </w:r>
      <w:r w:rsidRPr="011CD5C5" w:rsidR="00D133CB">
        <w:rPr>
          <w:rFonts w:ascii="Times New Roman" w:hAnsi="Times New Roman" w:cs="Times New Roman"/>
          <w:sz w:val="26"/>
          <w:szCs w:val="26"/>
        </w:rPr>
        <w:t xml:space="preserve">, as the </w:t>
      </w:r>
      <w:r w:rsidRPr="011CD5C5" w:rsidR="006A7074">
        <w:rPr>
          <w:rFonts w:ascii="Times New Roman" w:hAnsi="Times New Roman" w:cs="Times New Roman"/>
          <w:sz w:val="26"/>
          <w:szCs w:val="26"/>
        </w:rPr>
        <w:t>voltage and frequency protection</w:t>
      </w:r>
      <w:r w:rsidRPr="011CD5C5" w:rsidR="73EDFE11">
        <w:rPr>
          <w:rFonts w:ascii="Times New Roman" w:hAnsi="Times New Roman" w:cs="Times New Roman"/>
          <w:sz w:val="26"/>
          <w:szCs w:val="26"/>
        </w:rPr>
        <w:t xml:space="preserve"> must be</w:t>
      </w:r>
      <w:r w:rsidRPr="011CD5C5" w:rsidR="006A7074">
        <w:rPr>
          <w:rFonts w:ascii="Times New Roman" w:hAnsi="Times New Roman" w:cs="Times New Roman"/>
          <w:sz w:val="26"/>
          <w:szCs w:val="26"/>
        </w:rPr>
        <w:t xml:space="preserve"> set to avoid tripping during defined frequency and voltage excursions</w:t>
      </w:r>
      <w:r w:rsidRPr="011CD5C5" w:rsidR="00CC6F4B">
        <w:rPr>
          <w:rFonts w:ascii="Times New Roman" w:hAnsi="Times New Roman" w:cs="Times New Roman"/>
          <w:sz w:val="26"/>
          <w:szCs w:val="26"/>
        </w:rPr>
        <w:t>.</w:t>
      </w:r>
      <w:r w:rsidRPr="011CD5C5" w:rsidR="00D133CB">
        <w:rPr>
          <w:rFonts w:ascii="Times New Roman" w:hAnsi="Times New Roman" w:cs="Times New Roman"/>
          <w:sz w:val="26"/>
          <w:szCs w:val="26"/>
        </w:rPr>
        <w:t xml:space="preserve">  </w:t>
      </w:r>
      <w:r w:rsidRPr="011CD5C5" w:rsidR="00A7119C">
        <w:rPr>
          <w:rFonts w:ascii="Times New Roman" w:hAnsi="Times New Roman" w:cs="Times New Roman"/>
          <w:sz w:val="26"/>
          <w:szCs w:val="26"/>
        </w:rPr>
        <w:t xml:space="preserve">The </w:t>
      </w:r>
      <w:r w:rsidR="00AB4062">
        <w:rPr>
          <w:rFonts w:ascii="Times New Roman" w:hAnsi="Times New Roman" w:cs="Times New Roman"/>
          <w:sz w:val="26"/>
          <w:szCs w:val="26"/>
        </w:rPr>
        <w:t>r</w:t>
      </w:r>
      <w:r w:rsidRPr="011CD5C5" w:rsidR="00A7119C">
        <w:rPr>
          <w:rFonts w:ascii="Times New Roman" w:hAnsi="Times New Roman" w:cs="Times New Roman"/>
          <w:sz w:val="26"/>
          <w:szCs w:val="26"/>
        </w:rPr>
        <w:t xml:space="preserve">ide-through requirements </w:t>
      </w:r>
      <w:r w:rsidRPr="011CD5C5" w:rsidR="00A7119C">
        <w:rPr>
          <w:rFonts w:ascii="Times New Roman" w:hAnsi="Times New Roman" w:cs="Times New Roman"/>
          <w:sz w:val="26"/>
          <w:szCs w:val="26"/>
        </w:rPr>
        <w:t xml:space="preserve">of  </w:t>
      </w:r>
      <w:r w:rsidRPr="011CD5C5" w:rsidR="009B2528">
        <w:rPr>
          <w:rFonts w:ascii="Times New Roman" w:hAnsi="Times New Roman" w:cs="Times New Roman"/>
          <w:sz w:val="26"/>
          <w:szCs w:val="26"/>
        </w:rPr>
        <w:t>PRC</w:t>
      </w:r>
      <w:r w:rsidRPr="011CD5C5" w:rsidR="009B2528">
        <w:rPr>
          <w:rFonts w:ascii="Times New Roman" w:hAnsi="Times New Roman" w:cs="Times New Roman"/>
          <w:sz w:val="26"/>
          <w:szCs w:val="26"/>
        </w:rPr>
        <w:t xml:space="preserve">-029, </w:t>
      </w:r>
      <w:r w:rsidRPr="011CD5C5" w:rsidR="00A7119C">
        <w:rPr>
          <w:rFonts w:ascii="Times New Roman" w:hAnsi="Times New Roman" w:cs="Times New Roman"/>
          <w:sz w:val="26"/>
          <w:szCs w:val="26"/>
        </w:rPr>
        <w:t xml:space="preserve">Requirements R1 through R3 should strengthen the reliability of the Bulk-Power System by ensuring that IBRs are designed and operated to remain connected to the Bulk-Power system and continue to inject real and/or reactive </w:t>
      </w:r>
      <w:r w:rsidRPr="00C133C1" w:rsidR="00A7119C">
        <w:rPr>
          <w:rFonts w:ascii="Times New Roman" w:hAnsi="Times New Roman" w:cs="Times New Roman"/>
          <w:sz w:val="26"/>
          <w:szCs w:val="26"/>
        </w:rPr>
        <w:t xml:space="preserve">current during system disturbances.  </w:t>
      </w:r>
      <w:r w:rsidRPr="00C133C1">
        <w:rPr>
          <w:rFonts w:ascii="Times New Roman" w:eastAsia="Calibri" w:hAnsi="Times New Roman" w:cs="Times New Roman"/>
          <w:sz w:val="26"/>
          <w:szCs w:val="26"/>
        </w:rPr>
        <w:t xml:space="preserve">PRC Reliability Standards were established such that the declining frequency is arrested and recovered in accordance with NPCC performance requirements.  The collection cannot be collected less frequently, as the proper targets need to be set in </w:t>
      </w:r>
      <w:r w:rsidRPr="00C133C1">
        <w:rPr>
          <w:rFonts w:ascii="Times New Roman" w:eastAsia="Calibri" w:hAnsi="Times New Roman" w:cs="Times New Roman"/>
          <w:sz w:val="26"/>
          <w:szCs w:val="26"/>
        </w:rPr>
        <w:t>terms</w:t>
      </w:r>
      <w:r w:rsidRPr="00C133C1">
        <w:rPr>
          <w:rFonts w:ascii="Times New Roman" w:eastAsia="Calibri" w:hAnsi="Times New Roman" w:cs="Times New Roman"/>
          <w:sz w:val="26"/>
          <w:szCs w:val="26"/>
        </w:rPr>
        <w:t xml:space="preserve"> load tripping at the required frequency set points.  Over time the </w:t>
      </w:r>
      <w:r w:rsidRPr="00C133C1">
        <w:rPr>
          <w:rFonts w:ascii="Times New Roman" w:eastAsia="Calibri" w:hAnsi="Times New Roman" w:cs="Times New Roman"/>
          <w:sz w:val="26"/>
          <w:szCs w:val="26"/>
        </w:rPr>
        <w:t xml:space="preserve">amount of load on will change and if not reviewed it may result in missing targeted values and cause frequency decline that would trip generation leading to widespread uncontrolled outages.  </w:t>
      </w:r>
    </w:p>
    <w:p w:rsidR="00C133C1" w:rsidRPr="00C133C1" w:rsidP="00C133C1" w14:paraId="4B0CD02F" w14:textId="77777777">
      <w:pPr>
        <w:spacing w:after="0" w:line="240" w:lineRule="auto"/>
        <w:rPr>
          <w:rFonts w:ascii="Times New Roman" w:eastAsia="Calibri" w:hAnsi="Times New Roman" w:cs="Times New Roman"/>
          <w:sz w:val="26"/>
          <w:szCs w:val="26"/>
        </w:rPr>
      </w:pPr>
    </w:p>
    <w:p w:rsidR="00C133C1" w:rsidRPr="00C133C1" w:rsidP="00C133C1" w14:paraId="459B7B6F" w14:textId="77777777">
      <w:pPr>
        <w:spacing w:after="0" w:line="240" w:lineRule="auto"/>
        <w:rPr>
          <w:rFonts w:ascii="Times New Roman" w:eastAsia="Calibri" w:hAnsi="Times New Roman" w:cs="Times New Roman"/>
          <w:sz w:val="26"/>
          <w:szCs w:val="26"/>
        </w:rPr>
      </w:pPr>
      <w:r w:rsidRPr="00C133C1">
        <w:rPr>
          <w:rFonts w:ascii="Times New Roman" w:eastAsia="Calibri" w:hAnsi="Times New Roman" w:cs="Times New Roman"/>
          <w:sz w:val="26"/>
          <w:szCs w:val="26"/>
        </w:rPr>
        <w:t>Each transmission owner, generator owner, and distribution provider</w:t>
      </w:r>
    </w:p>
    <w:p w:rsidR="00C133C1" w:rsidRPr="00C133C1" w:rsidP="00C133C1" w14:paraId="78DB1B6D" w14:textId="77777777">
      <w:pPr>
        <w:spacing w:after="0" w:line="240" w:lineRule="auto"/>
        <w:rPr>
          <w:rFonts w:ascii="Times New Roman" w:eastAsia="Calibri" w:hAnsi="Times New Roman" w:cs="Times New Roman"/>
          <w:sz w:val="26"/>
          <w:szCs w:val="26"/>
        </w:rPr>
      </w:pPr>
      <w:r w:rsidRPr="00C133C1">
        <w:rPr>
          <w:rFonts w:ascii="Times New Roman" w:eastAsia="Calibri" w:hAnsi="Times New Roman" w:cs="Times New Roman"/>
          <w:sz w:val="26"/>
          <w:szCs w:val="26"/>
        </w:rPr>
        <w:t>shall provide its planning coordinator, transmission operator, and reliability</w:t>
      </w:r>
    </w:p>
    <w:p w:rsidR="00C133C1" w:rsidRPr="00C133C1" w:rsidP="00C133C1" w14:paraId="08B81717" w14:textId="77777777">
      <w:pPr>
        <w:spacing w:after="0" w:line="240" w:lineRule="auto"/>
        <w:rPr>
          <w:rFonts w:ascii="Times New Roman" w:eastAsia="Calibri" w:hAnsi="Times New Roman" w:cs="Times New Roman"/>
          <w:sz w:val="26"/>
          <w:szCs w:val="26"/>
        </w:rPr>
      </w:pPr>
      <w:r w:rsidRPr="00C133C1">
        <w:rPr>
          <w:rFonts w:ascii="Times New Roman" w:eastAsia="Calibri" w:hAnsi="Times New Roman" w:cs="Times New Roman"/>
          <w:sz w:val="26"/>
          <w:szCs w:val="26"/>
        </w:rPr>
        <w:t xml:space="preserve">coordinator with an updated list of circuits associated with those transmission </w:t>
      </w:r>
      <w:r w:rsidRPr="00C133C1">
        <w:rPr>
          <w:rFonts w:ascii="Times New Roman" w:eastAsia="Calibri" w:hAnsi="Times New Roman" w:cs="Times New Roman"/>
          <w:sz w:val="26"/>
          <w:szCs w:val="26"/>
        </w:rPr>
        <w:t>line</w:t>
      </w:r>
    </w:p>
    <w:p w:rsidR="00C133C1" w:rsidRPr="00C133C1" w:rsidP="00C133C1" w14:paraId="433218D7" w14:textId="0C2D73B4">
      <w:pPr>
        <w:spacing w:after="0" w:line="240" w:lineRule="auto"/>
        <w:rPr>
          <w:rFonts w:ascii="Times New Roman" w:eastAsia="Calibri" w:hAnsi="Times New Roman" w:cs="Times New Roman"/>
          <w:sz w:val="26"/>
          <w:szCs w:val="26"/>
        </w:rPr>
      </w:pPr>
      <w:r w:rsidRPr="00C133C1">
        <w:rPr>
          <w:rFonts w:ascii="Times New Roman" w:eastAsia="Calibri" w:hAnsi="Times New Roman" w:cs="Times New Roman"/>
          <w:sz w:val="26"/>
          <w:szCs w:val="26"/>
        </w:rPr>
        <w:t xml:space="preserve">relays at least once each calendar year. </w:t>
      </w:r>
    </w:p>
    <w:p w:rsidR="00D20809" w14:paraId="65A0DDB2" w14:textId="3E129F5E">
      <w:pPr>
        <w:spacing w:after="0" w:line="240" w:lineRule="auto"/>
        <w:rPr>
          <w:rFonts w:ascii="Times New Roman" w:hAnsi="Times New Roman" w:cs="Times New Roman"/>
          <w:sz w:val="26"/>
          <w:szCs w:val="26"/>
        </w:rPr>
      </w:pPr>
      <w:r w:rsidRPr="011CD5C5">
        <w:rPr>
          <w:rFonts w:ascii="Times New Roman" w:hAnsi="Times New Roman" w:cs="Times New Roman"/>
          <w:sz w:val="26"/>
          <w:szCs w:val="26"/>
        </w:rPr>
        <w:t xml:space="preserve"> </w:t>
      </w:r>
    </w:p>
    <w:p w:rsidR="00D20809" w14:paraId="08852DE9"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EXPLAIN ANY SPECIAL CIRCUMSTANCES RELATING TO THE INFORMATION COLLECTION</w:t>
      </w:r>
    </w:p>
    <w:p w:rsidR="00D20809" w14:paraId="783EE955" w14:textId="77777777">
      <w:pPr>
        <w:spacing w:after="0" w:line="240" w:lineRule="auto"/>
        <w:rPr>
          <w:rFonts w:ascii="Times New Roman" w:hAnsi="Times New Roman" w:cs="Times New Roman"/>
          <w:sz w:val="26"/>
          <w:szCs w:val="26"/>
        </w:rPr>
      </w:pPr>
    </w:p>
    <w:p w:rsidR="00D20809" w14:paraId="208A49BB"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There are no special circumstances as described in 5 CFR 1320.5(d)(2).</w:t>
      </w:r>
    </w:p>
    <w:p w:rsidR="00D20809" w14:paraId="743B5B7B" w14:textId="77777777">
      <w:pPr>
        <w:spacing w:after="0" w:line="240" w:lineRule="auto"/>
        <w:rPr>
          <w:rFonts w:ascii="Times New Roman" w:hAnsi="Times New Roman" w:cs="Times New Roman"/>
          <w:sz w:val="26"/>
          <w:szCs w:val="26"/>
        </w:rPr>
      </w:pPr>
    </w:p>
    <w:p w:rsidR="00D20809" w14:paraId="243161A4"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DESCRIBE EFFORTS TO CONSULT OUTSIDE THE AGENCY: SUMMARIZE PUBLIC COMMENTS AND THE AGENCY’S RESPONSE TO THESE COMMENTS</w:t>
      </w:r>
    </w:p>
    <w:p w:rsidR="00D20809" w14:paraId="157B900C" w14:textId="77777777">
      <w:pPr>
        <w:spacing w:after="0" w:line="240" w:lineRule="auto"/>
        <w:rPr>
          <w:rFonts w:ascii="Times New Roman" w:hAnsi="Times New Roman" w:cs="Times New Roman"/>
          <w:sz w:val="26"/>
          <w:szCs w:val="26"/>
        </w:rPr>
      </w:pPr>
    </w:p>
    <w:p w:rsidR="00D20809" w14:paraId="4051CA11" w14:textId="3CE276D8">
      <w:pPr>
        <w:spacing w:after="0" w:line="240" w:lineRule="auto"/>
        <w:rPr>
          <w:rFonts w:ascii="Times New Roman" w:hAnsi="Times New Roman" w:cs="Times New Roman"/>
          <w:bCs/>
          <w:sz w:val="26"/>
          <w:szCs w:val="26"/>
        </w:rPr>
      </w:pPr>
      <w:r>
        <w:rPr>
          <w:rFonts w:ascii="Times New Roman" w:hAnsi="Times New Roman" w:cs="Times New Roman"/>
          <w:bCs/>
          <w:sz w:val="26"/>
          <w:szCs w:val="26"/>
        </w:rPr>
        <w:t xml:space="preserve">The ERO process to develop Reliability Standards is a collaborative process involving the ERO, Regional Entities and other stakeholders developing and reviewing drafts, and providing comments, </w:t>
      </w:r>
      <w:r w:rsidR="00D806D8">
        <w:rPr>
          <w:rFonts w:ascii="Times New Roman" w:hAnsi="Times New Roman" w:cs="Times New Roman"/>
          <w:bCs/>
          <w:sz w:val="26"/>
          <w:szCs w:val="26"/>
        </w:rPr>
        <w:t>vetting,</w:t>
      </w:r>
      <w:r>
        <w:rPr>
          <w:rFonts w:ascii="Times New Roman" w:hAnsi="Times New Roman" w:cs="Times New Roman"/>
          <w:bCs/>
          <w:sz w:val="26"/>
          <w:szCs w:val="26"/>
        </w:rPr>
        <w:t xml:space="preserve"> and voting (possibly multiple rounds) on the standards, with the </w:t>
      </w:r>
      <w:r>
        <w:rPr>
          <w:rFonts w:ascii="Times New Roman" w:hAnsi="Times New Roman" w:cs="Times New Roman"/>
          <w:bCs/>
          <w:sz w:val="26"/>
          <w:szCs w:val="26"/>
        </w:rPr>
        <w:t>final  standard</w:t>
      </w:r>
      <w:r>
        <w:rPr>
          <w:rFonts w:ascii="Times New Roman" w:hAnsi="Times New Roman" w:cs="Times New Roman"/>
          <w:bCs/>
          <w:sz w:val="26"/>
          <w:szCs w:val="26"/>
        </w:rPr>
        <w:t xml:space="preserve"> submitted to the FERC for review and approval. </w:t>
      </w:r>
    </w:p>
    <w:p w:rsidR="00D20809" w14:paraId="1CC1C060" w14:textId="77777777">
      <w:pPr>
        <w:spacing w:after="0" w:line="240" w:lineRule="auto"/>
        <w:rPr>
          <w:rFonts w:ascii="Times New Roman" w:hAnsi="Times New Roman" w:cs="Times New Roman"/>
          <w:bCs/>
          <w:sz w:val="26"/>
          <w:szCs w:val="26"/>
        </w:rPr>
      </w:pPr>
    </w:p>
    <w:p w:rsidR="00C133C1" w:rsidP="00C133C1" w14:paraId="12C8FCBC" w14:textId="77777777">
      <w:pPr>
        <w:autoSpaceDE w:val="0"/>
        <w:autoSpaceDN w:val="0"/>
        <w:adjustRightInd w:val="0"/>
        <w:spacing w:after="0" w:line="240" w:lineRule="auto"/>
        <w:rPr>
          <w:rFonts w:ascii="Times New Roman" w:eastAsia="Times New Roman" w:hAnsi="Times New Roman" w:cs="Times New Roman"/>
          <w:sz w:val="24"/>
          <w:szCs w:val="24"/>
        </w:rPr>
      </w:pPr>
    </w:p>
    <w:p w:rsidR="009E27C3" w:rsidRPr="00C133C1" w:rsidP="00C133C1" w14:paraId="640DC8E9" w14:textId="14E7D85F">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RD25-10 Order Published on 12/22/2025</w:t>
      </w:r>
      <w:r w:rsidR="00C374BE">
        <w:rPr>
          <w:rFonts w:ascii="Times New Roman" w:eastAsia="Times New Roman" w:hAnsi="Times New Roman" w:cs="Times New Roman"/>
          <w:sz w:val="24"/>
          <w:szCs w:val="24"/>
        </w:rPr>
        <w:t xml:space="preserve">, </w:t>
      </w:r>
    </w:p>
    <w:p w:rsidR="00C133C1" w:rsidRPr="00C133C1" w:rsidP="00C133C1" w14:paraId="4394810D" w14:textId="77777777">
      <w:pPr>
        <w:autoSpaceDE w:val="0"/>
        <w:autoSpaceDN w:val="0"/>
        <w:adjustRightInd w:val="0"/>
        <w:spacing w:after="0" w:line="240" w:lineRule="auto"/>
        <w:rPr>
          <w:rFonts w:ascii="Times New Roman" w:eastAsia="Times New Roman" w:hAnsi="Times New Roman" w:cs="Times New Roman"/>
          <w:sz w:val="26"/>
          <w:szCs w:val="26"/>
        </w:rPr>
      </w:pPr>
      <w:r w:rsidRPr="00C133C1">
        <w:rPr>
          <w:rFonts w:ascii="Times New Roman" w:eastAsia="Times New Roman" w:hAnsi="Times New Roman" w:cs="Times New Roman"/>
          <w:sz w:val="24"/>
          <w:szCs w:val="24"/>
        </w:rPr>
        <w:t>In addition, the Commission is publishing a 30-day Notice in the Federal Register</w:t>
      </w:r>
      <w:r>
        <w:rPr>
          <w:rFonts w:ascii="Times New Roman" w:eastAsia="Times New Roman" w:hAnsi="Times New Roman" w:cs="Times New Roman"/>
          <w:b/>
          <w:sz w:val="26"/>
          <w:szCs w:val="26"/>
          <w:vertAlign w:val="superscript"/>
        </w:rPr>
        <w:footnoteReference w:id="15"/>
      </w:r>
      <w:r w:rsidRPr="00C133C1">
        <w:rPr>
          <w:rFonts w:ascii="Times New Roman" w:eastAsia="Times New Roman" w:hAnsi="Times New Roman" w:cs="Times New Roman"/>
          <w:sz w:val="26"/>
          <w:szCs w:val="26"/>
        </w:rPr>
        <w:t>.</w:t>
      </w:r>
    </w:p>
    <w:p w:rsidR="00954446" w:rsidRPr="00BD6FC6" w14:paraId="652F412F" w14:textId="77777777">
      <w:pPr>
        <w:spacing w:after="0" w:line="240" w:lineRule="auto"/>
        <w:rPr>
          <w:rFonts w:ascii="Times New Roman" w:hAnsi="Times New Roman" w:cs="Times New Roman"/>
          <w:sz w:val="26"/>
          <w:szCs w:val="26"/>
        </w:rPr>
      </w:pPr>
    </w:p>
    <w:p w:rsidR="00D20809" w14:paraId="7D1240E1"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EXPLAIN ANY PAYMENT OR GIFTS TO RESPONDENTS</w:t>
      </w:r>
    </w:p>
    <w:p w:rsidR="00D20809" w14:paraId="404FEB94" w14:textId="77777777">
      <w:pPr>
        <w:spacing w:after="0" w:line="240" w:lineRule="auto"/>
        <w:rPr>
          <w:rFonts w:ascii="Times New Roman" w:hAnsi="Times New Roman" w:cs="Times New Roman"/>
          <w:sz w:val="26"/>
          <w:szCs w:val="26"/>
        </w:rPr>
      </w:pPr>
    </w:p>
    <w:p w:rsidR="00D20809" w14:paraId="550D5FB6"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The Commission does not make payments or provide gifts for respondents related to these collections.</w:t>
      </w:r>
    </w:p>
    <w:p w:rsidR="00D20809" w14:paraId="7D1DA5E0" w14:textId="77777777">
      <w:pPr>
        <w:spacing w:after="0" w:line="240" w:lineRule="auto"/>
        <w:rPr>
          <w:rFonts w:ascii="Times New Roman" w:hAnsi="Times New Roman" w:cs="Times New Roman"/>
          <w:sz w:val="26"/>
          <w:szCs w:val="26"/>
        </w:rPr>
      </w:pPr>
    </w:p>
    <w:p w:rsidR="00D20809" w14:paraId="75717DA1"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DESCRIBE ANY ASSURANCE OF CONFIDENTIALITY PROVIDED TO RESPONDENTS</w:t>
      </w:r>
    </w:p>
    <w:p w:rsidR="00D20809" w14:paraId="1DED820D" w14:textId="77777777">
      <w:pPr>
        <w:spacing w:after="0" w:line="240" w:lineRule="auto"/>
        <w:rPr>
          <w:rFonts w:ascii="Times New Roman" w:hAnsi="Times New Roman" w:cs="Times New Roman"/>
          <w:sz w:val="26"/>
          <w:szCs w:val="26"/>
        </w:rPr>
      </w:pPr>
    </w:p>
    <w:p w:rsidR="00D20809" w14:paraId="3BA2EA3D" w14:textId="582FD678">
      <w:pPr>
        <w:spacing w:after="0" w:line="240" w:lineRule="auto"/>
        <w:rPr>
          <w:rFonts w:ascii="Times New Roman" w:hAnsi="Times New Roman" w:cs="Times New Roman"/>
          <w:sz w:val="26"/>
          <w:szCs w:val="26"/>
        </w:rPr>
      </w:pPr>
      <w:r>
        <w:rPr>
          <w:rFonts w:ascii="Times New Roman" w:hAnsi="Times New Roman" w:cs="Times New Roman"/>
          <w:sz w:val="26"/>
          <w:szCs w:val="26"/>
        </w:rPr>
        <w:t>According to the NERC Rules of Procedure, “…a Receiving Entity shall keep in confidence and not copy, disclose, or distribute any Confidential Information or any part thereof without the permission of the Submitting Entity, except as otherwise legally required.”  This serves to protect confidential information submitted to NERC or Regional Entities.</w:t>
      </w:r>
    </w:p>
    <w:p w:rsidR="00D20809" w14:paraId="740104DE" w14:textId="77777777">
      <w:pPr>
        <w:spacing w:after="0" w:line="240" w:lineRule="auto"/>
        <w:rPr>
          <w:rFonts w:ascii="Times New Roman" w:hAnsi="Times New Roman" w:cs="Times New Roman"/>
          <w:sz w:val="26"/>
          <w:szCs w:val="26"/>
        </w:rPr>
      </w:pPr>
    </w:p>
    <w:p w:rsidR="00D20809" w14:paraId="6624A943"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Responding entities do not submit the information collected for Reliability Standards to FERC.  Rather, they submit the information to NERC, the regional entities, or maintain it internally.  Since there are no submissions made to FERC, FERC provides no specific provisions </w:t>
      </w:r>
      <w:r>
        <w:rPr>
          <w:rFonts w:ascii="Times New Roman" w:hAnsi="Times New Roman" w:cs="Times New Roman"/>
          <w:sz w:val="26"/>
          <w:szCs w:val="26"/>
        </w:rPr>
        <w:t>in order to</w:t>
      </w:r>
      <w:r>
        <w:rPr>
          <w:rFonts w:ascii="Times New Roman" w:hAnsi="Times New Roman" w:cs="Times New Roman"/>
          <w:sz w:val="26"/>
          <w:szCs w:val="26"/>
        </w:rPr>
        <w:t xml:space="preserve"> protect confidentiality.</w:t>
      </w:r>
    </w:p>
    <w:p w:rsidR="00D20809" w14:paraId="277E6FD8" w14:textId="77777777">
      <w:pPr>
        <w:spacing w:after="0" w:line="240" w:lineRule="auto"/>
        <w:rPr>
          <w:rFonts w:ascii="Times New Roman" w:hAnsi="Times New Roman" w:cs="Times New Roman"/>
          <w:sz w:val="26"/>
          <w:szCs w:val="26"/>
        </w:rPr>
      </w:pPr>
    </w:p>
    <w:p w:rsidR="00D20809" w14:paraId="389578A7" w14:textId="77777777">
      <w:pPr>
        <w:numPr>
          <w:ilvl w:val="0"/>
          <w:numId w:val="2"/>
        </w:numPr>
        <w:spacing w:after="0" w:line="240" w:lineRule="auto"/>
        <w:rPr>
          <w:rFonts w:ascii="Times New Roman" w:hAnsi="Times New Roman" w:cs="Times New Roman"/>
          <w:b/>
          <w:bCs/>
          <w:sz w:val="26"/>
          <w:szCs w:val="26"/>
        </w:rPr>
      </w:pPr>
      <w:r>
        <w:rPr>
          <w:rFonts w:ascii="Times New Roman" w:hAnsi="Times New Roman" w:cs="Times New Roman"/>
          <w:b/>
          <w:bCs/>
          <w:sz w:val="26"/>
          <w:szCs w:val="26"/>
        </w:rPr>
        <w:t>PROVIDE ADDITIONAL JUSTIFICATION FOR ANY QUESTIONS OF A SENSITIVE NATURE, SUCH AS SEXUAL BEHAVIOR AND ATTITUDES, RELIGIOUS BELIEFS, AND OTHER MATTERS THAT ARE COMMONLY CONSIDERED PRIVATE.</w:t>
      </w:r>
    </w:p>
    <w:p w:rsidR="00D20809" w14:paraId="59426792" w14:textId="77777777">
      <w:pPr>
        <w:spacing w:after="0" w:line="240" w:lineRule="auto"/>
        <w:rPr>
          <w:rFonts w:ascii="Times New Roman" w:hAnsi="Times New Roman" w:cs="Times New Roman"/>
          <w:b/>
          <w:bCs/>
          <w:sz w:val="26"/>
          <w:szCs w:val="26"/>
        </w:rPr>
      </w:pPr>
    </w:p>
    <w:p w:rsidR="00D20809" w14:paraId="638C4220"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This collection does not contain any questions of a sensitive nature.  </w:t>
      </w:r>
    </w:p>
    <w:p w:rsidR="00D20809" w14:paraId="16D1A9A8" w14:textId="77777777">
      <w:pPr>
        <w:spacing w:after="0" w:line="240" w:lineRule="auto"/>
        <w:rPr>
          <w:rFonts w:ascii="Times New Roman" w:hAnsi="Times New Roman" w:cs="Times New Roman"/>
          <w:sz w:val="26"/>
          <w:szCs w:val="26"/>
        </w:rPr>
      </w:pPr>
    </w:p>
    <w:p w:rsidR="00D20809" w14:paraId="04665851" w14:textId="252434BC">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ESTIMATED BURDEN OF COLLECTION OF INFORMATION</w:t>
      </w:r>
    </w:p>
    <w:p w:rsidR="009B66B9" w:rsidP="009B66B9" w14:paraId="7907D048" w14:textId="16195C5A">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Final Rule </w:t>
      </w:r>
      <w:r w:rsidR="00321A7E">
        <w:rPr>
          <w:rFonts w:ascii="Times New Roman" w:hAnsi="Times New Roman" w:cs="Times New Roman"/>
          <w:b/>
          <w:sz w:val="26"/>
          <w:szCs w:val="26"/>
        </w:rPr>
        <w:t>RM</w:t>
      </w:r>
      <w:r>
        <w:rPr>
          <w:rFonts w:ascii="Times New Roman" w:hAnsi="Times New Roman" w:cs="Times New Roman"/>
          <w:b/>
          <w:sz w:val="26"/>
          <w:szCs w:val="26"/>
        </w:rPr>
        <w:t>25-</w:t>
      </w:r>
      <w:r w:rsidR="00F7003F">
        <w:rPr>
          <w:rFonts w:ascii="Times New Roman" w:hAnsi="Times New Roman" w:cs="Times New Roman"/>
          <w:b/>
          <w:sz w:val="26"/>
          <w:szCs w:val="26"/>
        </w:rPr>
        <w:t>10</w:t>
      </w:r>
    </w:p>
    <w:p w:rsidR="009B66B9" w:rsidP="000B09AE" w14:paraId="42CAA515" w14:textId="2974F18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9B66B9">
        <w:rPr>
          <w:rFonts w:ascii="Times New Roman" w:eastAsia="Times New Roman" w:hAnsi="Times New Roman" w:cs="Times New Roman"/>
          <w:sz w:val="26"/>
          <w:szCs w:val="26"/>
        </w:rPr>
        <w:t>The Commission’s request</w:t>
      </w:r>
      <w:r w:rsidR="00434304">
        <w:rPr>
          <w:rFonts w:ascii="Times New Roman" w:eastAsia="Times New Roman" w:hAnsi="Times New Roman" w:cs="Times New Roman"/>
          <w:sz w:val="26"/>
          <w:szCs w:val="26"/>
        </w:rPr>
        <w:t>s</w:t>
      </w:r>
      <w:r w:rsidRPr="009B66B9">
        <w:rPr>
          <w:rFonts w:ascii="Times New Roman" w:eastAsia="Times New Roman" w:hAnsi="Times New Roman" w:cs="Times New Roman"/>
          <w:sz w:val="26"/>
          <w:szCs w:val="26"/>
        </w:rPr>
        <w:t xml:space="preserve"> to OMB will reflect the following:</w:t>
      </w:r>
    </w:p>
    <w:p w:rsidR="00434304" w:rsidP="000B09AE" w14:paraId="778BBE95"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p w:rsidR="006D368D" w:rsidP="000B09AE" w14:paraId="72DD7BD7" w14:textId="71E97F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434304">
        <w:rPr>
          <w:rFonts w:ascii="Times New Roman" w:eastAsia="Times New Roman" w:hAnsi="Times New Roman" w:cs="Times New Roman"/>
          <w:sz w:val="26"/>
          <w:szCs w:val="26"/>
        </w:rPr>
        <w:t xml:space="preserve">Reliability Standards largely consist of sharing and communicating readily available data and information for category 2 resources.  Thus, Commission staff </w:t>
      </w:r>
      <w:r w:rsidRPr="00434304">
        <w:rPr>
          <w:rFonts w:ascii="Times New Roman" w:eastAsia="Times New Roman" w:hAnsi="Times New Roman" w:cs="Times New Roman"/>
          <w:sz w:val="26"/>
          <w:szCs w:val="26"/>
        </w:rPr>
        <w:t>anticipates</w:t>
      </w:r>
      <w:r w:rsidRPr="00434304">
        <w:rPr>
          <w:rFonts w:ascii="Times New Roman" w:eastAsia="Times New Roman" w:hAnsi="Times New Roman" w:cs="Times New Roman"/>
          <w:sz w:val="26"/>
          <w:szCs w:val="26"/>
        </w:rPr>
        <w:t xml:space="preserve"> that the paperwork burden should be minimal for category 2 resources.  The number of respondents, in the tables below, are based on good faith estimates provided by NERC, in August 2025, to Commission staff for the number of entities that either own or operate category 2 resources</w:t>
      </w:r>
    </w:p>
    <w:p w:rsidR="006D368D" w:rsidP="000B09AE" w14:paraId="302749F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5469DF91" w14:textId="77777777" w:rsidTr="006D5CC5">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5E07CC" w:rsidRPr="005E07CC" w:rsidP="005E07CC" w14:paraId="61960C7C"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FERC-725G: Mandatory Reliability Standard for the PRC</w:t>
            </w:r>
          </w:p>
        </w:tc>
      </w:tr>
      <w:tr w14:paraId="44F2FA84" w14:textId="77777777" w:rsidTr="006D5CC5">
        <w:tblPrEx>
          <w:tblW w:w="5426" w:type="pct"/>
          <w:tblInd w:w="-72" w:type="dxa"/>
          <w:tblLayout w:type="fixed"/>
          <w:tblLook w:val="01E0"/>
        </w:tblPrEx>
        <w:trPr>
          <w:cantSplit/>
        </w:trPr>
        <w:tc>
          <w:tcPr>
            <w:tcW w:w="653" w:type="pct"/>
            <w:shd w:val="clear" w:color="auto" w:fill="D9D9D9" w:themeFill="background1" w:themeFillShade="D9"/>
          </w:tcPr>
          <w:p w:rsidR="005E07CC" w:rsidRPr="005E07CC" w:rsidP="005E07CC" w14:paraId="7CB2947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 xml:space="preserve"> </w:t>
            </w:r>
          </w:p>
        </w:tc>
        <w:tc>
          <w:tcPr>
            <w:tcW w:w="977" w:type="pct"/>
            <w:shd w:val="clear" w:color="auto" w:fill="D9D9D9" w:themeFill="background1" w:themeFillShade="D9"/>
            <w:vAlign w:val="bottom"/>
          </w:tcPr>
          <w:p w:rsidR="005E07CC" w:rsidRPr="005E07CC" w:rsidP="005E07CC" w14:paraId="69F599E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Number of Respondents</w:t>
            </w:r>
            <w:r>
              <w:rPr>
                <w:rFonts w:ascii="Times New Roman" w:eastAsia="Times New Roman" w:hAnsi="Times New Roman" w:cs="Times New Roman"/>
                <w:sz w:val="26"/>
                <w:szCs w:val="26"/>
                <w:vertAlign w:val="superscript"/>
              </w:rPr>
              <w:footnoteReference w:id="16"/>
            </w:r>
            <w:r w:rsidRPr="005E07CC">
              <w:rPr>
                <w:rFonts w:ascii="Times New Roman" w:eastAsia="Times New Roman" w:hAnsi="Times New Roman" w:cs="Times New Roman"/>
                <w:b/>
                <w:sz w:val="26"/>
                <w:szCs w:val="26"/>
              </w:rPr>
              <w:t xml:space="preserve"> </w:t>
            </w:r>
            <w:r w:rsidRPr="005E07CC">
              <w:rPr>
                <w:rFonts w:ascii="Times New Roman" w:eastAsia="Times New Roman" w:hAnsi="Times New Roman" w:cs="Times New Roman"/>
                <w:b/>
                <w:sz w:val="26"/>
                <w:szCs w:val="26"/>
              </w:rPr>
              <w:br/>
              <w:t>(1)</w:t>
            </w:r>
          </w:p>
        </w:tc>
        <w:tc>
          <w:tcPr>
            <w:tcW w:w="545" w:type="pct"/>
            <w:shd w:val="clear" w:color="auto" w:fill="D9D9D9" w:themeFill="background1" w:themeFillShade="D9"/>
            <w:vAlign w:val="bottom"/>
          </w:tcPr>
          <w:p w:rsidR="005E07CC" w:rsidRPr="005E07CC" w:rsidP="005E07CC" w14:paraId="0E1F0213"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Annual Number of Responses per Respondent</w:t>
            </w:r>
          </w:p>
          <w:p w:rsidR="005E07CC" w:rsidRPr="005E07CC" w:rsidP="005E07CC" w14:paraId="569F58BC"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(2)</w:t>
            </w:r>
          </w:p>
        </w:tc>
        <w:tc>
          <w:tcPr>
            <w:tcW w:w="696" w:type="pct"/>
            <w:shd w:val="clear" w:color="auto" w:fill="D9D9D9" w:themeFill="background1" w:themeFillShade="D9"/>
            <w:vAlign w:val="bottom"/>
          </w:tcPr>
          <w:p w:rsidR="005E07CC" w:rsidRPr="005E07CC" w:rsidP="005E07CC" w14:paraId="3A1C093A"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Total Number of Responses (</w:t>
            </w:r>
            <w:r w:rsidRPr="005E07CC">
              <w:rPr>
                <w:rFonts w:ascii="Times New Roman" w:eastAsia="Times New Roman" w:hAnsi="Times New Roman" w:cs="Times New Roman"/>
                <w:b/>
                <w:sz w:val="26"/>
                <w:szCs w:val="26"/>
              </w:rPr>
              <w:t>1)*</w:t>
            </w:r>
            <w:r w:rsidRPr="005E07CC">
              <w:rPr>
                <w:rFonts w:ascii="Times New Roman" w:eastAsia="Times New Roman" w:hAnsi="Times New Roman" w:cs="Times New Roman"/>
                <w:b/>
                <w:sz w:val="26"/>
                <w:szCs w:val="26"/>
              </w:rPr>
              <w:t>(</w:t>
            </w:r>
            <w:r w:rsidRPr="005E07CC">
              <w:rPr>
                <w:rFonts w:ascii="Times New Roman" w:eastAsia="Times New Roman" w:hAnsi="Times New Roman" w:cs="Times New Roman"/>
                <w:b/>
                <w:sz w:val="26"/>
                <w:szCs w:val="26"/>
              </w:rPr>
              <w:t>2)=</w:t>
            </w:r>
            <w:r w:rsidRPr="005E07CC">
              <w:rPr>
                <w:rFonts w:ascii="Times New Roman" w:eastAsia="Times New Roman" w:hAnsi="Times New Roman" w:cs="Times New Roman"/>
                <w:b/>
                <w:sz w:val="26"/>
                <w:szCs w:val="26"/>
              </w:rPr>
              <w:t>(3)</w:t>
            </w:r>
          </w:p>
        </w:tc>
        <w:tc>
          <w:tcPr>
            <w:tcW w:w="666" w:type="pct"/>
            <w:shd w:val="clear" w:color="auto" w:fill="D9D9D9" w:themeFill="background1" w:themeFillShade="D9"/>
            <w:vAlign w:val="bottom"/>
          </w:tcPr>
          <w:p w:rsidR="005E07CC" w:rsidRPr="005E07CC" w:rsidP="005E07CC" w14:paraId="609AC33F"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Average Burden &amp; Cost Per Response</w:t>
            </w:r>
            <w:r>
              <w:rPr>
                <w:rFonts w:ascii="Times New Roman" w:eastAsia="Times New Roman" w:hAnsi="Times New Roman" w:cs="Times New Roman"/>
                <w:sz w:val="26"/>
                <w:szCs w:val="26"/>
                <w:vertAlign w:val="superscript"/>
              </w:rPr>
              <w:footnoteReference w:id="17"/>
            </w:r>
          </w:p>
          <w:p w:rsidR="005E07CC" w:rsidRPr="005E07CC" w:rsidP="005E07CC" w14:paraId="2C41252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(4)</w:t>
            </w:r>
          </w:p>
        </w:tc>
        <w:tc>
          <w:tcPr>
            <w:tcW w:w="753" w:type="pct"/>
            <w:shd w:val="clear" w:color="auto" w:fill="D9D9D9" w:themeFill="background1" w:themeFillShade="D9"/>
            <w:vAlign w:val="bottom"/>
          </w:tcPr>
          <w:p w:rsidR="005E07CC" w:rsidRPr="005E07CC" w:rsidP="005E07CC" w14:paraId="5A3BE84B"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Total Annual Burden Hours &amp; Total Annual Cost</w:t>
            </w:r>
          </w:p>
          <w:p w:rsidR="005E07CC" w:rsidRPr="005E07CC" w:rsidP="005E07CC" w14:paraId="474B60E2"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w:t>
            </w:r>
            <w:r w:rsidRPr="005E07CC">
              <w:rPr>
                <w:rFonts w:ascii="Times New Roman" w:eastAsia="Times New Roman" w:hAnsi="Times New Roman" w:cs="Times New Roman"/>
                <w:b/>
                <w:sz w:val="26"/>
                <w:szCs w:val="26"/>
              </w:rPr>
              <w:t>3)*</w:t>
            </w:r>
            <w:r w:rsidRPr="005E07CC">
              <w:rPr>
                <w:rFonts w:ascii="Times New Roman" w:eastAsia="Times New Roman" w:hAnsi="Times New Roman" w:cs="Times New Roman"/>
                <w:b/>
                <w:sz w:val="26"/>
                <w:szCs w:val="26"/>
              </w:rPr>
              <w:t>(</w:t>
            </w:r>
            <w:r w:rsidRPr="005E07CC">
              <w:rPr>
                <w:rFonts w:ascii="Times New Roman" w:eastAsia="Times New Roman" w:hAnsi="Times New Roman" w:cs="Times New Roman"/>
                <w:b/>
                <w:sz w:val="26"/>
                <w:szCs w:val="26"/>
              </w:rPr>
              <w:t>4)=</w:t>
            </w:r>
            <w:r w:rsidRPr="005E07CC">
              <w:rPr>
                <w:rFonts w:ascii="Times New Roman" w:eastAsia="Times New Roman" w:hAnsi="Times New Roman" w:cs="Times New Roman"/>
                <w:b/>
                <w:sz w:val="26"/>
                <w:szCs w:val="26"/>
              </w:rPr>
              <w:t>(5)</w:t>
            </w:r>
          </w:p>
        </w:tc>
        <w:tc>
          <w:tcPr>
            <w:tcW w:w="710" w:type="pct"/>
            <w:shd w:val="clear" w:color="auto" w:fill="D9D9D9" w:themeFill="background1" w:themeFillShade="D9"/>
            <w:vAlign w:val="bottom"/>
          </w:tcPr>
          <w:p w:rsidR="005E07CC" w:rsidRPr="005E07CC" w:rsidP="005E07CC" w14:paraId="31D09D9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Cost per Respondent</w:t>
            </w:r>
          </w:p>
          <w:p w:rsidR="005E07CC" w:rsidRPr="005E07CC" w:rsidP="005E07CC" w14:paraId="2B396086"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 xml:space="preserve"> ($)</w:t>
            </w:r>
          </w:p>
          <w:p w:rsidR="005E07CC" w:rsidRPr="005E07CC" w:rsidP="005E07CC" w14:paraId="5338CBE5"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w:t>
            </w:r>
            <w:r w:rsidRPr="005E07CC">
              <w:rPr>
                <w:rFonts w:ascii="Times New Roman" w:eastAsia="Times New Roman" w:hAnsi="Times New Roman" w:cs="Times New Roman"/>
                <w:b/>
                <w:sz w:val="26"/>
                <w:szCs w:val="26"/>
              </w:rPr>
              <w:t>5)÷</w:t>
            </w:r>
            <w:r w:rsidRPr="005E07CC">
              <w:rPr>
                <w:rFonts w:ascii="Times New Roman" w:eastAsia="Times New Roman" w:hAnsi="Times New Roman" w:cs="Times New Roman"/>
                <w:b/>
                <w:sz w:val="26"/>
                <w:szCs w:val="26"/>
              </w:rPr>
              <w:t>(1)</w:t>
            </w:r>
          </w:p>
        </w:tc>
      </w:tr>
      <w:tr w14:paraId="0D0B1D1E" w14:textId="77777777" w:rsidTr="006D5CC5">
        <w:tblPrEx>
          <w:tblW w:w="5426" w:type="pct"/>
          <w:tblInd w:w="-72" w:type="dxa"/>
          <w:tblLayout w:type="fixed"/>
          <w:tblLook w:val="01E0"/>
        </w:tblPrEx>
        <w:trPr>
          <w:cantSplit/>
        </w:trPr>
        <w:tc>
          <w:tcPr>
            <w:tcW w:w="653" w:type="pct"/>
          </w:tcPr>
          <w:p w:rsidR="005E07CC" w:rsidRPr="005E07CC" w:rsidP="005E07CC" w14:paraId="38816A21"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PRC-012-2 Annual Review and Record Retention</w:t>
            </w:r>
          </w:p>
        </w:tc>
        <w:tc>
          <w:tcPr>
            <w:tcW w:w="977" w:type="pct"/>
          </w:tcPr>
          <w:p w:rsidR="005E07CC" w:rsidRPr="005E07CC" w:rsidP="005E07CC" w14:paraId="57D1351A"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491</w:t>
            </w:r>
          </w:p>
          <w:p w:rsidR="005E07CC" w:rsidRPr="005E07CC" w:rsidP="005E07CC" w14:paraId="0FEEFA5E"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 xml:space="preserve"> (GO)</w:t>
            </w:r>
          </w:p>
          <w:p w:rsidR="005E07CC" w:rsidRPr="005E07CC" w:rsidP="005E07CC" w14:paraId="5E07AC6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545" w:type="pct"/>
          </w:tcPr>
          <w:p w:rsidR="005E07CC" w:rsidRPr="005E07CC" w:rsidP="005E07CC" w14:paraId="676DFDD3"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1</w:t>
            </w:r>
          </w:p>
        </w:tc>
        <w:tc>
          <w:tcPr>
            <w:tcW w:w="696" w:type="pct"/>
          </w:tcPr>
          <w:p w:rsidR="005E07CC" w:rsidRPr="005E07CC" w:rsidP="005E07CC" w14:paraId="01AF8503"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491</w:t>
            </w:r>
          </w:p>
          <w:p w:rsidR="005E07CC" w:rsidRPr="005E07CC" w:rsidP="005E07CC" w14:paraId="458E7325"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666" w:type="pct"/>
          </w:tcPr>
          <w:p w:rsidR="005E07CC" w:rsidRPr="005E07CC" w:rsidP="005E07CC" w14:paraId="04E42EFC"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40 hrs.</w:t>
            </w:r>
          </w:p>
          <w:p w:rsidR="005E07CC" w:rsidRPr="005E07CC" w:rsidP="005E07CC" w14:paraId="40EB2A2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$2,540.80</w:t>
            </w:r>
          </w:p>
        </w:tc>
        <w:tc>
          <w:tcPr>
            <w:tcW w:w="753" w:type="pct"/>
          </w:tcPr>
          <w:p w:rsidR="005E07CC" w:rsidRPr="005E07CC" w:rsidP="005E07CC" w14:paraId="18BDD5C5"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19,640 hrs.</w:t>
            </w:r>
          </w:p>
          <w:p w:rsidR="005E07CC" w:rsidRPr="005E07CC" w:rsidP="005E07CC" w14:paraId="45BE9CB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 xml:space="preserve">$1,247,532.80 </w:t>
            </w:r>
          </w:p>
        </w:tc>
        <w:tc>
          <w:tcPr>
            <w:tcW w:w="710" w:type="pct"/>
          </w:tcPr>
          <w:p w:rsidR="005E07CC" w:rsidRPr="005E07CC" w:rsidP="005E07CC" w14:paraId="3C8FE503"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$2,540.80</w:t>
            </w:r>
          </w:p>
          <w:p w:rsidR="005E07CC" w:rsidRPr="005E07CC" w:rsidP="005E07CC" w14:paraId="77518292"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r>
      <w:tr w14:paraId="7408CD94" w14:textId="77777777" w:rsidTr="006D5CC5">
        <w:tblPrEx>
          <w:tblW w:w="5426" w:type="pct"/>
          <w:tblInd w:w="-72" w:type="dxa"/>
          <w:tblLayout w:type="fixed"/>
          <w:tblLook w:val="01E0"/>
        </w:tblPrEx>
        <w:trPr>
          <w:cantSplit/>
        </w:trPr>
        <w:tc>
          <w:tcPr>
            <w:tcW w:w="653" w:type="pct"/>
            <w:shd w:val="clear" w:color="auto" w:fill="D9D9D9" w:themeFill="background1" w:themeFillShade="D9"/>
          </w:tcPr>
          <w:p w:rsidR="005E07CC" w:rsidRPr="005E07CC" w:rsidP="005E07CC" w14:paraId="7E68C7F5"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977" w:type="pct"/>
            <w:shd w:val="clear" w:color="auto" w:fill="D9D9D9" w:themeFill="background1" w:themeFillShade="D9"/>
          </w:tcPr>
          <w:p w:rsidR="005E07CC" w:rsidRPr="005E07CC" w:rsidP="005E07CC" w14:paraId="14CC0DD3"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545" w:type="pct"/>
            <w:shd w:val="clear" w:color="auto" w:fill="D9D9D9" w:themeFill="background1" w:themeFillShade="D9"/>
          </w:tcPr>
          <w:p w:rsidR="005E07CC" w:rsidRPr="005E07CC" w:rsidP="005E07CC" w14:paraId="733B0907"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696" w:type="pct"/>
            <w:shd w:val="clear" w:color="auto" w:fill="D9D9D9" w:themeFill="background1" w:themeFillShade="D9"/>
          </w:tcPr>
          <w:p w:rsidR="005E07CC" w:rsidRPr="005E07CC" w:rsidP="005E07CC" w14:paraId="3AD6464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666" w:type="pct"/>
            <w:shd w:val="clear" w:color="auto" w:fill="D9D9D9" w:themeFill="background1" w:themeFillShade="D9"/>
          </w:tcPr>
          <w:p w:rsidR="005E07CC" w:rsidRPr="005E07CC" w:rsidP="005E07CC" w14:paraId="495311FF"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753" w:type="pct"/>
            <w:shd w:val="clear" w:color="auto" w:fill="D9D9D9" w:themeFill="background1" w:themeFillShade="D9"/>
          </w:tcPr>
          <w:p w:rsidR="005E07CC" w:rsidRPr="005E07CC" w:rsidP="005E07CC" w14:paraId="12E6355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710" w:type="pct"/>
            <w:shd w:val="clear" w:color="auto" w:fill="D9D9D9" w:themeFill="background1" w:themeFillShade="D9"/>
          </w:tcPr>
          <w:p w:rsidR="005E07CC" w:rsidRPr="005E07CC" w:rsidP="005E07CC" w14:paraId="2497F117"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r>
      <w:tr w14:paraId="27F57BF9" w14:textId="77777777" w:rsidTr="006D5CC5">
        <w:tblPrEx>
          <w:tblW w:w="5426" w:type="pct"/>
          <w:tblInd w:w="-72" w:type="dxa"/>
          <w:tblLayout w:type="fixed"/>
          <w:tblLook w:val="01E0"/>
        </w:tblPrEx>
        <w:trPr>
          <w:cantSplit/>
        </w:trPr>
        <w:tc>
          <w:tcPr>
            <w:tcW w:w="653" w:type="pct"/>
          </w:tcPr>
          <w:p w:rsidR="005E07CC" w:rsidRPr="005E07CC" w:rsidP="005E07CC" w14:paraId="10C398E2"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PRC-017-1 Annual Review and Record Retention</w:t>
            </w:r>
          </w:p>
        </w:tc>
        <w:tc>
          <w:tcPr>
            <w:tcW w:w="977" w:type="pct"/>
          </w:tcPr>
          <w:p w:rsidR="005E07CC" w:rsidRPr="005E07CC" w:rsidP="005E07CC" w14:paraId="3ACCE228"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491</w:t>
            </w:r>
          </w:p>
          <w:p w:rsidR="005E07CC" w:rsidRPr="005E07CC" w:rsidP="005E07CC" w14:paraId="610CDA04"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 xml:space="preserve"> (GO)</w:t>
            </w:r>
          </w:p>
          <w:p w:rsidR="005E07CC" w:rsidRPr="005E07CC" w:rsidP="005E07CC" w14:paraId="4514C237"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545" w:type="pct"/>
          </w:tcPr>
          <w:p w:rsidR="005E07CC" w:rsidRPr="005E07CC" w:rsidP="005E07CC" w14:paraId="486B8DFF"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1</w:t>
            </w:r>
          </w:p>
        </w:tc>
        <w:tc>
          <w:tcPr>
            <w:tcW w:w="696" w:type="pct"/>
          </w:tcPr>
          <w:p w:rsidR="005E07CC" w:rsidRPr="005E07CC" w:rsidP="005E07CC" w14:paraId="61335D8E"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491</w:t>
            </w:r>
          </w:p>
          <w:p w:rsidR="005E07CC" w:rsidRPr="005E07CC" w:rsidP="005E07CC" w14:paraId="0A98FC56"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666" w:type="pct"/>
          </w:tcPr>
          <w:p w:rsidR="005E07CC" w:rsidRPr="005E07CC" w:rsidP="005E07CC" w14:paraId="2A152A5D"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40 hrs.</w:t>
            </w:r>
          </w:p>
          <w:p w:rsidR="005E07CC" w:rsidRPr="005E07CC" w:rsidP="005E07CC" w14:paraId="0906F154"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$2,540.80</w:t>
            </w:r>
          </w:p>
        </w:tc>
        <w:tc>
          <w:tcPr>
            <w:tcW w:w="753" w:type="pct"/>
          </w:tcPr>
          <w:p w:rsidR="005E07CC" w:rsidRPr="005E07CC" w:rsidP="005E07CC" w14:paraId="6A64D83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19,640 hrs.</w:t>
            </w:r>
          </w:p>
          <w:p w:rsidR="005E07CC" w:rsidRPr="005E07CC" w:rsidP="005E07CC" w14:paraId="39C69DE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 xml:space="preserve">$1,247,532.80 </w:t>
            </w:r>
          </w:p>
        </w:tc>
        <w:tc>
          <w:tcPr>
            <w:tcW w:w="710" w:type="pct"/>
          </w:tcPr>
          <w:p w:rsidR="005E07CC" w:rsidRPr="005E07CC" w:rsidP="005E07CC" w14:paraId="13A37E8F"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r w:rsidRPr="005E07CC">
              <w:rPr>
                <w:rFonts w:ascii="Times New Roman" w:eastAsia="Times New Roman" w:hAnsi="Times New Roman" w:cs="Times New Roman"/>
                <w:sz w:val="26"/>
                <w:szCs w:val="26"/>
              </w:rPr>
              <w:t>$2,540.80</w:t>
            </w:r>
          </w:p>
          <w:p w:rsidR="005E07CC" w:rsidRPr="005E07CC" w:rsidP="005E07CC" w14:paraId="023AE1CF"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r>
      <w:tr w14:paraId="1F3694AA" w14:textId="77777777" w:rsidTr="006D5CC5">
        <w:tblPrEx>
          <w:tblW w:w="5426" w:type="pct"/>
          <w:tblInd w:w="-72" w:type="dxa"/>
          <w:tblLayout w:type="fixed"/>
          <w:tblLook w:val="01E0"/>
        </w:tblPrEx>
        <w:trPr>
          <w:cantSplit/>
          <w:trHeight w:val="485"/>
        </w:trPr>
        <w:tc>
          <w:tcPr>
            <w:tcW w:w="653" w:type="pct"/>
            <w:tcBorders>
              <w:bottom w:val="single" w:sz="4" w:space="0" w:color="auto"/>
            </w:tcBorders>
          </w:tcPr>
          <w:p w:rsidR="005E07CC" w:rsidRPr="005E07CC" w:rsidP="005E07CC" w14:paraId="0FA1B4A9"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sz w:val="26"/>
                <w:szCs w:val="26"/>
              </w:rPr>
            </w:pPr>
            <w:r w:rsidRPr="005E07CC">
              <w:rPr>
                <w:rFonts w:ascii="Times New Roman" w:eastAsia="Times New Roman" w:hAnsi="Times New Roman" w:cs="Times New Roman"/>
                <w:b/>
                <w:sz w:val="26"/>
                <w:szCs w:val="26"/>
              </w:rPr>
              <w:t>TOTAL</w:t>
            </w:r>
          </w:p>
        </w:tc>
        <w:tc>
          <w:tcPr>
            <w:tcW w:w="1522" w:type="pct"/>
            <w:gridSpan w:val="2"/>
            <w:tcBorders>
              <w:bottom w:val="single" w:sz="4" w:space="0" w:color="auto"/>
            </w:tcBorders>
            <w:shd w:val="clear" w:color="auto" w:fill="D9D9D9" w:themeFill="background1" w:themeFillShade="D9"/>
          </w:tcPr>
          <w:p w:rsidR="005E07CC" w:rsidRPr="005E07CC" w:rsidP="005E07CC" w14:paraId="499C8086"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696" w:type="pct"/>
            <w:tcBorders>
              <w:bottom w:val="single" w:sz="4" w:space="0" w:color="auto"/>
            </w:tcBorders>
          </w:tcPr>
          <w:p w:rsidR="005E07CC" w:rsidRPr="005E07CC" w:rsidP="005E07CC" w14:paraId="13FB795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sz w:val="26"/>
                <w:szCs w:val="26"/>
              </w:rPr>
            </w:pPr>
            <w:r w:rsidRPr="005E07CC">
              <w:rPr>
                <w:rFonts w:ascii="Times New Roman" w:eastAsia="Times New Roman" w:hAnsi="Times New Roman" w:cs="Times New Roman"/>
                <w:b/>
                <w:bCs/>
                <w:sz w:val="26"/>
                <w:szCs w:val="26"/>
              </w:rPr>
              <w:t>982</w:t>
            </w:r>
          </w:p>
        </w:tc>
        <w:tc>
          <w:tcPr>
            <w:tcW w:w="666" w:type="pct"/>
            <w:tcBorders>
              <w:bottom w:val="single" w:sz="4" w:space="0" w:color="auto"/>
            </w:tcBorders>
            <w:shd w:val="clear" w:color="auto" w:fill="D9D9D9" w:themeFill="background1" w:themeFillShade="D9"/>
          </w:tcPr>
          <w:p w:rsidR="005E07CC" w:rsidRPr="005E07CC" w:rsidP="005E07CC" w14:paraId="3169A35E"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tc>
        <w:tc>
          <w:tcPr>
            <w:tcW w:w="753" w:type="pct"/>
            <w:tcBorders>
              <w:bottom w:val="single" w:sz="4" w:space="0" w:color="auto"/>
            </w:tcBorders>
          </w:tcPr>
          <w:p w:rsidR="005E07CC" w:rsidRPr="005E07CC" w:rsidP="005E07CC" w14:paraId="3CAD148E"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sz w:val="26"/>
                <w:szCs w:val="26"/>
              </w:rPr>
            </w:pPr>
            <w:r w:rsidRPr="005E07CC">
              <w:rPr>
                <w:rFonts w:ascii="Times New Roman" w:eastAsia="Times New Roman" w:hAnsi="Times New Roman" w:cs="Times New Roman"/>
                <w:b/>
                <w:bCs/>
                <w:sz w:val="26"/>
                <w:szCs w:val="26"/>
              </w:rPr>
              <w:t>39,280 hrs.</w:t>
            </w:r>
          </w:p>
          <w:p w:rsidR="005E07CC" w:rsidRPr="005E07CC" w:rsidP="005E07CC" w14:paraId="56FA6965"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sz w:val="26"/>
                <w:szCs w:val="26"/>
              </w:rPr>
            </w:pPr>
            <w:r w:rsidRPr="005E07CC">
              <w:rPr>
                <w:rFonts w:ascii="Times New Roman" w:eastAsia="Times New Roman" w:hAnsi="Times New Roman" w:cs="Times New Roman"/>
                <w:b/>
                <w:bCs/>
                <w:sz w:val="26"/>
                <w:szCs w:val="26"/>
              </w:rPr>
              <w:t>$2,495,065.60</w:t>
            </w:r>
          </w:p>
        </w:tc>
        <w:tc>
          <w:tcPr>
            <w:tcW w:w="710" w:type="pct"/>
            <w:tcBorders>
              <w:bottom w:val="single" w:sz="4" w:space="0" w:color="auto"/>
            </w:tcBorders>
          </w:tcPr>
          <w:p w:rsidR="005E07CC" w:rsidRPr="005E07CC" w:rsidP="005E07CC" w14:paraId="5FAA316A"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b/>
                <w:bCs/>
                <w:sz w:val="26"/>
                <w:szCs w:val="26"/>
              </w:rPr>
            </w:pPr>
            <w:r w:rsidRPr="005E07CC">
              <w:rPr>
                <w:rFonts w:ascii="Times New Roman" w:eastAsia="Times New Roman" w:hAnsi="Times New Roman" w:cs="Times New Roman"/>
                <w:b/>
                <w:bCs/>
                <w:sz w:val="26"/>
                <w:szCs w:val="26"/>
              </w:rPr>
              <w:t>$5,081.60</w:t>
            </w:r>
          </w:p>
        </w:tc>
      </w:tr>
    </w:tbl>
    <w:p w:rsidR="001B6E3E" w:rsidRPr="001B6E3E" w:rsidP="001B6E3E" w14:paraId="06DB627F" w14:textId="398C4AC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p w:rsidR="00C133C1" w:rsidP="000B09AE" w14:paraId="2A4369BC"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p w:rsidR="00C133C1" w:rsidRPr="009B66B9" w:rsidP="000B09AE" w14:paraId="14F582E7"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6"/>
          <w:szCs w:val="26"/>
        </w:rPr>
      </w:pPr>
    </w:p>
    <w:p w:rsidR="00C133C1" w:rsidRPr="00C133C1" w:rsidP="00C133C1" w14:paraId="298694D0"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bookmarkStart w:id="11" w:name="_Hlk126065378"/>
      <w:r w:rsidRPr="00C133C1">
        <w:rPr>
          <w:rFonts w:ascii="Times New Roman" w:eastAsia="Calibri" w:hAnsi="Times New Roman" w:cs="Times New Roman"/>
          <w:sz w:val="26"/>
          <w:szCs w:val="26"/>
        </w:rPr>
        <w:t xml:space="preserve">The responses and burden hours for Years 1-3 will total respectively as follows: </w:t>
      </w:r>
    </w:p>
    <w:bookmarkEnd w:id="11"/>
    <w:p w:rsidR="00D20809" w14:paraId="5220FA08"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ESTIMATE OF THE TOTAL ANNUAL COST BURDEN TO RESPONDENTS</w:t>
      </w:r>
    </w:p>
    <w:p w:rsidR="00D20809" w14:paraId="5624F539" w14:textId="77777777">
      <w:pPr>
        <w:spacing w:after="0" w:line="240" w:lineRule="auto"/>
        <w:ind w:left="360"/>
        <w:rPr>
          <w:rFonts w:ascii="Times New Roman" w:hAnsi="Times New Roman" w:cs="Times New Roman"/>
          <w:sz w:val="26"/>
          <w:szCs w:val="26"/>
        </w:rPr>
      </w:pPr>
    </w:p>
    <w:p w:rsidR="00D20809" w14:paraId="62E07042" w14:textId="61BC2C85">
      <w:pPr>
        <w:spacing w:after="0" w:line="240" w:lineRule="auto"/>
        <w:rPr>
          <w:rFonts w:ascii="Times New Roman" w:hAnsi="Times New Roman" w:cs="Times New Roman"/>
          <w:sz w:val="26"/>
          <w:szCs w:val="26"/>
        </w:rPr>
      </w:pPr>
      <w:r>
        <w:rPr>
          <w:rFonts w:ascii="Times New Roman" w:hAnsi="Times New Roman" w:cs="Times New Roman"/>
          <w:sz w:val="26"/>
          <w:szCs w:val="26"/>
        </w:rPr>
        <w:t>There is no start-up, capital, or other non-labor hour cost associated with the P</w:t>
      </w:r>
      <w:r w:rsidR="00D4593C">
        <w:rPr>
          <w:rFonts w:ascii="Times New Roman" w:hAnsi="Times New Roman" w:cs="Times New Roman"/>
          <w:sz w:val="26"/>
          <w:szCs w:val="26"/>
        </w:rPr>
        <w:t xml:space="preserve">aperwork </w:t>
      </w:r>
      <w:r>
        <w:rPr>
          <w:rFonts w:ascii="Times New Roman" w:hAnsi="Times New Roman" w:cs="Times New Roman"/>
          <w:sz w:val="26"/>
          <w:szCs w:val="26"/>
        </w:rPr>
        <w:t>R</w:t>
      </w:r>
      <w:r w:rsidR="00D4593C">
        <w:rPr>
          <w:rFonts w:ascii="Times New Roman" w:hAnsi="Times New Roman" w:cs="Times New Roman"/>
          <w:sz w:val="26"/>
          <w:szCs w:val="26"/>
        </w:rPr>
        <w:t xml:space="preserve">eduction </w:t>
      </w:r>
      <w:r>
        <w:rPr>
          <w:rFonts w:ascii="Times New Roman" w:hAnsi="Times New Roman" w:cs="Times New Roman"/>
          <w:sz w:val="26"/>
          <w:szCs w:val="26"/>
        </w:rPr>
        <w:t>A</w:t>
      </w:r>
      <w:r w:rsidR="00D4593C">
        <w:rPr>
          <w:rFonts w:ascii="Times New Roman" w:hAnsi="Times New Roman" w:cs="Times New Roman"/>
          <w:sz w:val="26"/>
          <w:szCs w:val="26"/>
        </w:rPr>
        <w:t>ct (PRA)</w:t>
      </w:r>
      <w:r>
        <w:rPr>
          <w:rFonts w:ascii="Times New Roman" w:hAnsi="Times New Roman" w:cs="Times New Roman"/>
          <w:sz w:val="26"/>
          <w:szCs w:val="26"/>
        </w:rPr>
        <w:t xml:space="preserve"> aspects of </w:t>
      </w:r>
      <w:r w:rsidR="0060351F">
        <w:rPr>
          <w:rFonts w:ascii="Times New Roman" w:hAnsi="Times New Roman" w:cs="Times New Roman"/>
          <w:sz w:val="26"/>
          <w:szCs w:val="26"/>
        </w:rPr>
        <w:t>RD25-10</w:t>
      </w:r>
      <w:r>
        <w:rPr>
          <w:rFonts w:ascii="Times New Roman" w:hAnsi="Times New Roman" w:cs="Times New Roman"/>
          <w:sz w:val="26"/>
          <w:szCs w:val="26"/>
        </w:rPr>
        <w:t xml:space="preserve">. </w:t>
      </w:r>
      <w:r w:rsidR="00DE2F18">
        <w:rPr>
          <w:rFonts w:ascii="Times New Roman" w:hAnsi="Times New Roman" w:cs="Times New Roman"/>
          <w:sz w:val="26"/>
          <w:szCs w:val="26"/>
        </w:rPr>
        <w:t xml:space="preserve"> </w:t>
      </w:r>
      <w:r>
        <w:rPr>
          <w:rFonts w:ascii="Times New Roman" w:hAnsi="Times New Roman" w:cs="Times New Roman"/>
          <w:sz w:val="26"/>
          <w:szCs w:val="26"/>
        </w:rPr>
        <w:t xml:space="preserve">All costs are associated with burden hours and are addressed in Questions 12 and 15.  </w:t>
      </w:r>
    </w:p>
    <w:p w:rsidR="00D20809" w14:paraId="573F8B09" w14:textId="77777777">
      <w:pPr>
        <w:spacing w:after="0" w:line="240" w:lineRule="auto"/>
        <w:rPr>
          <w:rFonts w:ascii="Times New Roman" w:hAnsi="Times New Roman" w:cs="Times New Roman"/>
          <w:sz w:val="26"/>
          <w:szCs w:val="26"/>
        </w:rPr>
      </w:pPr>
    </w:p>
    <w:p w:rsidR="00D20809" w14:paraId="3BC5CA29"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ESTIMATED ANNUALIZED COST TO FEDERAL GOVERNMENT</w:t>
      </w:r>
    </w:p>
    <w:p w:rsidR="00D20809" w14:paraId="2DE96455" w14:textId="77777777">
      <w:pPr>
        <w:spacing w:after="0" w:line="240" w:lineRule="auto"/>
        <w:rPr>
          <w:rFonts w:ascii="Times New Roman" w:hAnsi="Times New Roman" w:cs="Times New Roman"/>
          <w:sz w:val="26"/>
          <w:szCs w:val="26"/>
        </w:rPr>
      </w:pPr>
    </w:p>
    <w:p w:rsidR="00D20809" w14:paraId="6DBAD7C2"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The Regional Entities and NERC do most of the data processing, monitoring and compliance work for Reliability Standards.  Any involvement by the Commission is covered under the FERC-725 collection (OMB Control No. 1902-0225) and is not part of this request or package. </w:t>
      </w:r>
    </w:p>
    <w:p w:rsidR="00D20809" w14:paraId="33F4273C"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D20809" w14:paraId="38920915" w14:textId="53493055">
      <w:pPr>
        <w:spacing w:after="0" w:line="240" w:lineRule="auto"/>
        <w:rPr>
          <w:rFonts w:ascii="Times New Roman" w:hAnsi="Times New Roman" w:cs="Times New Roman"/>
          <w:sz w:val="26"/>
          <w:szCs w:val="26"/>
        </w:rPr>
      </w:pPr>
      <w:r>
        <w:rPr>
          <w:rFonts w:ascii="Times New Roman" w:hAnsi="Times New Roman" w:cs="Times New Roman"/>
          <w:sz w:val="26"/>
          <w:szCs w:val="26"/>
        </w:rPr>
        <w:t>The PRA Administrative Cost (</w:t>
      </w:r>
      <w:r>
        <w:rPr>
          <w:rFonts w:ascii="Times New Roman" w:hAnsi="Times New Roman" w:cs="Times New Roman"/>
          <w:sz w:val="26"/>
          <w:szCs w:val="26"/>
        </w:rPr>
        <w:t>estimate</w:t>
      </w:r>
      <w:r>
        <w:rPr>
          <w:rFonts w:ascii="Times New Roman" w:hAnsi="Times New Roman" w:cs="Times New Roman"/>
          <w:sz w:val="26"/>
          <w:szCs w:val="26"/>
        </w:rPr>
        <w:t xml:space="preserve"> of $</w:t>
      </w:r>
      <w:r w:rsidR="00E91DCE">
        <w:rPr>
          <w:rFonts w:ascii="Times New Roman" w:hAnsi="Times New Roman" w:cs="Times New Roman"/>
          <w:sz w:val="26"/>
          <w:szCs w:val="26"/>
        </w:rPr>
        <w:t>8,404</w:t>
      </w:r>
      <w:r>
        <w:rPr>
          <w:rFonts w:ascii="Times New Roman" w:hAnsi="Times New Roman" w:cs="Times New Roman"/>
          <w:sz w:val="26"/>
          <w:szCs w:val="26"/>
        </w:rPr>
        <w:t xml:space="preserve"> per collection annually) is a Federal Cost associated with preparing, issuing, and submitting materials necessary to comply with the Paperwork Reduction Act of 1995 (PRA) for rulemakings, orders, or any other vehicle used to create, modify, extend, or discontinue an information collection.  This average annual cost includes requests for extensions, all associated rulemakings or orders, and other changes to the collection, as well as necessary publications in the Federal Register. </w:t>
      </w:r>
    </w:p>
    <w:p w:rsidR="00D20809" w14:paraId="55732DC4" w14:textId="77777777">
      <w:pPr>
        <w:spacing w:after="0" w:line="240" w:lineRule="auto"/>
        <w:rPr>
          <w:rFonts w:ascii="Times New Roman" w:hAnsi="Times New Roman" w:cs="Times New Roman"/>
          <w:sz w:val="26"/>
          <w:szCs w:val="26"/>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2995"/>
      </w:tblGrid>
      <w:tr w14:paraId="769C93EF" w14:textId="77777777" w:rsidTr="011CD5C5">
        <w:tblPrEx>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82" w:type="dxa"/>
            <w:tcBorders>
              <w:top w:val="single" w:sz="4" w:space="0" w:color="auto"/>
              <w:left w:val="single" w:sz="4" w:space="0" w:color="auto"/>
              <w:bottom w:val="single" w:sz="4" w:space="0" w:color="auto"/>
              <w:right w:val="single" w:sz="4" w:space="0" w:color="auto"/>
            </w:tcBorders>
            <w:shd w:val="clear" w:color="auto" w:fill="CCCCCC"/>
          </w:tcPr>
          <w:p w:rsidR="00D20809" w14:paraId="3EAF8874" w14:textId="77777777">
            <w:pPr>
              <w:spacing w:line="240" w:lineRule="auto"/>
              <w:rPr>
                <w:rFonts w:ascii="Times New Roman" w:hAnsi="Times New Roman" w:cs="Times New Roman"/>
                <w:sz w:val="26"/>
                <w:szCs w:val="26"/>
              </w:rPr>
            </w:pPr>
          </w:p>
        </w:tc>
        <w:tc>
          <w:tcPr>
            <w:tcW w:w="3201" w:type="dxa"/>
            <w:tcBorders>
              <w:top w:val="single" w:sz="4" w:space="0" w:color="auto"/>
              <w:left w:val="single" w:sz="4" w:space="0" w:color="auto"/>
              <w:bottom w:val="single" w:sz="4" w:space="0" w:color="auto"/>
              <w:right w:val="single" w:sz="4" w:space="0" w:color="auto"/>
            </w:tcBorders>
            <w:shd w:val="clear" w:color="auto" w:fill="CCCCCC"/>
            <w:hideMark/>
          </w:tcPr>
          <w:p w:rsidR="00D20809" w14:paraId="6F129238"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Number of Employees (FTE)</w:t>
            </w:r>
          </w:p>
        </w:tc>
        <w:tc>
          <w:tcPr>
            <w:tcW w:w="2995" w:type="dxa"/>
            <w:tcBorders>
              <w:top w:val="single" w:sz="4" w:space="0" w:color="auto"/>
              <w:left w:val="single" w:sz="4" w:space="0" w:color="auto"/>
              <w:bottom w:val="single" w:sz="4" w:space="0" w:color="auto"/>
              <w:right w:val="single" w:sz="4" w:space="0" w:color="auto"/>
            </w:tcBorders>
            <w:shd w:val="clear" w:color="auto" w:fill="CCCCCC"/>
            <w:hideMark/>
          </w:tcPr>
          <w:p w:rsidR="00D20809" w14:paraId="36806482"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Estimated Annual Federal Cost</w:t>
            </w:r>
          </w:p>
        </w:tc>
      </w:tr>
      <w:tr w14:paraId="73B5CE63" w14:textId="77777777" w:rsidTr="011CD5C5">
        <w:tblPrEx>
          <w:tblW w:w="9378" w:type="dxa"/>
          <w:tblLook w:val="01E0"/>
        </w:tblPrEx>
        <w:tc>
          <w:tcPr>
            <w:tcW w:w="3182" w:type="dxa"/>
            <w:tcBorders>
              <w:top w:val="single" w:sz="4" w:space="0" w:color="auto"/>
              <w:left w:val="single" w:sz="4" w:space="0" w:color="auto"/>
              <w:bottom w:val="single" w:sz="4" w:space="0" w:color="auto"/>
              <w:right w:val="single" w:sz="4" w:space="0" w:color="auto"/>
            </w:tcBorders>
            <w:hideMark/>
          </w:tcPr>
          <w:p w:rsidR="00D20809" w14:paraId="6FE42751" w14:textId="77777777">
            <w:pPr>
              <w:spacing w:line="240" w:lineRule="auto"/>
              <w:rPr>
                <w:rFonts w:ascii="Times New Roman" w:hAnsi="Times New Roman" w:cs="Times New Roman"/>
                <w:sz w:val="26"/>
                <w:szCs w:val="26"/>
              </w:rPr>
            </w:pPr>
            <w:r>
              <w:rPr>
                <w:rFonts w:ascii="Times New Roman" w:hAnsi="Times New Roman" w:cs="Times New Roman"/>
                <w:sz w:val="26"/>
                <w:szCs w:val="26"/>
              </w:rPr>
              <w:t>Analysis and Processing of filings</w:t>
            </w:r>
            <w:r>
              <w:rPr>
                <w:rFonts w:ascii="Times New Roman" w:hAnsi="Times New Roman" w:cs="Times New Roman"/>
                <w:sz w:val="26"/>
                <w:szCs w:val="26"/>
                <w:vertAlign w:val="superscript"/>
              </w:rPr>
              <w:footnoteReference w:id="18"/>
            </w:r>
          </w:p>
        </w:tc>
        <w:tc>
          <w:tcPr>
            <w:tcW w:w="3201" w:type="dxa"/>
            <w:tcBorders>
              <w:top w:val="single" w:sz="4" w:space="0" w:color="auto"/>
              <w:left w:val="single" w:sz="4" w:space="0" w:color="auto"/>
              <w:bottom w:val="single" w:sz="4" w:space="0" w:color="auto"/>
              <w:right w:val="single" w:sz="4" w:space="0" w:color="auto"/>
            </w:tcBorders>
            <w:vAlign w:val="bottom"/>
            <w:hideMark/>
          </w:tcPr>
          <w:p w:rsidR="00D20809" w14:paraId="1EC5330F" w14:textId="77777777">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c>
          <w:tcPr>
            <w:tcW w:w="2995" w:type="dxa"/>
            <w:tcBorders>
              <w:top w:val="single" w:sz="4" w:space="0" w:color="auto"/>
              <w:left w:val="single" w:sz="4" w:space="0" w:color="auto"/>
              <w:bottom w:val="single" w:sz="4" w:space="0" w:color="auto"/>
              <w:right w:val="single" w:sz="4" w:space="0" w:color="auto"/>
            </w:tcBorders>
            <w:vAlign w:val="bottom"/>
            <w:hideMark/>
          </w:tcPr>
          <w:p w:rsidR="00D20809" w14:paraId="0E4477D5" w14:textId="77777777">
            <w:pPr>
              <w:spacing w:line="240" w:lineRule="auto"/>
              <w:jc w:val="right"/>
              <w:rPr>
                <w:rFonts w:ascii="Times New Roman" w:hAnsi="Times New Roman" w:cs="Times New Roman"/>
                <w:sz w:val="26"/>
                <w:szCs w:val="26"/>
              </w:rPr>
            </w:pPr>
            <w:r w:rsidRPr="011CD5C5">
              <w:rPr>
                <w:rFonts w:ascii="Times New Roman" w:hAnsi="Times New Roman" w:cs="Times New Roman"/>
                <w:sz w:val="26"/>
                <w:szCs w:val="26"/>
              </w:rPr>
              <w:t xml:space="preserve">0  </w:t>
            </w:r>
          </w:p>
        </w:tc>
      </w:tr>
      <w:tr w14:paraId="6B77F9EC" w14:textId="77777777" w:rsidTr="011CD5C5">
        <w:tblPrEx>
          <w:tblW w:w="9378" w:type="dxa"/>
          <w:tblLook w:val="01E0"/>
        </w:tblPrEx>
        <w:tc>
          <w:tcPr>
            <w:tcW w:w="3182" w:type="dxa"/>
            <w:tcBorders>
              <w:top w:val="single" w:sz="4" w:space="0" w:color="auto"/>
              <w:left w:val="single" w:sz="4" w:space="0" w:color="auto"/>
              <w:bottom w:val="single" w:sz="4" w:space="0" w:color="auto"/>
              <w:right w:val="single" w:sz="4" w:space="0" w:color="auto"/>
            </w:tcBorders>
            <w:hideMark/>
          </w:tcPr>
          <w:p w:rsidR="00D20809" w14:paraId="20BBAC05" w14:textId="77777777">
            <w:pPr>
              <w:spacing w:line="240" w:lineRule="auto"/>
              <w:rPr>
                <w:rFonts w:ascii="Times New Roman" w:hAnsi="Times New Roman" w:cs="Times New Roman"/>
                <w:sz w:val="26"/>
                <w:szCs w:val="26"/>
              </w:rPr>
            </w:pPr>
            <w:r>
              <w:rPr>
                <w:rFonts w:ascii="Times New Roman" w:hAnsi="Times New Roman" w:cs="Times New Roman"/>
                <w:sz w:val="26"/>
                <w:szCs w:val="26"/>
              </w:rPr>
              <w:t xml:space="preserve">PRA Administrative Cost </w:t>
            </w:r>
          </w:p>
        </w:tc>
        <w:tc>
          <w:tcPr>
            <w:tcW w:w="3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D20809" w14:paraId="5AC2FFA0" w14:textId="77777777">
            <w:pPr>
              <w:spacing w:line="240" w:lineRule="auto"/>
              <w:jc w:val="right"/>
              <w:rPr>
                <w:rFonts w:ascii="Times New Roman" w:hAnsi="Times New Roman" w:cs="Times New Roman"/>
                <w:sz w:val="26"/>
                <w:szCs w:val="26"/>
              </w:rPr>
            </w:pPr>
          </w:p>
        </w:tc>
        <w:tc>
          <w:tcPr>
            <w:tcW w:w="2995" w:type="dxa"/>
            <w:tcBorders>
              <w:top w:val="single" w:sz="4" w:space="0" w:color="auto"/>
              <w:left w:val="single" w:sz="4" w:space="0" w:color="auto"/>
              <w:bottom w:val="single" w:sz="4" w:space="0" w:color="auto"/>
              <w:right w:val="single" w:sz="4" w:space="0" w:color="auto"/>
            </w:tcBorders>
            <w:vAlign w:val="bottom"/>
            <w:hideMark/>
          </w:tcPr>
          <w:p w:rsidR="00D20809" w14:paraId="05D585BB" w14:textId="1A763765">
            <w:pPr>
              <w:spacing w:line="240" w:lineRule="auto"/>
              <w:jc w:val="right"/>
              <w:rPr>
                <w:rFonts w:ascii="Times New Roman" w:hAnsi="Times New Roman" w:cs="Times New Roman"/>
                <w:sz w:val="26"/>
                <w:szCs w:val="26"/>
              </w:rPr>
            </w:pPr>
            <w:r>
              <w:rPr>
                <w:rFonts w:ascii="Times New Roman" w:hAnsi="Times New Roman" w:cs="Times New Roman"/>
                <w:sz w:val="26"/>
                <w:szCs w:val="26"/>
              </w:rPr>
              <w:t>$</w:t>
            </w:r>
            <w:r w:rsidR="002F4796">
              <w:rPr>
                <w:rFonts w:ascii="Times New Roman" w:hAnsi="Times New Roman" w:cs="Times New Roman"/>
                <w:sz w:val="26"/>
                <w:szCs w:val="26"/>
              </w:rPr>
              <w:t>8,404</w:t>
            </w:r>
          </w:p>
        </w:tc>
      </w:tr>
      <w:tr w14:paraId="2D7BABE5" w14:textId="77777777" w:rsidTr="011CD5C5">
        <w:tblPrEx>
          <w:tblW w:w="9378" w:type="dxa"/>
          <w:tblLook w:val="01E0"/>
        </w:tblPrEx>
        <w:tc>
          <w:tcPr>
            <w:tcW w:w="3182" w:type="dxa"/>
            <w:tcBorders>
              <w:top w:val="single" w:sz="4" w:space="0" w:color="auto"/>
              <w:left w:val="single" w:sz="4" w:space="0" w:color="auto"/>
              <w:bottom w:val="single" w:sz="4" w:space="0" w:color="auto"/>
              <w:right w:val="single" w:sz="4" w:space="0" w:color="auto"/>
            </w:tcBorders>
            <w:hideMark/>
          </w:tcPr>
          <w:p w:rsidR="00D20809" w14:paraId="74BBCC44"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FERC Total</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D20809" w14:paraId="63983E84" w14:textId="77777777">
            <w:pPr>
              <w:spacing w:line="240" w:lineRule="auto"/>
              <w:jc w:val="right"/>
              <w:rPr>
                <w:rFonts w:ascii="Times New Roman" w:hAnsi="Times New Roman" w:cs="Times New Roman"/>
                <w:sz w:val="26"/>
                <w:szCs w:val="26"/>
              </w:rPr>
            </w:pPr>
          </w:p>
        </w:tc>
        <w:tc>
          <w:tcPr>
            <w:tcW w:w="2995" w:type="dxa"/>
            <w:tcBorders>
              <w:top w:val="single" w:sz="4" w:space="0" w:color="auto"/>
              <w:left w:val="single" w:sz="4" w:space="0" w:color="auto"/>
              <w:bottom w:val="single" w:sz="4" w:space="0" w:color="auto"/>
              <w:right w:val="single" w:sz="4" w:space="0" w:color="auto"/>
            </w:tcBorders>
            <w:vAlign w:val="bottom"/>
            <w:hideMark/>
          </w:tcPr>
          <w:p w:rsidR="00D20809" w14:paraId="62A34ADB" w14:textId="0BD23C9D">
            <w:pPr>
              <w:spacing w:line="240" w:lineRule="auto"/>
              <w:jc w:val="right"/>
              <w:rPr>
                <w:rFonts w:ascii="Times New Roman" w:hAnsi="Times New Roman" w:cs="Times New Roman"/>
                <w:sz w:val="26"/>
                <w:szCs w:val="26"/>
              </w:rPr>
            </w:pPr>
            <w:r>
              <w:rPr>
                <w:rFonts w:ascii="Times New Roman" w:hAnsi="Times New Roman" w:cs="Times New Roman"/>
                <w:sz w:val="26"/>
                <w:szCs w:val="26"/>
              </w:rPr>
              <w:t>$</w:t>
            </w:r>
            <w:r w:rsidR="002F4796">
              <w:rPr>
                <w:rFonts w:ascii="Times New Roman" w:hAnsi="Times New Roman" w:cs="Times New Roman"/>
                <w:sz w:val="26"/>
                <w:szCs w:val="26"/>
              </w:rPr>
              <w:t>8,404</w:t>
            </w:r>
          </w:p>
        </w:tc>
      </w:tr>
    </w:tbl>
    <w:p w:rsidR="00D20809" w14:paraId="7C7E3F16" w14:textId="77777777">
      <w:pPr>
        <w:spacing w:after="0" w:line="240" w:lineRule="auto"/>
        <w:rPr>
          <w:rFonts w:ascii="Times New Roman" w:hAnsi="Times New Roman" w:cs="Times New Roman"/>
          <w:sz w:val="26"/>
          <w:szCs w:val="26"/>
        </w:rPr>
      </w:pPr>
    </w:p>
    <w:p w:rsidR="00D20809" w14:paraId="12473976"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REASONS FOR CHANGES IN BURDEN INCLUDING THE NEED FOR ANY INCREASE</w:t>
      </w:r>
    </w:p>
    <w:p w:rsidR="00D20809" w14:paraId="5174311E" w14:textId="77777777">
      <w:pPr>
        <w:spacing w:after="0" w:line="240" w:lineRule="auto"/>
        <w:rPr>
          <w:rFonts w:ascii="Times New Roman" w:hAnsi="Times New Roman" w:cs="Times New Roman"/>
          <w:b/>
          <w:sz w:val="26"/>
          <w:szCs w:val="26"/>
        </w:rPr>
      </w:pPr>
    </w:p>
    <w:p w:rsidR="00C133C1" w:rsidP="00406832" w14:paraId="24FE8CB9" w14:textId="77777777">
      <w:pPr>
        <w:pBdr>
          <w:bottom w:val="single" w:sz="4" w:space="1" w:color="auto"/>
        </w:pBdr>
        <w:spacing w:after="0" w:line="240" w:lineRule="auto"/>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4"/>
        <w:gridCol w:w="2505"/>
        <w:gridCol w:w="1386"/>
        <w:gridCol w:w="1747"/>
        <w:gridCol w:w="2398"/>
      </w:tblGrid>
      <w:tr w14:paraId="3A514D5F" w14:textId="77777777" w:rsidTr="00BD762F">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trPr>
        <w:tc>
          <w:tcPr>
            <w:tcW w:w="549"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20809" w14:paraId="747A832D"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FERC-725G</w:t>
            </w:r>
          </w:p>
        </w:tc>
        <w:tc>
          <w:tcPr>
            <w:tcW w:w="1445"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20809" w14:paraId="1B07552E"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Total Request</w:t>
            </w:r>
          </w:p>
        </w:tc>
        <w:tc>
          <w:tcPr>
            <w:tcW w:w="579"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20809" w14:paraId="035B74B2"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Previously Approved</w:t>
            </w:r>
          </w:p>
        </w:tc>
        <w:tc>
          <w:tcPr>
            <w:tcW w:w="1039"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20809" w14:paraId="66987FDE" w14:textId="77777777">
            <w:pPr>
              <w:spacing w:line="240" w:lineRule="auto"/>
              <w:rPr>
                <w:rFonts w:ascii="Times New Roman" w:hAnsi="Times New Roman" w:cs="Times New Roman"/>
                <w:b/>
                <w:sz w:val="26"/>
                <w:szCs w:val="26"/>
                <w:highlight w:val="yellow"/>
              </w:rPr>
            </w:pPr>
            <w:r>
              <w:rPr>
                <w:rFonts w:ascii="Times New Roman" w:hAnsi="Times New Roman" w:cs="Times New Roman"/>
                <w:b/>
                <w:sz w:val="26"/>
                <w:szCs w:val="26"/>
              </w:rPr>
              <w:t>Change due to Adjustment in Estimate</w:t>
            </w:r>
          </w:p>
        </w:tc>
        <w:tc>
          <w:tcPr>
            <w:tcW w:w="1387"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20809" w14:paraId="036E5220" w14:textId="77777777">
            <w:pPr>
              <w:spacing w:line="240" w:lineRule="auto"/>
              <w:rPr>
                <w:rFonts w:ascii="Times New Roman" w:hAnsi="Times New Roman" w:cs="Times New Roman"/>
                <w:b/>
                <w:sz w:val="26"/>
                <w:szCs w:val="26"/>
              </w:rPr>
            </w:pPr>
            <w:r>
              <w:rPr>
                <w:rFonts w:ascii="Times New Roman" w:hAnsi="Times New Roman" w:cs="Times New Roman"/>
                <w:b/>
                <w:sz w:val="26"/>
                <w:szCs w:val="26"/>
              </w:rPr>
              <w:t>Change Due to Agency Discretion</w:t>
            </w:r>
          </w:p>
        </w:tc>
      </w:tr>
      <w:tr w14:paraId="03491498" w14:textId="77777777" w:rsidTr="00BD762F">
        <w:tblPrEx>
          <w:tblW w:w="5000" w:type="pct"/>
          <w:tblLook w:val="01E0"/>
        </w:tblPrEx>
        <w:trPr>
          <w:trHeight w:val="591"/>
        </w:trPr>
        <w:tc>
          <w:tcPr>
            <w:tcW w:w="549" w:type="pct"/>
            <w:tcBorders>
              <w:top w:val="single" w:sz="4" w:space="0" w:color="auto"/>
              <w:left w:val="single" w:sz="4" w:space="0" w:color="auto"/>
              <w:bottom w:val="single" w:sz="4" w:space="0" w:color="auto"/>
              <w:right w:val="single" w:sz="4" w:space="0" w:color="auto"/>
            </w:tcBorders>
            <w:vAlign w:val="bottom"/>
            <w:hideMark/>
          </w:tcPr>
          <w:p w:rsidR="00D20809" w14:paraId="5C1214BF" w14:textId="77777777">
            <w:pPr>
              <w:spacing w:line="240" w:lineRule="auto"/>
              <w:rPr>
                <w:rFonts w:ascii="Times New Roman" w:hAnsi="Times New Roman" w:cs="Times New Roman"/>
                <w:sz w:val="26"/>
                <w:szCs w:val="26"/>
              </w:rPr>
            </w:pPr>
            <w:r>
              <w:rPr>
                <w:rFonts w:ascii="Times New Roman" w:hAnsi="Times New Roman" w:cs="Times New Roman"/>
                <w:sz w:val="26"/>
                <w:szCs w:val="26"/>
              </w:rPr>
              <w:t>Annual Number of Responses</w:t>
            </w:r>
          </w:p>
        </w:tc>
        <w:tc>
          <w:tcPr>
            <w:tcW w:w="1445" w:type="pct"/>
            <w:tcBorders>
              <w:top w:val="single" w:sz="4" w:space="0" w:color="auto"/>
              <w:left w:val="single" w:sz="4" w:space="0" w:color="auto"/>
              <w:bottom w:val="single" w:sz="4" w:space="0" w:color="auto"/>
              <w:right w:val="single" w:sz="4" w:space="0" w:color="auto"/>
            </w:tcBorders>
            <w:vAlign w:val="bottom"/>
            <w:hideMark/>
          </w:tcPr>
          <w:p w:rsidR="00D20809" w14:paraId="3CB2B80E" w14:textId="1B6D1F52">
            <w:pPr>
              <w:spacing w:line="240" w:lineRule="auto"/>
              <w:jc w:val="right"/>
              <w:rPr>
                <w:rFonts w:ascii="Times New Roman" w:hAnsi="Times New Roman" w:cs="Times New Roman"/>
                <w:sz w:val="26"/>
                <w:szCs w:val="26"/>
              </w:rPr>
            </w:pPr>
            <w:r>
              <w:rPr>
                <w:rFonts w:ascii="Times New Roman" w:hAnsi="Times New Roman" w:cs="Times New Roman"/>
                <w:sz w:val="26"/>
                <w:szCs w:val="26"/>
              </w:rPr>
              <w:t>22,034</w:t>
            </w:r>
          </w:p>
        </w:tc>
        <w:tc>
          <w:tcPr>
            <w:tcW w:w="579" w:type="pct"/>
            <w:tcBorders>
              <w:top w:val="single" w:sz="4" w:space="0" w:color="auto"/>
              <w:left w:val="single" w:sz="4" w:space="0" w:color="auto"/>
              <w:bottom w:val="single" w:sz="4" w:space="0" w:color="auto"/>
              <w:right w:val="single" w:sz="4" w:space="0" w:color="auto"/>
            </w:tcBorders>
            <w:vAlign w:val="bottom"/>
            <w:hideMark/>
          </w:tcPr>
          <w:p w:rsidR="00D20809" w14:paraId="2F4BD4AB" w14:textId="532A2CF7">
            <w:pPr>
              <w:spacing w:line="240" w:lineRule="auto"/>
              <w:jc w:val="right"/>
              <w:rPr>
                <w:rFonts w:ascii="Times New Roman" w:hAnsi="Times New Roman" w:cs="Times New Roman"/>
                <w:sz w:val="26"/>
                <w:szCs w:val="26"/>
              </w:rPr>
            </w:pPr>
            <w:r>
              <w:rPr>
                <w:rFonts w:ascii="Times New Roman" w:hAnsi="Times New Roman" w:cs="Times New Roman"/>
                <w:sz w:val="26"/>
                <w:szCs w:val="26"/>
              </w:rPr>
              <w:t>21,052</w:t>
            </w:r>
          </w:p>
        </w:tc>
        <w:tc>
          <w:tcPr>
            <w:tcW w:w="1039" w:type="pct"/>
            <w:tcBorders>
              <w:top w:val="single" w:sz="4" w:space="0" w:color="auto"/>
              <w:left w:val="single" w:sz="4" w:space="0" w:color="auto"/>
              <w:bottom w:val="single" w:sz="4" w:space="0" w:color="auto"/>
              <w:right w:val="single" w:sz="4" w:space="0" w:color="auto"/>
            </w:tcBorders>
            <w:vAlign w:val="bottom"/>
            <w:hideMark/>
          </w:tcPr>
          <w:p w:rsidR="00D20809" w14:paraId="0B2A66F6" w14:textId="48346628">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c>
          <w:tcPr>
            <w:tcW w:w="1387" w:type="pct"/>
            <w:tcBorders>
              <w:top w:val="single" w:sz="4" w:space="0" w:color="auto"/>
              <w:left w:val="single" w:sz="4" w:space="0" w:color="auto"/>
              <w:bottom w:val="single" w:sz="4" w:space="0" w:color="auto"/>
              <w:right w:val="single" w:sz="4" w:space="0" w:color="auto"/>
            </w:tcBorders>
            <w:vAlign w:val="bottom"/>
          </w:tcPr>
          <w:p w:rsidR="00D20809" w14:paraId="74BC9FBD" w14:textId="4382F7AE">
            <w:pPr>
              <w:spacing w:line="240" w:lineRule="auto"/>
              <w:jc w:val="right"/>
              <w:rPr>
                <w:rFonts w:ascii="Times New Roman" w:hAnsi="Times New Roman" w:cs="Times New Roman"/>
                <w:sz w:val="26"/>
                <w:szCs w:val="26"/>
                <w:highlight w:val="yellow"/>
              </w:rPr>
            </w:pPr>
            <w:r>
              <w:rPr>
                <w:rFonts w:ascii="Times New Roman" w:hAnsi="Times New Roman" w:cs="Times New Roman"/>
                <w:sz w:val="26"/>
                <w:szCs w:val="26"/>
              </w:rPr>
              <w:t>+982</w:t>
            </w:r>
          </w:p>
        </w:tc>
      </w:tr>
      <w:tr w14:paraId="307AAC44" w14:textId="77777777" w:rsidTr="00BD762F">
        <w:tblPrEx>
          <w:tblW w:w="5000" w:type="pct"/>
          <w:tblLook w:val="01E0"/>
        </w:tblPrEx>
        <w:trPr>
          <w:trHeight w:val="674"/>
        </w:trPr>
        <w:tc>
          <w:tcPr>
            <w:tcW w:w="549" w:type="pct"/>
            <w:tcBorders>
              <w:top w:val="single" w:sz="4" w:space="0" w:color="auto"/>
              <w:left w:val="single" w:sz="4" w:space="0" w:color="auto"/>
              <w:bottom w:val="single" w:sz="4" w:space="0" w:color="auto"/>
              <w:right w:val="single" w:sz="4" w:space="0" w:color="auto"/>
            </w:tcBorders>
            <w:vAlign w:val="bottom"/>
            <w:hideMark/>
          </w:tcPr>
          <w:p w:rsidR="00D20809" w14:paraId="25A7B34F" w14:textId="77777777">
            <w:pPr>
              <w:spacing w:line="240" w:lineRule="auto"/>
              <w:rPr>
                <w:rFonts w:ascii="Times New Roman" w:hAnsi="Times New Roman" w:cs="Times New Roman"/>
                <w:sz w:val="26"/>
                <w:szCs w:val="26"/>
              </w:rPr>
            </w:pPr>
            <w:r>
              <w:rPr>
                <w:rFonts w:ascii="Times New Roman" w:hAnsi="Times New Roman" w:cs="Times New Roman"/>
                <w:sz w:val="26"/>
                <w:szCs w:val="26"/>
              </w:rPr>
              <w:t>Annual Time Burden (Hr.)</w:t>
            </w:r>
          </w:p>
        </w:tc>
        <w:tc>
          <w:tcPr>
            <w:tcW w:w="1445" w:type="pct"/>
            <w:tcBorders>
              <w:top w:val="single" w:sz="4" w:space="0" w:color="auto"/>
              <w:left w:val="single" w:sz="4" w:space="0" w:color="auto"/>
              <w:bottom w:val="single" w:sz="4" w:space="0" w:color="auto"/>
              <w:right w:val="single" w:sz="4" w:space="0" w:color="auto"/>
            </w:tcBorders>
            <w:vAlign w:val="bottom"/>
            <w:hideMark/>
          </w:tcPr>
          <w:p w:rsidR="00D20809" w14:paraId="2D9697FF" w14:textId="32812FC1">
            <w:pPr>
              <w:spacing w:line="240" w:lineRule="auto"/>
              <w:jc w:val="right"/>
              <w:rPr>
                <w:rFonts w:ascii="Times New Roman" w:hAnsi="Times New Roman" w:cs="Times New Roman"/>
                <w:sz w:val="26"/>
                <w:szCs w:val="26"/>
              </w:rPr>
            </w:pPr>
            <w:r>
              <w:rPr>
                <w:rFonts w:ascii="Times New Roman" w:hAnsi="Times New Roman" w:cs="Times New Roman"/>
                <w:sz w:val="26"/>
                <w:szCs w:val="26"/>
              </w:rPr>
              <w:t>1,055,091</w:t>
            </w:r>
          </w:p>
        </w:tc>
        <w:tc>
          <w:tcPr>
            <w:tcW w:w="579" w:type="pct"/>
            <w:tcBorders>
              <w:top w:val="single" w:sz="4" w:space="0" w:color="auto"/>
              <w:left w:val="single" w:sz="4" w:space="0" w:color="auto"/>
              <w:bottom w:val="single" w:sz="4" w:space="0" w:color="auto"/>
              <w:right w:val="single" w:sz="4" w:space="0" w:color="auto"/>
            </w:tcBorders>
            <w:vAlign w:val="bottom"/>
          </w:tcPr>
          <w:p w:rsidR="00D20809" w14:paraId="0551E842" w14:textId="75EEB0C2">
            <w:pPr>
              <w:spacing w:line="240" w:lineRule="auto"/>
              <w:jc w:val="right"/>
              <w:rPr>
                <w:rFonts w:ascii="Times New Roman" w:hAnsi="Times New Roman" w:cs="Times New Roman"/>
                <w:sz w:val="26"/>
                <w:szCs w:val="26"/>
              </w:rPr>
            </w:pPr>
            <w:r>
              <w:rPr>
                <w:rFonts w:ascii="Times New Roman" w:hAnsi="Times New Roman" w:cs="Times New Roman"/>
                <w:sz w:val="26"/>
                <w:szCs w:val="26"/>
              </w:rPr>
              <w:t>1,015,811</w:t>
            </w:r>
          </w:p>
        </w:tc>
        <w:tc>
          <w:tcPr>
            <w:tcW w:w="1039" w:type="pct"/>
            <w:tcBorders>
              <w:top w:val="single" w:sz="4" w:space="0" w:color="auto"/>
              <w:left w:val="single" w:sz="4" w:space="0" w:color="auto"/>
              <w:bottom w:val="single" w:sz="4" w:space="0" w:color="auto"/>
              <w:right w:val="single" w:sz="4" w:space="0" w:color="auto"/>
            </w:tcBorders>
            <w:vAlign w:val="bottom"/>
          </w:tcPr>
          <w:p w:rsidR="00D20809" w14:paraId="3247DE8E" w14:textId="690710FE">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c>
          <w:tcPr>
            <w:tcW w:w="1387" w:type="pct"/>
            <w:tcBorders>
              <w:top w:val="single" w:sz="4" w:space="0" w:color="auto"/>
              <w:left w:val="single" w:sz="4" w:space="0" w:color="auto"/>
              <w:bottom w:val="single" w:sz="4" w:space="0" w:color="auto"/>
              <w:right w:val="single" w:sz="4" w:space="0" w:color="auto"/>
            </w:tcBorders>
            <w:vAlign w:val="bottom"/>
            <w:hideMark/>
          </w:tcPr>
          <w:p w:rsidR="00D20809" w14:paraId="0A31B85E" w14:textId="309F62F0">
            <w:pPr>
              <w:spacing w:line="240" w:lineRule="auto"/>
              <w:jc w:val="right"/>
              <w:rPr>
                <w:rFonts w:ascii="Times New Roman" w:hAnsi="Times New Roman" w:cs="Times New Roman"/>
                <w:sz w:val="26"/>
                <w:szCs w:val="26"/>
              </w:rPr>
            </w:pPr>
            <w:r>
              <w:rPr>
                <w:rFonts w:ascii="Times New Roman" w:hAnsi="Times New Roman" w:cs="Times New Roman"/>
                <w:sz w:val="26"/>
                <w:szCs w:val="26"/>
              </w:rPr>
              <w:t>+</w:t>
            </w:r>
            <w:r w:rsidR="00D77E91">
              <w:rPr>
                <w:rFonts w:ascii="Times New Roman" w:hAnsi="Times New Roman" w:cs="Times New Roman"/>
                <w:sz w:val="26"/>
                <w:szCs w:val="26"/>
              </w:rPr>
              <w:t>39,280</w:t>
            </w:r>
          </w:p>
        </w:tc>
      </w:tr>
      <w:tr w14:paraId="4C0DB701" w14:textId="77777777" w:rsidTr="00BD762F">
        <w:tblPrEx>
          <w:tblW w:w="5000" w:type="pct"/>
          <w:tblLook w:val="01E0"/>
        </w:tblPrEx>
        <w:trPr>
          <w:trHeight w:val="295"/>
        </w:trPr>
        <w:tc>
          <w:tcPr>
            <w:tcW w:w="549" w:type="pct"/>
            <w:tcBorders>
              <w:top w:val="single" w:sz="4" w:space="0" w:color="auto"/>
              <w:left w:val="single" w:sz="4" w:space="0" w:color="auto"/>
              <w:bottom w:val="single" w:sz="4" w:space="0" w:color="auto"/>
              <w:right w:val="single" w:sz="4" w:space="0" w:color="auto"/>
            </w:tcBorders>
            <w:vAlign w:val="bottom"/>
            <w:hideMark/>
          </w:tcPr>
          <w:p w:rsidR="00D20809" w14:paraId="6D2F766E" w14:textId="77777777">
            <w:pPr>
              <w:spacing w:line="240" w:lineRule="auto"/>
              <w:rPr>
                <w:rFonts w:ascii="Times New Roman" w:hAnsi="Times New Roman" w:cs="Times New Roman"/>
                <w:sz w:val="26"/>
                <w:szCs w:val="26"/>
              </w:rPr>
            </w:pPr>
            <w:r>
              <w:rPr>
                <w:rFonts w:ascii="Times New Roman" w:hAnsi="Times New Roman" w:cs="Times New Roman"/>
                <w:sz w:val="26"/>
                <w:szCs w:val="26"/>
              </w:rPr>
              <w:t>Annual Cost Burden ($)</w:t>
            </w:r>
          </w:p>
        </w:tc>
        <w:tc>
          <w:tcPr>
            <w:tcW w:w="1445" w:type="pct"/>
            <w:tcBorders>
              <w:top w:val="single" w:sz="4" w:space="0" w:color="auto"/>
              <w:left w:val="single" w:sz="4" w:space="0" w:color="auto"/>
              <w:bottom w:val="single" w:sz="4" w:space="0" w:color="auto"/>
              <w:right w:val="single" w:sz="4" w:space="0" w:color="auto"/>
            </w:tcBorders>
            <w:vAlign w:val="bottom"/>
            <w:hideMark/>
          </w:tcPr>
          <w:p w:rsidR="00D20809" w14:paraId="50DF4FF9" w14:textId="77777777">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c>
          <w:tcPr>
            <w:tcW w:w="579" w:type="pct"/>
            <w:tcBorders>
              <w:top w:val="single" w:sz="4" w:space="0" w:color="auto"/>
              <w:left w:val="single" w:sz="4" w:space="0" w:color="auto"/>
              <w:bottom w:val="single" w:sz="4" w:space="0" w:color="auto"/>
              <w:right w:val="single" w:sz="4" w:space="0" w:color="auto"/>
            </w:tcBorders>
            <w:vAlign w:val="bottom"/>
            <w:hideMark/>
          </w:tcPr>
          <w:p w:rsidR="00D20809" w14:paraId="220BE098" w14:textId="77777777">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c>
          <w:tcPr>
            <w:tcW w:w="1039" w:type="pct"/>
            <w:tcBorders>
              <w:top w:val="single" w:sz="4" w:space="0" w:color="auto"/>
              <w:left w:val="single" w:sz="4" w:space="0" w:color="auto"/>
              <w:bottom w:val="single" w:sz="4" w:space="0" w:color="auto"/>
              <w:right w:val="single" w:sz="4" w:space="0" w:color="auto"/>
            </w:tcBorders>
            <w:vAlign w:val="bottom"/>
            <w:hideMark/>
          </w:tcPr>
          <w:p w:rsidR="00D20809" w14:paraId="3CB3F897" w14:textId="77777777">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c>
          <w:tcPr>
            <w:tcW w:w="1387" w:type="pct"/>
            <w:tcBorders>
              <w:top w:val="single" w:sz="4" w:space="0" w:color="auto"/>
              <w:left w:val="single" w:sz="4" w:space="0" w:color="auto"/>
              <w:bottom w:val="single" w:sz="4" w:space="0" w:color="auto"/>
              <w:right w:val="single" w:sz="4" w:space="0" w:color="auto"/>
            </w:tcBorders>
            <w:vAlign w:val="bottom"/>
            <w:hideMark/>
          </w:tcPr>
          <w:p w:rsidR="00D20809" w14:paraId="5F549CBC" w14:textId="77777777">
            <w:pPr>
              <w:spacing w:line="240" w:lineRule="auto"/>
              <w:jc w:val="right"/>
              <w:rPr>
                <w:rFonts w:ascii="Times New Roman" w:hAnsi="Times New Roman" w:cs="Times New Roman"/>
                <w:sz w:val="26"/>
                <w:szCs w:val="26"/>
              </w:rPr>
            </w:pPr>
            <w:r>
              <w:rPr>
                <w:rFonts w:ascii="Times New Roman" w:hAnsi="Times New Roman" w:cs="Times New Roman"/>
                <w:sz w:val="26"/>
                <w:szCs w:val="26"/>
              </w:rPr>
              <w:t>0</w:t>
            </w:r>
          </w:p>
        </w:tc>
      </w:tr>
    </w:tbl>
    <w:p w:rsidR="00D20809" w14:paraId="453291FB" w14:textId="77777777">
      <w:pPr>
        <w:spacing w:after="0" w:line="240" w:lineRule="auto"/>
        <w:rPr>
          <w:rFonts w:ascii="Times New Roman" w:hAnsi="Times New Roman" w:cs="Times New Roman"/>
          <w:sz w:val="26"/>
          <w:szCs w:val="26"/>
        </w:rPr>
      </w:pPr>
    </w:p>
    <w:p w:rsidR="00D20809" w14:paraId="4017243F"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TIME SCHEDULE FOR PUBLICATION OF DATA</w:t>
      </w:r>
    </w:p>
    <w:p w:rsidR="00D20809" w:rsidP="00BD762F" w14:paraId="52D66B76" w14:textId="77777777">
      <w:pPr>
        <w:spacing w:after="0" w:line="240" w:lineRule="auto"/>
        <w:jc w:val="right"/>
        <w:rPr>
          <w:rFonts w:ascii="Times New Roman" w:hAnsi="Times New Roman" w:cs="Times New Roman"/>
          <w:sz w:val="26"/>
          <w:szCs w:val="26"/>
        </w:rPr>
      </w:pPr>
    </w:p>
    <w:p w:rsidR="00D20809" w14:paraId="06E58143"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There are no data publications.</w:t>
      </w:r>
    </w:p>
    <w:p w:rsidR="00D20809" w14:paraId="2D9C9054" w14:textId="77777777">
      <w:pPr>
        <w:spacing w:after="0" w:line="240" w:lineRule="auto"/>
        <w:rPr>
          <w:rFonts w:ascii="Times New Roman" w:hAnsi="Times New Roman" w:cs="Times New Roman"/>
          <w:sz w:val="26"/>
          <w:szCs w:val="26"/>
        </w:rPr>
      </w:pPr>
    </w:p>
    <w:p w:rsidR="00D20809" w14:paraId="6A59A7B3"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DISPLAY OF EXPIRATION DATE</w:t>
      </w:r>
    </w:p>
    <w:p w:rsidR="00D20809" w14:paraId="0C837F48" w14:textId="77777777">
      <w:pPr>
        <w:spacing w:after="0" w:line="240" w:lineRule="auto"/>
        <w:rPr>
          <w:rFonts w:ascii="Times New Roman" w:hAnsi="Times New Roman" w:cs="Times New Roman"/>
          <w:sz w:val="26"/>
          <w:szCs w:val="26"/>
        </w:rPr>
      </w:pPr>
    </w:p>
    <w:p w:rsidR="00D20809" w:rsidRPr="007736BF" w14:paraId="2BB6AD4C" w14:textId="0CDD2750">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The expiration date is posted at </w:t>
      </w:r>
      <w:hyperlink r:id="rId9" w:history="1">
        <w:r w:rsidRPr="006C10E5" w:rsidR="0004734E">
          <w:rPr>
            <w:rStyle w:val="Hyperlink"/>
            <w:sz w:val="26"/>
            <w:szCs w:val="26"/>
          </w:rPr>
          <w:t>https://www.ferc.gov/enforcement-legal/legal/information-collections</w:t>
        </w:r>
      </w:hyperlink>
      <w:r w:rsidR="0004734E">
        <w:rPr>
          <w:rFonts w:ascii="Times New Roman" w:hAnsi="Times New Roman" w:cs="Times New Roman"/>
          <w:sz w:val="26"/>
          <w:szCs w:val="26"/>
        </w:rPr>
        <w:t xml:space="preserve"> </w:t>
      </w:r>
      <w:r w:rsidR="00291D85">
        <w:rPr>
          <w:rFonts w:ascii="Times New Roman" w:hAnsi="Times New Roman" w:cs="Times New Roman"/>
          <w:sz w:val="26"/>
          <w:szCs w:val="26"/>
        </w:rPr>
        <w:t>.</w:t>
      </w:r>
    </w:p>
    <w:p w:rsidR="00D20809" w14:paraId="1A2302AC" w14:textId="77777777">
      <w:pPr>
        <w:spacing w:after="0" w:line="240" w:lineRule="auto"/>
        <w:rPr>
          <w:rFonts w:ascii="Times New Roman" w:hAnsi="Times New Roman" w:cs="Times New Roman"/>
          <w:sz w:val="26"/>
          <w:szCs w:val="26"/>
        </w:rPr>
      </w:pPr>
    </w:p>
    <w:p w:rsidR="00D20809" w14:paraId="4C2A2D97" w14:textId="77777777">
      <w:pPr>
        <w:numPr>
          <w:ilvl w:val="0"/>
          <w:numId w:val="2"/>
        </w:numPr>
        <w:spacing w:after="0" w:line="240" w:lineRule="auto"/>
        <w:rPr>
          <w:rFonts w:ascii="Times New Roman" w:hAnsi="Times New Roman" w:cs="Times New Roman"/>
          <w:b/>
          <w:sz w:val="26"/>
          <w:szCs w:val="26"/>
        </w:rPr>
      </w:pPr>
      <w:r>
        <w:rPr>
          <w:rFonts w:ascii="Times New Roman" w:hAnsi="Times New Roman" w:cs="Times New Roman"/>
          <w:b/>
          <w:sz w:val="26"/>
          <w:szCs w:val="26"/>
        </w:rPr>
        <w:t>EXCEPTIONS TO THE CERTIFICATION STATEMENT</w:t>
      </w:r>
    </w:p>
    <w:p w:rsidR="00D20809" w14:paraId="0923E109" w14:textId="77777777">
      <w:pPr>
        <w:spacing w:after="0" w:line="240" w:lineRule="auto"/>
        <w:rPr>
          <w:rFonts w:ascii="Times New Roman" w:hAnsi="Times New Roman" w:cs="Times New Roman"/>
          <w:b/>
          <w:sz w:val="26"/>
          <w:szCs w:val="26"/>
        </w:rPr>
      </w:pPr>
    </w:p>
    <w:p w:rsidR="00D20809" w14:paraId="407CCE51" w14:textId="77777777">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The Commission does not use statistical methods for these collections.  </w:t>
      </w:r>
    </w:p>
    <w:sectPr>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7652269"/>
      <w:docPartObj>
        <w:docPartGallery w:val="Page Numbers (Bottom of Page)"/>
        <w:docPartUnique/>
      </w:docPartObj>
    </w:sdtPr>
    <w:sdtEndPr>
      <w:rPr>
        <w:noProof/>
      </w:rPr>
    </w:sdtEndPr>
    <w:sdtContent>
      <w:p w:rsidR="00E51F85" w14:paraId="4EBB32DA" w14:textId="77777777">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10</w:t>
        </w:r>
        <w:r>
          <w:rPr>
            <w:noProof/>
            <w:color w:val="2B579A"/>
            <w:shd w:val="clear" w:color="auto" w:fill="E6E6E6"/>
          </w:rPr>
          <w:fldChar w:fldCharType="end"/>
        </w:r>
      </w:p>
    </w:sdtContent>
  </w:sdt>
  <w:p w:rsidR="00E51F85" w14:paraId="7E9AB33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040E4" w14:paraId="1A279A0C" w14:textId="77777777">
      <w:pPr>
        <w:spacing w:after="0" w:line="240" w:lineRule="auto"/>
      </w:pPr>
      <w:r>
        <w:separator/>
      </w:r>
    </w:p>
  </w:footnote>
  <w:footnote w:type="continuationSeparator" w:id="1">
    <w:p w:rsidR="004040E4" w14:paraId="457EC919" w14:textId="77777777">
      <w:pPr>
        <w:spacing w:after="0" w:line="240" w:lineRule="auto"/>
      </w:pPr>
      <w:r>
        <w:continuationSeparator/>
      </w:r>
    </w:p>
  </w:footnote>
  <w:footnote w:type="continuationNotice" w:id="2">
    <w:p w:rsidR="004040E4" w14:paraId="0AA6A22A" w14:textId="77777777">
      <w:pPr>
        <w:spacing w:after="0" w:line="240" w:lineRule="auto"/>
      </w:pPr>
    </w:p>
  </w:footnote>
  <w:footnote w:id="3">
    <w:p w:rsidR="00E51F85" w:rsidRPr="00305BC8" w:rsidP="001970D4" w14:paraId="3E87E478" w14:textId="6C9C5617">
      <w:pPr>
        <w:pStyle w:val="FootnoteText"/>
        <w:rPr>
          <w:sz w:val="26"/>
          <w:szCs w:val="26"/>
        </w:rPr>
      </w:pPr>
      <w:r w:rsidRPr="00305BC8">
        <w:rPr>
          <w:rStyle w:val="FootnoteReference"/>
          <w:sz w:val="26"/>
          <w:szCs w:val="26"/>
        </w:rPr>
        <w:footnoteRef/>
      </w:r>
      <w:r w:rsidRPr="00305BC8">
        <w:rPr>
          <w:sz w:val="26"/>
          <w:szCs w:val="26"/>
        </w:rPr>
        <w:t xml:space="preserve"> </w:t>
      </w:r>
      <w:r w:rsidRPr="00305BC8">
        <w:rPr>
          <w:sz w:val="26"/>
          <w:szCs w:val="26"/>
        </w:rPr>
        <w:tab/>
        <w:t>The Energy Policy Act of 2005, Pub. L. No 109-58, Title XII, Subtitle A, 119 Stat. 594, 941 (2005), codified at 16 U.S.C. 824o (2006).</w:t>
      </w:r>
    </w:p>
  </w:footnote>
  <w:footnote w:id="4">
    <w:p w:rsidR="00E51F85" w:rsidRPr="00305BC8" w:rsidP="001970D4" w14:paraId="7E549D5E" w14:textId="449F9CA0">
      <w:pPr>
        <w:pStyle w:val="FootnoteText"/>
        <w:rPr>
          <w:sz w:val="26"/>
          <w:szCs w:val="26"/>
        </w:rPr>
      </w:pPr>
      <w:r w:rsidRPr="00305BC8">
        <w:rPr>
          <w:rStyle w:val="FootnoteReference"/>
          <w:sz w:val="26"/>
          <w:szCs w:val="26"/>
        </w:rPr>
        <w:footnoteRef/>
      </w:r>
      <w:r w:rsidRPr="00305BC8">
        <w:rPr>
          <w:sz w:val="26"/>
          <w:szCs w:val="26"/>
        </w:rPr>
        <w:t xml:space="preserve"> </w:t>
      </w:r>
      <w:r w:rsidRPr="00305BC8">
        <w:rPr>
          <w:sz w:val="26"/>
          <w:szCs w:val="26"/>
        </w:rPr>
        <w:tab/>
        <w:t>Id. 824o(c), (d).</w:t>
      </w:r>
    </w:p>
  </w:footnote>
  <w:footnote w:id="5">
    <w:p w:rsidR="00E51F85" w:rsidRPr="00305BC8" w:rsidP="001970D4" w14:paraId="0F260DD2" w14:textId="3A489219">
      <w:pPr>
        <w:pStyle w:val="FootnoteText"/>
        <w:rPr>
          <w:sz w:val="26"/>
          <w:szCs w:val="26"/>
        </w:rPr>
      </w:pPr>
      <w:r w:rsidRPr="00305BC8">
        <w:rPr>
          <w:rStyle w:val="FootnoteReference"/>
          <w:sz w:val="26"/>
          <w:szCs w:val="26"/>
        </w:rPr>
        <w:footnoteRef/>
      </w:r>
      <w:r w:rsidRPr="00305BC8">
        <w:rPr>
          <w:sz w:val="26"/>
          <w:szCs w:val="26"/>
          <w:vertAlign w:val="superscript"/>
        </w:rPr>
        <w:t xml:space="preserve"> </w:t>
      </w:r>
      <w:r w:rsidRPr="00305BC8">
        <w:rPr>
          <w:sz w:val="26"/>
          <w:szCs w:val="26"/>
          <w:vertAlign w:val="superscript"/>
        </w:rPr>
        <w:tab/>
      </w:r>
      <w:r w:rsidRPr="00305BC8">
        <w:rPr>
          <w:sz w:val="26"/>
          <w:szCs w:val="26"/>
        </w:rPr>
        <w:t>Id. 824o(e).</w:t>
      </w:r>
    </w:p>
  </w:footnote>
  <w:footnote w:id="6">
    <w:p w:rsidR="00E51F85" w:rsidRPr="00305BC8" w:rsidP="001970D4" w14:paraId="41ECEFB4" w14:textId="0D19991C">
      <w:pPr>
        <w:pStyle w:val="FootnoteText"/>
        <w:rPr>
          <w:sz w:val="26"/>
          <w:szCs w:val="26"/>
        </w:rPr>
      </w:pPr>
      <w:r w:rsidRPr="00305BC8">
        <w:rPr>
          <w:rStyle w:val="FootnoteReference"/>
          <w:sz w:val="26"/>
          <w:szCs w:val="26"/>
        </w:rPr>
        <w:footnoteRef/>
      </w:r>
      <w:r w:rsidRPr="00305BC8">
        <w:rPr>
          <w:sz w:val="26"/>
          <w:szCs w:val="26"/>
          <w:vertAlign w:val="superscript"/>
        </w:rPr>
        <w:t xml:space="preserve"> </w:t>
      </w:r>
      <w:r w:rsidRPr="00305BC8">
        <w:rPr>
          <w:sz w:val="26"/>
          <w:szCs w:val="26"/>
          <w:vertAlign w:val="superscript"/>
        </w:rPr>
        <w:tab/>
      </w:r>
      <w:r w:rsidRPr="00305BC8">
        <w:rPr>
          <w:sz w:val="26"/>
          <w:szCs w:val="26"/>
        </w:rPr>
        <w:t>“Electric Reliability Organization” or “ERO” means the organization certified by the Commission the purpose of which is to establish and enforce Reliability Standards for the Bulk-Power System, subject to Commission review.</w:t>
      </w:r>
    </w:p>
  </w:footnote>
  <w:footnote w:id="7">
    <w:p w:rsidR="00E51F85" w:rsidRPr="00305BC8" w:rsidP="001970D4" w14:paraId="39B4B1FE" w14:textId="2A137A59">
      <w:pPr>
        <w:pStyle w:val="FootnoteText"/>
        <w:rPr>
          <w:sz w:val="26"/>
          <w:szCs w:val="26"/>
        </w:rPr>
      </w:pPr>
      <w:r w:rsidRPr="00305BC8">
        <w:rPr>
          <w:rStyle w:val="FootnoteReference"/>
          <w:sz w:val="26"/>
          <w:szCs w:val="26"/>
        </w:rPr>
        <w:footnoteRef/>
      </w:r>
      <w:r w:rsidRPr="00305BC8">
        <w:rPr>
          <w:sz w:val="26"/>
          <w:szCs w:val="26"/>
          <w:vertAlign w:val="superscript"/>
        </w:rPr>
        <w:t xml:space="preserve"> </w:t>
      </w:r>
      <w:r w:rsidRPr="00305BC8">
        <w:rPr>
          <w:sz w:val="26"/>
          <w:szCs w:val="26"/>
          <w:vertAlign w:val="superscript"/>
        </w:rPr>
        <w:tab/>
      </w:r>
      <w:r w:rsidRPr="00305BC8">
        <w:rPr>
          <w:sz w:val="26"/>
          <w:szCs w:val="26"/>
        </w:rPr>
        <w:t xml:space="preserve">North American Electric Reliability Corp., 116 FERC ¶ 61,062, order on reh’g and compliance, 117 FERC ¶ 61,126 (2006), order on compliance, 118 FERC ¶ 61,190, </w:t>
      </w:r>
      <w:r w:rsidRPr="00305BC8">
        <w:rPr>
          <w:i/>
          <w:sz w:val="26"/>
          <w:szCs w:val="26"/>
        </w:rPr>
        <w:t>order on reh’g</w:t>
      </w:r>
      <w:r w:rsidRPr="00305BC8">
        <w:rPr>
          <w:sz w:val="26"/>
          <w:szCs w:val="26"/>
        </w:rPr>
        <w:t xml:space="preserve">, 119 FERC ¶ 61,046 (2007), </w:t>
      </w:r>
      <w:r w:rsidRPr="00305BC8">
        <w:rPr>
          <w:i/>
          <w:sz w:val="26"/>
          <w:szCs w:val="26"/>
        </w:rPr>
        <w:t>aff’d sub nom. Alcoa Inc. v. FERC</w:t>
      </w:r>
      <w:r w:rsidRPr="00305BC8">
        <w:rPr>
          <w:sz w:val="26"/>
          <w:szCs w:val="26"/>
        </w:rPr>
        <w:t>, 564 F.3d 1342 (D.C. Cir. 2009).</w:t>
      </w:r>
    </w:p>
  </w:footnote>
  <w:footnote w:id="8">
    <w:p w:rsidR="00D23085" w:rsidP="00D23085" w14:paraId="295AAE33" w14:textId="77777777">
      <w:pPr>
        <w:pStyle w:val="FootnoteText"/>
        <w:ind w:firstLine="720"/>
        <w:rPr>
          <w:sz w:val="26"/>
          <w:szCs w:val="26"/>
          <w:lang w:val="es-ES"/>
        </w:rPr>
      </w:pPr>
      <w:r w:rsidRPr="00322662">
        <w:rPr>
          <w:rStyle w:val="FootnoteReference"/>
        </w:rPr>
        <w:footnoteRef/>
      </w:r>
      <w:r w:rsidRPr="003514B9">
        <w:rPr>
          <w:sz w:val="26"/>
          <w:szCs w:val="26"/>
        </w:rPr>
        <w:t xml:space="preserve"> 16 U.S.C. </w:t>
      </w:r>
      <w:r w:rsidRPr="003514B9">
        <w:rPr>
          <w:sz w:val="26"/>
          <w:szCs w:val="26"/>
          <w:lang w:val="es-ES"/>
        </w:rPr>
        <w:t>824o(c).</w:t>
      </w:r>
    </w:p>
    <w:p w:rsidR="00D23085" w:rsidRPr="003514B9" w:rsidP="00D23085" w14:paraId="16D9A948" w14:textId="77777777">
      <w:pPr>
        <w:pStyle w:val="FootnoteText"/>
        <w:rPr>
          <w:sz w:val="26"/>
          <w:szCs w:val="26"/>
        </w:rPr>
      </w:pPr>
    </w:p>
  </w:footnote>
  <w:footnote w:id="9">
    <w:p w:rsidR="00D23085" w:rsidP="00D23085" w14:paraId="373FDEF6" w14:textId="77777777">
      <w:pPr>
        <w:pStyle w:val="FootnoteText"/>
        <w:ind w:firstLine="720"/>
        <w:rPr>
          <w:sz w:val="26"/>
          <w:szCs w:val="26"/>
        </w:rPr>
      </w:pPr>
      <w:r w:rsidRPr="0072167A">
        <w:rPr>
          <w:rStyle w:val="FootnoteReference"/>
        </w:rPr>
        <w:footnoteRef/>
      </w:r>
      <w:r w:rsidRPr="003514B9">
        <w:rPr>
          <w:sz w:val="26"/>
          <w:szCs w:val="26"/>
        </w:rPr>
        <w:t xml:space="preserve"> </w:t>
      </w:r>
      <w:r w:rsidRPr="003514B9">
        <w:rPr>
          <w:i/>
          <w:iCs/>
          <w:sz w:val="26"/>
          <w:szCs w:val="26"/>
        </w:rPr>
        <w:t>Id.</w:t>
      </w:r>
      <w:r w:rsidRPr="003514B9">
        <w:rPr>
          <w:sz w:val="26"/>
          <w:szCs w:val="26"/>
        </w:rPr>
        <w:t xml:space="preserve"> 824o(e).</w:t>
      </w:r>
    </w:p>
    <w:p w:rsidR="00D23085" w:rsidRPr="003514B9" w:rsidP="00D23085" w14:paraId="285958DD" w14:textId="77777777">
      <w:pPr>
        <w:pStyle w:val="FootnoteText"/>
        <w:rPr>
          <w:sz w:val="26"/>
          <w:szCs w:val="26"/>
        </w:rPr>
      </w:pPr>
    </w:p>
  </w:footnote>
  <w:footnote w:id="10">
    <w:p w:rsidR="00D23085" w:rsidRPr="0072167A" w:rsidP="00D23085" w14:paraId="06B2D36E" w14:textId="77777777">
      <w:pPr>
        <w:pStyle w:val="FootnoteText"/>
        <w:ind w:firstLine="720"/>
        <w:rPr>
          <w:i/>
          <w:iCs/>
          <w:sz w:val="26"/>
          <w:szCs w:val="26"/>
        </w:rPr>
      </w:pPr>
      <w:r w:rsidRPr="0072167A">
        <w:rPr>
          <w:rStyle w:val="FootnoteReference"/>
        </w:rPr>
        <w:footnoteRef/>
      </w:r>
      <w:r w:rsidRPr="0072167A">
        <w:rPr>
          <w:sz w:val="26"/>
          <w:szCs w:val="26"/>
        </w:rPr>
        <w:t xml:space="preserve"> </w:t>
      </w:r>
      <w:r w:rsidRPr="0072167A">
        <w:rPr>
          <w:i/>
          <w:iCs/>
          <w:sz w:val="26"/>
          <w:szCs w:val="26"/>
        </w:rPr>
        <w:t xml:space="preserve">Rules Concerning Certification of the Elec. Reliability Org.; &amp; </w:t>
      </w:r>
      <w:r w:rsidRPr="0072167A">
        <w:rPr>
          <w:i/>
          <w:iCs/>
          <w:sz w:val="26"/>
          <w:szCs w:val="26"/>
        </w:rPr>
        <w:t>Procs</w:t>
      </w:r>
      <w:r w:rsidRPr="0072167A">
        <w:rPr>
          <w:i/>
          <w:iCs/>
          <w:sz w:val="26"/>
          <w:szCs w:val="26"/>
        </w:rPr>
        <w:t xml:space="preserve">. for the Establishment, Approval, &amp; </w:t>
      </w:r>
      <w:r w:rsidRPr="0072167A">
        <w:rPr>
          <w:i/>
          <w:iCs/>
          <w:sz w:val="26"/>
          <w:szCs w:val="26"/>
        </w:rPr>
        <w:t>Enf’t</w:t>
      </w:r>
      <w:r w:rsidRPr="0072167A">
        <w:rPr>
          <w:i/>
          <w:iCs/>
          <w:sz w:val="26"/>
          <w:szCs w:val="26"/>
        </w:rPr>
        <w:t xml:space="preserve"> of Elec. Reliability Standards</w:t>
      </w:r>
      <w:r w:rsidRPr="0072167A">
        <w:rPr>
          <w:sz w:val="26"/>
          <w:szCs w:val="26"/>
        </w:rPr>
        <w:t>, Order No. 672, 71 FR 8662 (Feb. 17,</w:t>
      </w:r>
      <w:r>
        <w:rPr>
          <w:sz w:val="26"/>
          <w:szCs w:val="26"/>
        </w:rPr>
        <w:t xml:space="preserve"> </w:t>
      </w:r>
      <w:r w:rsidRPr="0072167A">
        <w:rPr>
          <w:sz w:val="26"/>
          <w:szCs w:val="26"/>
        </w:rPr>
        <w:t xml:space="preserve">2006), 114 FERC ¶ 61,104, </w:t>
      </w:r>
      <w:r w:rsidRPr="0072167A">
        <w:rPr>
          <w:i/>
          <w:iCs/>
          <w:sz w:val="26"/>
          <w:szCs w:val="26"/>
        </w:rPr>
        <w:t>order on reh’g</w:t>
      </w:r>
      <w:r w:rsidRPr="0072167A">
        <w:rPr>
          <w:sz w:val="26"/>
          <w:szCs w:val="26"/>
        </w:rPr>
        <w:t>, Order No. 672-A,</w:t>
      </w:r>
      <w:r w:rsidRPr="0072167A">
        <w:rPr>
          <w:i/>
          <w:iCs/>
          <w:sz w:val="26"/>
          <w:szCs w:val="26"/>
        </w:rPr>
        <w:t xml:space="preserve"> </w:t>
      </w:r>
      <w:r w:rsidRPr="0072167A">
        <w:rPr>
          <w:sz w:val="26"/>
          <w:szCs w:val="26"/>
        </w:rPr>
        <w:t xml:space="preserve">71 FR19814 (Apr. 18, 2006), 114 FERC ¶ 61,328 (2006); </w:t>
      </w:r>
      <w:r w:rsidRPr="0072167A">
        <w:rPr>
          <w:i/>
          <w:iCs/>
          <w:sz w:val="26"/>
          <w:szCs w:val="26"/>
        </w:rPr>
        <w:t xml:space="preserve">see also </w:t>
      </w:r>
      <w:r w:rsidRPr="0072167A">
        <w:rPr>
          <w:sz w:val="26"/>
          <w:szCs w:val="26"/>
        </w:rPr>
        <w:t>18 CFR 39.4(b).</w:t>
      </w:r>
    </w:p>
  </w:footnote>
  <w:footnote w:id="11">
    <w:p w:rsidR="00D23085" w:rsidP="00D23085" w14:paraId="1565DED5" w14:textId="77777777">
      <w:pPr>
        <w:pStyle w:val="FootnoteText"/>
        <w:rPr>
          <w:sz w:val="26"/>
          <w:szCs w:val="26"/>
        </w:rPr>
      </w:pPr>
    </w:p>
    <w:p w:rsidR="00D23085" w:rsidRPr="003514B9" w:rsidP="00D23085" w14:paraId="002249E1" w14:textId="77777777">
      <w:pPr>
        <w:pStyle w:val="FootnoteText"/>
        <w:ind w:firstLine="720"/>
        <w:rPr>
          <w:i/>
          <w:iCs/>
          <w:sz w:val="26"/>
          <w:szCs w:val="26"/>
        </w:rPr>
      </w:pPr>
      <w:r w:rsidRPr="0072167A">
        <w:rPr>
          <w:rStyle w:val="FootnoteReference"/>
        </w:rPr>
        <w:footnoteRef/>
      </w:r>
      <w:r w:rsidRPr="003514B9">
        <w:rPr>
          <w:sz w:val="26"/>
          <w:szCs w:val="26"/>
        </w:rPr>
        <w:t xml:space="preserve"> </w:t>
      </w:r>
      <w:r w:rsidRPr="003514B9">
        <w:rPr>
          <w:i/>
          <w:iCs/>
          <w:sz w:val="26"/>
          <w:szCs w:val="26"/>
        </w:rPr>
        <w:t>N. Am.</w:t>
      </w:r>
      <w:r w:rsidRPr="003514B9">
        <w:rPr>
          <w:i/>
          <w:iCs/>
          <w:sz w:val="26"/>
          <w:szCs w:val="26"/>
        </w:rPr>
        <w:t xml:space="preserve"> </w:t>
      </w:r>
      <w:r w:rsidRPr="003514B9">
        <w:rPr>
          <w:i/>
          <w:iCs/>
          <w:sz w:val="26"/>
          <w:szCs w:val="26"/>
        </w:rPr>
        <w:t>Elec. Reliability Corp.</w:t>
      </w:r>
      <w:r w:rsidRPr="003514B9">
        <w:rPr>
          <w:sz w:val="26"/>
          <w:szCs w:val="26"/>
        </w:rPr>
        <w:t xml:space="preserve">, 116 FERC ¶ 61,062, </w:t>
      </w:r>
      <w:r w:rsidRPr="003514B9">
        <w:rPr>
          <w:i/>
          <w:iCs/>
          <w:sz w:val="26"/>
          <w:szCs w:val="26"/>
        </w:rPr>
        <w:t>order on reh’g and compliance</w:t>
      </w:r>
      <w:r w:rsidRPr="003514B9">
        <w:rPr>
          <w:sz w:val="26"/>
          <w:szCs w:val="26"/>
        </w:rPr>
        <w:t xml:space="preserve">, 117 FERC ¶ 61,126 (2006), </w:t>
      </w:r>
      <w:r w:rsidRPr="003514B9">
        <w:rPr>
          <w:i/>
          <w:iCs/>
          <w:sz w:val="26"/>
          <w:szCs w:val="26"/>
        </w:rPr>
        <w:t>aff’d sub nom. Alcoa, Inc. v. FERC</w:t>
      </w:r>
      <w:r w:rsidRPr="003514B9">
        <w:rPr>
          <w:sz w:val="26"/>
          <w:szCs w:val="26"/>
        </w:rPr>
        <w:t>, 564</w:t>
      </w:r>
      <w:r w:rsidRPr="003514B9">
        <w:rPr>
          <w:i/>
          <w:iCs/>
          <w:sz w:val="26"/>
          <w:szCs w:val="26"/>
        </w:rPr>
        <w:t xml:space="preserve"> </w:t>
      </w:r>
      <w:r w:rsidRPr="003514B9">
        <w:rPr>
          <w:sz w:val="26"/>
          <w:szCs w:val="26"/>
        </w:rPr>
        <w:t>F.3d 1342 (D.C. Cir. 2009) (Certification Order).</w:t>
      </w:r>
    </w:p>
  </w:footnote>
  <w:footnote w:id="12">
    <w:p w:rsidR="00D23085" w:rsidP="00D23085" w14:paraId="3E78EE91" w14:textId="77777777">
      <w:pPr>
        <w:pStyle w:val="FootnoteText"/>
        <w:ind w:firstLine="720"/>
        <w:rPr>
          <w:sz w:val="26"/>
          <w:szCs w:val="26"/>
        </w:rPr>
      </w:pPr>
      <w:r w:rsidRPr="0072167A">
        <w:rPr>
          <w:rStyle w:val="FootnoteReference"/>
        </w:rPr>
        <w:footnoteRef/>
      </w:r>
      <w:r w:rsidRPr="003514B9">
        <w:rPr>
          <w:sz w:val="26"/>
          <w:szCs w:val="26"/>
        </w:rPr>
        <w:t xml:space="preserve"> NERC Petition at 4</w:t>
      </w:r>
    </w:p>
    <w:p w:rsidR="00D23085" w:rsidRPr="003514B9" w:rsidP="00D23085" w14:paraId="40650280" w14:textId="77777777">
      <w:pPr>
        <w:pStyle w:val="FootnoteText"/>
        <w:rPr>
          <w:sz w:val="26"/>
          <w:szCs w:val="26"/>
        </w:rPr>
      </w:pPr>
    </w:p>
  </w:footnote>
  <w:footnote w:id="13">
    <w:p w:rsidR="00D23085" w:rsidP="00D23085" w14:paraId="7E1DB7D8" w14:textId="77777777">
      <w:pPr>
        <w:pStyle w:val="FootnoteText"/>
        <w:ind w:firstLine="720"/>
        <w:rPr>
          <w:sz w:val="26"/>
          <w:szCs w:val="26"/>
        </w:rPr>
      </w:pPr>
      <w:r w:rsidRPr="0072167A">
        <w:rPr>
          <w:rStyle w:val="FootnoteReference"/>
        </w:rPr>
        <w:footnoteRef/>
      </w:r>
      <w:r>
        <w:rPr>
          <w:sz w:val="26"/>
          <w:szCs w:val="26"/>
        </w:rPr>
        <w:t xml:space="preserve"> </w:t>
      </w:r>
      <w:r>
        <w:rPr>
          <w:i/>
          <w:iCs/>
          <w:sz w:val="26"/>
          <w:szCs w:val="26"/>
        </w:rPr>
        <w:t>Order on Approving Revisions to N. Am. Elec. Reliability Corp. Rules of Proc. &amp; Requiring Compliance Filing</w:t>
      </w:r>
      <w:r>
        <w:rPr>
          <w:sz w:val="26"/>
          <w:szCs w:val="26"/>
        </w:rPr>
        <w:t xml:space="preserve">, 187 FERC </w:t>
      </w:r>
      <w:r w:rsidRPr="009A0D05">
        <w:rPr>
          <w:sz w:val="26"/>
          <w:szCs w:val="26"/>
        </w:rPr>
        <w:t>¶ 61,196</w:t>
      </w:r>
      <w:r>
        <w:rPr>
          <w:sz w:val="26"/>
          <w:szCs w:val="26"/>
        </w:rPr>
        <w:t xml:space="preserve"> (June 27, 2024).</w:t>
      </w:r>
    </w:p>
    <w:p w:rsidR="00D23085" w:rsidRPr="003514B9" w:rsidP="00D23085" w14:paraId="5522E762" w14:textId="77777777">
      <w:pPr>
        <w:pStyle w:val="FootnoteText"/>
        <w:rPr>
          <w:sz w:val="26"/>
          <w:szCs w:val="26"/>
        </w:rPr>
      </w:pPr>
      <w:r>
        <w:rPr>
          <w:sz w:val="26"/>
          <w:szCs w:val="26"/>
        </w:rPr>
        <w:t xml:space="preserve"> </w:t>
      </w:r>
    </w:p>
  </w:footnote>
  <w:footnote w:id="14">
    <w:p w:rsidR="00D23085" w:rsidRPr="003514B9" w:rsidP="00D23085" w14:paraId="0094E2A8" w14:textId="77777777">
      <w:pPr>
        <w:pStyle w:val="FootnoteText"/>
        <w:ind w:firstLine="720"/>
        <w:rPr>
          <w:sz w:val="26"/>
          <w:szCs w:val="26"/>
        </w:rPr>
      </w:pPr>
      <w:r w:rsidRPr="0072167A">
        <w:rPr>
          <w:rStyle w:val="FootnoteReference"/>
        </w:rPr>
        <w:footnoteRef/>
      </w:r>
      <w:r w:rsidRPr="003514B9">
        <w:rPr>
          <w:sz w:val="26"/>
          <w:szCs w:val="26"/>
        </w:rPr>
        <w:t xml:space="preserve"> NERC Petition at 3</w:t>
      </w:r>
      <w:r>
        <w:rPr>
          <w:sz w:val="26"/>
          <w:szCs w:val="26"/>
        </w:rPr>
        <w:t>-4.</w:t>
      </w:r>
    </w:p>
  </w:footnote>
  <w:footnote w:id="15">
    <w:p w:rsidR="00C133C1" w:rsidRPr="002107EB" w:rsidP="00C133C1" w14:paraId="15C5D249" w14:textId="3A800504">
      <w:pPr>
        <w:pStyle w:val="FootnoteText"/>
        <w:rPr>
          <w:sz w:val="26"/>
          <w:szCs w:val="26"/>
        </w:rPr>
      </w:pPr>
      <w:r w:rsidRPr="002107EB">
        <w:rPr>
          <w:rStyle w:val="FootnoteReference"/>
          <w:sz w:val="26"/>
          <w:szCs w:val="26"/>
        </w:rPr>
        <w:footnoteRef/>
      </w:r>
      <w:r w:rsidRPr="002107EB">
        <w:rPr>
          <w:sz w:val="26"/>
          <w:szCs w:val="26"/>
        </w:rPr>
        <w:t xml:space="preserve"> 9</w:t>
      </w:r>
      <w:r w:rsidR="00F7003F">
        <w:rPr>
          <w:sz w:val="26"/>
          <w:szCs w:val="26"/>
        </w:rPr>
        <w:t>1</w:t>
      </w:r>
      <w:r w:rsidRPr="002107EB">
        <w:rPr>
          <w:sz w:val="26"/>
          <w:szCs w:val="26"/>
        </w:rPr>
        <w:t xml:space="preserve"> FR </w:t>
      </w:r>
      <w:r w:rsidR="00F7003F">
        <w:rPr>
          <w:sz w:val="26"/>
          <w:szCs w:val="26"/>
        </w:rPr>
        <w:t>10388</w:t>
      </w:r>
      <w:r w:rsidRPr="002107EB">
        <w:rPr>
          <w:sz w:val="26"/>
          <w:szCs w:val="26"/>
        </w:rPr>
        <w:t xml:space="preserve">, </w:t>
      </w:r>
      <w:r w:rsidR="00F7003F">
        <w:rPr>
          <w:sz w:val="26"/>
          <w:szCs w:val="26"/>
        </w:rPr>
        <w:t>March</w:t>
      </w:r>
      <w:r w:rsidRPr="002107EB">
        <w:rPr>
          <w:sz w:val="26"/>
          <w:szCs w:val="26"/>
        </w:rPr>
        <w:t xml:space="preserve"> </w:t>
      </w:r>
      <w:r w:rsidR="00F7003F">
        <w:rPr>
          <w:sz w:val="26"/>
          <w:szCs w:val="26"/>
        </w:rPr>
        <w:t>3</w:t>
      </w:r>
      <w:r w:rsidRPr="002107EB">
        <w:rPr>
          <w:sz w:val="26"/>
          <w:szCs w:val="26"/>
        </w:rPr>
        <w:t>, 202</w:t>
      </w:r>
      <w:r w:rsidR="00F7003F">
        <w:rPr>
          <w:sz w:val="26"/>
          <w:szCs w:val="26"/>
        </w:rPr>
        <w:t>6</w:t>
      </w:r>
    </w:p>
  </w:footnote>
  <w:footnote w:id="16">
    <w:p w:rsidR="005E07CC" w:rsidRPr="003514B9" w:rsidP="005E07CC" w14:paraId="0BF1F97B" w14:textId="77777777">
      <w:pPr>
        <w:pStyle w:val="FootnoteText"/>
        <w:spacing w:after="260"/>
        <w:ind w:firstLine="720"/>
        <w:rPr>
          <w:sz w:val="26"/>
          <w:szCs w:val="26"/>
        </w:rPr>
      </w:pPr>
      <w:r w:rsidRPr="0072167A">
        <w:rPr>
          <w:rStyle w:val="FootnoteReference"/>
        </w:rPr>
        <w:footnoteRef/>
      </w:r>
      <w:r w:rsidRPr="003514B9">
        <w:rPr>
          <w:sz w:val="26"/>
          <w:szCs w:val="26"/>
        </w:rPr>
        <w:t xml:space="preserve"> See note </w:t>
      </w:r>
      <w:r>
        <w:rPr>
          <w:sz w:val="26"/>
          <w:szCs w:val="26"/>
        </w:rPr>
        <w:t>10</w:t>
      </w:r>
      <w:r w:rsidRPr="003514B9">
        <w:rPr>
          <w:sz w:val="26"/>
          <w:szCs w:val="26"/>
        </w:rPr>
        <w:t>.</w:t>
      </w:r>
    </w:p>
  </w:footnote>
  <w:footnote w:id="17">
    <w:p w:rsidR="005E07CC" w:rsidRPr="003514B9" w:rsidP="005E07CC" w14:paraId="5CFC8E3E" w14:textId="77777777">
      <w:pPr>
        <w:pStyle w:val="FootnoteText"/>
        <w:spacing w:after="260"/>
        <w:ind w:firstLine="720"/>
        <w:rPr>
          <w:sz w:val="26"/>
          <w:szCs w:val="26"/>
        </w:rPr>
      </w:pPr>
      <w:r w:rsidRPr="0072167A">
        <w:rPr>
          <w:rStyle w:val="FootnoteReference"/>
        </w:rPr>
        <w:footnoteRef/>
      </w:r>
      <w:r w:rsidRPr="003514B9">
        <w:rPr>
          <w:sz w:val="26"/>
          <w:szCs w:val="26"/>
        </w:rPr>
        <w:t xml:space="preserve"> See note </w:t>
      </w:r>
      <w:r>
        <w:rPr>
          <w:sz w:val="26"/>
          <w:szCs w:val="26"/>
        </w:rPr>
        <w:t>11</w:t>
      </w:r>
      <w:r w:rsidRPr="003514B9">
        <w:rPr>
          <w:sz w:val="26"/>
          <w:szCs w:val="26"/>
        </w:rPr>
        <w:t xml:space="preserve">. </w:t>
      </w:r>
    </w:p>
  </w:footnote>
  <w:footnote w:id="18">
    <w:p w:rsidR="00E51F85" w:rsidRPr="00A84CB2" w:rsidP="00B47F3A" w14:paraId="710463C8" w14:textId="7D386F2E">
      <w:pPr>
        <w:pStyle w:val="FootnoteText"/>
        <w:rPr>
          <w:rFonts w:cs="Times New Roman"/>
          <w:sz w:val="26"/>
          <w:szCs w:val="26"/>
        </w:rPr>
      </w:pPr>
      <w:r w:rsidRPr="00A84CB2">
        <w:rPr>
          <w:sz w:val="26"/>
          <w:szCs w:val="26"/>
          <w:vertAlign w:val="superscript"/>
        </w:rPr>
        <w:footnoteRef/>
      </w:r>
      <w:r w:rsidRPr="00A84CB2">
        <w:rPr>
          <w:sz w:val="26"/>
          <w:szCs w:val="26"/>
          <w:vertAlign w:val="superscript"/>
        </w:rPr>
        <w:t xml:space="preserve"> </w:t>
      </w:r>
      <w:r w:rsidRPr="00A84CB2">
        <w:rPr>
          <w:sz w:val="26"/>
          <w:szCs w:val="26"/>
          <w:vertAlign w:val="superscript"/>
        </w:rPr>
        <w:tab/>
      </w:r>
      <w:r w:rsidRPr="00A84CB2">
        <w:rPr>
          <w:sz w:val="26"/>
          <w:szCs w:val="26"/>
        </w:rPr>
        <w:t>Based on the Commission’s FY (Fiscal Year) 202</w:t>
      </w:r>
      <w:r w:rsidR="00E91DCE">
        <w:rPr>
          <w:sz w:val="26"/>
          <w:szCs w:val="26"/>
        </w:rPr>
        <w:t>6</w:t>
      </w:r>
      <w:r w:rsidRPr="00A84CB2">
        <w:rPr>
          <w:sz w:val="26"/>
          <w:szCs w:val="26"/>
        </w:rPr>
        <w:t xml:space="preserve"> average cost (for wages plus benefits), $</w:t>
      </w:r>
      <w:r w:rsidRPr="00A84CB2" w:rsidR="008810B6">
        <w:rPr>
          <w:sz w:val="26"/>
          <w:szCs w:val="26"/>
        </w:rPr>
        <w:t>10</w:t>
      </w:r>
      <w:r w:rsidR="00E91DCE">
        <w:rPr>
          <w:sz w:val="26"/>
          <w:szCs w:val="26"/>
        </w:rPr>
        <w:t>2</w:t>
      </w:r>
      <w:r w:rsidRPr="00A84CB2">
        <w:rPr>
          <w:sz w:val="26"/>
          <w:szCs w:val="26"/>
        </w:rPr>
        <w:t>.00/hour is 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1F85" w14:paraId="39E532EC" w14:textId="3024D550">
    <w:pPr>
      <w:pStyle w:val="Header"/>
      <w:rPr>
        <w:rFonts w:ascii="Times New Roman" w:hAnsi="Times New Roman" w:cs="Times New Roman"/>
        <w:sz w:val="26"/>
        <w:szCs w:val="26"/>
      </w:rPr>
    </w:pPr>
    <w:bookmarkStart w:id="12" w:name="_Hlk83646238"/>
    <w:r>
      <w:rPr>
        <w:rFonts w:ascii="Times New Roman" w:hAnsi="Times New Roman" w:cs="Times New Roman"/>
        <w:sz w:val="26"/>
        <w:szCs w:val="26"/>
      </w:rPr>
      <w:t>FERC-725G (OMB Control No. 1902-0252)</w:t>
    </w:r>
  </w:p>
  <w:bookmarkEnd w:id="12"/>
  <w:p w:rsidR="00F047B5" w14:paraId="31053DB5" w14:textId="43BFBBC3">
    <w:pPr>
      <w:pStyle w:val="Header"/>
      <w:rPr>
        <w:rFonts w:ascii="Times New Roman" w:hAnsi="Times New Roman" w:cs="Times New Roman"/>
        <w:sz w:val="26"/>
        <w:szCs w:val="26"/>
      </w:rPr>
    </w:pPr>
    <w:r>
      <w:rPr>
        <w:rFonts w:ascii="Times New Roman" w:hAnsi="Times New Roman" w:cs="Times New Roman"/>
        <w:sz w:val="26"/>
        <w:szCs w:val="26"/>
      </w:rPr>
      <w:t xml:space="preserve">RD25-10 </w:t>
    </w:r>
    <w:r w:rsidR="00EE0AE6">
      <w:rPr>
        <w:rFonts w:ascii="Times New Roman" w:hAnsi="Times New Roman" w:cs="Times New Roman"/>
        <w:sz w:val="26"/>
        <w:szCs w:val="26"/>
      </w:rPr>
      <w:t>ORDER</w:t>
    </w:r>
    <w:r w:rsidR="00607634">
      <w:rPr>
        <w:rFonts w:ascii="Times New Roman" w:hAnsi="Times New Roman" w:cs="Times New Roman"/>
        <w:sz w:val="26"/>
        <w:szCs w:val="26"/>
      </w:rPr>
      <w:t>: 12/22/2025</w:t>
    </w:r>
    <w:r w:rsidR="00745EB9">
      <w:rPr>
        <w:rFonts w:ascii="Times New Roman" w:hAnsi="Times New Roman" w:cs="Times New Roman"/>
        <w:sz w:val="26"/>
        <w:szCs w:val="26"/>
      </w:rPr>
      <w:t xml:space="preserve"> </w:t>
    </w:r>
  </w:p>
  <w:p w:rsidR="00745EB9" w:rsidRPr="00904436" w14:paraId="0B538C9E" w14:textId="688D5C17">
    <w:pPr>
      <w:pStyle w:val="Header"/>
      <w:rPr>
        <w:rFonts w:ascii="Times New Roman" w:hAnsi="Times New Roman" w:cs="Times New Roman"/>
        <w:sz w:val="26"/>
        <w:szCs w:val="26"/>
      </w:rPr>
    </w:pPr>
    <w:r>
      <w:rPr>
        <w:rFonts w:ascii="Times New Roman" w:hAnsi="Times New Roman" w:cs="Times New Roman"/>
        <w:sz w:val="26"/>
        <w:szCs w:val="26"/>
      </w:rPr>
      <w:t xml:space="preserve">60-day notice </w:t>
    </w:r>
    <w:r w:rsidR="00BA435B">
      <w:rPr>
        <w:rFonts w:ascii="Times New Roman" w:hAnsi="Times New Roman" w:cs="Times New Roman"/>
        <w:sz w:val="26"/>
        <w:szCs w:val="26"/>
      </w:rPr>
      <w:t>12</w:t>
    </w:r>
    <w:r w:rsidR="003A04B2">
      <w:rPr>
        <w:rFonts w:ascii="Times New Roman" w:hAnsi="Times New Roman" w:cs="Times New Roman"/>
        <w:sz w:val="26"/>
        <w:szCs w:val="26"/>
      </w:rPr>
      <w:t>/</w:t>
    </w:r>
    <w:r w:rsidR="00BA435B">
      <w:rPr>
        <w:rFonts w:ascii="Times New Roman" w:hAnsi="Times New Roman" w:cs="Times New Roman"/>
        <w:sz w:val="26"/>
        <w:szCs w:val="26"/>
      </w:rPr>
      <w:t>23</w:t>
    </w:r>
    <w:r w:rsidR="003A04B2">
      <w:rPr>
        <w:rFonts w:ascii="Times New Roman" w:hAnsi="Times New Roman" w:cs="Times New Roman"/>
        <w:sz w:val="26"/>
        <w:szCs w:val="26"/>
      </w:rPr>
      <w:t>/202</w:t>
    </w:r>
    <w:r w:rsidR="00BA435B">
      <w:rPr>
        <w:rFonts w:ascii="Times New Roman" w:hAnsi="Times New Roman" w:cs="Times New Roman"/>
        <w:sz w:val="26"/>
        <w:szCs w:val="26"/>
      </w:rPr>
      <w:t>5</w:t>
    </w:r>
    <w:r w:rsidR="003A04B2">
      <w:rPr>
        <w:rFonts w:ascii="Times New Roman" w:hAnsi="Times New Roman" w:cs="Times New Roman"/>
        <w:sz w:val="26"/>
        <w:szCs w:val="26"/>
      </w:rPr>
      <w:t xml:space="preserve">; 30-day notice </w:t>
    </w:r>
    <w:r w:rsidR="00BA435B">
      <w:rPr>
        <w:rFonts w:ascii="Times New Roman" w:hAnsi="Times New Roman" w:cs="Times New Roman"/>
        <w:sz w:val="26"/>
        <w:szCs w:val="26"/>
      </w:rPr>
      <w:t>3/03/2026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159DA"/>
    <w:multiLevelType w:val="multilevel"/>
    <w:tmpl w:val="87CA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DA2C41"/>
    <w:multiLevelType w:val="hybridMultilevel"/>
    <w:tmpl w:val="ED044F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F945DC9"/>
    <w:multiLevelType w:val="hybridMultilevel"/>
    <w:tmpl w:val="7654FD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0A1281E"/>
    <w:multiLevelType w:val="hybridMultilevel"/>
    <w:tmpl w:val="8D440F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0B34444"/>
    <w:multiLevelType w:val="hybridMultilevel"/>
    <w:tmpl w:val="67F204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6E0459"/>
    <w:multiLevelType w:val="hybridMultilevel"/>
    <w:tmpl w:val="F33CF7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8A76466"/>
    <w:multiLevelType w:val="hybridMultilevel"/>
    <w:tmpl w:val="78E68CB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2B0285D"/>
    <w:multiLevelType w:val="multilevel"/>
    <w:tmpl w:val="5546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8650B16"/>
    <w:multiLevelType w:val="hybridMultilevel"/>
    <w:tmpl w:val="D3562E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E247988"/>
    <w:multiLevelType w:val="hybridMultilevel"/>
    <w:tmpl w:val="A8E268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FA7789C"/>
    <w:multiLevelType w:val="multilevel"/>
    <w:tmpl w:val="93E07CFE"/>
    <w:lvl w:ilvl="0">
      <w:start w:val="1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CC1895"/>
    <w:multiLevelType w:val="hybridMultilevel"/>
    <w:tmpl w:val="E52203D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2E67CB0"/>
    <w:multiLevelType w:val="hybridMultilevel"/>
    <w:tmpl w:val="83F6D9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FD5BCC"/>
    <w:multiLevelType w:val="hybridMultilevel"/>
    <w:tmpl w:val="D10EAB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9142BFA"/>
    <w:multiLevelType w:val="hybridMultilevel"/>
    <w:tmpl w:val="84E018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ED977DE"/>
    <w:multiLevelType w:val="hybridMultilevel"/>
    <w:tmpl w:val="90A0E1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nsid w:val="5F0F7C40"/>
    <w:multiLevelType w:val="hybridMultilevel"/>
    <w:tmpl w:val="EC4A51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FBC5B6C"/>
    <w:multiLevelType w:val="multilevel"/>
    <w:tmpl w:val="2246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8A76676"/>
    <w:multiLevelType w:val="hybridMultilevel"/>
    <w:tmpl w:val="FBDE37D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7B663B2B"/>
    <w:multiLevelType w:val="hybridMultilevel"/>
    <w:tmpl w:val="2E98E81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7D3B09D3"/>
    <w:multiLevelType w:val="hybridMultilevel"/>
    <w:tmpl w:val="F77841C6"/>
    <w:lvl w:ilvl="0">
      <w:start w:val="1"/>
      <w:numFmt w:val="decimal"/>
      <w:pStyle w:val="FERCparanumber"/>
      <w:lvlText w:val="%1."/>
      <w:lvlJc w:val="left"/>
      <w:pPr>
        <w:tabs>
          <w:tab w:val="num" w:pos="720"/>
        </w:tabs>
        <w:ind w:left="0" w:firstLine="0"/>
      </w:pPr>
      <w:rPr>
        <w:specVanish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FCD3C3F"/>
    <w:multiLevelType w:val="hybridMultilevel"/>
    <w:tmpl w:val="E214C7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84632527">
    <w:abstractNumId w:val="6"/>
  </w:num>
  <w:num w:numId="2" w16cid:durableId="16916842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8127988">
    <w:abstractNumId w:val="1"/>
  </w:num>
  <w:num w:numId="4" w16cid:durableId="287782761">
    <w:abstractNumId w:val="13"/>
  </w:num>
  <w:num w:numId="5" w16cid:durableId="77486415">
    <w:abstractNumId w:val="14"/>
  </w:num>
  <w:num w:numId="6" w16cid:durableId="902831145">
    <w:abstractNumId w:val="6"/>
  </w:num>
  <w:num w:numId="7" w16cid:durableId="1005550010">
    <w:abstractNumId w:val="21"/>
  </w:num>
  <w:num w:numId="8" w16cid:durableId="950430226">
    <w:abstractNumId w:val="15"/>
  </w:num>
  <w:num w:numId="9" w16cid:durableId="494078582">
    <w:abstractNumId w:val="9"/>
  </w:num>
  <w:num w:numId="10" w16cid:durableId="398207923">
    <w:abstractNumId w:val="16"/>
  </w:num>
  <w:num w:numId="11" w16cid:durableId="2093037970">
    <w:abstractNumId w:val="20"/>
  </w:num>
  <w:num w:numId="12" w16cid:durableId="823668412">
    <w:abstractNumId w:val="19"/>
  </w:num>
  <w:num w:numId="13" w16cid:durableId="910887703">
    <w:abstractNumId w:val="5"/>
  </w:num>
  <w:num w:numId="14" w16cid:durableId="784272812">
    <w:abstractNumId w:val="4"/>
  </w:num>
  <w:num w:numId="15" w16cid:durableId="452485017">
    <w:abstractNumId w:val="8"/>
  </w:num>
  <w:num w:numId="16" w16cid:durableId="1735228246">
    <w:abstractNumId w:val="2"/>
  </w:num>
  <w:num w:numId="17" w16cid:durableId="166602776">
    <w:abstractNumId w:val="18"/>
  </w:num>
  <w:num w:numId="18" w16cid:durableId="1923174007">
    <w:abstractNumId w:val="10"/>
  </w:num>
  <w:num w:numId="19" w16cid:durableId="142280971">
    <w:abstractNumId w:val="7"/>
  </w:num>
  <w:num w:numId="20" w16cid:durableId="1595626823">
    <w:abstractNumId w:val="17"/>
  </w:num>
  <w:num w:numId="21" w16cid:durableId="1038164758">
    <w:abstractNumId w:val="0"/>
  </w:num>
  <w:num w:numId="22" w16cid:durableId="864825393">
    <w:abstractNumId w:val="12"/>
  </w:num>
  <w:num w:numId="23" w16cid:durableId="1943801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809"/>
    <w:rsid w:val="00005DFC"/>
    <w:rsid w:val="00007326"/>
    <w:rsid w:val="00021039"/>
    <w:rsid w:val="000226C5"/>
    <w:rsid w:val="000235E0"/>
    <w:rsid w:val="00023B70"/>
    <w:rsid w:val="00030E40"/>
    <w:rsid w:val="00033070"/>
    <w:rsid w:val="000434D2"/>
    <w:rsid w:val="000444E5"/>
    <w:rsid w:val="000471E4"/>
    <w:rsid w:val="0004734E"/>
    <w:rsid w:val="00051295"/>
    <w:rsid w:val="00051DE3"/>
    <w:rsid w:val="00052413"/>
    <w:rsid w:val="000619B7"/>
    <w:rsid w:val="0007331A"/>
    <w:rsid w:val="0007405A"/>
    <w:rsid w:val="00077679"/>
    <w:rsid w:val="00082A11"/>
    <w:rsid w:val="00086F35"/>
    <w:rsid w:val="00090E56"/>
    <w:rsid w:val="00094A47"/>
    <w:rsid w:val="00095452"/>
    <w:rsid w:val="000A29B2"/>
    <w:rsid w:val="000A3605"/>
    <w:rsid w:val="000A7881"/>
    <w:rsid w:val="000B09AE"/>
    <w:rsid w:val="000B13CB"/>
    <w:rsid w:val="000C200B"/>
    <w:rsid w:val="000C49DE"/>
    <w:rsid w:val="000C519D"/>
    <w:rsid w:val="000F215F"/>
    <w:rsid w:val="00107F55"/>
    <w:rsid w:val="0011717D"/>
    <w:rsid w:val="00122631"/>
    <w:rsid w:val="0013103F"/>
    <w:rsid w:val="00131F3B"/>
    <w:rsid w:val="00134CF7"/>
    <w:rsid w:val="00140041"/>
    <w:rsid w:val="001402E7"/>
    <w:rsid w:val="001559EA"/>
    <w:rsid w:val="00156937"/>
    <w:rsid w:val="00164080"/>
    <w:rsid w:val="00170069"/>
    <w:rsid w:val="001770D9"/>
    <w:rsid w:val="001900EF"/>
    <w:rsid w:val="0019164C"/>
    <w:rsid w:val="001963FA"/>
    <w:rsid w:val="001970D4"/>
    <w:rsid w:val="001A2A14"/>
    <w:rsid w:val="001A3BBC"/>
    <w:rsid w:val="001B3E46"/>
    <w:rsid w:val="001B5A74"/>
    <w:rsid w:val="001B6E3E"/>
    <w:rsid w:val="001C2A4A"/>
    <w:rsid w:val="001C5A32"/>
    <w:rsid w:val="001C74FF"/>
    <w:rsid w:val="001D6A5A"/>
    <w:rsid w:val="001E1029"/>
    <w:rsid w:val="001E793F"/>
    <w:rsid w:val="001F1726"/>
    <w:rsid w:val="001F31FA"/>
    <w:rsid w:val="001F5DC6"/>
    <w:rsid w:val="001F6D20"/>
    <w:rsid w:val="00210661"/>
    <w:rsid w:val="002107EB"/>
    <w:rsid w:val="00217952"/>
    <w:rsid w:val="00222CD0"/>
    <w:rsid w:val="00225E06"/>
    <w:rsid w:val="002277CE"/>
    <w:rsid w:val="0023758F"/>
    <w:rsid w:val="00250667"/>
    <w:rsid w:val="00250D74"/>
    <w:rsid w:val="00252516"/>
    <w:rsid w:val="00264D34"/>
    <w:rsid w:val="00270B5C"/>
    <w:rsid w:val="00274585"/>
    <w:rsid w:val="00287983"/>
    <w:rsid w:val="00287A77"/>
    <w:rsid w:val="00291D85"/>
    <w:rsid w:val="002948BE"/>
    <w:rsid w:val="002A04DE"/>
    <w:rsid w:val="002A115D"/>
    <w:rsid w:val="002A4676"/>
    <w:rsid w:val="002A5E1E"/>
    <w:rsid w:val="002A78CE"/>
    <w:rsid w:val="002B5A6C"/>
    <w:rsid w:val="002B737B"/>
    <w:rsid w:val="002C3558"/>
    <w:rsid w:val="002C364D"/>
    <w:rsid w:val="002C4012"/>
    <w:rsid w:val="002C41A7"/>
    <w:rsid w:val="002D3D7C"/>
    <w:rsid w:val="002D6CEA"/>
    <w:rsid w:val="002E119C"/>
    <w:rsid w:val="002E3AE3"/>
    <w:rsid w:val="002F2137"/>
    <w:rsid w:val="002F4796"/>
    <w:rsid w:val="00301870"/>
    <w:rsid w:val="0030364F"/>
    <w:rsid w:val="00305BC8"/>
    <w:rsid w:val="00321A7E"/>
    <w:rsid w:val="00325522"/>
    <w:rsid w:val="003426E8"/>
    <w:rsid w:val="00346547"/>
    <w:rsid w:val="0034737A"/>
    <w:rsid w:val="003475B2"/>
    <w:rsid w:val="003511EB"/>
    <w:rsid w:val="003514B9"/>
    <w:rsid w:val="00354538"/>
    <w:rsid w:val="003615D1"/>
    <w:rsid w:val="0036631C"/>
    <w:rsid w:val="00372082"/>
    <w:rsid w:val="0037262A"/>
    <w:rsid w:val="0037271D"/>
    <w:rsid w:val="00383F96"/>
    <w:rsid w:val="00384B68"/>
    <w:rsid w:val="003875D0"/>
    <w:rsid w:val="00391071"/>
    <w:rsid w:val="00392BD8"/>
    <w:rsid w:val="003A04B2"/>
    <w:rsid w:val="003A5F75"/>
    <w:rsid w:val="003B4CED"/>
    <w:rsid w:val="003C4D6A"/>
    <w:rsid w:val="003D698C"/>
    <w:rsid w:val="003E2FB9"/>
    <w:rsid w:val="003E3FA6"/>
    <w:rsid w:val="003E6F98"/>
    <w:rsid w:val="004020C7"/>
    <w:rsid w:val="004040E4"/>
    <w:rsid w:val="0040657A"/>
    <w:rsid w:val="00406832"/>
    <w:rsid w:val="0040701B"/>
    <w:rsid w:val="00414A30"/>
    <w:rsid w:val="00416D18"/>
    <w:rsid w:val="004272D3"/>
    <w:rsid w:val="00434304"/>
    <w:rsid w:val="00435F92"/>
    <w:rsid w:val="00450717"/>
    <w:rsid w:val="00451C2D"/>
    <w:rsid w:val="00453D67"/>
    <w:rsid w:val="00454BE9"/>
    <w:rsid w:val="00463E80"/>
    <w:rsid w:val="004713F5"/>
    <w:rsid w:val="004732A7"/>
    <w:rsid w:val="00485B27"/>
    <w:rsid w:val="00487B16"/>
    <w:rsid w:val="00493906"/>
    <w:rsid w:val="004A0F7B"/>
    <w:rsid w:val="004B36BC"/>
    <w:rsid w:val="004C6980"/>
    <w:rsid w:val="004D2DEA"/>
    <w:rsid w:val="004D3A97"/>
    <w:rsid w:val="004E2AA0"/>
    <w:rsid w:val="004E76B7"/>
    <w:rsid w:val="004E7A85"/>
    <w:rsid w:val="004F5B82"/>
    <w:rsid w:val="004F7CC5"/>
    <w:rsid w:val="00500948"/>
    <w:rsid w:val="00501F6F"/>
    <w:rsid w:val="00506AAE"/>
    <w:rsid w:val="00510C19"/>
    <w:rsid w:val="00520E32"/>
    <w:rsid w:val="005345FB"/>
    <w:rsid w:val="005346C5"/>
    <w:rsid w:val="00540239"/>
    <w:rsid w:val="00540CDD"/>
    <w:rsid w:val="00542968"/>
    <w:rsid w:val="005473AF"/>
    <w:rsid w:val="00553228"/>
    <w:rsid w:val="00556D19"/>
    <w:rsid w:val="00560B95"/>
    <w:rsid w:val="005701FB"/>
    <w:rsid w:val="0057054A"/>
    <w:rsid w:val="0057530E"/>
    <w:rsid w:val="00577A79"/>
    <w:rsid w:val="00584E35"/>
    <w:rsid w:val="00587684"/>
    <w:rsid w:val="005902A1"/>
    <w:rsid w:val="005947DE"/>
    <w:rsid w:val="00594DD5"/>
    <w:rsid w:val="00595A1B"/>
    <w:rsid w:val="00597DBF"/>
    <w:rsid w:val="005A2281"/>
    <w:rsid w:val="005B6BC8"/>
    <w:rsid w:val="005B71A6"/>
    <w:rsid w:val="005D5803"/>
    <w:rsid w:val="005E07CC"/>
    <w:rsid w:val="005E4197"/>
    <w:rsid w:val="005F37DC"/>
    <w:rsid w:val="005F3A2E"/>
    <w:rsid w:val="005F44C0"/>
    <w:rsid w:val="005F4A0D"/>
    <w:rsid w:val="0060351F"/>
    <w:rsid w:val="00604C43"/>
    <w:rsid w:val="00607634"/>
    <w:rsid w:val="00611BC4"/>
    <w:rsid w:val="006139A1"/>
    <w:rsid w:val="00633A33"/>
    <w:rsid w:val="00640831"/>
    <w:rsid w:val="00644162"/>
    <w:rsid w:val="006723A7"/>
    <w:rsid w:val="006739F4"/>
    <w:rsid w:val="00675EFF"/>
    <w:rsid w:val="00676B3E"/>
    <w:rsid w:val="006774CC"/>
    <w:rsid w:val="0068483E"/>
    <w:rsid w:val="00684E87"/>
    <w:rsid w:val="0069066D"/>
    <w:rsid w:val="00695008"/>
    <w:rsid w:val="00696636"/>
    <w:rsid w:val="006A346A"/>
    <w:rsid w:val="006A3FFF"/>
    <w:rsid w:val="006A7074"/>
    <w:rsid w:val="006B2DDE"/>
    <w:rsid w:val="006C10E5"/>
    <w:rsid w:val="006C1BF7"/>
    <w:rsid w:val="006D34F2"/>
    <w:rsid w:val="006D368D"/>
    <w:rsid w:val="006D3A8C"/>
    <w:rsid w:val="00715D4E"/>
    <w:rsid w:val="0072167A"/>
    <w:rsid w:val="00723133"/>
    <w:rsid w:val="00732AC5"/>
    <w:rsid w:val="00732E1A"/>
    <w:rsid w:val="00735123"/>
    <w:rsid w:val="00745EB9"/>
    <w:rsid w:val="0074771C"/>
    <w:rsid w:val="007512FE"/>
    <w:rsid w:val="007560B2"/>
    <w:rsid w:val="00756765"/>
    <w:rsid w:val="00764155"/>
    <w:rsid w:val="007648E5"/>
    <w:rsid w:val="00770940"/>
    <w:rsid w:val="007721EA"/>
    <w:rsid w:val="007736BF"/>
    <w:rsid w:val="00781255"/>
    <w:rsid w:val="00782836"/>
    <w:rsid w:val="00787AAD"/>
    <w:rsid w:val="0079268D"/>
    <w:rsid w:val="0079434B"/>
    <w:rsid w:val="007A2DBC"/>
    <w:rsid w:val="007B263C"/>
    <w:rsid w:val="007C4B6D"/>
    <w:rsid w:val="007C756A"/>
    <w:rsid w:val="007D123E"/>
    <w:rsid w:val="007D186C"/>
    <w:rsid w:val="007E223B"/>
    <w:rsid w:val="007E7DDD"/>
    <w:rsid w:val="007F09AC"/>
    <w:rsid w:val="007F12FF"/>
    <w:rsid w:val="007F7FC8"/>
    <w:rsid w:val="008049D0"/>
    <w:rsid w:val="00816BB8"/>
    <w:rsid w:val="00826D78"/>
    <w:rsid w:val="00830D64"/>
    <w:rsid w:val="00831E42"/>
    <w:rsid w:val="00832D4D"/>
    <w:rsid w:val="008428C4"/>
    <w:rsid w:val="00851F60"/>
    <w:rsid w:val="00852DC0"/>
    <w:rsid w:val="008624F0"/>
    <w:rsid w:val="008722CA"/>
    <w:rsid w:val="00874F9D"/>
    <w:rsid w:val="008810B6"/>
    <w:rsid w:val="008912F5"/>
    <w:rsid w:val="00896F75"/>
    <w:rsid w:val="008A31E3"/>
    <w:rsid w:val="008B38DD"/>
    <w:rsid w:val="008B6D92"/>
    <w:rsid w:val="008B6DD0"/>
    <w:rsid w:val="008C1605"/>
    <w:rsid w:val="008C270A"/>
    <w:rsid w:val="008C6A78"/>
    <w:rsid w:val="008D3E58"/>
    <w:rsid w:val="008D520E"/>
    <w:rsid w:val="008F16D8"/>
    <w:rsid w:val="008F2841"/>
    <w:rsid w:val="008F7866"/>
    <w:rsid w:val="00902F47"/>
    <w:rsid w:val="00903744"/>
    <w:rsid w:val="00904436"/>
    <w:rsid w:val="00905BFD"/>
    <w:rsid w:val="009070B7"/>
    <w:rsid w:val="00914B0E"/>
    <w:rsid w:val="009327AF"/>
    <w:rsid w:val="00934F29"/>
    <w:rsid w:val="00936BFE"/>
    <w:rsid w:val="0094083F"/>
    <w:rsid w:val="00945ECB"/>
    <w:rsid w:val="00954446"/>
    <w:rsid w:val="0095779E"/>
    <w:rsid w:val="00963230"/>
    <w:rsid w:val="00972685"/>
    <w:rsid w:val="00972E71"/>
    <w:rsid w:val="00973AE4"/>
    <w:rsid w:val="00975B16"/>
    <w:rsid w:val="00986C70"/>
    <w:rsid w:val="00990729"/>
    <w:rsid w:val="00990AEE"/>
    <w:rsid w:val="00992D5F"/>
    <w:rsid w:val="00993D41"/>
    <w:rsid w:val="009A0D05"/>
    <w:rsid w:val="009A4067"/>
    <w:rsid w:val="009B2528"/>
    <w:rsid w:val="009B3400"/>
    <w:rsid w:val="009B627D"/>
    <w:rsid w:val="009B66B9"/>
    <w:rsid w:val="009B6819"/>
    <w:rsid w:val="009B7708"/>
    <w:rsid w:val="009D5233"/>
    <w:rsid w:val="009D5391"/>
    <w:rsid w:val="009D571E"/>
    <w:rsid w:val="009D62F6"/>
    <w:rsid w:val="009E1E89"/>
    <w:rsid w:val="009E27B3"/>
    <w:rsid w:val="009E27C3"/>
    <w:rsid w:val="009E294E"/>
    <w:rsid w:val="009E43F8"/>
    <w:rsid w:val="009F17DD"/>
    <w:rsid w:val="009F19F2"/>
    <w:rsid w:val="009F47B7"/>
    <w:rsid w:val="00A06E5B"/>
    <w:rsid w:val="00A07356"/>
    <w:rsid w:val="00A11EB2"/>
    <w:rsid w:val="00A14E6B"/>
    <w:rsid w:val="00A171CA"/>
    <w:rsid w:val="00A317FB"/>
    <w:rsid w:val="00A32626"/>
    <w:rsid w:val="00A3371C"/>
    <w:rsid w:val="00A34EB5"/>
    <w:rsid w:val="00A35D49"/>
    <w:rsid w:val="00A41D1E"/>
    <w:rsid w:val="00A460C4"/>
    <w:rsid w:val="00A5379E"/>
    <w:rsid w:val="00A558AD"/>
    <w:rsid w:val="00A56ABD"/>
    <w:rsid w:val="00A6743E"/>
    <w:rsid w:val="00A70BD1"/>
    <w:rsid w:val="00A7119C"/>
    <w:rsid w:val="00A73BA1"/>
    <w:rsid w:val="00A8093F"/>
    <w:rsid w:val="00A84CB2"/>
    <w:rsid w:val="00A851C7"/>
    <w:rsid w:val="00A91402"/>
    <w:rsid w:val="00A91C10"/>
    <w:rsid w:val="00A94A95"/>
    <w:rsid w:val="00A970C1"/>
    <w:rsid w:val="00A9722F"/>
    <w:rsid w:val="00AA0B37"/>
    <w:rsid w:val="00AA15E7"/>
    <w:rsid w:val="00AA1AD6"/>
    <w:rsid w:val="00AB003A"/>
    <w:rsid w:val="00AB2907"/>
    <w:rsid w:val="00AB4062"/>
    <w:rsid w:val="00AC3CCB"/>
    <w:rsid w:val="00AC41DF"/>
    <w:rsid w:val="00AD4F8B"/>
    <w:rsid w:val="00AD5670"/>
    <w:rsid w:val="00AD6E75"/>
    <w:rsid w:val="00AE1BB6"/>
    <w:rsid w:val="00AE6A20"/>
    <w:rsid w:val="00AE7F03"/>
    <w:rsid w:val="00AF0718"/>
    <w:rsid w:val="00AF1495"/>
    <w:rsid w:val="00AF473A"/>
    <w:rsid w:val="00B01996"/>
    <w:rsid w:val="00B02B5F"/>
    <w:rsid w:val="00B0450C"/>
    <w:rsid w:val="00B06B22"/>
    <w:rsid w:val="00B15CBA"/>
    <w:rsid w:val="00B25AFA"/>
    <w:rsid w:val="00B26ECD"/>
    <w:rsid w:val="00B26FDA"/>
    <w:rsid w:val="00B357DC"/>
    <w:rsid w:val="00B4660C"/>
    <w:rsid w:val="00B47F3A"/>
    <w:rsid w:val="00B64BC4"/>
    <w:rsid w:val="00B71097"/>
    <w:rsid w:val="00B72977"/>
    <w:rsid w:val="00B754BC"/>
    <w:rsid w:val="00B7747A"/>
    <w:rsid w:val="00B802A7"/>
    <w:rsid w:val="00B92400"/>
    <w:rsid w:val="00B96BB7"/>
    <w:rsid w:val="00BA11CE"/>
    <w:rsid w:val="00BA1674"/>
    <w:rsid w:val="00BA435B"/>
    <w:rsid w:val="00BA7C8D"/>
    <w:rsid w:val="00BB3B42"/>
    <w:rsid w:val="00BB640B"/>
    <w:rsid w:val="00BB778D"/>
    <w:rsid w:val="00BC508A"/>
    <w:rsid w:val="00BD0650"/>
    <w:rsid w:val="00BD123C"/>
    <w:rsid w:val="00BD1DA8"/>
    <w:rsid w:val="00BD22A1"/>
    <w:rsid w:val="00BD49DE"/>
    <w:rsid w:val="00BD6FC6"/>
    <w:rsid w:val="00BD762F"/>
    <w:rsid w:val="00BE319C"/>
    <w:rsid w:val="00BF0842"/>
    <w:rsid w:val="00BF3E5B"/>
    <w:rsid w:val="00C133C1"/>
    <w:rsid w:val="00C34E8D"/>
    <w:rsid w:val="00C35159"/>
    <w:rsid w:val="00C374BE"/>
    <w:rsid w:val="00C41053"/>
    <w:rsid w:val="00C5323D"/>
    <w:rsid w:val="00C538C1"/>
    <w:rsid w:val="00C5461E"/>
    <w:rsid w:val="00C6512F"/>
    <w:rsid w:val="00C665EF"/>
    <w:rsid w:val="00C73090"/>
    <w:rsid w:val="00C770D4"/>
    <w:rsid w:val="00C77612"/>
    <w:rsid w:val="00C854A9"/>
    <w:rsid w:val="00C862EF"/>
    <w:rsid w:val="00C914CE"/>
    <w:rsid w:val="00C9323B"/>
    <w:rsid w:val="00C93516"/>
    <w:rsid w:val="00C93A80"/>
    <w:rsid w:val="00CB4021"/>
    <w:rsid w:val="00CB6FA9"/>
    <w:rsid w:val="00CC6F4B"/>
    <w:rsid w:val="00CD0DC0"/>
    <w:rsid w:val="00CD1C42"/>
    <w:rsid w:val="00CD2951"/>
    <w:rsid w:val="00CD658C"/>
    <w:rsid w:val="00CE0CA0"/>
    <w:rsid w:val="00CE2304"/>
    <w:rsid w:val="00CE5F73"/>
    <w:rsid w:val="00CF70E8"/>
    <w:rsid w:val="00CF70F8"/>
    <w:rsid w:val="00D01A54"/>
    <w:rsid w:val="00D1050F"/>
    <w:rsid w:val="00D133CB"/>
    <w:rsid w:val="00D14EDD"/>
    <w:rsid w:val="00D171C8"/>
    <w:rsid w:val="00D173AC"/>
    <w:rsid w:val="00D1755A"/>
    <w:rsid w:val="00D20809"/>
    <w:rsid w:val="00D23085"/>
    <w:rsid w:val="00D2553B"/>
    <w:rsid w:val="00D404D1"/>
    <w:rsid w:val="00D445E3"/>
    <w:rsid w:val="00D44991"/>
    <w:rsid w:val="00D4593C"/>
    <w:rsid w:val="00D46F5F"/>
    <w:rsid w:val="00D5139A"/>
    <w:rsid w:val="00D532AC"/>
    <w:rsid w:val="00D61AA2"/>
    <w:rsid w:val="00D710D0"/>
    <w:rsid w:val="00D77E91"/>
    <w:rsid w:val="00D801C8"/>
    <w:rsid w:val="00D806D8"/>
    <w:rsid w:val="00D929AC"/>
    <w:rsid w:val="00D94706"/>
    <w:rsid w:val="00D94D92"/>
    <w:rsid w:val="00DA73F4"/>
    <w:rsid w:val="00DB387E"/>
    <w:rsid w:val="00DC25F8"/>
    <w:rsid w:val="00DC3E85"/>
    <w:rsid w:val="00DC4335"/>
    <w:rsid w:val="00DD1947"/>
    <w:rsid w:val="00DD4013"/>
    <w:rsid w:val="00DD76DC"/>
    <w:rsid w:val="00DD79BC"/>
    <w:rsid w:val="00DE1D06"/>
    <w:rsid w:val="00DE2F18"/>
    <w:rsid w:val="00DE5D5A"/>
    <w:rsid w:val="00DE7756"/>
    <w:rsid w:val="00DE7875"/>
    <w:rsid w:val="00DF05B3"/>
    <w:rsid w:val="00DF2730"/>
    <w:rsid w:val="00E0277D"/>
    <w:rsid w:val="00E04C11"/>
    <w:rsid w:val="00E05C52"/>
    <w:rsid w:val="00E068AB"/>
    <w:rsid w:val="00E115B9"/>
    <w:rsid w:val="00E137C6"/>
    <w:rsid w:val="00E13933"/>
    <w:rsid w:val="00E3025E"/>
    <w:rsid w:val="00E30717"/>
    <w:rsid w:val="00E33C60"/>
    <w:rsid w:val="00E35150"/>
    <w:rsid w:val="00E35988"/>
    <w:rsid w:val="00E36C0E"/>
    <w:rsid w:val="00E44C99"/>
    <w:rsid w:val="00E51EB8"/>
    <w:rsid w:val="00E51F85"/>
    <w:rsid w:val="00E54EDD"/>
    <w:rsid w:val="00E578CF"/>
    <w:rsid w:val="00E60290"/>
    <w:rsid w:val="00E66429"/>
    <w:rsid w:val="00E66C07"/>
    <w:rsid w:val="00E74C7C"/>
    <w:rsid w:val="00E74D41"/>
    <w:rsid w:val="00E74EC2"/>
    <w:rsid w:val="00E80B41"/>
    <w:rsid w:val="00E83403"/>
    <w:rsid w:val="00E83492"/>
    <w:rsid w:val="00E8471E"/>
    <w:rsid w:val="00E91DCE"/>
    <w:rsid w:val="00E932F3"/>
    <w:rsid w:val="00E96849"/>
    <w:rsid w:val="00E9756A"/>
    <w:rsid w:val="00EA1187"/>
    <w:rsid w:val="00EA19D2"/>
    <w:rsid w:val="00EA19D9"/>
    <w:rsid w:val="00EA4EE4"/>
    <w:rsid w:val="00EA5441"/>
    <w:rsid w:val="00EB5992"/>
    <w:rsid w:val="00EC3936"/>
    <w:rsid w:val="00EC7428"/>
    <w:rsid w:val="00EE0AE6"/>
    <w:rsid w:val="00EE3D39"/>
    <w:rsid w:val="00EF1B70"/>
    <w:rsid w:val="00EF328B"/>
    <w:rsid w:val="00EF32FC"/>
    <w:rsid w:val="00EF5913"/>
    <w:rsid w:val="00EF72D0"/>
    <w:rsid w:val="00F004C8"/>
    <w:rsid w:val="00F047B5"/>
    <w:rsid w:val="00F21BBE"/>
    <w:rsid w:val="00F26D65"/>
    <w:rsid w:val="00F338C3"/>
    <w:rsid w:val="00F3460C"/>
    <w:rsid w:val="00F35A13"/>
    <w:rsid w:val="00F40D7C"/>
    <w:rsid w:val="00F41680"/>
    <w:rsid w:val="00F66EE0"/>
    <w:rsid w:val="00F7003F"/>
    <w:rsid w:val="00F72402"/>
    <w:rsid w:val="00F72D86"/>
    <w:rsid w:val="00F866FC"/>
    <w:rsid w:val="00F87521"/>
    <w:rsid w:val="00F90249"/>
    <w:rsid w:val="00F91879"/>
    <w:rsid w:val="00FA081B"/>
    <w:rsid w:val="00FA5839"/>
    <w:rsid w:val="00FA61C2"/>
    <w:rsid w:val="00FA6C09"/>
    <w:rsid w:val="00FB21EF"/>
    <w:rsid w:val="00FC5A7B"/>
    <w:rsid w:val="00FC7A2B"/>
    <w:rsid w:val="00FD21DA"/>
    <w:rsid w:val="00FD610C"/>
    <w:rsid w:val="00FD6357"/>
    <w:rsid w:val="00FD6D2E"/>
    <w:rsid w:val="00FE4195"/>
    <w:rsid w:val="00FE45F6"/>
    <w:rsid w:val="00FE74C2"/>
    <w:rsid w:val="00FF3D56"/>
    <w:rsid w:val="00FF42EB"/>
    <w:rsid w:val="00FF69CF"/>
    <w:rsid w:val="011CD5C5"/>
    <w:rsid w:val="02337422"/>
    <w:rsid w:val="02E7ED7E"/>
    <w:rsid w:val="0A0E7F34"/>
    <w:rsid w:val="0A48D388"/>
    <w:rsid w:val="0AE892BF"/>
    <w:rsid w:val="1752BFC4"/>
    <w:rsid w:val="1D7EA054"/>
    <w:rsid w:val="23CE3D57"/>
    <w:rsid w:val="26C5F150"/>
    <w:rsid w:val="2B599AB0"/>
    <w:rsid w:val="2B9C6525"/>
    <w:rsid w:val="2F6AED1A"/>
    <w:rsid w:val="32DE4861"/>
    <w:rsid w:val="35DEAECF"/>
    <w:rsid w:val="374D37A2"/>
    <w:rsid w:val="3770B001"/>
    <w:rsid w:val="3D4C3A69"/>
    <w:rsid w:val="3DE762A8"/>
    <w:rsid w:val="3EDF64B9"/>
    <w:rsid w:val="40B552BA"/>
    <w:rsid w:val="413F7181"/>
    <w:rsid w:val="45A6ADD5"/>
    <w:rsid w:val="4EEDA236"/>
    <w:rsid w:val="502A6579"/>
    <w:rsid w:val="5A1F5C8F"/>
    <w:rsid w:val="5A9BEDA8"/>
    <w:rsid w:val="5D261A0E"/>
    <w:rsid w:val="5D54D2DF"/>
    <w:rsid w:val="61760EEB"/>
    <w:rsid w:val="69ABDAF2"/>
    <w:rsid w:val="6B040667"/>
    <w:rsid w:val="6B966E42"/>
    <w:rsid w:val="6FD5A2DD"/>
    <w:rsid w:val="73241939"/>
    <w:rsid w:val="73EDFE11"/>
    <w:rsid w:val="74D2EB0A"/>
    <w:rsid w:val="780290E3"/>
    <w:rsid w:val="7E8336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6B3226"/>
  <w15:docId w15:val="{68CF8D72-BEA5-4AFD-9FF5-0AB2B94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1 Char,Footnote Text Char1 Char Char Char,Footnote Text Char1 Char Char Char Char Char Char Char,Footnote Text Char1 Char1 Char,Footnote Text Char2 Char,Footnote Text MRP,fn,ft"/>
    <w:basedOn w:val="Normal"/>
    <w:link w:val="FootnoteTextChar"/>
    <w:unhideWhenUsed/>
    <w:qFormat/>
    <w:rsid w:val="001970D4"/>
    <w:pPr>
      <w:spacing w:after="0" w:line="240" w:lineRule="auto"/>
      <w:ind w:left="245" w:hanging="245"/>
    </w:pPr>
    <w:rPr>
      <w:rFonts w:ascii="Times New Roman" w:hAnsi="Times New Roman"/>
      <w:sz w:val="20"/>
      <w:szCs w:val="20"/>
    </w:rPr>
  </w:style>
  <w:style w:type="character" w:customStyle="1" w:styleId="FootnoteTextChar">
    <w:name w:val="Footnote Text Char"/>
    <w:aliases w:val="Footnote Text Char Char Char Char Char Char,Footnote Text Char Char1 Char Char,Footnote Text Char1 Char Char Char Char,Footnote Text Char1 Char Char Char Char Char Char Char Char,Footnote Text Char1 Char1 Char Char,fn Char,ft Char"/>
    <w:basedOn w:val="DefaultParagraphFont"/>
    <w:link w:val="FootnoteText"/>
    <w:rsid w:val="001970D4"/>
    <w:rPr>
      <w:rFonts w:ascii="Times New Roman" w:hAnsi="Times New Roman"/>
      <w:sz w:val="20"/>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basedOn w:val="DefaultParagraphFont"/>
    <w:unhideWhenUsed/>
    <w:qFormat/>
    <w:rPr>
      <w:vertAlign w:val="superscript"/>
    </w:rPr>
  </w:style>
  <w:style w:type="character" w:styleId="Hyperlink">
    <w:name w:val="Hyperlink"/>
    <w:basedOn w:val="DefaultParagraphFont"/>
    <w:uiPriority w:val="99"/>
    <w:unhideWhenUsed/>
    <w:rPr>
      <w:rFonts w:ascii="Times New Roman" w:hAnsi="Times New Roman" w:cs="Times New Roman" w:hint="default"/>
      <w:color w:val="0000FF"/>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1970D4"/>
    <w:rPr>
      <w:color w:val="605E5C"/>
      <w:shd w:val="clear" w:color="auto" w:fill="E1DFDD"/>
    </w:rPr>
  </w:style>
  <w:style w:type="paragraph" w:customStyle="1" w:styleId="FERCparanumber">
    <w:name w:val="FERC paranumber"/>
    <w:basedOn w:val="Normal"/>
    <w:qFormat/>
    <w:rsid w:val="004D3A97"/>
    <w:pPr>
      <w:numPr>
        <w:numId w:val="11"/>
      </w:numPr>
      <w:spacing w:after="0" w:line="480" w:lineRule="auto"/>
    </w:pPr>
    <w:rPr>
      <w:rFonts w:ascii="Times New Roman" w:hAnsi="Times New Roman" w:cs="Times New Roman"/>
      <w:sz w:val="26"/>
    </w:rPr>
  </w:style>
  <w:style w:type="table" w:styleId="TableGrid">
    <w:name w:val="Table Grid"/>
    <w:basedOn w:val="TableNormal"/>
    <w:rsid w:val="000B09AE"/>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EB2"/>
    <w:pPr>
      <w:spacing w:after="0" w:line="240" w:lineRule="auto"/>
    </w:pPr>
  </w:style>
  <w:style w:type="character" w:styleId="Mention">
    <w:name w:val="Mention"/>
    <w:basedOn w:val="DefaultParagraphFont"/>
    <w:uiPriority w:val="99"/>
    <w:unhideWhenUsed/>
    <w:rPr>
      <w:color w:val="2B579A"/>
      <w:shd w:val="clear" w:color="auto" w:fill="E6E6E6"/>
    </w:rPr>
  </w:style>
  <w:style w:type="paragraph" w:customStyle="1" w:styleId="Default">
    <w:name w:val="Default"/>
    <w:rsid w:val="001F31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rc.gov/enforcement-legal/legal/information-collec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4A98CE0B408D41A9CE8FC72BBBB8EE" ma:contentTypeVersion="26" ma:contentTypeDescription="Create a new document." ma:contentTypeScope="" ma:versionID="d39a6ca208ca7c8fa6b9cf1f3903c3dd">
  <xsd:schema xmlns:xsd="http://www.w3.org/2001/XMLSchema" xmlns:xs="http://www.w3.org/2001/XMLSchema" xmlns:p="http://schemas.microsoft.com/office/2006/metadata/properties" xmlns:ns1="http://schemas.microsoft.com/sharepoint/v3" xmlns:ns2="http://schemas.microsoft.com/sharepoint/v4" xmlns:ns3="9efd1f78-2452-40eb-b641-aaad3c0a6650" xmlns:ns4="82e40cf6-c09f-421d-a298-827f536a5023" targetNamespace="http://schemas.microsoft.com/office/2006/metadata/properties" ma:root="true" ma:fieldsID="92e39c1c6d35f4670216702155d45145" ns1:_="" ns2:_="" ns3:_="" ns4:_="">
    <xsd:import namespace="http://schemas.microsoft.com/sharepoint/v3"/>
    <xsd:import namespace="http://schemas.microsoft.com/sharepoint/v4"/>
    <xsd:import namespace="9efd1f78-2452-40eb-b641-aaad3c0a6650"/>
    <xsd:import namespace="82e40cf6-c09f-421d-a298-827f536a5023"/>
    <xsd:element name="properties">
      <xsd:complexType>
        <xsd:sequence>
          <xsd:element name="documentManagement">
            <xsd:complexType>
              <xsd:all>
                <xsd:element ref="ns2:IconOverlay" minOccurs="0"/>
                <xsd:element ref="ns3:SharedWithUsers" minOccurs="0"/>
                <xsd:element ref="ns3:SharedWithDetails" minOccurs="0"/>
                <xsd:element ref="ns4:MediaServiceDateTaken" minOccurs="0"/>
                <xsd:element ref="ns4:MediaLengthInSeconds" minOccurs="0"/>
                <xsd:element ref="ns4:MediaServiceObjectDetectorVersions" minOccurs="0"/>
                <xsd:element ref="ns4:MediaServiceLocation" minOccurs="0"/>
                <xsd:element ref="ns4:MediaServiceSearchProperties" minOccurs="0"/>
                <xsd:element ref="ns4:Updat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d1f78-2452-40eb-b641-aaad3c0a665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e40cf6-c09f-421d-a298-827f536a5023" elementFormDefault="qualified">
    <xsd:import namespace="http://schemas.microsoft.com/office/2006/documentManagement/types"/>
    <xsd:import namespace="http://schemas.microsoft.com/office/infopath/2007/PartnerControls"/>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Updates" ma:index="16" nillable="true" ma:displayName="Updates" ma:default="N/A" ma:format="Dropdown" ma:internalName="Upda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Updates xmlns="82e40cf6-c09f-421d-a298-827f536a5023">N/A</Updates>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D1D8D9-7D66-4B82-8F84-7C686D50719E}">
  <ds:schemaRefs>
    <ds:schemaRef ds:uri="http://schemas.microsoft.com/sharepoint/v3/contenttype/forms"/>
  </ds:schemaRefs>
</ds:datastoreItem>
</file>

<file path=customXml/itemProps2.xml><?xml version="1.0" encoding="utf-8"?>
<ds:datastoreItem xmlns:ds="http://schemas.openxmlformats.org/officeDocument/2006/customXml" ds:itemID="{5A16F6D2-AA49-4C63-90CC-4FBF66138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9efd1f78-2452-40eb-b641-aaad3c0a6650"/>
    <ds:schemaRef ds:uri="82e40cf6-c09f-421d-a298-827f536a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0AB49F-ABA3-4521-9FCC-368CF8223647}">
  <ds:schemaRefs>
    <ds:schemaRef ds:uri="http://schemas.openxmlformats.org/officeDocument/2006/bibliography"/>
  </ds:schemaRefs>
</ds:datastoreItem>
</file>

<file path=customXml/itemProps4.xml><?xml version="1.0" encoding="utf-8"?>
<ds:datastoreItem xmlns:ds="http://schemas.openxmlformats.org/officeDocument/2006/customXml" ds:itemID="{2CE5995B-DA6B-4E16-A395-CABD895ECCE6}">
  <ds:schemaRefs>
    <ds:schemaRef ds:uri="http://schemas.microsoft.com/office/2006/metadata/properties"/>
    <ds:schemaRef ds:uri="http://schemas.microsoft.com/office/infopath/2007/PartnerControls"/>
    <ds:schemaRef ds:uri="82e40cf6-c09f-421d-a298-827f536a5023"/>
    <ds:schemaRef ds:uri="http://schemas.microsoft.com/sharepoint/v3"/>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2726</Words>
  <Characters>16084</Characters>
  <Application>Microsoft Office Word</Application>
  <DocSecurity>0</DocSecurity>
  <Lines>459</Lines>
  <Paragraphs>175</Paragraphs>
  <ScaleCrop>false</ScaleCrop>
  <HeadingPairs>
    <vt:vector size="2" baseType="variant">
      <vt:variant>
        <vt:lpstr>Title</vt:lpstr>
      </vt:variant>
      <vt:variant>
        <vt:i4>1</vt:i4>
      </vt:variant>
    </vt:vector>
  </HeadingPairs>
  <TitlesOfParts>
    <vt:vector size="1" baseType="lpstr">
      <vt:lpstr>RM25-3 NOPR Supporting Statement</vt:lpstr>
    </vt:vector>
  </TitlesOfParts>
  <Company>FERC</Company>
  <LinksUpToDate>false</LinksUpToDate>
  <CharactersWithSpaces>18635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RM25-3 NOPR Supporting Statement</dc:title>
  <dc:creator>Michele Chambers</dc:creator>
  <cp:lastModifiedBy>Kayla Williams</cp:lastModifiedBy>
  <cp:revision>2</cp:revision>
  <cp:lastPrinted>2018-06-21T21:21:00Z</cp:lastPrinted>
  <dcterms:created xsi:type="dcterms:W3CDTF">2026-05-20T10:33:00Z</dcterms:created>
  <dcterms:modified xsi:type="dcterms:W3CDTF">2026-05-20T10:33:00Z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0x0101006D4A98CE0B408D41A9CE8FC72BBBB8EE</vt:lpwstr>
  </property>
  <property fmtid="{D5CDD505-2E9C-101B-9397-08002B2CF9AE}" pid="3" name="MSIP_Label_bd24d06a-0e85-4d57-b1e0-ba34b1abc708_ActionId">
    <vt:lpwstr>ee7ba9ae-f768-4f61-86a1-a2f9d397224a</vt:lpwstr>
  </property>
  <property fmtid="{D5CDD505-2E9C-101B-9397-08002B2CF9AE}" pid="4" name="MSIP_Label_bd24d06a-0e85-4d57-b1e0-ba34b1abc708_ContentBits">
    <vt:lpwstr>0</vt:lpwstr>
  </property>
  <property fmtid="{D5CDD505-2E9C-101B-9397-08002B2CF9AE}" pid="5" name="MSIP_Label_bd24d06a-0e85-4d57-b1e0-ba34b1abc708_Enabled">
    <vt:lpwstr>true</vt:lpwstr>
  </property>
  <property fmtid="{D5CDD505-2E9C-101B-9397-08002B2CF9AE}" pid="6" name="MSIP_Label_bd24d06a-0e85-4d57-b1e0-ba34b1abc708_Method">
    <vt:lpwstr>Privileged</vt:lpwstr>
  </property>
  <property fmtid="{D5CDD505-2E9C-101B-9397-08002B2CF9AE}" pid="7" name="MSIP_Label_bd24d06a-0e85-4d57-b1e0-ba34b1abc708_Name">
    <vt:lpwstr>bd24d06a-0e85-4d57-b1e0-ba34b1abc708</vt:lpwstr>
  </property>
  <property fmtid="{D5CDD505-2E9C-101B-9397-08002B2CF9AE}" pid="8" name="MSIP_Label_bd24d06a-0e85-4d57-b1e0-ba34b1abc708_SetDate">
    <vt:lpwstr>2025-01-16T19:52:00Z</vt:lpwstr>
  </property>
  <property fmtid="{D5CDD505-2E9C-101B-9397-08002B2CF9AE}" pid="9" name="MSIP_Label_bd24d06a-0e85-4d57-b1e0-ba34b1abc708_SiteId">
    <vt:lpwstr>19caa9e9-04ff-43fa-885f-d77fac387903</vt:lpwstr>
  </property>
</Properties>
</file>